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auto"/>
        <w:jc w:val="center"/>
        <w:rPr>
          <w:rFonts w:hint="eastAsia" w:ascii="仿宋" w:hAnsi="仿宋" w:eastAsia="仿宋" w:cs="仿宋"/>
          <w:b/>
          <w:bCs/>
          <w:i w:val="0"/>
          <w:caps w:val="0"/>
          <w:color w:val="000000" w:themeColor="text1"/>
          <w:spacing w:val="0"/>
          <w:sz w:val="44"/>
          <w:szCs w:val="44"/>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44"/>
          <w:szCs w:val="44"/>
          <w:lang w:val="en-US" w:eastAsia="zh-CN"/>
          <w14:textFill>
            <w14:solidFill>
              <w14:schemeClr w14:val="tx1"/>
            </w14:solidFill>
          </w14:textFill>
        </w:rPr>
        <w:t>策勒县残疾人安装及维修假肢项目（二次）</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磋</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商</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文</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件</w:t>
      </w:r>
    </w:p>
    <w:p>
      <w:pPr>
        <w:snapToGrid w:val="0"/>
        <w:jc w:val="center"/>
        <w:rPr>
          <w:rFonts w:hint="eastAsia" w:ascii="仿宋" w:hAnsi="仿宋" w:eastAsia="仿宋" w:cs="仿宋"/>
          <w:b/>
          <w:color w:val="000000" w:themeColor="text1"/>
          <w:spacing w:val="20"/>
          <w:kern w:val="10"/>
          <w:sz w:val="52"/>
          <w:szCs w:val="52"/>
          <w:highlight w:val="none"/>
          <w14:textFill>
            <w14:solidFill>
              <w14:schemeClr w14:val="tx1"/>
            </w14:solidFill>
          </w14:textFill>
        </w:rPr>
      </w:pPr>
    </w:p>
    <w:p>
      <w:pPr>
        <w:jc w:val="center"/>
        <w:rPr>
          <w:rFonts w:hint="eastAsia" w:ascii="仿宋" w:hAnsi="仿宋" w:eastAsia="仿宋" w:cs="仿宋"/>
          <w:b/>
          <w:bCs/>
          <w:color w:val="000000" w:themeColor="text1"/>
          <w:sz w:val="30"/>
          <w:szCs w:val="30"/>
          <w:highlight w:val="none"/>
          <w:lang w:val="en-US" w:eastAsia="zh-CN"/>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采购编号：</w:t>
      </w:r>
      <w:r>
        <w:rPr>
          <w:rFonts w:hint="eastAsia" w:ascii="仿宋" w:hAnsi="仿宋" w:eastAsia="仿宋" w:cs="仿宋"/>
          <w:b/>
          <w:bCs/>
          <w:color w:val="000000" w:themeColor="text1"/>
          <w:sz w:val="30"/>
          <w:szCs w:val="30"/>
          <w:highlight w:val="none"/>
          <w:u w:val="single"/>
          <w:lang w:val="en-US" w:eastAsia="zh-CN"/>
          <w14:textFill>
            <w14:solidFill>
              <w14:schemeClr w14:val="tx1"/>
            </w14:solidFill>
          </w14:textFill>
        </w:rPr>
        <w:t>2021-clx- 071号</w:t>
      </w:r>
    </w:p>
    <w:p>
      <w:pPr>
        <w:spacing w:line="360" w:lineRule="auto"/>
        <w:jc w:val="center"/>
        <w:textAlignment w:val="top"/>
        <w:rPr>
          <w:rFonts w:hint="eastAsia" w:ascii="仿宋" w:hAnsi="仿宋" w:eastAsia="仿宋" w:cs="仿宋"/>
          <w:b/>
          <w:color w:val="000000" w:themeColor="text1"/>
          <w:spacing w:val="100"/>
          <w:sz w:val="30"/>
          <w:szCs w:val="30"/>
          <w:highlight w:val="none"/>
          <w14:textFill>
            <w14:solidFill>
              <w14:schemeClr w14:val="tx1"/>
            </w14:solidFill>
          </w14:textFill>
        </w:rPr>
      </w:pPr>
      <w:r>
        <w:rPr>
          <w:rFonts w:hint="eastAsia" w:ascii="仿宋" w:hAnsi="仿宋" w:eastAsia="仿宋" w:cs="仿宋"/>
          <w:b/>
          <w:color w:val="000000" w:themeColor="text1"/>
          <w:spacing w:val="100"/>
          <w:sz w:val="30"/>
          <w:szCs w:val="30"/>
          <w:highlight w:val="none"/>
          <w14:textFill>
            <w14:solidFill>
              <w14:schemeClr w14:val="tx1"/>
            </w14:solidFill>
          </w14:textFill>
        </w:rPr>
        <w:t>新疆晓君招标有限公司</w:t>
      </w:r>
    </w:p>
    <w:p>
      <w:pPr>
        <w:pStyle w:val="20"/>
        <w:jc w:val="center"/>
        <w:rPr>
          <w:rFonts w:hint="eastAsia" w:ascii="仿宋" w:hAnsi="仿宋" w:eastAsia="仿宋" w:cs="仿宋"/>
          <w:b/>
          <w:color w:val="000000" w:themeColor="text1"/>
          <w:spacing w:val="40"/>
          <w:sz w:val="30"/>
          <w:szCs w:val="30"/>
          <w:highlight w:val="none"/>
          <w14:textFill>
            <w14:solidFill>
              <w14:schemeClr w14:val="tx1"/>
            </w14:solidFill>
          </w14:textFill>
        </w:rPr>
      </w:pPr>
      <w:r>
        <w:rPr>
          <w:rFonts w:hint="eastAsia" w:ascii="仿宋" w:hAnsi="仿宋" w:eastAsia="仿宋" w:cs="仿宋"/>
          <w:b/>
          <w:color w:val="000000" w:themeColor="text1"/>
          <w:spacing w:val="40"/>
          <w:sz w:val="30"/>
          <w:szCs w:val="30"/>
          <w:highlight w:val="none"/>
          <w14:textFill>
            <w14:solidFill>
              <w14:schemeClr w14:val="tx1"/>
            </w14:solidFill>
          </w14:textFill>
        </w:rPr>
        <w:t>202</w:t>
      </w:r>
      <w:r>
        <w:rPr>
          <w:rFonts w:hint="eastAsia" w:ascii="仿宋" w:hAnsi="仿宋" w:eastAsia="仿宋" w:cs="仿宋"/>
          <w:b/>
          <w:color w:val="000000" w:themeColor="text1"/>
          <w:spacing w:val="40"/>
          <w:sz w:val="30"/>
          <w:szCs w:val="30"/>
          <w:highlight w:val="none"/>
          <w:lang w:val="en-US" w:eastAsia="zh-CN"/>
          <w14:textFill>
            <w14:solidFill>
              <w14:schemeClr w14:val="tx1"/>
            </w14:solidFill>
          </w14:textFill>
        </w:rPr>
        <w:t>1</w:t>
      </w:r>
      <w:r>
        <w:rPr>
          <w:rFonts w:hint="eastAsia" w:ascii="仿宋" w:hAnsi="仿宋" w:eastAsia="仿宋" w:cs="仿宋"/>
          <w:b/>
          <w:color w:val="000000" w:themeColor="text1"/>
          <w:spacing w:val="40"/>
          <w:sz w:val="30"/>
          <w:szCs w:val="30"/>
          <w:highlight w:val="none"/>
          <w14:textFill>
            <w14:solidFill>
              <w14:schemeClr w14:val="tx1"/>
            </w14:solidFill>
          </w14:textFill>
        </w:rPr>
        <w:t>年</w:t>
      </w:r>
      <w:r>
        <w:rPr>
          <w:rFonts w:hint="eastAsia" w:ascii="仿宋" w:hAnsi="仿宋" w:eastAsia="仿宋" w:cs="仿宋"/>
          <w:b/>
          <w:color w:val="000000" w:themeColor="text1"/>
          <w:spacing w:val="40"/>
          <w:sz w:val="30"/>
          <w:szCs w:val="30"/>
          <w:highlight w:val="none"/>
          <w:lang w:val="en-US" w:eastAsia="zh-CN"/>
          <w14:textFill>
            <w14:solidFill>
              <w14:schemeClr w14:val="tx1"/>
            </w14:solidFill>
          </w14:textFill>
        </w:rPr>
        <w:t>9</w:t>
      </w:r>
      <w:r>
        <w:rPr>
          <w:rFonts w:hint="eastAsia" w:ascii="仿宋" w:hAnsi="仿宋" w:eastAsia="仿宋" w:cs="仿宋"/>
          <w:b/>
          <w:color w:val="000000" w:themeColor="text1"/>
          <w:spacing w:val="40"/>
          <w:sz w:val="30"/>
          <w:szCs w:val="30"/>
          <w:highlight w:val="none"/>
          <w14:textFill>
            <w14:solidFill>
              <w14:schemeClr w14:val="tx1"/>
            </w14:solidFill>
          </w14:textFill>
        </w:rPr>
        <w:t>月</w:t>
      </w:r>
    </w:p>
    <w:p>
      <w:pPr>
        <w:rPr>
          <w:rFonts w:hint="eastAsia" w:ascii="仿宋" w:hAnsi="仿宋" w:eastAsia="仿宋" w:cs="仿宋"/>
          <w:color w:val="000000" w:themeColor="text1"/>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pStyle w:val="14"/>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14"/>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政府采购</w:t>
      </w:r>
      <w:r>
        <w:rPr>
          <w:rFonts w:hint="eastAsia" w:ascii="仿宋" w:hAnsi="仿宋" w:eastAsia="仿宋" w:cs="仿宋"/>
          <w:b/>
          <w:bCs/>
          <w:color w:val="000000" w:themeColor="text1"/>
          <w:sz w:val="24"/>
          <w:highlight w:val="none"/>
          <w14:textFill>
            <w14:solidFill>
              <w14:schemeClr w14:val="tx1"/>
            </w14:solidFill>
          </w14:textFill>
        </w:rPr>
        <w:t>监督管理机构备案登记栏：</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628" w:type="dxa"/>
            <w:noWrap w:val="0"/>
            <w:vAlign w:val="top"/>
          </w:tcPr>
          <w:p>
            <w:pPr>
              <w:jc w:val="center"/>
              <w:rPr>
                <w:rFonts w:hint="eastAsia" w:ascii="仿宋" w:hAnsi="仿宋" w:eastAsia="仿宋" w:cs="仿宋"/>
                <w:color w:val="000000" w:themeColor="text1"/>
                <w:sz w:val="24"/>
                <w:highlight w:val="none"/>
                <w14:textFill>
                  <w14:solidFill>
                    <w14:schemeClr w14:val="tx1"/>
                  </w14:solidFill>
                </w14:textFill>
              </w:rPr>
            </w:pPr>
          </w:p>
          <w:p>
            <w:pPr>
              <w:pStyle w:val="32"/>
              <w:rPr>
                <w:rFonts w:hint="eastAsia" w:ascii="仿宋" w:hAnsi="仿宋" w:eastAsia="仿宋" w:cs="仿宋"/>
                <w:color w:val="000000" w:themeColor="text1"/>
                <w14:textFill>
                  <w14:solidFill>
                    <w14:schemeClr w14:val="tx1"/>
                  </w14:solidFill>
                </w14:textFill>
              </w:rPr>
            </w:pPr>
          </w:p>
          <w:p>
            <w:pPr>
              <w:jc w:val="cente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color w:val="000000" w:themeColor="text1"/>
                <w:sz w:val="24"/>
                <w:highlight w:val="none"/>
                <w14:textFill>
                  <w14:solidFill>
                    <w14:schemeClr w14:val="tx1"/>
                  </w14:solidFill>
                </w14:textFill>
              </w:rPr>
            </w:pPr>
          </w:p>
          <w:p>
            <w:pPr>
              <w:pStyle w:val="32"/>
              <w:ind w:firstLine="540"/>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本招标文件已报备</w:t>
            </w:r>
          </w:p>
          <w:p>
            <w:pPr>
              <w:jc w:val="cente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pStyle w:val="32"/>
              <w:ind w:firstLine="540"/>
              <w:rPr>
                <w:rFonts w:hint="eastAsia" w:ascii="仿宋" w:hAnsi="仿宋" w:eastAsia="仿宋" w:cs="仿宋"/>
                <w:color w:val="000000" w:themeColor="text1"/>
                <w:highlight w:val="none"/>
                <w14:textFill>
                  <w14:solidFill>
                    <w14:schemeClr w14:val="tx1"/>
                  </w14:solidFill>
                </w14:textFill>
              </w:rPr>
            </w:pPr>
          </w:p>
          <w:p>
            <w:pPr>
              <w:pStyle w:val="32"/>
              <w:ind w:firstLine="542"/>
              <w:rPr>
                <w:rFonts w:hint="eastAsia" w:ascii="仿宋" w:hAnsi="仿宋" w:eastAsia="仿宋" w:cs="仿宋"/>
                <w:b/>
                <w:bCs/>
                <w:color w:val="000000" w:themeColor="text1"/>
                <w:highlight w:val="none"/>
                <w14:textFill>
                  <w14:solidFill>
                    <w14:schemeClr w14:val="tx1"/>
                  </w14:solidFill>
                </w14:textFill>
              </w:rPr>
            </w:pPr>
          </w:p>
          <w:p>
            <w:pPr>
              <w:pStyle w:val="32"/>
              <w:ind w:firstLine="542"/>
              <w:rPr>
                <w:rFonts w:hint="eastAsia" w:ascii="仿宋" w:hAnsi="仿宋" w:eastAsia="仿宋" w:cs="仿宋"/>
                <w:b/>
                <w:bCs/>
                <w:color w:val="000000" w:themeColor="text1"/>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pStyle w:val="30"/>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caps w:val="0"/>
                <w:color w:val="000000" w:themeColor="text1"/>
                <w:spacing w:val="0"/>
                <w:sz w:val="24"/>
                <w:szCs w:val="24"/>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项目名称：</w:t>
            </w:r>
            <w:r>
              <w:rPr>
                <w:rFonts w:hint="eastAsia" w:ascii="仿宋" w:hAnsi="仿宋" w:eastAsia="仿宋" w:cs="仿宋"/>
                <w:i w:val="0"/>
                <w:caps w:val="0"/>
                <w:color w:val="000000" w:themeColor="text1"/>
                <w:spacing w:val="0"/>
                <w:sz w:val="24"/>
                <w:szCs w:val="24"/>
                <w:lang w:val="en-US" w:eastAsia="zh-CN"/>
                <w14:textFill>
                  <w14:solidFill>
                    <w14:schemeClr w14:val="tx1"/>
                  </w14:solidFill>
                </w14:textFill>
              </w:rPr>
              <w:t>策勒县残疾人安装及维修假肢项目（二次）</w:t>
            </w:r>
          </w:p>
          <w:p>
            <w:pPr>
              <w:rPr>
                <w:rFonts w:hint="eastAsia" w:ascii="仿宋" w:hAnsi="仿宋" w:eastAsia="仿宋" w:cs="仿宋"/>
                <w:b/>
                <w:bCs/>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lang w:eastAsia="zh-CN"/>
                <w14:textFill>
                  <w14:solidFill>
                    <w14:schemeClr w14:val="tx1"/>
                  </w14:solidFill>
                </w14:textFill>
              </w:rPr>
            </w:pPr>
          </w:p>
        </w:tc>
      </w:tr>
    </w:tbl>
    <w:p>
      <w:pPr>
        <w:spacing w:line="360" w:lineRule="auto"/>
        <w:jc w:val="right"/>
        <w:rPr>
          <w:rFonts w:hint="eastAsia" w:ascii="仿宋" w:hAnsi="仿宋" w:eastAsia="仿宋" w:cs="仿宋"/>
          <w:b/>
          <w:bCs/>
          <w:color w:val="000000" w:themeColor="text1"/>
          <w:sz w:val="24"/>
          <w:highlight w:val="none"/>
          <w:lang w:eastAsia="zh-CN"/>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策勒县</w:t>
      </w:r>
      <w:r>
        <w:rPr>
          <w:rFonts w:hint="eastAsia" w:ascii="仿宋" w:hAnsi="仿宋" w:eastAsia="仿宋" w:cs="仿宋"/>
          <w:b/>
          <w:bCs/>
          <w:color w:val="000000" w:themeColor="text1"/>
          <w:sz w:val="24"/>
          <w:highlight w:val="none"/>
          <w14:textFill>
            <w14:solidFill>
              <w14:schemeClr w14:val="tx1"/>
            </w14:solidFill>
          </w14:textFill>
        </w:rPr>
        <w:t>政府采购管理办公室</w:t>
      </w: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目   录</w:t>
      </w:r>
    </w:p>
    <w:p>
      <w:pPr>
        <w:spacing w:line="360" w:lineRule="auto"/>
        <w:rPr>
          <w:rFonts w:hint="eastAsia" w:ascii="仿宋" w:hAnsi="仿宋" w:eastAsia="仿宋" w:cs="仿宋"/>
          <w:b/>
          <w:color w:val="000000" w:themeColor="text1"/>
          <w:sz w:val="44"/>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第一部分:磋商邀请函………………………………………………1-1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第二部分:磋商须知…………………………………………………2-1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第三部分:用户需求书………………………………………………3-1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第四部分:合同条款…………………………………………………4-1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sectPr>
          <w:headerReference r:id="rId3" w:type="default"/>
          <w:pgSz w:w="11906" w:h="16838"/>
          <w:pgMar w:top="1440" w:right="1588" w:bottom="1440" w:left="1588" w:header="851" w:footer="992" w:gutter="0"/>
          <w:cols w:space="720" w:num="1"/>
          <w:docGrid w:type="lines" w:linePitch="312" w:charSpace="0"/>
        </w:sectPr>
      </w:pPr>
      <w:r>
        <w:rPr>
          <w:rFonts w:hint="eastAsia" w:ascii="仿宋" w:hAnsi="仿宋" w:eastAsia="仿宋" w:cs="仿宋"/>
          <w:color w:val="000000" w:themeColor="text1"/>
          <w:sz w:val="30"/>
          <w:szCs w:val="30"/>
          <w:highlight w:val="none"/>
          <w14:textFill>
            <w14:solidFill>
              <w14:schemeClr w14:val="tx1"/>
            </w14:solidFill>
          </w14:textFill>
        </w:rPr>
        <w:t>第五部分:响应文件格式……………………………………………5-1</w:t>
      </w: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第一部分</w:t>
      </w: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磋 商 邀 请 函</w:t>
      </w: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p>
    <w:p>
      <w:pPr>
        <w:spacing w:line="480" w:lineRule="exact"/>
        <w:jc w:val="center"/>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p>
      <w:pPr>
        <w:tabs>
          <w:tab w:val="left" w:pos="1665"/>
        </w:tabs>
        <w:spacing w:line="360" w:lineRule="auto"/>
        <w:rPr>
          <w:rFonts w:hint="eastAsia" w:ascii="仿宋" w:hAnsi="仿宋" w:eastAsia="仿宋" w:cs="仿宋"/>
          <w:color w:val="000000" w:themeColor="text1"/>
          <w:sz w:val="24"/>
          <w:highlight w:val="none"/>
          <w14:textFill>
            <w14:solidFill>
              <w14:schemeClr w14:val="tx1"/>
            </w14:solidFill>
          </w14:textFill>
        </w:rPr>
      </w:pPr>
    </w:p>
    <w:p>
      <w:pPr>
        <w:pStyle w:val="3"/>
        <w:keepNext w:val="0"/>
        <w:keepLines w:val="0"/>
        <w:widowControl/>
        <w:suppressLineNumbers w:val="0"/>
        <w:spacing w:line="360" w:lineRule="atLeast"/>
        <w:jc w:val="center"/>
        <w:rPr>
          <w:rFonts w:hint="eastAsia" w:ascii="仿宋" w:hAnsi="仿宋" w:eastAsia="仿宋" w:cs="仿宋"/>
          <w:color w:val="000000" w:themeColor="text1"/>
          <w:sz w:val="28"/>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pPr>
        <w:pStyle w:val="30"/>
        <w:spacing w:before="50" w:beforeAutospacing="0" w:after="50" w:afterAutospacing="0"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28"/>
          <w:highlight w:val="non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项目概况</w:t>
      </w:r>
    </w:p>
    <w:p>
      <w:pPr>
        <w:pStyle w:val="30"/>
        <w:spacing w:before="50" w:beforeAutospacing="0" w:after="50" w:afterAutospacing="0" w:line="360" w:lineRule="auto"/>
        <w:ind w:firstLine="48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u w:val="single"/>
          <w:lang w:eastAsia="zh-CN"/>
          <w14:textFill>
            <w14:solidFill>
              <w14:schemeClr w14:val="tx1"/>
            </w14:solidFill>
          </w14:textFill>
        </w:rPr>
        <w:t>策勒县残疾人安装及维修假肢项目（二次）</w:t>
      </w:r>
      <w:r>
        <w:rPr>
          <w:rFonts w:hint="eastAsia" w:ascii="仿宋" w:hAnsi="仿宋" w:eastAsia="仿宋" w:cs="仿宋"/>
          <w:color w:val="000000" w:themeColor="text1"/>
          <w:highlight w:val="none"/>
          <w14:textFill>
            <w14:solidFill>
              <w14:schemeClr w14:val="tx1"/>
            </w14:solidFill>
          </w14:textFill>
        </w:rPr>
        <w:t>的潜在投标人应在新疆政府采购网获取招标文件，并于</w:t>
      </w:r>
      <w:r>
        <w:rPr>
          <w:rFonts w:hint="eastAsia" w:ascii="仿宋" w:hAnsi="仿宋" w:eastAsia="仿宋" w:cs="仿宋"/>
          <w:color w:val="000000" w:themeColor="text1"/>
          <w:highlight w:val="none"/>
          <w:u w:val="single"/>
          <w14:textFill>
            <w14:solidFill>
              <w14:schemeClr w14:val="tx1"/>
            </w14:solidFill>
          </w14:textFill>
        </w:rPr>
        <w:t>2021年</w:t>
      </w:r>
      <w:r>
        <w:rPr>
          <w:rFonts w:hint="eastAsia" w:ascii="仿宋" w:hAnsi="仿宋" w:eastAsia="仿宋" w:cs="仿宋"/>
          <w:color w:val="000000" w:themeColor="text1"/>
          <w:highlight w:val="none"/>
          <w:u w:val="single"/>
          <w:lang w:val="en-US" w:eastAsia="zh-CN"/>
          <w14:textFill>
            <w14:solidFill>
              <w14:schemeClr w14:val="tx1"/>
            </w14:solidFill>
          </w14:textFill>
        </w:rPr>
        <w:t>10月14日</w:t>
      </w:r>
      <w:r>
        <w:rPr>
          <w:rFonts w:hint="eastAsia" w:ascii="仿宋" w:hAnsi="仿宋" w:eastAsia="仿宋" w:cs="仿宋"/>
          <w:color w:val="000000" w:themeColor="text1"/>
          <w:highlight w:val="none"/>
          <w:u w:val="single"/>
          <w14:textFill>
            <w14:solidFill>
              <w14:schemeClr w14:val="tx1"/>
            </w14:solidFill>
          </w14:textFill>
        </w:rPr>
        <w:t xml:space="preserve"> 11:00</w:t>
      </w:r>
      <w:r>
        <w:rPr>
          <w:rFonts w:hint="eastAsia" w:ascii="仿宋" w:hAnsi="仿宋" w:eastAsia="仿宋" w:cs="仿宋"/>
          <w:color w:val="000000" w:themeColor="text1"/>
          <w:highlight w:val="none"/>
          <w14:textFill>
            <w14:solidFill>
              <w14:schemeClr w14:val="tx1"/>
            </w14:solidFill>
          </w14:textFill>
        </w:rPr>
        <w:t>（北京时间）前递交投标文件。</w:t>
      </w:r>
    </w:p>
    <w:p>
      <w:pPr>
        <w:pStyle w:val="30"/>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7"/>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一、</w:t>
      </w:r>
      <w:r>
        <w:rPr>
          <w:rStyle w:val="37"/>
          <w:rFonts w:hint="eastAsia" w:ascii="仿宋" w:hAnsi="仿宋" w:eastAsia="仿宋" w:cs="仿宋"/>
          <w:i w:val="0"/>
          <w:iCs w:val="0"/>
          <w:caps w:val="0"/>
          <w:color w:val="000000" w:themeColor="text1"/>
          <w:spacing w:val="0"/>
          <w:sz w:val="24"/>
          <w:szCs w:val="24"/>
          <w14:textFill>
            <w14:solidFill>
              <w14:schemeClr w14:val="tx1"/>
            </w14:solidFill>
          </w14:textFill>
        </w:rPr>
        <w:t>项目基本情况</w:t>
      </w:r>
    </w:p>
    <w:p>
      <w:pPr>
        <w:pStyle w:val="30"/>
        <w:spacing w:before="50" w:beforeAutospacing="0" w:after="50" w:afterAutospacing="0" w:line="360" w:lineRule="auto"/>
        <w:ind w:firstLine="420"/>
        <w:rPr>
          <w:rFonts w:hint="eastAsia" w:ascii="仿宋" w:hAnsi="仿宋" w:eastAsia="仿宋" w:cs="仿宋"/>
          <w:color w:val="000000" w:themeColor="text1"/>
          <w:highlight w:val="none"/>
          <w:u w:val="singl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项目编号</w:t>
      </w:r>
      <w:r>
        <w:rPr>
          <w:rFonts w:hint="eastAsia" w:ascii="仿宋" w:hAnsi="仿宋" w:eastAsia="仿宋" w:cs="仿宋"/>
          <w:color w:val="000000" w:themeColor="text1"/>
          <w:highlight w:val="none"/>
          <w:u w:val="single"/>
          <w14:textFill>
            <w14:solidFill>
              <w14:schemeClr w14:val="tx1"/>
            </w14:solidFill>
          </w14:textFill>
        </w:rPr>
        <w:t>：</w:t>
      </w:r>
      <w:r>
        <w:rPr>
          <w:rFonts w:hint="eastAsia" w:ascii="仿宋" w:hAnsi="仿宋" w:eastAsia="仿宋" w:cs="仿宋"/>
          <w:color w:val="000000" w:themeColor="text1"/>
          <w:highlight w:val="none"/>
          <w:u w:val="single"/>
          <w:lang w:val="en-US" w:eastAsia="zh-CN"/>
          <w14:textFill>
            <w14:solidFill>
              <w14:schemeClr w14:val="tx1"/>
            </w14:solidFill>
          </w14:textFill>
        </w:rPr>
        <w:t>2021-clx- 071号</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r>
        <w:rPr>
          <w:rFonts w:hint="eastAsia" w:ascii="仿宋" w:hAnsi="仿宋" w:eastAsia="仿宋" w:cs="仿宋"/>
          <w:color w:val="000000" w:themeColor="text1"/>
          <w:highlight w:val="none"/>
          <w:u w:val="single"/>
          <w:lang w:eastAsia="zh-CN"/>
          <w14:textFill>
            <w14:solidFill>
              <w14:schemeClr w14:val="tx1"/>
            </w14:solidFill>
          </w14:textFill>
        </w:rPr>
        <w:t>策勒县残疾人安装及维修假肢项目（二次）</w:t>
      </w:r>
      <w:r>
        <w:rPr>
          <w:rFonts w:hint="eastAsia" w:ascii="仿宋" w:hAnsi="仿宋" w:eastAsia="仿宋" w:cs="仿宋"/>
          <w:color w:val="000000" w:themeColor="text1"/>
          <w:highlight w:val="none"/>
          <w14:textFill>
            <w14:solidFill>
              <w14:schemeClr w14:val="tx1"/>
            </w14:solidFill>
          </w14:textFill>
        </w:rPr>
        <w:t>采购方式：</w:t>
      </w:r>
      <w:r>
        <w:rPr>
          <w:rFonts w:hint="eastAsia" w:ascii="仿宋" w:hAnsi="仿宋" w:eastAsia="仿宋" w:cs="仿宋"/>
          <w:color w:val="000000" w:themeColor="text1"/>
          <w:highlight w:val="none"/>
          <w:lang w:eastAsia="zh-CN"/>
          <w14:textFill>
            <w14:solidFill>
              <w14:schemeClr w14:val="tx1"/>
            </w14:solidFill>
          </w14:textFill>
        </w:rPr>
        <w:t>竞争性磋商</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标项1：预算金额（元）：</w:t>
      </w:r>
      <w:r>
        <w:rPr>
          <w:rFonts w:hint="eastAsia" w:ascii="仿宋" w:hAnsi="仿宋" w:eastAsia="仿宋" w:cs="仿宋"/>
          <w:color w:val="000000" w:themeColor="text1"/>
          <w:highlight w:val="none"/>
          <w:lang w:val="en-US" w:eastAsia="zh-CN"/>
          <w14:textFill>
            <w14:solidFill>
              <w14:schemeClr w14:val="tx1"/>
            </w14:solidFill>
          </w14:textFill>
        </w:rPr>
        <w:t>1180000.00</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最高限价（元）：</w:t>
      </w:r>
      <w:r>
        <w:rPr>
          <w:rFonts w:hint="eastAsia" w:ascii="仿宋" w:hAnsi="仿宋" w:eastAsia="仿宋" w:cs="仿宋"/>
          <w:color w:val="000000" w:themeColor="text1"/>
          <w:highlight w:val="none"/>
          <w:lang w:val="en-US" w:eastAsia="zh-CN"/>
          <w14:textFill>
            <w14:solidFill>
              <w14:schemeClr w14:val="tx1"/>
            </w14:solidFill>
          </w14:textFill>
        </w:rPr>
        <w:t>1180000.00</w:t>
      </w:r>
    </w:p>
    <w:p>
      <w:pPr>
        <w:pStyle w:val="4"/>
        <w:keepNext w:val="0"/>
        <w:pageBreakBefore w:val="0"/>
        <w:numPr>
          <w:ilvl w:val="0"/>
          <w:numId w:val="0"/>
        </w:numPr>
        <w:kinsoku/>
        <w:wordWrap/>
        <w:overflowPunct/>
        <w:topLinePunct w:val="0"/>
        <w:autoSpaceDE/>
        <w:autoSpaceDN/>
        <w:bidi w:val="0"/>
        <w:adjustRightInd/>
        <w:snapToGrid/>
        <w:spacing w:beforeLines="0" w:afterLines="0" w:line="360" w:lineRule="auto"/>
        <w:ind w:right="0" w:rightChars="0" w:firstLine="480" w:firstLineChars="200"/>
        <w:textAlignment w:val="auto"/>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采购需求：策勒县残疾人新装假肢23人，其中大腿15个，小腿7个，右臂一个，完成康复训练，质保5年。同时对策勒县残疾人</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约30人</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已安装的假肢进维修、修复、保养等服务</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确保假肢正常使用，服务期5年</w:t>
      </w:r>
      <w:r>
        <w:rPr>
          <w:rFonts w:hint="eastAsia" w:ascii="仿宋" w:hAnsi="仿宋" w:eastAsia="仿宋" w:cs="仿宋"/>
          <w:b w:val="0"/>
          <w:bCs w:val="0"/>
          <w:color w:val="000000" w:themeColor="text1"/>
          <w:highlight w:val="none"/>
          <w14:textFill>
            <w14:solidFill>
              <w14:schemeClr w14:val="tx1"/>
            </w14:solidFill>
          </w14:textFill>
        </w:rPr>
        <w:t>。</w:t>
      </w:r>
    </w:p>
    <w:p>
      <w:pPr>
        <w:pStyle w:val="4"/>
        <w:keepNext w:val="0"/>
        <w:pageBreakBefore w:val="0"/>
        <w:numPr>
          <w:ilvl w:val="0"/>
          <w:numId w:val="0"/>
        </w:numPr>
        <w:kinsoku/>
        <w:wordWrap/>
        <w:overflowPunct/>
        <w:topLinePunct w:val="0"/>
        <w:autoSpaceDE/>
        <w:autoSpaceDN/>
        <w:bidi w:val="0"/>
        <w:adjustRightInd/>
        <w:snapToGrid/>
        <w:spacing w:beforeLines="0" w:afterLines="0" w:line="360" w:lineRule="auto"/>
        <w:ind w:right="0" w:rightChars="0" w:firstLine="480" w:firstLineChars="200"/>
        <w:textAlignment w:val="auto"/>
        <w:rPr>
          <w:rFonts w:hint="eastAsia" w:ascii="仿宋" w:hAnsi="仿宋" w:eastAsia="仿宋" w:cs="仿宋"/>
          <w:b w:val="0"/>
          <w:bCs w:val="0"/>
          <w:color w:val="000000" w:themeColor="text1"/>
          <w:lang w:val="en-US" w:eastAsia="zh-CN"/>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要求提供“一对一”服务，了解残疾人的实际需要，征求残疾人的建议，经过筛查评估整理，形成服务方案。中标供应商需安排专业技术人员按采购人要求深入基层，到采购人指定地点进行现场评估工作，并做好相关记录；对于</w:t>
      </w:r>
      <w:r>
        <w:rPr>
          <w:rFonts w:hint="eastAsia" w:ascii="仿宋" w:hAnsi="仿宋" w:eastAsia="仿宋" w:cs="仿宋"/>
          <w:b w:val="0"/>
          <w:bCs w:val="0"/>
          <w:color w:val="000000" w:themeColor="text1"/>
          <w:highlight w:val="none"/>
          <w:lang w:eastAsia="zh-CN"/>
          <w14:textFill>
            <w14:solidFill>
              <w14:schemeClr w14:val="tx1"/>
            </w14:solidFill>
          </w14:textFill>
        </w:rPr>
        <w:t>假肢</w:t>
      </w:r>
      <w:r>
        <w:rPr>
          <w:rFonts w:hint="eastAsia" w:ascii="仿宋" w:hAnsi="仿宋" w:eastAsia="仿宋" w:cs="仿宋"/>
          <w:b w:val="0"/>
          <w:bCs w:val="0"/>
          <w:color w:val="000000" w:themeColor="text1"/>
          <w:highlight w:val="none"/>
          <w14:textFill>
            <w14:solidFill>
              <w14:schemeClr w14:val="tx1"/>
            </w14:solidFill>
          </w14:textFill>
        </w:rPr>
        <w:t>装配后，中标供应商安排专业康复人员指导残疾人进行康复训练，装配完成后中标供应商需定期或不定期做回访，以便及时了解残疾人员的穿戴情况，提供后续跟踪服务。中标供应商所装配的</w:t>
      </w:r>
      <w:r>
        <w:rPr>
          <w:rFonts w:hint="eastAsia" w:ascii="仿宋" w:hAnsi="仿宋" w:eastAsia="仿宋" w:cs="仿宋"/>
          <w:b w:val="0"/>
          <w:bCs w:val="0"/>
          <w:color w:val="000000" w:themeColor="text1"/>
          <w:highlight w:val="none"/>
          <w:lang w:eastAsia="zh-CN"/>
          <w14:textFill>
            <w14:solidFill>
              <w14:schemeClr w14:val="tx1"/>
            </w14:solidFill>
          </w14:textFill>
        </w:rPr>
        <w:t>假肢</w:t>
      </w:r>
      <w:r>
        <w:rPr>
          <w:rFonts w:hint="eastAsia" w:ascii="仿宋" w:hAnsi="仿宋" w:eastAsia="仿宋" w:cs="仿宋"/>
          <w:b w:val="0"/>
          <w:bCs w:val="0"/>
          <w:color w:val="000000" w:themeColor="text1"/>
          <w:highlight w:val="none"/>
          <w14:textFill>
            <w14:solidFill>
              <w14:schemeClr w14:val="tx1"/>
            </w14:solidFill>
          </w14:textFill>
        </w:rPr>
        <w:t>保修期</w:t>
      </w:r>
      <w:r>
        <w:rPr>
          <w:rFonts w:hint="eastAsia" w:ascii="仿宋" w:hAnsi="仿宋" w:eastAsia="仿宋" w:cs="仿宋"/>
          <w:b w:val="0"/>
          <w:bCs w:val="0"/>
          <w:color w:val="000000" w:themeColor="text1"/>
          <w:highlight w:val="none"/>
          <w:lang w:val="en-US" w:eastAsia="zh-CN"/>
          <w14:textFill>
            <w14:solidFill>
              <w14:schemeClr w14:val="tx1"/>
            </w14:solidFill>
          </w14:textFill>
        </w:rPr>
        <w:t>5</w:t>
      </w:r>
      <w:r>
        <w:rPr>
          <w:rFonts w:hint="eastAsia" w:ascii="仿宋" w:hAnsi="仿宋" w:eastAsia="仿宋" w:cs="仿宋"/>
          <w:b w:val="0"/>
          <w:bCs w:val="0"/>
          <w:color w:val="000000" w:themeColor="text1"/>
          <w:highlight w:val="none"/>
          <w14:textFill>
            <w14:solidFill>
              <w14:schemeClr w14:val="tx1"/>
            </w14:solidFill>
          </w14:textFill>
        </w:rPr>
        <w:t>年或以上，凡属</w:t>
      </w:r>
      <w:r>
        <w:rPr>
          <w:rFonts w:hint="eastAsia" w:ascii="仿宋" w:hAnsi="仿宋" w:eastAsia="仿宋" w:cs="仿宋"/>
          <w:b w:val="0"/>
          <w:bCs w:val="0"/>
          <w:color w:val="000000" w:themeColor="text1"/>
          <w:highlight w:val="none"/>
          <w:lang w:eastAsia="zh-CN"/>
          <w14:textFill>
            <w14:solidFill>
              <w14:schemeClr w14:val="tx1"/>
            </w14:solidFill>
          </w14:textFill>
        </w:rPr>
        <w:t>假肢</w:t>
      </w:r>
      <w:r>
        <w:rPr>
          <w:rFonts w:hint="eastAsia" w:ascii="仿宋" w:hAnsi="仿宋" w:eastAsia="仿宋" w:cs="仿宋"/>
          <w:b w:val="0"/>
          <w:bCs w:val="0"/>
          <w:color w:val="000000" w:themeColor="text1"/>
          <w:highlight w:val="none"/>
          <w14:textFill>
            <w14:solidFill>
              <w14:schemeClr w14:val="tx1"/>
            </w14:solidFill>
          </w14:textFill>
        </w:rPr>
        <w:t>质量、制作问题，在保修期内的，中标供应商需进行免费维修或更换；服务机构需具备在省市范围内维修、适配的服务网点，方便为残疾人异地装配服务。</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合同履约期限：5年。</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本项目不接受联合体投标。</w:t>
      </w:r>
    </w:p>
    <w:p>
      <w:pPr>
        <w:pStyle w:val="30"/>
        <w:numPr>
          <w:ilvl w:val="0"/>
          <w:numId w:val="2"/>
        </w:numPr>
        <w:spacing w:before="50" w:beforeAutospacing="0" w:after="50" w:afterAutospacing="0" w:line="360" w:lineRule="auto"/>
        <w:rPr>
          <w:rStyle w:val="37"/>
          <w:rFonts w:hint="eastAsia" w:ascii="仿宋" w:hAnsi="仿宋" w:eastAsia="仿宋" w:cs="仿宋"/>
          <w:color w:val="000000" w:themeColor="text1"/>
          <w:highlight w:val="none"/>
          <w14:textFill>
            <w14:solidFill>
              <w14:schemeClr w14:val="tx1"/>
            </w14:solidFill>
          </w14:textFill>
        </w:rPr>
      </w:pPr>
      <w:r>
        <w:rPr>
          <w:rStyle w:val="37"/>
          <w:rFonts w:hint="eastAsia" w:ascii="仿宋" w:hAnsi="仿宋" w:eastAsia="仿宋" w:cs="仿宋"/>
          <w:color w:val="000000" w:themeColor="text1"/>
          <w:highlight w:val="none"/>
          <w14:textFill>
            <w14:solidFill>
              <w14:schemeClr w14:val="tx1"/>
            </w14:solidFill>
          </w14:textFill>
        </w:rPr>
        <w:t>申请人的资格要求：</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1.满足《中华人民共和国政府采购法》第二十二条规定；</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1）提供在中华人民共和国境内注册的法人或其他组织的营业执照或事业单位法人证书或社会团体法人登记证书复印件，如投标人为自然人的提供自然人身份证明复印件；如国家另有规定的，则从其规定。</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2）提供 2019 年度或 2020年度经审计的《财务审计报告书》复印件，或银行出具的资信证明材料复印件；</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lang w:eastAsia="zh-CN"/>
          <w14:textFill>
            <w14:solidFill>
              <w14:schemeClr w14:val="tx1"/>
            </w14:solidFill>
          </w14:textFill>
        </w:rPr>
        <w:t>提供近段时间内（近 3 个月或以上）的缴纳税收的完税证明或依法税务申报资料；</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4）提供近段时间内（近 3 个月或以上）的缴纳社保证明材料加盖公章。如依法不需要缴纳社会保障资金的，应提供相应文件证明；</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5）提供履行合同所必需的设备和专业技术能力的书面声明；（提供《投标人资格声明函》）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6）提供参加政府采购活动前3年内在经营活动中没有重大违法记录的书面声明；（提供《投标人资格声明函》）。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2.落实政府采购政策需满足的资格要求：</w:t>
      </w:r>
    </w:p>
    <w:p>
      <w:pPr>
        <w:pStyle w:val="30"/>
        <w:spacing w:before="50" w:beforeAutospacing="0" w:after="50" w:afterAutospacing="0"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需要落实的政策要求：《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 </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3.本项目的特定资格要求：</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）为采购项目提供整体设计、规范编制或者项目管理、监理、检测等服务的供应商，不得再参加该采购项目同一合同项下的其他采购活动。（提供《投标人资格声明函》）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三、获取招标文件</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获取文件时间：2021年</w:t>
      </w:r>
      <w:r>
        <w:rPr>
          <w:rFonts w:hint="eastAsia" w:ascii="仿宋" w:hAnsi="仿宋" w:eastAsia="仿宋" w:cs="仿宋"/>
          <w:color w:val="000000" w:themeColor="text1"/>
          <w:highlight w:val="none"/>
          <w:lang w:val="en-US" w:eastAsia="zh-CN"/>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30</w:t>
      </w:r>
      <w:r>
        <w:rPr>
          <w:rFonts w:hint="eastAsia" w:ascii="仿宋" w:hAnsi="仿宋" w:eastAsia="仿宋" w:cs="仿宋"/>
          <w:color w:val="000000" w:themeColor="text1"/>
          <w:highlight w:val="none"/>
          <w14:textFill>
            <w14:solidFill>
              <w14:schemeClr w14:val="tx1"/>
            </w14:solidFill>
          </w14:textFill>
        </w:rPr>
        <w:t>日至2021年</w:t>
      </w:r>
      <w:r>
        <w:rPr>
          <w:rFonts w:hint="eastAsia" w:ascii="仿宋" w:hAnsi="仿宋" w:eastAsia="仿宋" w:cs="仿宋"/>
          <w:color w:val="000000" w:themeColor="text1"/>
          <w:highlight w:val="none"/>
          <w:lang w:val="en-US" w:eastAsia="zh-CN"/>
          <w14:textFill>
            <w14:solidFill>
              <w14:schemeClr w14:val="tx1"/>
            </w14:solidFill>
          </w14:textFill>
        </w:rPr>
        <w:t>10</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lang w:val="en-US" w:eastAsia="zh-CN"/>
          <w14:textFill>
            <w14:solidFill>
              <w14:schemeClr w14:val="tx1"/>
            </w14:solidFill>
          </w14:textFill>
        </w:rPr>
        <w:t>13</w:t>
      </w:r>
      <w:r>
        <w:rPr>
          <w:rFonts w:hint="eastAsia" w:ascii="仿宋" w:hAnsi="仿宋" w:eastAsia="仿宋" w:cs="仿宋"/>
          <w:color w:val="000000" w:themeColor="text1"/>
          <w:highlight w:val="none"/>
          <w14:textFill>
            <w14:solidFill>
              <w14:schemeClr w14:val="tx1"/>
            </w14:solidFill>
          </w14:textFill>
        </w:rPr>
        <w:t>日（提供期限自本公告发布之日起不得少于5个工作日），每天上午10：00至14:00，下午16:00至19:30（北京时间，法定节假日除外）</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地点：新疆政府采购网</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方式：投标企业自行登录新疆政府采购网官网（http://www.ccgp-xinjiang.gov.cn/),首页点击“采购公告”，进入项目公告中自行下载招标文件，附件处下载《策勒县政府采购报名表》；并将《策勒县政府采购报名表》及相关报名材料如实填写后加盖鲜红公章以PDF格式制成压缩包形式发送至504152186@qq.com邮箱，逾期发送的将拒绝投标，联系人及联系电话：阿米娜18999653758。</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售价（元）：</w:t>
      </w:r>
      <w:r>
        <w:rPr>
          <w:rFonts w:hint="eastAsia" w:ascii="仿宋" w:hAnsi="仿宋" w:eastAsia="仿宋" w:cs="仿宋"/>
          <w:color w:val="000000" w:themeColor="text1"/>
          <w:highlight w:val="none"/>
          <w:lang w:val="en-US" w:eastAsia="zh-CN"/>
          <w14:textFill>
            <w14:solidFill>
              <w14:schemeClr w14:val="tx1"/>
            </w14:solidFill>
          </w14:textFill>
        </w:rPr>
        <w:t xml:space="preserve"> 0元</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获取文件时提供：营业执照扫描件加盖投标人公章，授权委托书加盖投标人公章</w:t>
      </w:r>
    </w:p>
    <w:p>
      <w:pPr>
        <w:pStyle w:val="30"/>
        <w:spacing w:before="170" w:beforeAutospacing="0" w:after="170" w:afterAutospacing="0" w:line="360" w:lineRule="auto"/>
        <w:jc w:val="both"/>
        <w:rPr>
          <w:rFonts w:hint="eastAsia" w:ascii="仿宋" w:hAnsi="仿宋" w:eastAsia="仿宋" w:cs="仿宋"/>
          <w:color w:val="000000" w:themeColor="text1"/>
          <w:highlight w:val="none"/>
          <w14:textFill>
            <w14:solidFill>
              <w14:schemeClr w14:val="tx1"/>
            </w14:solidFill>
          </w14:textFill>
        </w:rPr>
      </w:pPr>
      <w:r>
        <w:rPr>
          <w:rStyle w:val="37"/>
          <w:rFonts w:hint="eastAsia" w:ascii="仿宋" w:hAnsi="仿宋" w:eastAsia="仿宋" w:cs="仿宋"/>
          <w:color w:val="000000" w:themeColor="text1"/>
          <w:highlight w:val="none"/>
          <w14:textFill>
            <w14:solidFill>
              <w14:schemeClr w14:val="tx1"/>
            </w14:solidFill>
          </w14:textFill>
        </w:rPr>
        <w:t>四、提交投标文件截止时间、开标时间和地点</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提交投标文件截止时间：2021年</w:t>
      </w:r>
      <w:r>
        <w:rPr>
          <w:rFonts w:hint="eastAsia" w:ascii="仿宋" w:hAnsi="仿宋" w:eastAsia="仿宋" w:cs="仿宋"/>
          <w:color w:val="000000" w:themeColor="text1"/>
          <w:highlight w:val="none"/>
          <w:lang w:val="en-US" w:eastAsia="zh-CN"/>
          <w14:textFill>
            <w14:solidFill>
              <w14:schemeClr w14:val="tx1"/>
            </w14:solidFill>
          </w14:textFill>
        </w:rPr>
        <w:t>10月14日</w:t>
      </w:r>
      <w:r>
        <w:rPr>
          <w:rFonts w:hint="eastAsia" w:ascii="仿宋" w:hAnsi="仿宋" w:eastAsia="仿宋" w:cs="仿宋"/>
          <w:color w:val="000000" w:themeColor="text1"/>
          <w:highlight w:val="none"/>
          <w14:textFill>
            <w14:solidFill>
              <w14:schemeClr w14:val="tx1"/>
            </w14:solidFill>
          </w14:textFill>
        </w:rPr>
        <w:t xml:space="preserve"> 11:00（北京时间）</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投标地点：策勒县政务服务与公共资源交易中心（策勒县石榴花社区经五路21号）</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开标时间：2021年</w:t>
      </w:r>
      <w:r>
        <w:rPr>
          <w:rFonts w:hint="eastAsia" w:ascii="仿宋" w:hAnsi="仿宋" w:eastAsia="仿宋" w:cs="仿宋"/>
          <w:color w:val="000000" w:themeColor="text1"/>
          <w:highlight w:val="none"/>
          <w:lang w:val="en-US" w:eastAsia="zh-CN"/>
          <w14:textFill>
            <w14:solidFill>
              <w14:schemeClr w14:val="tx1"/>
            </w14:solidFill>
          </w14:textFill>
        </w:rPr>
        <w:t>10月14日</w:t>
      </w:r>
      <w:r>
        <w:rPr>
          <w:rFonts w:hint="eastAsia" w:ascii="仿宋" w:hAnsi="仿宋" w:eastAsia="仿宋" w:cs="仿宋"/>
          <w:color w:val="000000" w:themeColor="text1"/>
          <w:highlight w:val="none"/>
          <w14:textFill>
            <w14:solidFill>
              <w14:schemeClr w14:val="tx1"/>
            </w14:solidFill>
          </w14:textFill>
        </w:rPr>
        <w:t xml:space="preserve"> 11:00（北京时间）</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开标地点：策勒县政务服务与公共资源交易中心（策勒县石榴花社区经五路21号）</w:t>
      </w:r>
    </w:p>
    <w:p>
      <w:pPr>
        <w:pStyle w:val="30"/>
        <w:spacing w:before="170" w:beforeAutospacing="0" w:after="170" w:afterAutospacing="0" w:line="360" w:lineRule="auto"/>
        <w:jc w:val="both"/>
        <w:rPr>
          <w:rFonts w:hint="eastAsia" w:ascii="仿宋" w:hAnsi="仿宋" w:eastAsia="仿宋" w:cs="仿宋"/>
          <w:color w:val="000000" w:themeColor="text1"/>
          <w:highlight w:val="none"/>
          <w14:textFill>
            <w14:solidFill>
              <w14:schemeClr w14:val="tx1"/>
            </w14:solidFill>
          </w14:textFill>
        </w:rPr>
      </w:pPr>
      <w:r>
        <w:rPr>
          <w:rStyle w:val="37"/>
          <w:rFonts w:hint="eastAsia" w:ascii="仿宋" w:hAnsi="仿宋" w:eastAsia="仿宋" w:cs="仿宋"/>
          <w:color w:val="000000" w:themeColor="text1"/>
          <w:highlight w:val="none"/>
          <w14:textFill>
            <w14:solidFill>
              <w14:schemeClr w14:val="tx1"/>
            </w14:solidFill>
          </w14:textFill>
        </w:rPr>
        <w:t>五、公告期限</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自本公告发布之日起5个工作日。</w:t>
      </w:r>
    </w:p>
    <w:p>
      <w:pPr>
        <w:pStyle w:val="30"/>
        <w:spacing w:before="170" w:beforeAutospacing="0" w:after="170" w:afterAutospacing="0" w:line="360" w:lineRule="auto"/>
        <w:jc w:val="both"/>
        <w:rPr>
          <w:rFonts w:hint="eastAsia" w:ascii="仿宋" w:hAnsi="仿宋" w:eastAsia="仿宋" w:cs="仿宋"/>
          <w:color w:val="000000" w:themeColor="text1"/>
          <w:highlight w:val="none"/>
          <w14:textFill>
            <w14:solidFill>
              <w14:schemeClr w14:val="tx1"/>
            </w14:solidFill>
          </w14:textFill>
        </w:rPr>
      </w:pPr>
      <w:r>
        <w:rPr>
          <w:rStyle w:val="37"/>
          <w:rFonts w:hint="eastAsia" w:ascii="仿宋" w:hAnsi="仿宋" w:eastAsia="仿宋" w:cs="仿宋"/>
          <w:color w:val="000000" w:themeColor="text1"/>
          <w:highlight w:val="none"/>
          <w14:textFill>
            <w14:solidFill>
              <w14:schemeClr w14:val="tx1"/>
            </w14:solidFill>
          </w14:textFill>
        </w:rPr>
        <w:t>六、其他补充事宜</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30"/>
        <w:spacing w:before="170" w:beforeAutospacing="0" w:after="170" w:afterAutospacing="0" w:line="360" w:lineRule="auto"/>
        <w:jc w:val="both"/>
        <w:rPr>
          <w:rFonts w:hint="eastAsia" w:ascii="仿宋" w:hAnsi="仿宋" w:eastAsia="仿宋" w:cs="仿宋"/>
          <w:color w:val="000000" w:themeColor="text1"/>
          <w:highlight w:val="none"/>
          <w14:textFill>
            <w14:solidFill>
              <w14:schemeClr w14:val="tx1"/>
            </w14:solidFill>
          </w14:textFill>
        </w:rPr>
      </w:pPr>
      <w:r>
        <w:rPr>
          <w:rStyle w:val="37"/>
          <w:rFonts w:hint="eastAsia" w:ascii="仿宋" w:hAnsi="仿宋" w:eastAsia="仿宋" w:cs="仿宋"/>
          <w:color w:val="000000" w:themeColor="text1"/>
          <w:highlight w:val="none"/>
          <w14:textFill>
            <w14:solidFill>
              <w14:schemeClr w14:val="tx1"/>
            </w14:solidFill>
          </w14:textFill>
        </w:rPr>
        <w:t>七、对本次采购提出询问，请按以下方式联系</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1.采购人信息</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采购人名称：</w:t>
      </w:r>
      <w:r>
        <w:rPr>
          <w:rFonts w:hint="eastAsia" w:ascii="仿宋" w:hAnsi="仿宋" w:eastAsia="仿宋" w:cs="仿宋"/>
          <w:color w:val="000000" w:themeColor="text1"/>
          <w:highlight w:val="none"/>
          <w:lang w:eastAsia="zh-CN"/>
          <w14:textFill>
            <w14:solidFill>
              <w14:schemeClr w14:val="tx1"/>
            </w14:solidFill>
          </w14:textFill>
        </w:rPr>
        <w:t>策勒县残疾人联合会</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联系人： 阿曼古丽 </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联系电话：13070078322</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2.采购代理机构信息</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名 称：新疆晓君招标有限公司</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 址：新疆和田市阿恰勒西路马热甫</w:t>
      </w:r>
      <w:r>
        <w:rPr>
          <w:rFonts w:hint="eastAsia" w:ascii="仿宋" w:hAnsi="仿宋" w:eastAsia="仿宋" w:cs="仿宋"/>
          <w:color w:val="000000" w:themeColor="text1"/>
          <w:highlight w:val="none"/>
          <w:lang w:eastAsia="zh-CN"/>
          <w14:textFill>
            <w14:solidFill>
              <w14:schemeClr w14:val="tx1"/>
            </w14:solidFill>
          </w14:textFill>
        </w:rPr>
        <w:t>3巷99号</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联系方式：17799150765</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3.项目联系方式</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项目联系人：杨强</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 话：17799150765</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4.同级政府采购监督管理部门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名称：策勒县政府采购办公室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联系人：阿米娜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监督投诉电话：18999653758</w:t>
      </w:r>
    </w:p>
    <w:p>
      <w:pPr>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pStyle w:val="14"/>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14"/>
        <w:rPr>
          <w:rFonts w:hint="eastAsia" w:ascii="仿宋" w:hAnsi="仿宋" w:eastAsia="仿宋" w:cs="仿宋"/>
          <w:color w:val="000000" w:themeColor="text1"/>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第二部分</w:t>
      </w: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pStyle w:val="9"/>
        <w:rPr>
          <w:rFonts w:hint="eastAsia" w:ascii="仿宋" w:hAnsi="仿宋" w:eastAsia="仿宋" w:cs="仿宋"/>
          <w:color w:val="000000" w:themeColor="text1"/>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磋 商 须 知</w:t>
      </w:r>
    </w:p>
    <w:p>
      <w:pPr>
        <w:pStyle w:val="23"/>
        <w:spacing w:line="360" w:lineRule="auto"/>
        <w:jc w:val="center"/>
        <w:rPr>
          <w:rFonts w:hint="eastAsia" w:ascii="仿宋" w:hAnsi="仿宋" w:eastAsia="仿宋" w:cs="仿宋"/>
          <w:color w:val="000000" w:themeColor="text1"/>
          <w:highlight w:val="none"/>
          <w14:textFill>
            <w14:solidFill>
              <w14:schemeClr w14:val="tx1"/>
            </w14:solidFill>
          </w14:textFill>
        </w:rPr>
      </w:pP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0" w:name="_Toc42952414"/>
      <w:r>
        <w:rPr>
          <w:rFonts w:hint="eastAsia" w:ascii="仿宋" w:hAnsi="仿宋" w:eastAsia="仿宋" w:cs="仿宋"/>
          <w:bCs w:val="0"/>
          <w:color w:val="000000" w:themeColor="text1"/>
          <w:kern w:val="2"/>
          <w:sz w:val="32"/>
          <w:szCs w:val="32"/>
          <w:highlight w:val="none"/>
          <w14:textFill>
            <w14:solidFill>
              <w14:schemeClr w14:val="tx1"/>
            </w14:solidFill>
          </w14:textFill>
        </w:rPr>
        <w:t>一、说明</w:t>
      </w:r>
      <w:bookmarkEnd w:id="0"/>
    </w:p>
    <w:p>
      <w:pPr>
        <w:pStyle w:val="4"/>
        <w:numPr>
          <w:ilvl w:val="0"/>
          <w:numId w:val="3"/>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适用范围</w:t>
      </w:r>
    </w:p>
    <w:p>
      <w:pPr>
        <w:pStyle w:val="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本次代理招标采购的货物及相关服务项目，属政府采购项目。</w:t>
      </w:r>
    </w:p>
    <w:p>
      <w:pPr>
        <w:pStyle w:val="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   资金来源：</w:t>
      </w: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r>
        <w:rPr>
          <w:rFonts w:hint="eastAsia" w:ascii="仿宋" w:hAnsi="仿宋" w:eastAsia="仿宋" w:cs="仿宋"/>
          <w:color w:val="000000" w:themeColor="text1"/>
          <w:sz w:val="24"/>
          <w:szCs w:val="24"/>
          <w:highlight w:val="none"/>
          <w14:textFill>
            <w14:solidFill>
              <w14:schemeClr w14:val="tx1"/>
            </w14:solidFill>
          </w14:textFill>
        </w:rPr>
        <w:t>。</w:t>
      </w:r>
    </w:p>
    <w:p>
      <w:pPr>
        <w:pStyle w:val="4"/>
        <w:numPr>
          <w:ilvl w:val="0"/>
          <w:numId w:val="3"/>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定义</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“采购人”指本采购项目的委托人。</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“采购代理机构”指新疆晓君招标有限公司。</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“供应商”指向采购代理机构提交响应文件并参与磋商的法人。</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“成交人” 指经法定程序确定并授予合同的供应商。</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“货物”指供应商按磋商文件的规定，须向采购人提供的一切产品、物品及其它材料等。</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“服务”指供应商提供的货物所需的相关服务以及用户需求书中要求的其它服务。</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磋商文件中规定的“书面形式”包括纸质文件和磋商文件中规定的电子文件。</w:t>
      </w:r>
    </w:p>
    <w:p>
      <w:pPr>
        <w:pStyle w:val="4"/>
        <w:numPr>
          <w:ilvl w:val="0"/>
          <w:numId w:val="3"/>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合格的供应商</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1.满足《中华人民共和国政府采购法》第二十二条规定；</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1）提供在中华人民共和国境内注册的法人或其他组织的营业执照或事业单位法人证书或社会团体法人登记证书复印件，如投标人为自然人的提供自然人身份证明复印件；如国家另有规定的，则从其规定。</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2）提供 2019 年度或 2020年度经审计的《财务审计报告书》复印件，或银行出具的资信证明材料复印件；</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lang w:eastAsia="zh-CN"/>
          <w14:textFill>
            <w14:solidFill>
              <w14:schemeClr w14:val="tx1"/>
            </w14:solidFill>
          </w14:textFill>
        </w:rPr>
        <w:t>提供近段时间内（近 3 个月或以上）的缴纳税收的完税证明或依法税务申报资料；</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4）提供近段时间内（近 3 个月或以上）的缴纳社保证明材料加盖公章。如依法不需要缴纳社会保障资金的，应提供相应文件证明；</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5）提供履行合同所必需的设备和专业技术能力的书面声明；（提供《投标人资格声明函》）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6）提供参加政府采购活动前3年内在经营活动中没有重大违法记录的书面声明；（提供《投标人资格声明函》）。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2.落实政府采购政策需满足的资格要求：</w:t>
      </w:r>
    </w:p>
    <w:p>
      <w:pPr>
        <w:pStyle w:val="30"/>
        <w:spacing w:before="50" w:beforeAutospacing="0" w:after="50" w:afterAutospacing="0"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需要落实的政策要求：《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 </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3.本项目的特定资格要求：</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）为采购项目提供整体设计、规范编制或者项目管理、监理、检测等服务的供应商，不得再参加该采购项目同一合同项下的其他采购活动。（提供《投标人资格声明函》）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注:开标现场携带手持件资料：</w:t>
      </w: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投标人应在开标现场随身手持以下资料，由监督人员进行查验：</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（1）经年审合格的三证合一的营业执照副本原件或复印件加盖公章；</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2）法定代表人投标需携带法定代表人证明书（原件）及法定代表人身份证（原件）；如委托代理人投标需携带法定代表人证明书（原件）和法定代表人授权委托书（原件）及委托代理人身份证（原件），且授权委托书中的授权人应与投标文件中授权委托人一致）；</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（3）投标保证金银行回单；</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（4）同意磋商文件的声明。</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未按要求提供者不得进入后续开标程序。</w:t>
      </w:r>
    </w:p>
    <w:p>
      <w:pPr>
        <w:pStyle w:val="14"/>
        <w:rPr>
          <w:rFonts w:hint="eastAsia" w:ascii="仿宋" w:hAnsi="仿宋" w:eastAsia="仿宋" w:cs="仿宋"/>
          <w:color w:val="000000" w:themeColor="text1"/>
          <w:sz w:val="28"/>
          <w:szCs w:val="28"/>
          <w14:textFill>
            <w14:solidFill>
              <w14:schemeClr w14:val="tx1"/>
            </w14:solidFill>
          </w14:textFill>
        </w:rPr>
      </w:pP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32"/>
          <w:szCs w:val="32"/>
          <w:highlight w:val="none"/>
          <w14:textFill>
            <w14:solidFill>
              <w14:schemeClr w14:val="tx1"/>
            </w14:solidFill>
          </w14:textFill>
        </w:rPr>
      </w:pPr>
      <w:bookmarkStart w:id="1" w:name="_Toc61460073"/>
      <w:r>
        <w:rPr>
          <w:rFonts w:hint="eastAsia" w:ascii="仿宋" w:hAnsi="仿宋" w:eastAsia="仿宋" w:cs="仿宋"/>
          <w:bCs w:val="0"/>
          <w:color w:val="000000" w:themeColor="text1"/>
          <w:kern w:val="2"/>
          <w:sz w:val="32"/>
          <w:szCs w:val="32"/>
          <w:highlight w:val="none"/>
          <w14:textFill>
            <w14:solidFill>
              <w14:schemeClr w14:val="tx1"/>
            </w14:solidFill>
          </w14:textFill>
        </w:rPr>
        <w:t>二、磋商文件</w:t>
      </w:r>
      <w:bookmarkEnd w:id="1"/>
    </w:p>
    <w:p>
      <w:pPr>
        <w:spacing w:before="60" w:line="360" w:lineRule="auto"/>
        <w:ind w:right="420" w:right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     磋商文件的组成</w:t>
      </w:r>
    </w:p>
    <w:p>
      <w:pPr>
        <w:widowControl w:val="0"/>
        <w:tabs>
          <w:tab w:val="left" w:pos="720"/>
          <w:tab w:val="left" w:pos="1438"/>
        </w:tabs>
        <w:spacing w:before="60" w:line="360" w:lineRule="auto"/>
        <w:ind w:left="720" w:right="420" w:rightChars="20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磋商文件包括以下部分：</w:t>
      </w:r>
    </w:p>
    <w:p>
      <w:pPr>
        <w:widowControl w:val="0"/>
        <w:numPr>
          <w:ilvl w:val="0"/>
          <w:numId w:val="4"/>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磋商邀请函；</w:t>
      </w:r>
    </w:p>
    <w:p>
      <w:pPr>
        <w:widowControl w:val="0"/>
        <w:numPr>
          <w:ilvl w:val="0"/>
          <w:numId w:val="4"/>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响应须知；</w:t>
      </w:r>
    </w:p>
    <w:p>
      <w:pPr>
        <w:widowControl w:val="0"/>
        <w:numPr>
          <w:ilvl w:val="0"/>
          <w:numId w:val="4"/>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用户需求书；</w:t>
      </w:r>
    </w:p>
    <w:p>
      <w:pPr>
        <w:widowControl w:val="0"/>
        <w:numPr>
          <w:ilvl w:val="0"/>
          <w:numId w:val="4"/>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合同条款；</w:t>
      </w:r>
    </w:p>
    <w:p>
      <w:pPr>
        <w:widowControl w:val="0"/>
        <w:numPr>
          <w:ilvl w:val="0"/>
          <w:numId w:val="4"/>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响应文件格式。</w:t>
      </w:r>
    </w:p>
    <w:p>
      <w:pP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磋商文件的澄清</w:t>
      </w:r>
    </w:p>
    <w:p>
      <w:pPr>
        <w:widowControl w:val="0"/>
        <w:numPr>
          <w:ilvl w:val="0"/>
          <w:numId w:val="4"/>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负责对磋商文件解释并视情况对本项目中比较复杂的事项进行说明和依法回答供应商提出的疑问及问题。需要澄清和回答的疑问和问题应以书面形式按本文件规定的联系方式和地址送达采购代理机构。采购代理机构将根据具体情况采用其认为适当的方式予以回复, 并在必要时将不标明问题来源的书面答复发给本项目的供应商。该澄清答复将视为本文件的组成部分。</w:t>
      </w:r>
    </w:p>
    <w:p>
      <w:pP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磋商文件的补充和修改</w:t>
      </w:r>
    </w:p>
    <w:p>
      <w:pPr>
        <w:widowControl w:val="0"/>
        <w:tabs>
          <w:tab w:val="left" w:pos="720"/>
        </w:tabs>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根据项目的需要,采购代理机构可对磋商文件进行修改和变更。</w:t>
      </w:r>
    </w:p>
    <w:p>
      <w:pPr>
        <w:widowControl w:val="0"/>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磋商文件的修改将以书面的形式于报价递交截止时间前通知本磋商文件的所有收受人。该修改文件将构成磋商文件的一部分。供应商应在收到该修改文件后立即以书面形式予以确认并受其约束。</w:t>
      </w:r>
    </w:p>
    <w:p>
      <w:pPr>
        <w:widowControl w:val="0"/>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   考虑到该修改和变更的影响，采购人和采购代理机构可决定推迟报价递交截止时间。</w:t>
      </w:r>
    </w:p>
    <w:p>
      <w:pPr>
        <w:widowControl w:val="0"/>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3.4   在磋商过程中,磋商文件内容如有实质性的变更,磋商小组应以书面形式通知所有参与磋商的供应商。若供应商对此类实质性变更不予接受,可以要求退出磋商,否则将被视为接受此变更并受其约束。</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三、响应文件</w:t>
      </w:r>
    </w:p>
    <w:p>
      <w:pPr>
        <w:tabs>
          <w:tab w:val="left" w:pos="360"/>
          <w:tab w:val="left" w:pos="720"/>
        </w:tabs>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     响应文件的编写</w:t>
      </w:r>
    </w:p>
    <w:p>
      <w:pPr>
        <w:widowControl w:val="0"/>
        <w:numPr>
          <w:ilvl w:val="0"/>
          <w:numId w:val="5"/>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供应商应仔细阅读磋商文件的所有内容，并按其规定的内容和格式，提交完整的响应文件。</w:t>
      </w:r>
    </w:p>
    <w:p>
      <w:pPr>
        <w:widowControl w:val="0"/>
        <w:numPr>
          <w:ilvl w:val="0"/>
          <w:numId w:val="5"/>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响应文件和来往函件应用中文书写，计量单位应使用中华人民共和国法定计量单位。（除非磋商文件中另有规定）</w:t>
      </w:r>
    </w:p>
    <w:p>
      <w:pPr>
        <w:widowControl w:val="0"/>
        <w:numPr>
          <w:ilvl w:val="0"/>
          <w:numId w:val="5"/>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供应商应按磋商文件要求的报价范围进行报价。</w:t>
      </w:r>
    </w:p>
    <w:p>
      <w:pPr>
        <w:widowControl w:val="0"/>
        <w:numPr>
          <w:ilvl w:val="0"/>
          <w:numId w:val="5"/>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供应商应以人民币报价。</w:t>
      </w:r>
      <w:r>
        <w:rPr>
          <w:rFonts w:hint="eastAsia" w:ascii="仿宋" w:hAnsi="仿宋" w:eastAsia="仿宋" w:cs="仿宋"/>
          <w:color w:val="000000" w:themeColor="text1"/>
          <w:sz w:val="24"/>
          <w:szCs w:val="24"/>
          <w:highlight w:val="none"/>
          <w:lang w:eastAsia="zh-CN"/>
          <w14:textFill>
            <w14:solidFill>
              <w14:schemeClr w14:val="tx1"/>
            </w14:solidFill>
          </w14:textFill>
        </w:rPr>
        <w:t>若有</w:t>
      </w:r>
      <w:r>
        <w:rPr>
          <w:rFonts w:hint="eastAsia" w:ascii="仿宋" w:hAnsi="仿宋" w:eastAsia="仿宋" w:cs="仿宋"/>
          <w:color w:val="000000" w:themeColor="text1"/>
          <w:sz w:val="24"/>
          <w:szCs w:val="24"/>
          <w:highlight w:val="none"/>
          <w14:textFill>
            <w14:solidFill>
              <w14:schemeClr w14:val="tx1"/>
            </w14:solidFill>
          </w14:textFill>
        </w:rPr>
        <w:t>单价计算得出的总价与报价总价不一致，以单价计算得出的总价作为报价总价。若中文文字形式表示的数值与数字形式表示的数值不一致，以中文文字形式表示的数值为准。</w:t>
      </w:r>
    </w:p>
    <w:p>
      <w:pPr>
        <w:tabs>
          <w:tab w:val="left" w:pos="360"/>
          <w:tab w:val="left" w:pos="720"/>
        </w:tabs>
        <w:spacing w:before="60" w:line="360" w:lineRule="auto"/>
        <w:ind w:leftChars="-1" w:hanging="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响应文件的构成及要求</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    报价部分（参见磋商文件第五部分响应文件格式）；</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商务响应文件（参见磋商文件第五部分响应文件格式）；</w:t>
      </w:r>
    </w:p>
    <w:p>
      <w:pPr>
        <w:widowControl w:val="0"/>
        <w:tabs>
          <w:tab w:val="left" w:pos="735"/>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    服务方案响应文件（参见磋商文件第五部分响应文件格式）；</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    供应商认为需加以说明的其它内容；</w:t>
      </w:r>
    </w:p>
    <w:p>
      <w:pPr>
        <w:widowControl w:val="0"/>
        <w:tabs>
          <w:tab w:val="left" w:pos="735"/>
          <w:tab w:val="left" w:pos="840"/>
        </w:tabs>
        <w:spacing w:before="60" w:line="360" w:lineRule="auto"/>
        <w:ind w:left="823" w:hanging="940" w:hangingChars="39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    供应商报价的内容与磋商文件的技术、商务要求有偏离时，无论这种偏离是否有利于买方，供应商都应按附件的格式如实填写技术规格偏离表和商务条款偏离表。</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    供应商应按响应文件格式的要求提交资格文件，并对这些资格文件的真实性负责。</w:t>
      </w:r>
    </w:p>
    <w:p>
      <w:pPr>
        <w:tabs>
          <w:tab w:val="left" w:pos="360"/>
          <w:tab w:val="left" w:pos="720"/>
        </w:tabs>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响应文件的签署、装订和密封</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w:t>
      </w:r>
      <w:r>
        <w:rPr>
          <w:rFonts w:hint="eastAsia" w:ascii="仿宋" w:hAnsi="仿宋" w:eastAsia="仿宋" w:cs="仿宋"/>
          <w:b/>
          <w:bCs/>
          <w:color w:val="000000" w:themeColor="text1"/>
          <w:sz w:val="24"/>
          <w:szCs w:val="24"/>
          <w:highlight w:val="none"/>
          <w14:textFill>
            <w14:solidFill>
              <w14:schemeClr w14:val="tx1"/>
            </w14:solidFill>
          </w14:textFill>
        </w:rPr>
        <w:t>正本一套、副本叁套</w:t>
      </w:r>
      <w:r>
        <w:rPr>
          <w:rFonts w:hint="eastAsia" w:ascii="仿宋" w:hAnsi="仿宋" w:eastAsia="仿宋" w:cs="仿宋"/>
          <w:color w:val="000000" w:themeColor="text1"/>
          <w:sz w:val="24"/>
          <w:szCs w:val="24"/>
          <w:highlight w:val="none"/>
          <w14:textFill>
            <w14:solidFill>
              <w14:schemeClr w14:val="tx1"/>
            </w14:solidFill>
          </w14:textFill>
        </w:rPr>
        <w:t>、内容应一致，</w:t>
      </w:r>
      <w:r>
        <w:rPr>
          <w:rFonts w:hint="eastAsia" w:ascii="仿宋" w:hAnsi="仿宋" w:eastAsia="仿宋" w:cs="仿宋"/>
          <w:b/>
          <w:bCs/>
          <w:color w:val="000000" w:themeColor="text1"/>
          <w:sz w:val="24"/>
          <w:szCs w:val="24"/>
          <w:highlight w:val="none"/>
          <w14:textFill>
            <w14:solidFill>
              <w14:schemeClr w14:val="tx1"/>
            </w14:solidFill>
          </w14:textFill>
        </w:rPr>
        <w:t>如果正本与副本不符，以正本为准（正本每一页须加盖公章）</w:t>
      </w:r>
      <w:r>
        <w:rPr>
          <w:rFonts w:hint="eastAsia" w:ascii="仿宋" w:hAnsi="仿宋" w:eastAsia="仿宋" w:cs="仿宋"/>
          <w:color w:val="000000" w:themeColor="text1"/>
          <w:sz w:val="24"/>
          <w:szCs w:val="24"/>
          <w:highlight w:val="none"/>
          <w14:textFill>
            <w14:solidFill>
              <w14:schemeClr w14:val="tx1"/>
            </w14:solidFill>
          </w14:textFill>
        </w:rPr>
        <w:t>。响应文件正本应由供应商的法定代表人或经法定代表人正式授权的代表在响应文件上签字，并需将以书面形式出具的“法定代表人授权书”附在响应文件中。任何行间插字、涂改和增删，必须由供应商盖章才有效。</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报价人应同时提交报价文件的电子文件一套（</w:t>
      </w:r>
      <w:r>
        <w:rPr>
          <w:rFonts w:hint="eastAsia" w:ascii="仿宋" w:hAnsi="仿宋" w:eastAsia="仿宋" w:cs="仿宋"/>
          <w:b/>
          <w:bCs/>
          <w:color w:val="000000" w:themeColor="text1"/>
          <w:sz w:val="24"/>
          <w:szCs w:val="24"/>
          <w14:textFill>
            <w14:solidFill>
              <w14:schemeClr w14:val="tx1"/>
            </w14:solidFill>
          </w14:textFill>
        </w:rPr>
        <w:t>以U盘形式</w:t>
      </w:r>
      <w:r>
        <w:rPr>
          <w:rFonts w:hint="eastAsia" w:ascii="仿宋" w:hAnsi="仿宋" w:eastAsia="仿宋" w:cs="仿宋"/>
          <w:color w:val="000000" w:themeColor="text1"/>
          <w:sz w:val="24"/>
          <w:szCs w:val="24"/>
          <w14:textFill>
            <w14:solidFill>
              <w14:schemeClr w14:val="tx1"/>
            </w14:solidFill>
          </w14:textFill>
        </w:rPr>
        <w:t>）附在正本里，</w:t>
      </w:r>
      <w:r>
        <w:rPr>
          <w:rFonts w:hint="eastAsia" w:ascii="仿宋" w:hAnsi="仿宋" w:eastAsia="仿宋" w:cs="仿宋"/>
          <w:color w:val="000000" w:themeColor="text1"/>
          <w:sz w:val="24"/>
          <w:szCs w:val="24"/>
          <w:lang w:val="en-US" w:eastAsia="zh-CN"/>
          <w14:textFill>
            <w14:solidFill>
              <w14:schemeClr w14:val="tx1"/>
            </w14:solidFill>
          </w14:textFill>
        </w:rPr>
        <w:t>电子版U盘必须是正本扫描件，并制作成与正本完全一致的PDF格式文本及word文档</w:t>
      </w:r>
      <w:r>
        <w:rPr>
          <w:rFonts w:hint="eastAsia" w:ascii="仿宋" w:hAnsi="仿宋" w:eastAsia="仿宋" w:cs="仿宋"/>
          <w:color w:val="000000" w:themeColor="text1"/>
          <w:sz w:val="24"/>
          <w:szCs w:val="24"/>
          <w14:textFill>
            <w14:solidFill>
              <w14:schemeClr w14:val="tx1"/>
            </w14:solidFill>
          </w14:textFill>
        </w:rPr>
        <w:t>。不按以上要求递交的，视为</w:t>
      </w:r>
      <w:r>
        <w:rPr>
          <w:rFonts w:hint="eastAsia" w:ascii="仿宋" w:hAnsi="仿宋" w:eastAsia="仿宋" w:cs="仿宋"/>
          <w:color w:val="000000" w:themeColor="text1"/>
          <w:sz w:val="24"/>
          <w:szCs w:val="24"/>
          <w:lang w:eastAsia="zh-CN"/>
          <w14:textFill>
            <w14:solidFill>
              <w14:schemeClr w14:val="tx1"/>
            </w14:solidFill>
          </w14:textFill>
        </w:rPr>
        <w:t>报价</w:t>
      </w:r>
      <w:r>
        <w:rPr>
          <w:rFonts w:hint="eastAsia" w:ascii="仿宋" w:hAnsi="仿宋" w:eastAsia="仿宋" w:cs="仿宋"/>
          <w:color w:val="000000" w:themeColor="text1"/>
          <w:sz w:val="24"/>
          <w:szCs w:val="24"/>
          <w14:textFill>
            <w14:solidFill>
              <w14:schemeClr w14:val="tx1"/>
            </w14:solidFill>
          </w14:textFill>
        </w:rPr>
        <w:t>文件不完整。</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响应文件正本须用A4纸及不褪色墨水书写或打印，由供应商的法定代表人或经其正式授权的代表签字。授权代表须将以书面形式出具的“授权证书”附在响应文件中。</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的正本，磋商文件中已明示需盖章签名处，均须由供应商加盖供应商公章，并经供应商法定代表人或其授权代表签名。如果《响应资料表》允许供应商为联合体，联合体在签署响应文件时应在供应商名称后面注明“联合体”字样。</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响应文件副本可采用响应文件的正本复印而成，A4纸装订成册。</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没有按照要求递交响应文件及传真和电传的响应文件将被拒绝。供应商应将响应文件正本和所有的副本分开密封装在封套中，封套须加盖公章且在封套上标明“正本”“副本”字样。</w:t>
      </w:r>
    </w:p>
    <w:p>
      <w:pPr>
        <w:widowControl w:val="0"/>
        <w:numPr>
          <w:ilvl w:val="0"/>
          <w:numId w:val="6"/>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封套均应按以下要求标记：</w:t>
      </w:r>
    </w:p>
    <w:tbl>
      <w:tblPr>
        <w:tblStyle w:val="33"/>
        <w:tblW w:w="8759"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8759" w:type="dxa"/>
          </w:tcPr>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（正本/副本）</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于“      年     月     日     时    分”之前不准启封（即磋商截止时间）</w:t>
            </w:r>
          </w:p>
          <w:p>
            <w:pPr>
              <w:spacing w:line="360" w:lineRule="auto"/>
              <w:ind w:left="18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策勒县残疾人安装及维修假肢项目（二次）</w:t>
            </w:r>
            <w:r>
              <w:rPr>
                <w:rFonts w:hint="eastAsia" w:ascii="仿宋" w:hAnsi="仿宋" w:eastAsia="仿宋" w:cs="仿宋"/>
                <w:color w:val="000000" w:themeColor="text1"/>
                <w:sz w:val="24"/>
                <w:szCs w:val="24"/>
                <w:highlight w:val="none"/>
                <w14:textFill>
                  <w14:solidFill>
                    <w14:schemeClr w14:val="tx1"/>
                  </w14:solidFill>
                </w14:textFill>
              </w:rPr>
              <w:t>收件人名称：新疆晓君招标有限公司         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：2021-clx- 071号</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供应商名称：XXXX                            供应商地址：XXXX                              邮政编码：XXXX</w:t>
            </w:r>
          </w:p>
          <w:p>
            <w:pPr>
              <w:pStyle w:val="5"/>
              <w:tabs>
                <w:tab w:val="left" w:pos="102"/>
              </w:tabs>
              <w:ind w:left="-599" w:firstLine="919" w:firstLineChars="383"/>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供应商代表：XXXX                              联系电话：XXXX</w:t>
            </w:r>
          </w:p>
        </w:tc>
      </w:tr>
    </w:tbl>
    <w:p>
      <w:pPr>
        <w:widowControl w:val="0"/>
        <w:numPr>
          <w:ilvl w:val="0"/>
          <w:numId w:val="6"/>
        </w:numPr>
        <w:tabs>
          <w:tab w:val="left" w:pos="735"/>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封套均应写明供应商名称和地址，以便如果其响应文件被宣布为“迟交”时，能原封退回。</w:t>
      </w:r>
    </w:p>
    <w:p>
      <w:pPr>
        <w:widowControl w:val="0"/>
        <w:numPr>
          <w:ilvl w:val="0"/>
          <w:numId w:val="6"/>
        </w:numPr>
        <w:tabs>
          <w:tab w:val="left" w:pos="735"/>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如果封套未按本须知的要求密封和加写标记，采购代理机构概不接受。</w:t>
      </w:r>
    </w:p>
    <w:p>
      <w:pPr>
        <w:tabs>
          <w:tab w:val="left" w:pos="360"/>
          <w:tab w:val="left" w:pos="720"/>
        </w:tabs>
        <w:snapToGrid w:val="0"/>
        <w:spacing w:before="60" w:line="360" w:lineRule="auto"/>
        <w:ind w:leftChars="-1" w:hanging="2"/>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  响应文件</w:t>
      </w:r>
      <w:r>
        <w:rPr>
          <w:rFonts w:hint="eastAsia" w:ascii="仿宋" w:hAnsi="仿宋" w:eastAsia="仿宋" w:cs="仿宋"/>
          <w:color w:val="000000" w:themeColor="text1"/>
          <w:spacing w:val="-4"/>
          <w:sz w:val="24"/>
          <w:szCs w:val="24"/>
          <w:highlight w:val="none"/>
          <w14:textFill>
            <w14:solidFill>
              <w14:schemeClr w14:val="tx1"/>
            </w14:solidFill>
          </w14:textFill>
        </w:rPr>
        <w:t>未按本须知的要求密封、签署和加写标记，将会导致符合性审查不通过。</w:t>
      </w:r>
    </w:p>
    <w:p>
      <w:pPr>
        <w:tabs>
          <w:tab w:val="left" w:pos="360"/>
          <w:tab w:val="left" w:pos="720"/>
        </w:tabs>
        <w:snapToGrid w:val="0"/>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4     报价有效期</w:t>
      </w:r>
    </w:p>
    <w:p>
      <w:pPr>
        <w:widowControl w:val="0"/>
        <w:numPr>
          <w:ilvl w:val="0"/>
          <w:numId w:val="7"/>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报价递交截止时间起，报价有效期为90天。在特殊情况下，采购代理机构可于报价有效期满之前要求供应商同意延长有效期，要求与答复均应以书面形式表示。供应商可以拒绝上述要求而其投标保证金不会被没收，同意延期的供应商原报价有效期内应享之权利及应负之责任也相应延续。</w:t>
      </w:r>
    </w:p>
    <w:p>
      <w:pPr>
        <w:tabs>
          <w:tab w:val="left" w:pos="360"/>
          <w:tab w:val="left" w:pos="735"/>
        </w:tabs>
        <w:snapToGrid w:val="0"/>
        <w:spacing w:before="60" w:line="360" w:lineRule="auto"/>
        <w:ind w:leftChars="-1" w:hanging="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5     投标保证金</w:t>
      </w:r>
    </w:p>
    <w:p>
      <w:pPr>
        <w:tabs>
          <w:tab w:val="left" w:pos="315"/>
          <w:tab w:val="left" w:pos="1785"/>
          <w:tab w:val="left" w:pos="2310"/>
          <w:tab w:val="left" w:pos="8640"/>
        </w:tabs>
        <w:snapToGrid w:val="0"/>
        <w:spacing w:before="60" w:line="360" w:lineRule="auto"/>
        <w:ind w:left="735" w:hanging="840" w:hangingChars="3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    本项目的投标</w:t>
      </w:r>
      <w:r>
        <w:rPr>
          <w:rFonts w:hint="eastAsia" w:ascii="仿宋" w:hAnsi="仿宋" w:eastAsia="仿宋" w:cs="仿宋"/>
          <w:b/>
          <w:bCs/>
          <w:color w:val="000000" w:themeColor="text1"/>
          <w:sz w:val="24"/>
          <w:szCs w:val="24"/>
          <w:highlight w:val="none"/>
          <w14:textFill>
            <w14:solidFill>
              <w14:schemeClr w14:val="tx1"/>
            </w14:solidFill>
          </w14:textFill>
        </w:rPr>
        <w:t>保证金金额为人</w:t>
      </w:r>
      <w:r>
        <w:rPr>
          <w:rFonts w:hint="eastAsia" w:ascii="仿宋" w:hAnsi="仿宋" w:eastAsia="仿宋" w:cs="仿宋"/>
          <w:b/>
          <w:color w:val="000000" w:themeColor="text1"/>
          <w:sz w:val="24"/>
          <w:szCs w:val="24"/>
          <w:highlight w:val="none"/>
          <w14:textFill>
            <w14:solidFill>
              <w14:schemeClr w14:val="tx1"/>
            </w14:solidFill>
          </w14:textFill>
        </w:rPr>
        <w:t>民币</w:t>
      </w:r>
      <w:r>
        <w:rPr>
          <w:rFonts w:hint="eastAsia" w:ascii="仿宋" w:hAnsi="仿宋" w:eastAsia="仿宋" w:cs="仿宋"/>
          <w:b/>
          <w:color w:val="000000" w:themeColor="text1"/>
          <w:sz w:val="24"/>
          <w:szCs w:val="24"/>
          <w:highlight w:val="none"/>
          <w:lang w:val="en-US" w:eastAsia="zh-CN"/>
          <w14:textFill>
            <w14:solidFill>
              <w14:schemeClr w14:val="tx1"/>
            </w14:solidFill>
          </w14:textFill>
        </w:rPr>
        <w:t>贰</w:t>
      </w:r>
      <w:r>
        <w:rPr>
          <w:rFonts w:hint="eastAsia" w:ascii="仿宋" w:hAnsi="仿宋" w:eastAsia="仿宋" w:cs="仿宋"/>
          <w:b/>
          <w:color w:val="000000" w:themeColor="text1"/>
          <w:sz w:val="24"/>
          <w:szCs w:val="24"/>
          <w:highlight w:val="none"/>
          <w:lang w:eastAsia="zh-CN"/>
          <w14:textFill>
            <w14:solidFill>
              <w14:schemeClr w14:val="tx1"/>
            </w14:solidFill>
          </w14:textFill>
        </w:rPr>
        <w:t>万</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叁仟陆佰</w:t>
      </w:r>
      <w:r>
        <w:rPr>
          <w:rFonts w:hint="eastAsia" w:ascii="仿宋" w:hAnsi="仿宋" w:eastAsia="仿宋" w:cs="仿宋"/>
          <w:b/>
          <w:color w:val="000000" w:themeColor="text1"/>
          <w:sz w:val="24"/>
          <w:szCs w:val="24"/>
          <w:highlight w:val="none"/>
          <w:lang w:eastAsia="zh-CN"/>
          <w14:textFill>
            <w14:solidFill>
              <w14:schemeClr w14:val="tx1"/>
            </w14:solidFill>
          </w14:textFill>
        </w:rPr>
        <w:t>元整</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23600.00</w:t>
      </w:r>
      <w:r>
        <w:rPr>
          <w:rFonts w:hint="eastAsia" w:ascii="仿宋" w:hAnsi="仿宋" w:eastAsia="仿宋" w:cs="仿宋"/>
          <w:b/>
          <w:bCs/>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4"/>
          <w:szCs w:val="24"/>
          <w:highlight w:val="none"/>
          <w14:textFill>
            <w14:solidFill>
              <w14:schemeClr w14:val="tx1"/>
            </w14:solidFill>
          </w14:textFill>
        </w:rPr>
        <w:t>投标保证金是响应文件的组成部分。</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投标保证金是为了保护采购代理机构和采购人免遭因供应商的行为所造成的损失，采购代理机构和采购人在因供应商的行为而受到损害时，可以根据本须知的规定没收供应商的投标保证金。</w:t>
      </w:r>
    </w:p>
    <w:p>
      <w:pPr>
        <w:spacing w:line="360" w:lineRule="auto"/>
        <w:ind w:firstLine="480"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b w:val="0"/>
          <w:bCs/>
          <w:iCs/>
          <w:color w:val="000000" w:themeColor="text1"/>
          <w:sz w:val="24"/>
          <w:szCs w:val="24"/>
          <w:highlight w:val="none"/>
          <w14:textFill>
            <w14:solidFill>
              <w14:schemeClr w14:val="tx1"/>
            </w14:solidFill>
          </w14:textFill>
        </w:rPr>
        <w:t>投标保证金可以采用电汇、</w:t>
      </w:r>
      <w:r>
        <w:rPr>
          <w:rFonts w:hint="eastAsia" w:ascii="仿宋" w:hAnsi="仿宋" w:eastAsia="仿宋" w:cs="仿宋"/>
          <w:b w:val="0"/>
          <w:bCs/>
          <w:iCs/>
          <w:color w:val="000000" w:themeColor="text1"/>
          <w:sz w:val="24"/>
          <w:szCs w:val="24"/>
          <w:highlight w:val="none"/>
          <w:lang w:eastAsia="zh-CN"/>
          <w14:textFill>
            <w14:solidFill>
              <w14:schemeClr w14:val="tx1"/>
            </w14:solidFill>
          </w14:textFill>
        </w:rPr>
        <w:t>银行转账</w:t>
      </w:r>
      <w:r>
        <w:rPr>
          <w:rFonts w:hint="eastAsia" w:ascii="仿宋" w:hAnsi="仿宋" w:eastAsia="仿宋" w:cs="仿宋"/>
          <w:b w:val="0"/>
          <w:bCs/>
          <w:iCs/>
          <w:color w:val="000000" w:themeColor="text1"/>
          <w:sz w:val="24"/>
          <w:szCs w:val="24"/>
          <w:highlight w:val="none"/>
          <w14:textFill>
            <w14:solidFill>
              <w14:schemeClr w14:val="tx1"/>
            </w14:solidFill>
          </w14:textFill>
        </w:rPr>
        <w:t>形式提交：</w:t>
      </w:r>
    </w:p>
    <w:p>
      <w:pPr>
        <w:spacing w:line="360" w:lineRule="auto"/>
        <w:ind w:firstLine="482"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b/>
          <w:iCs/>
          <w:color w:val="000000" w:themeColor="text1"/>
          <w:sz w:val="24"/>
          <w:szCs w:val="24"/>
          <w:highlight w:val="none"/>
          <w:lang w:eastAsia="zh-CN"/>
          <w14:textFill>
            <w14:solidFill>
              <w14:schemeClr w14:val="tx1"/>
            </w14:solidFill>
          </w14:textFill>
        </w:rPr>
        <w:t>（</w:t>
      </w:r>
      <w:r>
        <w:rPr>
          <w:rFonts w:hint="eastAsia" w:ascii="仿宋" w:hAnsi="仿宋" w:eastAsia="仿宋" w:cs="仿宋"/>
          <w:b/>
          <w:i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iCs/>
          <w:color w:val="000000" w:themeColor="text1"/>
          <w:sz w:val="24"/>
          <w:szCs w:val="24"/>
          <w:highlight w:val="none"/>
          <w:lang w:eastAsia="zh-CN"/>
          <w14:textFill>
            <w14:solidFill>
              <w14:schemeClr w14:val="tx1"/>
            </w14:solidFill>
          </w14:textFill>
        </w:rPr>
        <w:t>）</w:t>
      </w:r>
      <w:r>
        <w:rPr>
          <w:rFonts w:hint="eastAsia" w:ascii="仿宋" w:hAnsi="仿宋" w:eastAsia="仿宋" w:cs="仿宋"/>
          <w:b/>
          <w:iCs/>
          <w:color w:val="000000" w:themeColor="text1"/>
          <w:sz w:val="24"/>
          <w:szCs w:val="24"/>
          <w:highlight w:val="none"/>
          <w14:textFill>
            <w14:solidFill>
              <w14:schemeClr w14:val="tx1"/>
            </w14:solidFill>
          </w14:textFill>
        </w:rPr>
        <w:t>通过电汇、银行转账</w:t>
      </w:r>
      <w:r>
        <w:rPr>
          <w:rFonts w:hint="eastAsia" w:ascii="仿宋" w:hAnsi="仿宋" w:eastAsia="仿宋" w:cs="仿宋"/>
          <w:b/>
          <w:iCs/>
          <w:color w:val="000000" w:themeColor="text1"/>
          <w:sz w:val="24"/>
          <w:szCs w:val="24"/>
          <w:highlight w:val="none"/>
          <w:lang w:eastAsia="zh-CN"/>
          <w14:textFill>
            <w14:solidFill>
              <w14:schemeClr w14:val="tx1"/>
            </w14:solidFill>
          </w14:textFill>
        </w:rPr>
        <w:t>、</w:t>
      </w:r>
      <w:r>
        <w:rPr>
          <w:rFonts w:hint="eastAsia" w:ascii="仿宋" w:hAnsi="仿宋" w:eastAsia="仿宋" w:cs="仿宋"/>
          <w:b/>
          <w:iCs/>
          <w:color w:val="000000" w:themeColor="text1"/>
          <w:sz w:val="24"/>
          <w:szCs w:val="24"/>
          <w:highlight w:val="none"/>
          <w:lang w:val="en-US" w:eastAsia="zh-CN"/>
          <w14:textFill>
            <w14:solidFill>
              <w14:schemeClr w14:val="tx1"/>
            </w14:solidFill>
          </w14:textFill>
        </w:rPr>
        <w:t>保函</w:t>
      </w:r>
      <w:r>
        <w:rPr>
          <w:rFonts w:hint="eastAsia" w:ascii="仿宋" w:hAnsi="仿宋" w:eastAsia="仿宋" w:cs="仿宋"/>
          <w:b/>
          <w:iCs/>
          <w:color w:val="000000" w:themeColor="text1"/>
          <w:sz w:val="24"/>
          <w:szCs w:val="24"/>
          <w:highlight w:val="none"/>
          <w14:textFill>
            <w14:solidFill>
              <w14:schemeClr w14:val="tx1"/>
            </w14:solidFill>
          </w14:textFill>
        </w:rPr>
        <w:t>形式递交保证金，由供应商对公账户转入如下账户（交款时供应商向银行提供项目编号，由银行开具收款单盖章交给客户留底，作为保证金收取依据）。</w:t>
      </w:r>
    </w:p>
    <w:p>
      <w:pPr>
        <w:spacing w:line="360" w:lineRule="auto"/>
        <w:ind w:firstLine="482"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b/>
          <w:iCs/>
          <w:color w:val="000000" w:themeColor="text1"/>
          <w:sz w:val="24"/>
          <w:szCs w:val="24"/>
          <w:highlight w:val="none"/>
          <w14:textFill>
            <w14:solidFill>
              <w14:schemeClr w14:val="tx1"/>
            </w14:solidFill>
          </w14:textFill>
        </w:rPr>
        <w:t>投标保证金缴纳账户：</w:t>
      </w:r>
    </w:p>
    <w:p>
      <w:pPr>
        <w:spacing w:line="360" w:lineRule="auto"/>
        <w:ind w:firstLine="482"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b/>
          <w:iCs/>
          <w:color w:val="000000" w:themeColor="text1"/>
          <w:sz w:val="24"/>
          <w:szCs w:val="24"/>
          <w:highlight w:val="none"/>
          <w14:textFill>
            <w14:solidFill>
              <w14:schemeClr w14:val="tx1"/>
            </w14:solidFill>
          </w14:textFill>
        </w:rPr>
        <w:t>开户名称：策勒县公共资源交易中心</w:t>
      </w:r>
    </w:p>
    <w:p>
      <w:pPr>
        <w:spacing w:line="360" w:lineRule="auto"/>
        <w:ind w:firstLine="482"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b/>
          <w:iCs/>
          <w:color w:val="000000" w:themeColor="text1"/>
          <w:sz w:val="24"/>
          <w:szCs w:val="24"/>
          <w:highlight w:val="none"/>
          <w14:textFill>
            <w14:solidFill>
              <w14:schemeClr w14:val="tx1"/>
            </w14:solidFill>
          </w14:textFill>
        </w:rPr>
        <w:t>开户银行：策勒县农村信用合作社联合社</w:t>
      </w:r>
    </w:p>
    <w:p>
      <w:pPr>
        <w:spacing w:line="360" w:lineRule="auto"/>
        <w:ind w:firstLine="482" w:firstLineChars="200"/>
        <w:jc w:val="left"/>
        <w:rPr>
          <w:rFonts w:hint="eastAsia" w:ascii="仿宋" w:hAnsi="仿宋" w:eastAsia="仿宋" w:cs="仿宋"/>
          <w:b/>
          <w:i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iCs/>
          <w:color w:val="000000" w:themeColor="text1"/>
          <w:sz w:val="24"/>
          <w:szCs w:val="24"/>
          <w:highlight w:val="none"/>
          <w14:textFill>
            <w14:solidFill>
              <w14:schemeClr w14:val="tx1"/>
            </w14:solidFill>
          </w14:textFill>
        </w:rPr>
        <w:t>账号：8810 1001 2010 1026 33101</w:t>
      </w:r>
    </w:p>
    <w:p>
      <w:pPr>
        <w:spacing w:line="360" w:lineRule="auto"/>
        <w:jc w:val="left"/>
        <w:rPr>
          <w:rFonts w:hint="eastAsia" w:ascii="仿宋" w:hAnsi="仿宋" w:eastAsia="仿宋" w:cs="仿宋"/>
          <w:b/>
          <w:bCs/>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4"/>
          <w:szCs w:val="24"/>
          <w:highlight w:val="none"/>
          <w:u w:val="single"/>
          <w14:textFill>
            <w14:solidFill>
              <w14:schemeClr w14:val="tx1"/>
            </w14:solidFill>
          </w14:textFill>
        </w:rPr>
        <w:t>[递交投标保证金请注明：采购编号</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2021-clx- 071号</w:t>
      </w:r>
      <w:r>
        <w:rPr>
          <w:rFonts w:hint="eastAsia" w:ascii="仿宋" w:hAnsi="仿宋" w:eastAsia="仿宋" w:cs="仿宋"/>
          <w:b/>
          <w:bCs/>
          <w:color w:val="000000" w:themeColor="text1"/>
          <w:sz w:val="24"/>
          <w:szCs w:val="24"/>
          <w:highlight w:val="none"/>
          <w:u w:val="single"/>
          <w14:textFill>
            <w14:solidFill>
              <w14:schemeClr w14:val="tx1"/>
            </w14:solidFill>
          </w14:textFill>
        </w:rPr>
        <w:t>]</w:t>
      </w:r>
    </w:p>
    <w:p>
      <w:pPr>
        <w:spacing w:line="360" w:lineRule="auto"/>
        <w:ind w:firstLine="482"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b/>
          <w:iCs/>
          <w:color w:val="000000" w:themeColor="text1"/>
          <w:sz w:val="24"/>
          <w:szCs w:val="24"/>
          <w:highlight w:val="none"/>
          <w:lang w:eastAsia="zh-CN"/>
          <w14:textFill>
            <w14:solidFill>
              <w14:schemeClr w14:val="tx1"/>
            </w14:solidFill>
          </w14:textFill>
        </w:rPr>
        <w:t>（</w:t>
      </w:r>
      <w:r>
        <w:rPr>
          <w:rFonts w:hint="eastAsia" w:ascii="仿宋" w:hAnsi="仿宋" w:eastAsia="仿宋" w:cs="仿宋"/>
          <w:b/>
          <w:i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iCs/>
          <w:color w:val="000000" w:themeColor="text1"/>
          <w:sz w:val="24"/>
          <w:szCs w:val="24"/>
          <w:highlight w:val="none"/>
          <w:lang w:eastAsia="zh-CN"/>
          <w14:textFill>
            <w14:solidFill>
              <w14:schemeClr w14:val="tx1"/>
            </w14:solidFill>
          </w14:textFill>
        </w:rPr>
        <w:t>）</w:t>
      </w:r>
      <w:r>
        <w:rPr>
          <w:rFonts w:hint="eastAsia" w:ascii="仿宋" w:hAnsi="仿宋" w:eastAsia="仿宋" w:cs="仿宋"/>
          <w:b/>
          <w:iCs/>
          <w:color w:val="000000" w:themeColor="text1"/>
          <w:sz w:val="24"/>
          <w:szCs w:val="24"/>
          <w:highlight w:val="none"/>
          <w14:textFill>
            <w14:solidFill>
              <w14:schemeClr w14:val="tx1"/>
            </w14:solidFill>
          </w14:textFill>
        </w:rPr>
        <w:t>保证金的提交要求：必须以投标单位的名义缴纳投标保证金,汇款时必须在备注栏写明所投采购项目名称。在投标截止时间前将投标保证金以银行电汇、银行转账的方式到策勒县公共资源交易中心账户，须公对公账户，不接受个人打款，以个人名义打款将视为无效。无需到策勒县公共资源交易中心换取投标保证金收据，开标时现场查验投标保证金到账情况。开标结束后未中标单位现场将授权委托书或法人身份证复印件、开户许可证复印件（注明：联系人、联系电话、行号）、收据（必须加盖公司公章/财务章）、投标保证金银行回单递交至策勒县公共资源交易中心财务室。</w:t>
      </w:r>
    </w:p>
    <w:p>
      <w:pPr>
        <w:spacing w:line="360" w:lineRule="auto"/>
        <w:ind w:firstLine="482" w:firstLineChars="200"/>
        <w:jc w:val="left"/>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b/>
          <w:iCs/>
          <w:color w:val="000000" w:themeColor="text1"/>
          <w:sz w:val="24"/>
          <w:szCs w:val="24"/>
          <w:highlight w:val="none"/>
          <w14:textFill>
            <w14:solidFill>
              <w14:schemeClr w14:val="tx1"/>
            </w14:solidFill>
          </w14:textFill>
        </w:rPr>
        <w:t>投标保证金于截止日之前确认到账，若供应商未按照上述规定缴纳投标保证金,投标文件将被拒绝评审。</w:t>
      </w:r>
    </w:p>
    <w:p>
      <w:pPr>
        <w:spacing w:line="360" w:lineRule="auto"/>
        <w:ind w:firstLine="482" w:firstLineChars="200"/>
        <w:jc w:val="left"/>
        <w:rPr>
          <w:rFonts w:hint="eastAsia" w:ascii="仿宋" w:hAnsi="仿宋" w:eastAsia="仿宋" w:cs="仿宋"/>
          <w:b/>
          <w:i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iCs/>
          <w:color w:val="000000" w:themeColor="text1"/>
          <w:sz w:val="24"/>
          <w:szCs w:val="24"/>
          <w:highlight w:val="none"/>
          <w:lang w:val="en-US" w:eastAsia="zh-CN"/>
          <w14:textFill>
            <w14:solidFill>
              <w14:schemeClr w14:val="tx1"/>
            </w14:solidFill>
          </w14:textFill>
        </w:rPr>
        <w:t>（3）退保证金需要：投标保证金回执单、法定代表人证明书（原件）及法定代表人身份证（原件），委托代理人投标需携带法定代表人授权委托书（原件）及委托代理人身份证（原件）、开户许可证、收据。</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5.4</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未成交供应商的投标保证金，将按本须知规定的报价有效期满后三十（30）天内或在发出《成交结果通知书》之日起5个工作日内原额退还（以先到的时间为准，在此时限内退回的保证金不计利息）。</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5.5</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成交供应商的投标保证金的退还必须同时满足以下要求：</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成交供应商按本须知的规定签订了成交合同；</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成交供应商按本须知的规定支付了成交服务费。</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下列任何一种情况发生时，投标保证金将被没收：</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供应商在磋商文件规定的报价有效期内撤回其报价；</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成交供应商在规定期限内未能根据报价须知的规定签订合同。</w:t>
      </w:r>
    </w:p>
    <w:p>
      <w:pPr>
        <w:tabs>
          <w:tab w:val="left" w:pos="360"/>
          <w:tab w:val="left" w:pos="735"/>
        </w:tabs>
        <w:snapToGrid w:val="0"/>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6     响应文件的递交和撤回</w:t>
      </w:r>
    </w:p>
    <w:p>
      <w:pPr>
        <w:widowControl w:val="0"/>
        <w:numPr>
          <w:ilvl w:val="0"/>
          <w:numId w:val="8"/>
        </w:num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供应商应按竞争性磋商邀请函中规定的时间和地点于报价递交截止时间之前递交响应文件。迟于报价递交截止时间递交的响应文件将被视为无效。</w:t>
      </w:r>
    </w:p>
    <w:p>
      <w:pPr>
        <w:widowControl w:val="0"/>
        <w:numPr>
          <w:ilvl w:val="1"/>
          <w:numId w:val="8"/>
        </w:numPr>
        <w:tabs>
          <w:tab w:val="left" w:pos="90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磋商期间应磋商小组的要求所做的报价修改和最后报价应在磋商小组规定的时间内递交；</w:t>
      </w:r>
    </w:p>
    <w:p>
      <w:pPr>
        <w:widowControl w:val="0"/>
        <w:snapToGrid w:val="0"/>
        <w:spacing w:before="60"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  在报价递交截止时间前供应商可以撤回报价，但在报价递交截止时间之后不允许撤回报价。</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四、磋商及评审</w:t>
      </w:r>
    </w:p>
    <w:p>
      <w:pPr>
        <w:tabs>
          <w:tab w:val="left" w:pos="735"/>
        </w:tabs>
        <w:adjustRightInd w:val="0"/>
        <w:snapToGrid w:val="0"/>
        <w:spacing w:before="60" w:line="360" w:lineRule="auto"/>
        <w:ind w:left="957" w:right="31" w:rightChars="15" w:hanging="957" w:hangingChars="397"/>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w:t>
      </w:r>
      <w:r>
        <w:rPr>
          <w:rFonts w:hint="eastAsia" w:ascii="仿宋" w:hAnsi="仿宋" w:eastAsia="仿宋" w:cs="仿宋"/>
          <w:b/>
          <w:color w:val="000000" w:themeColor="text1"/>
          <w:sz w:val="24"/>
          <w:szCs w:val="24"/>
          <w:highlight w:val="none"/>
          <w14:textFill>
            <w14:solidFill>
              <w14:schemeClr w14:val="tx1"/>
            </w14:solidFill>
          </w14:textFill>
        </w:rPr>
        <w:tab/>
      </w:r>
      <w:r>
        <w:rPr>
          <w:rFonts w:hint="eastAsia" w:ascii="仿宋" w:hAnsi="仿宋" w:eastAsia="仿宋" w:cs="仿宋"/>
          <w:b/>
          <w:color w:val="000000" w:themeColor="text1"/>
          <w:sz w:val="24"/>
          <w:szCs w:val="24"/>
          <w:highlight w:val="none"/>
          <w14:textFill>
            <w14:solidFill>
              <w14:schemeClr w14:val="tx1"/>
            </w14:solidFill>
          </w14:textFill>
        </w:rPr>
        <w:t>磋商小组</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本次采购依法组建磋商小组。磋商小组由3人或以上单数组成。</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磋商小组在磋商及评审过程中出现意见不一致时，应遵循少数服从多数原则。</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磋商小组依法根据磋商文件的规定与供应商进行磋商及对最终形成的响应文件和最终磋商结果进行详细评审,并据此推荐成交候选人。</w:t>
      </w:r>
    </w:p>
    <w:p>
      <w:pPr>
        <w:tabs>
          <w:tab w:val="left" w:pos="720"/>
        </w:tabs>
        <w:snapToGrid w:val="0"/>
        <w:spacing w:before="60" w:line="360" w:lineRule="auto"/>
        <w:ind w:right="420" w:rightChars="200"/>
        <w:outlineLvl w:val="1"/>
        <w:rPr>
          <w:rFonts w:hint="eastAsia" w:ascii="仿宋" w:hAnsi="仿宋" w:eastAsia="仿宋" w:cs="仿宋"/>
          <w:b/>
          <w:color w:val="000000" w:themeColor="text1"/>
          <w:spacing w:val="10"/>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2  </w:t>
      </w:r>
      <w:r>
        <w:rPr>
          <w:rFonts w:hint="eastAsia" w:ascii="仿宋" w:hAnsi="仿宋" w:eastAsia="仿宋" w:cs="仿宋"/>
          <w:b/>
          <w:color w:val="000000" w:themeColor="text1"/>
          <w:spacing w:val="10"/>
          <w:sz w:val="24"/>
          <w:szCs w:val="24"/>
          <w:highlight w:val="none"/>
          <w14:textFill>
            <w14:solidFill>
              <w14:schemeClr w14:val="tx1"/>
            </w14:solidFill>
          </w14:textFill>
        </w:rPr>
        <w:t xml:space="preserve">  磋商程序</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磋商小组将以随机抽签的形式对在本须知规定的时间内递交响应文件的供应商进行磋商排序。</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在按磋商排序的顺序逐一与供应商分别就技术、商务和价格进行相同轮次（一个或多个回合）磋商，并形成磋商纪要文件。磋商目的在于澄清报价、明确需求，使所有供应商的响应具有可比性。在磋商中，磋商的任何一方不得透露与磋商有关的其它供应商的技术资料、报价和其它信息。</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磋商过程中，磋商小组可以根据磋商文件和磋商情况实质性变动采购需求中的技术、服务要求以及合同草案条款，但不得变动磋商文件的其它内容。实质性变动的内容，须经采购人代表确认。对磋商文件作出的实质性变动是磋商文件的有效组成部分，磋商小组应当及时以书面形式同时通知所有参加磋商的供应商。</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最后报价：供应商应在磋商小组规定的时间内统一密封提交最后报价（最后报价时间视磋商进程由磋商小组决定）。</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磋商过程对用户需求（包括规格、数量和服务等涉及价格变动因素）没有</w:t>
      </w:r>
      <w:r>
        <w:rPr>
          <w:rFonts w:hint="eastAsia" w:ascii="仿宋" w:hAnsi="仿宋" w:eastAsia="仿宋" w:cs="仿宋"/>
          <w:color w:val="000000" w:themeColor="text1"/>
          <w:sz w:val="24"/>
          <w:szCs w:val="24"/>
          <w:highlight w:val="none"/>
          <w:lang w:eastAsia="zh-CN"/>
          <w14:textFill>
            <w14:solidFill>
              <w14:schemeClr w14:val="tx1"/>
            </w14:solidFill>
          </w14:textFill>
        </w:rPr>
        <w:t>做出</w:t>
      </w:r>
      <w:r>
        <w:rPr>
          <w:rFonts w:hint="eastAsia" w:ascii="仿宋" w:hAnsi="仿宋" w:eastAsia="仿宋" w:cs="仿宋"/>
          <w:color w:val="000000" w:themeColor="text1"/>
          <w:sz w:val="24"/>
          <w:szCs w:val="24"/>
          <w:highlight w:val="none"/>
          <w14:textFill>
            <w14:solidFill>
              <w14:schemeClr w14:val="tx1"/>
            </w14:solidFill>
          </w14:textFill>
        </w:rPr>
        <w:t>改变的，供应商的后次报价不得高于其前次报价；</w:t>
      </w:r>
    </w:p>
    <w:p>
      <w:p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若供应商的后次报价高于其前次报价的，磋商小组有权确定其报价为无效报价；</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磋商的内容包括但不限于：商务条件、技术规格、产品质量、验收、合同执行计划、相关服务、质量保证、采购人配合等内容。</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磋商的时间及地点(见磋商邀请函</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在磋商过程中，供应商提交的响应文件、澄清文件、最后响应文件等，由供应商</w:t>
      </w:r>
      <w:r>
        <w:rPr>
          <w:rFonts w:hint="eastAsia" w:ascii="仿宋" w:hAnsi="仿宋" w:eastAsia="仿宋" w:cs="仿宋"/>
          <w:color w:val="000000" w:themeColor="text1"/>
          <w:sz w:val="24"/>
          <w:szCs w:val="24"/>
          <w:highlight w:val="none"/>
          <w:lang w:eastAsia="zh-CN"/>
          <w14:textFill>
            <w14:solidFill>
              <w14:schemeClr w14:val="tx1"/>
            </w14:solidFill>
          </w14:textFill>
        </w:rPr>
        <w:t>法定代表人</w:t>
      </w:r>
      <w:r>
        <w:rPr>
          <w:rFonts w:hint="eastAsia" w:ascii="仿宋" w:hAnsi="仿宋" w:eastAsia="仿宋" w:cs="仿宋"/>
          <w:color w:val="000000" w:themeColor="text1"/>
          <w:sz w:val="24"/>
          <w:szCs w:val="24"/>
          <w:highlight w:val="none"/>
          <w14:textFill>
            <w14:solidFill>
              <w14:schemeClr w14:val="tx1"/>
            </w14:solidFill>
          </w14:textFill>
        </w:rPr>
        <w:t>或授权代表当场签字后生效，供应商应受其约束。</w:t>
      </w:r>
    </w:p>
    <w:p>
      <w:pPr>
        <w:tabs>
          <w:tab w:val="left" w:pos="840"/>
        </w:tabs>
        <w:snapToGrid w:val="0"/>
        <w:spacing w:before="60" w:line="360" w:lineRule="auto"/>
        <w:ind w:right="420" w:rightChars="200"/>
        <w:outlineLvl w:val="1"/>
        <w:rPr>
          <w:rFonts w:hint="eastAsia" w:ascii="仿宋" w:hAnsi="仿宋" w:eastAsia="仿宋" w:cs="仿宋"/>
          <w:b/>
          <w:color w:val="000000" w:themeColor="text1"/>
          <w:spacing w:val="10"/>
          <w:sz w:val="24"/>
          <w:szCs w:val="24"/>
          <w:highlight w:val="none"/>
          <w14:textFill>
            <w14:solidFill>
              <w14:schemeClr w14:val="tx1"/>
            </w14:solidFill>
          </w14:textFill>
        </w:rPr>
      </w:pPr>
      <w:r>
        <w:rPr>
          <w:rFonts w:hint="eastAsia" w:ascii="仿宋" w:hAnsi="仿宋" w:eastAsia="仿宋" w:cs="仿宋"/>
          <w:b/>
          <w:color w:val="000000" w:themeColor="text1"/>
          <w:spacing w:val="10"/>
          <w:sz w:val="24"/>
          <w:szCs w:val="24"/>
          <w:highlight w:val="none"/>
          <w14:textFill>
            <w14:solidFill>
              <w14:schemeClr w14:val="tx1"/>
            </w14:solidFill>
          </w14:textFill>
        </w:rPr>
        <w:t>3    评审</w:t>
      </w:r>
    </w:p>
    <w:p>
      <w:pPr>
        <w:widowControl w:val="0"/>
        <w:numPr>
          <w:ilvl w:val="0"/>
          <w:numId w:val="10"/>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磋商小组将只对确定为实质上响应磋商文件要求的报价、澄清和最后报价等内容进行详细评审。</w:t>
      </w:r>
    </w:p>
    <w:p>
      <w:pPr>
        <w:widowControl w:val="0"/>
        <w:numPr>
          <w:ilvl w:val="0"/>
          <w:numId w:val="10"/>
        </w:numPr>
        <w:tabs>
          <w:tab w:val="left" w:pos="720"/>
          <w:tab w:val="clear" w:pos="481"/>
        </w:tabs>
        <w:snapToGrid w:val="0"/>
        <w:spacing w:before="60" w:line="360" w:lineRule="auto"/>
        <w:ind w:hanging="4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实质上没有响应磋商文件要求的响应文件将被视为无效报价。</w:t>
      </w:r>
    </w:p>
    <w:p>
      <w:pPr>
        <w:widowControl w:val="0"/>
        <w:numPr>
          <w:ilvl w:val="0"/>
          <w:numId w:val="10"/>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磋商小组将按磋商文件规定的原则进行评审。</w:t>
      </w:r>
    </w:p>
    <w:p>
      <w:pPr>
        <w:snapToGrid w:val="0"/>
        <w:spacing w:before="60" w:line="360" w:lineRule="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2" w:name="_Toc61460075"/>
      <w:r>
        <w:rPr>
          <w:rFonts w:hint="eastAsia" w:ascii="仿宋" w:hAnsi="仿宋" w:eastAsia="仿宋" w:cs="仿宋"/>
          <w:b/>
          <w:bCs/>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评审办法</w:t>
      </w:r>
    </w:p>
    <w:p>
      <w:pPr>
        <w:tabs>
          <w:tab w:val="left" w:pos="720"/>
        </w:tabs>
        <w:snapToGrid w:val="0"/>
        <w:spacing w:before="60" w:line="360" w:lineRule="auto"/>
        <w:ind w:right="-105" w:right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评审原则</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本次采购采用竞争性磋商方式进行，评审由依法组成的磋商小组负责完成。评审基本原则：评审工作应依据国家部委和地方采购的有关规定，遵循“公开、公平、公正、择优、诚实信用”的原则。</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本次竞争性磋商采购的评审采用</w:t>
      </w:r>
      <w:r>
        <w:rPr>
          <w:rFonts w:hint="eastAsia" w:ascii="仿宋" w:hAnsi="仿宋" w:eastAsia="仿宋" w:cs="仿宋"/>
          <w:b/>
          <w:color w:val="000000" w:themeColor="text1"/>
          <w:sz w:val="24"/>
          <w:szCs w:val="24"/>
          <w:highlight w:val="none"/>
          <w14:textFill>
            <w14:solidFill>
              <w14:schemeClr w14:val="tx1"/>
            </w14:solidFill>
          </w14:textFill>
        </w:rPr>
        <w:t>综合评分法</w:t>
      </w:r>
      <w:r>
        <w:rPr>
          <w:rFonts w:hint="eastAsia" w:ascii="仿宋" w:hAnsi="仿宋" w:eastAsia="仿宋" w:cs="仿宋"/>
          <w:color w:val="000000" w:themeColor="text1"/>
          <w:sz w:val="24"/>
          <w:szCs w:val="24"/>
          <w:highlight w:val="none"/>
          <w14:textFill>
            <w14:solidFill>
              <w14:schemeClr w14:val="tx1"/>
            </w14:solidFill>
          </w14:textFill>
        </w:rPr>
        <w:t>。本次评审是以磋商文件，最终形成的响应文件和磋商承诺文件和最后报价为依据，在需求明确的基础上，按公正、科学、客观、平等竞争的要求，推荐技术先进、报价合理、经验丰富、信誉良好、售后服务好及综合实力强的成交供应商。</w:t>
      </w:r>
    </w:p>
    <w:p>
      <w:pPr>
        <w:widowControl w:val="0"/>
        <w:snapToGrid w:val="0"/>
        <w:spacing w:before="60" w:line="360" w:lineRule="auto"/>
        <w:ind w:left="735" w:hanging="840" w:hangingChars="3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参加磋商工作的所有人员应遵守国家部委和地方采购的有关规定，严格保密，确保竞争性磋商工作公平、公正，任何单位和个人不得无理干预磋商小组的正常工作。</w:t>
      </w:r>
    </w:p>
    <w:p>
      <w:pPr>
        <w:snapToGrid w:val="0"/>
        <w:spacing w:before="60" w:line="360" w:lineRule="auto"/>
        <w:ind w:left="718"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磋商评审程序和评审方法</w:t>
      </w:r>
    </w:p>
    <w:p>
      <w:pPr>
        <w:numPr>
          <w:ilvl w:val="0"/>
          <w:numId w:val="11"/>
        </w:num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评标委员会根据“投标文件初步评审表”对投标文件的资格性和符合性进行评审，不能通过</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资格性审查的供应商，无需进行符合性审查，只有对“投标文件初步评审表”所列各项作出</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实质性响应的投标文件才能通过初步评审。对是否实质性响应磋商文件的要求有争议的投</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标，评标委员会将以记名方式表决，得票超过半数的供应商有资格进入下一阶段的评审，否</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则将被淘汰。</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按照磋商评审程序的规定，磋商小组首先阅读供应商的响应文件，据此与供应商进行技术、商务、价格的澄清、修正和磋商，磋商中发现供应商的响应文件资料不齐或欠缺时,准许其在规定时间内补足相应资料，如不能补足，该报价则将会由于不符合磋商的基本要求而被拒绝。本项目磋商如无特殊情况，磋商小组要求供应商进行二轮报价，即在磋商后的第二次报价为最后报价。根据财库[2015]124号，在采购过程中符合要求的供应商只有2家的，竞争性磋商采购活动继续进行，即提交最后报价的供应商可以为2家。</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综合评分及其统计：按照评标程序、评分标准以及权重分配的规定，磋商小组成员分别就各个供应商的服务状况、商务状况及其对磋商文件要求的响应情况进行评议和比较，评出其</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评分。各评委的评分的算术平均值即为该供应商的</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评分。然后，评出磋商报价得分。将技术评分、商务评分和价格评分别乘以权重再相加得出综合得分，综合得分按由高到低顺序排列。综合得分相同的，按下列顺序比较确定：（1）小型或微型企业；（2）节能产品；（3）环保产品；（4）投标报价（由低到高）；（5）</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评分（由高到低）。综合得分和投标报价均相同的，按下列顺序比较确定：（1）小型或微型企业；（2）节能产品；（3）环保产品；（4）</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评分（由高到低）。综合得分最高的报价人为第一中标候选供应商，综合得分次高的报价人为第二中标候选供应商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以此类推。</w:t>
      </w:r>
    </w:p>
    <w:p>
      <w:pPr>
        <w:widowControl w:val="0"/>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（4）  </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和价格的评审：</w:t>
      </w:r>
    </w:p>
    <w:p>
      <w:pPr>
        <w:tabs>
          <w:tab w:val="left" w:pos="360"/>
          <w:tab w:val="left" w:pos="1030"/>
        </w:tabs>
        <w:snapToGrid w:val="0"/>
        <w:spacing w:before="60" w:line="360" w:lineRule="auto"/>
        <w:ind w:left="828" w:leftChars="200" w:hanging="408" w:hangingChars="1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评分：</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评分各单项所占权重详见附表《</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打分表》；（按四舍五入原则取值并保留小数点后两位有效数字。）</w:t>
      </w: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2．价格评分：取满足磋商文件要求且最后报价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最低</w:t>
      </w:r>
      <w:r>
        <w:rPr>
          <w:rFonts w:hint="eastAsia" w:ascii="仿宋" w:hAnsi="仿宋" w:eastAsia="仿宋" w:cs="仿宋"/>
          <w:color w:val="000000" w:themeColor="text1"/>
          <w:sz w:val="24"/>
          <w:szCs w:val="24"/>
          <w:highlight w:val="none"/>
          <w14:textFill>
            <w14:solidFill>
              <w14:schemeClr w14:val="tx1"/>
            </w14:solidFill>
          </w14:textFill>
        </w:rPr>
        <w:t>的供应商为磋商基准价，其价格分为满分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分；其它供应商的价格分统一按照下列公式计算：磋商报价得分=磋商基准价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最后磋商报价×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w:t>
      </w:r>
    </w:p>
    <w:p>
      <w:pPr>
        <w:widowControl w:val="0"/>
        <w:snapToGrid w:val="0"/>
        <w:spacing w:before="60" w:line="360" w:lineRule="auto"/>
        <w:ind w:left="735" w:left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如此类推，算出所有供应商的价格评分。（按四舍五入原则取值并保留小数点后两位有效数字。）</w:t>
      </w:r>
    </w:p>
    <w:p>
      <w:pPr>
        <w:spacing w:line="360" w:lineRule="auto"/>
        <w:ind w:left="780" w:leftChars="200"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根据财政部、工业和信息化部印发的《政府采购促进中小企业发展暂行办法》（财库[2011]181号）的规定，对小型和微型企业产品的价格给予6%的扣除，用扣除后的价格参与评审；提供的服务中仅有部分小型和微型企业的，则按所提供小型和微型企业服务的价格予以扣除。</w:t>
      </w:r>
    </w:p>
    <w:p>
      <w:pPr>
        <w:spacing w:line="360" w:lineRule="auto"/>
        <w:ind w:left="780" w:leftChars="200"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2）《政府采购促进中小企业发展暂行办法》所指中小企业（含中型、小型、微型企业，下同）应当同时符合以下条件：</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 1 \* GB3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①</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 xml:space="preserve"> 符合中小企业划分标准； </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 2 \* GB3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②</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 xml:space="preserve"> 提供本企业制造的货物、承担的项目或者服务，或者提供其他中小企业制造的货物。本项所称货物不包括使用大型企业注册商标的货物。中小企业划分标准以《工业和信息化部、国家统计局、国家发展和改革委员会、财政部关于印发中小企业划型标准规定的通知》（工信部联企业[2011]300号）规定的划分标准为准。</w:t>
      </w:r>
    </w:p>
    <w:p>
      <w:pPr>
        <w:widowControl w:val="0"/>
        <w:snapToGrid w:val="0"/>
        <w:spacing w:line="360" w:lineRule="auto"/>
        <w:ind w:left="795" w:leftChars="15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3）参加政府采购活动的中小企业应当提供《中小企业声明函》（格式见第五部分报价文件格式）。</w:t>
      </w:r>
    </w:p>
    <w:p>
      <w:pPr>
        <w:widowControl w:val="0"/>
        <w:spacing w:line="480" w:lineRule="exact"/>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4</w:t>
      </w:r>
      <w:r>
        <w:rPr>
          <w:rFonts w:hint="eastAsia" w:ascii="仿宋" w:hAnsi="仿宋" w:eastAsia="仿宋" w:cs="仿宋"/>
          <w:color w:val="000000" w:themeColor="text1"/>
          <w:sz w:val="24"/>
          <w:szCs w:val="24"/>
          <w:highlight w:val="none"/>
          <w14:textFill>
            <w14:solidFill>
              <w14:schemeClr w14:val="tx1"/>
            </w14:solidFill>
          </w14:textFill>
        </w:rPr>
        <w:t xml:space="preserve">） 监狱企业视同小型、微型企业，享受评审中价格扣除。   </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180"/>
          <w:tab w:val="left" w:pos="720"/>
          <w:tab w:val="left" w:pos="900"/>
          <w:tab w:val="left" w:pos="1080"/>
        </w:tabs>
        <w:spacing w:line="480" w:lineRule="exact"/>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 监狱企业参加政府采购活动时，应当提供由省级以上监狱管理局、戒毒管理局（含新疆生产建设兵团）出具的属于监狱企业的证明文件，否则不予认可。   </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 xml:space="preserve">） 报价人同时为小型、微型企业和监狱企业的，评审中只享受一次价格扣除。不重复进行价格扣除。  </w:t>
      </w:r>
    </w:p>
    <w:p>
      <w:p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（5） </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及价格权重分配</w:t>
      </w:r>
    </w:p>
    <w:tbl>
      <w:tblPr>
        <w:tblStyle w:val="33"/>
        <w:tblW w:w="8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04"/>
        <w:gridCol w:w="3156"/>
        <w:gridCol w:w="3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评分项目</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评分（F1）</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价格评分(F2)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    重</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70%</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p>
        </w:tc>
      </w:tr>
    </w:tbl>
    <w:p>
      <w:pPr>
        <w:widowControl w:val="0"/>
        <w:tabs>
          <w:tab w:val="left" w:pos="540"/>
        </w:tabs>
        <w:spacing w:line="480" w:lineRule="auto"/>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评标总得分=F1＋F2</w:t>
      </w:r>
    </w:p>
    <w:p>
      <w:pPr>
        <w:snapToGrid w:val="0"/>
        <w:spacing w:before="60"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F1、F2分别为</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得分、价格得分</w:t>
      </w:r>
    </w:p>
    <w:p>
      <w:pPr>
        <w:tabs>
          <w:tab w:val="left" w:pos="720"/>
          <w:tab w:val="left" w:pos="4013"/>
        </w:tabs>
        <w:snapToGrid w:val="0"/>
        <w:spacing w:before="60" w:line="360" w:lineRule="auto"/>
        <w:ind w:left="54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推荐</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磋商小组按综合得分由高到低顺序排列推荐成交候选人，综合得分相同的，按下列顺序比较确定：（1）小型或微型企业；（2）节能产品；（3）环保产品；（4）投标报价（由低到高）；（5）</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评分（由高到低）。综合得分和投标报价均相同的，按下列顺序比较确定：（1）小型或微型企业；（2）节能产品；（3）环保产品；（4）</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评分（由高到低）。综合得分最高的报价人为第一中标候选供应商，综合得分次高的报价人为第二中标候选供应商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以此类推。</w:t>
      </w:r>
    </w:p>
    <w:p>
      <w:pPr>
        <w:snapToGrid w:val="0"/>
        <w:spacing w:before="60" w:line="360" w:lineRule="auto"/>
        <w:ind w:left="54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4.4</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评审报告</w:t>
      </w:r>
    </w:p>
    <w:p>
      <w:pPr>
        <w:snapToGrid w:val="0"/>
        <w:spacing w:before="60" w:line="360" w:lineRule="auto"/>
        <w:ind w:left="540" w:left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磋商小组依据评审结果出具评审报告。</w:t>
      </w:r>
    </w:p>
    <w:p>
      <w:pPr>
        <w:tabs>
          <w:tab w:val="left" w:pos="54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4.5</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磋商、评审过程的保密性。</w:t>
      </w:r>
    </w:p>
    <w:p>
      <w:pPr>
        <w:widowControl w:val="0"/>
        <w:numPr>
          <w:ilvl w:val="0"/>
          <w:numId w:val="12"/>
        </w:numPr>
        <w:tabs>
          <w:tab w:val="left" w:pos="540"/>
          <w:tab w:val="clear" w:pos="481"/>
        </w:tabs>
        <w:snapToGrid w:val="0"/>
        <w:spacing w:before="60" w:line="360" w:lineRule="auto"/>
        <w:ind w:left="540" w:hanging="5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接受报价后，直至成交供应商与买方签订合同后止，凡与磋商、审查、澄清、评价、比较、确定成交人意见有关的内容，任何人均不得向供应商及与磋商评审无关的其它人透露。</w:t>
      </w:r>
    </w:p>
    <w:p>
      <w:pPr>
        <w:widowControl w:val="0"/>
        <w:numPr>
          <w:ilvl w:val="0"/>
          <w:numId w:val="12"/>
        </w:numPr>
        <w:tabs>
          <w:tab w:val="left" w:pos="540"/>
          <w:tab w:val="clear" w:pos="481"/>
        </w:tabs>
        <w:snapToGrid w:val="0"/>
        <w:spacing w:before="60" w:line="360" w:lineRule="auto"/>
        <w:ind w:left="540" w:hanging="5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报价递交截止时间起到确定成交供应商日止，供应商不得与参加磋商、评审的有关人员私下接触。在磋商评审过程中，如果供应商试图在响应文件审查、澄清、比较及推荐成交供应商方面向参与磋商评审的有关人员和采购人施加任何影响，其报价将被拒绝。</w:t>
      </w:r>
    </w:p>
    <w:p>
      <w:pPr>
        <w:snapToGrid w:val="0"/>
        <w:spacing w:before="60" w:line="360" w:lineRule="auto"/>
        <w:ind w:left="540" w:right="-105" w:rightChars="-5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4.6</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接受和拒绝任何或所有报价的权利。</w:t>
      </w:r>
    </w:p>
    <w:p>
      <w:pPr>
        <w:widowControl w:val="0"/>
        <w:snapToGrid w:val="0"/>
        <w:spacing w:before="60" w:line="360" w:lineRule="auto"/>
        <w:ind w:left="525" w:leftChars="2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代理采购机构和采购人保留在成交之前任何时候接受或拒绝任何报价，以及宣布竞争性磋商无效或拒绝所有报价的</w:t>
      </w:r>
      <w:r>
        <w:rPr>
          <w:rFonts w:hint="eastAsia" w:ascii="仿宋" w:hAnsi="仿宋" w:eastAsia="仿宋" w:cs="仿宋"/>
          <w:color w:val="000000" w:themeColor="text1"/>
          <w:sz w:val="24"/>
          <w:szCs w:val="24"/>
          <w:highlight w:val="none"/>
          <w:lang w:eastAsia="zh-CN"/>
          <w14:textFill>
            <w14:solidFill>
              <w14:schemeClr w14:val="tx1"/>
            </w14:solidFill>
          </w14:textFill>
        </w:rPr>
        <w:t>权利</w:t>
      </w:r>
      <w:r>
        <w:rPr>
          <w:rFonts w:hint="eastAsia" w:ascii="仿宋" w:hAnsi="仿宋" w:eastAsia="仿宋" w:cs="仿宋"/>
          <w:color w:val="000000" w:themeColor="text1"/>
          <w:sz w:val="24"/>
          <w:szCs w:val="24"/>
          <w:highlight w:val="none"/>
          <w14:textFill>
            <w14:solidFill>
              <w14:schemeClr w14:val="tx1"/>
            </w14:solidFill>
          </w14:textFill>
        </w:rPr>
        <w:t>，对受影响的供应商不承担任何责任。</w:t>
      </w:r>
    </w:p>
    <w:p>
      <w:pPr>
        <w:snapToGrid w:val="0"/>
        <w:spacing w:before="60" w:line="360" w:lineRule="auto"/>
        <w:ind w:left="540" w:right="-105" w:rightChars="-5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4.7</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变更服务方案的权利。</w:t>
      </w:r>
    </w:p>
    <w:p>
      <w:pPr>
        <w:widowControl w:val="0"/>
        <w:snapToGrid w:val="0"/>
        <w:spacing w:before="60" w:line="360" w:lineRule="auto"/>
        <w:ind w:left="525" w:leftChars="2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在竞争性磋商过程中，采购人有权变更服务方案或采购数量，如果供应商根据采购人提出的变更要求调整方案或价格后未能获得合同，采购人和采购代理机构不承担任何责任。</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五、</w:t>
      </w:r>
      <w:r>
        <w:rPr>
          <w:rFonts w:hint="eastAsia" w:ascii="仿宋" w:hAnsi="仿宋" w:eastAsia="仿宋" w:cs="仿宋"/>
          <w:bCs w:val="0"/>
          <w:color w:val="000000" w:themeColor="text1"/>
          <w:kern w:val="2"/>
          <w:sz w:val="24"/>
          <w:szCs w:val="24"/>
          <w:highlight w:val="none"/>
          <w:lang w:eastAsia="zh-CN"/>
          <w14:textFill>
            <w14:solidFill>
              <w14:schemeClr w14:val="tx1"/>
            </w14:solidFill>
          </w14:textFill>
        </w:rPr>
        <w:t>成交供应商</w:t>
      </w:r>
      <w:r>
        <w:rPr>
          <w:rFonts w:hint="eastAsia" w:ascii="仿宋" w:hAnsi="仿宋" w:eastAsia="仿宋" w:cs="仿宋"/>
          <w:bCs w:val="0"/>
          <w:color w:val="000000" w:themeColor="text1"/>
          <w:kern w:val="2"/>
          <w:sz w:val="24"/>
          <w:szCs w:val="24"/>
          <w:highlight w:val="none"/>
          <w14:textFill>
            <w14:solidFill>
              <w14:schemeClr w14:val="tx1"/>
            </w14:solidFill>
          </w14:textFill>
        </w:rPr>
        <w:t>及服务费</w:t>
      </w:r>
      <w:bookmarkEnd w:id="2"/>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5.1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供应商的确定</w:t>
      </w:r>
    </w:p>
    <w:p>
      <w:pPr>
        <w:snapToGrid w:val="0"/>
        <w:spacing w:before="60" w:line="360" w:lineRule="auto"/>
        <w:ind w:left="614" w:leftChars="-1" w:right="420" w:rightChars="20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根据磋商小组评审结果，采购人依法确定</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5.2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b/>
          <w:bCs/>
          <w:color w:val="000000" w:themeColor="text1"/>
          <w:sz w:val="24"/>
          <w:szCs w:val="24"/>
          <w:highlight w:val="none"/>
          <w14:textFill>
            <w14:solidFill>
              <w14:schemeClr w14:val="tx1"/>
            </w14:solidFill>
          </w14:textFill>
        </w:rPr>
        <w:t>结果公告</w:t>
      </w:r>
    </w:p>
    <w:p>
      <w:pPr>
        <w:snapToGrid w:val="0"/>
        <w:spacing w:before="60" w:line="360" w:lineRule="auto"/>
        <w:ind w:left="567" w:right="31" w:rightChars="15" w:hanging="648" w:hangingChars="2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采购代理机构将在</w:t>
      </w:r>
      <w:r>
        <w:rPr>
          <w:rFonts w:hint="eastAsia" w:ascii="仿宋" w:hAnsi="仿宋" w:eastAsia="仿宋" w:cs="仿宋"/>
          <w:color w:val="000000" w:themeColor="text1"/>
          <w:sz w:val="24"/>
          <w:szCs w:val="24"/>
          <w:highlight w:val="none"/>
          <w:lang w:eastAsia="zh-CN"/>
          <w14:textFill>
            <w14:solidFill>
              <w14:schemeClr w14:val="tx1"/>
            </w14:solidFill>
          </w14:textFill>
        </w:rPr>
        <w:t>新疆</w:t>
      </w:r>
      <w:r>
        <w:rPr>
          <w:rFonts w:hint="eastAsia" w:ascii="仿宋" w:hAnsi="仿宋" w:eastAsia="仿宋" w:cs="仿宋"/>
          <w:color w:val="000000" w:themeColor="text1"/>
          <w:sz w:val="24"/>
          <w:szCs w:val="24"/>
          <w:highlight w:val="none"/>
          <w14:textFill>
            <w14:solidFill>
              <w14:schemeClr w14:val="tx1"/>
            </w14:solidFill>
          </w14:textFill>
        </w:rPr>
        <w:t>政府采购网发布公告，公告内容包括磋商项目名称、</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名单、采购人名称和电话。</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5.3   质疑和投诉</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供应商认为磋商文件、采购过程和中标结果使自己的权益受到损害的，可以在知道或应当知道其权益受到损害之日起七个工作日内，现场以书面形式向采购人或采购代理机构提出质疑。供应商必须在法定质疑期内一次性提出针对同一采购程序环节的质疑。</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质疑书必须由供应商法定代表人签署本人姓名并加盖单位公章，质疑书由参加本采购项目的全权代表签署本人姓名，须附有法定代表人的授权委托书（授权委托书须载明委托的具体权限和事项）。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质疑人提交质疑书为一式三份，主要内容须包括：（1）质疑人全称、地址、邮政编码等；（2）被质疑采购项目的名称和编号；（3）被质疑人及与质疑事项有关的当事人的自然人姓名或者法人、其它组织的名称；（4）质疑事项所依据的具体事实和理由、相关证据材料以及明确的请求；（5）有效联系人和联系电话；（6）提起质疑的日期。</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  质疑文件提交方式：由自然人本人或法定代表人或者营业执照等注册登记证书上的负责人携带营业执照等注册登记证书原件、质疑函原件及身份证明原件到现场提交[自然人本人或法定代表人或者负责人不能到达现场的，可以委托他人到现场代交，但必须出具营业执照等注册登记证书原件、质疑函原件、法人资格证明书原件及授权委托书原件，明确委托事宜。同时被委托人须携带身份证明原件及合法有效的工作证明原件（指在委托人单位任职的第三方证明材料）]。（5）  质疑处理根据“谁主张、谁举证”的原则，对于采购代理机构对有关质疑事项不具有法定调查、认定权限的，质疑人应当依法申请具有法定职权的部门查清、认定，并将相关结果提供给采购代理机构；质疑事项属于有关法律、法规和规章规定处于保密阶段的事项，质疑人须提供信息来源或有效证据，否则认定为无效质疑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  采购代理机构处理质疑事项原则上采取书面审查的办法。采购代理机构认为有必要时，可以进行调查取证，也可以组织质疑人和被质疑人当面进行质证，对采购代理机构进行调查的质疑事项，质疑人、被质疑人等应当如实反映情况，并提供采购代理机构所需要的相关材料。</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  质疑人拒绝配合政府代理机构依法进行调查的，按自动撤回质疑处理；被质疑人在规定时限内，无正当理由未提交相关证据和其它有关材料的，视同放弃说明权利，认可质疑事项。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  质疑人已经参与了本采购项目的谈判活动，又对磋商文件内容提出质疑的，采购代理机构可视为质疑已超过有效期，将依法不予受理。</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  质疑人必须对质疑或投诉内容的真实性承担法律责任。捏造事实或虚假及恶意质疑的，采购代理机构可提请同级采购监管部门将其列入不良记录名单，在一至三年内禁止参加采购活动，并将处理决定在相关媒体上公布。</w:t>
      </w:r>
    </w:p>
    <w:p>
      <w:pPr>
        <w:tabs>
          <w:tab w:val="left" w:pos="540"/>
        </w:tabs>
        <w:snapToGrid w:val="0"/>
        <w:spacing w:before="60" w:line="336" w:lineRule="auto"/>
        <w:ind w:left="851" w:leftChars="-85" w:hanging="1029" w:hangingChars="42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供应商对评审结果进行质疑或投诉的，可根据有关法规的规定，向相关部门书面提出，但需对质疑或投诉内容的真实性承担责任。</w:t>
      </w:r>
    </w:p>
    <w:p>
      <w:pPr>
        <w:widowControl w:val="0"/>
        <w:tabs>
          <w:tab w:val="left" w:pos="720"/>
        </w:tabs>
        <w:snapToGrid w:val="0"/>
        <w:spacing w:before="60" w:line="336"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 采购人或采购代理机构应在收到供应商书面质疑后7个工作日内，对质疑内容作出答复。</w:t>
      </w:r>
    </w:p>
    <w:p>
      <w:pPr>
        <w:tabs>
          <w:tab w:val="left" w:pos="540"/>
        </w:tabs>
        <w:snapToGrid w:val="0"/>
        <w:spacing w:before="60" w:line="33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采购代理机构：新疆晓君招标有限公司</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lang w:eastAsia="zh-CN"/>
          <w14:textFill>
            <w14:solidFill>
              <w14:schemeClr w14:val="tx1"/>
            </w14:solidFill>
          </w14:textFill>
        </w:rPr>
        <w:t>新疆和田市阿恰勒西路马热甫3巷99号</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话：0991-3198448</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  编：83000</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p>
    <w:p>
      <w:pPr>
        <w:tabs>
          <w:tab w:val="left" w:pos="540"/>
        </w:tabs>
        <w:snapToGrid w:val="0"/>
        <w:spacing w:before="60" w:line="33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联系人：杨先生</w:t>
      </w:r>
    </w:p>
    <w:p>
      <w:pPr>
        <w:spacing w:line="480" w:lineRule="auto"/>
        <w:ind w:firstLine="964"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附：《质疑函》范本格式</w:t>
      </w:r>
    </w:p>
    <w:tbl>
      <w:tblPr>
        <w:tblStyle w:val="34"/>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287" w:type="dxa"/>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质疑函范本</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一、质疑供应商基本信息</w:t>
            </w:r>
          </w:p>
          <w:p>
            <w:pPr>
              <w:widowControl w:val="0"/>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质疑供应商：____________________________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联系人：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联系电话：________________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授权代表：______________________________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联系电话：______________________________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二、质疑项目基本情况</w:t>
            </w:r>
          </w:p>
          <w:p>
            <w:pPr>
              <w:widowControl w:val="0"/>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质疑项目的名称：________________________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质疑项目的编号：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包   号：________________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采购人名称：____________________________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询价文件获取日期：______________________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三、质疑事项具体内容</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质疑事项1                                       事实依据：____________________________________________________________________________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法律依据：____________________________________________________________________________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质疑事项2</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法律依据：____________________________________________________________________________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四、与质疑事项相关的质疑请求</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请求：________________________________________________________________________________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法定代表人签字(签章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授权代表签字(签章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：_________________</w:t>
            </w:r>
          </w:p>
          <w:p>
            <w:pPr>
              <w:widowControl w:val="0"/>
              <w:jc w:val="both"/>
              <w:rPr>
                <w:rFonts w:hint="eastAsia" w:ascii="仿宋" w:hAnsi="仿宋" w:eastAsia="仿宋" w:cs="仿宋"/>
                <w:color w:val="000000" w:themeColor="text1"/>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公章：___________________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日期：___________________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证据目录清单</w:t>
            </w:r>
          </w:p>
          <w:tbl>
            <w:tblPr>
              <w:tblStyle w:val="3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14"/>
              <w:gridCol w:w="2615"/>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证据名称</w:t>
                  </w: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证据来源</w:t>
                  </w: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widowControl w:val="0"/>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tabs>
          <w:tab w:val="left" w:pos="735"/>
        </w:tabs>
        <w:snapToGrid w:val="0"/>
        <w:spacing w:before="60" w:line="360"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p>
    <w:p>
      <w:pPr>
        <w:pStyle w:val="5"/>
        <w:ind w:left="840"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供应商对采购人或采购代理机构的答复不满意或他们未在规定时间内给予答复的，提出质疑的供应商可以在答复期满后15个工作日内</w:t>
      </w:r>
      <w:r>
        <w:rPr>
          <w:rFonts w:hint="eastAsia" w:ascii="仿宋" w:hAnsi="仿宋" w:eastAsia="仿宋" w:cs="仿宋"/>
          <w:color w:val="000000" w:themeColor="text1"/>
          <w:spacing w:val="-4"/>
          <w:sz w:val="24"/>
          <w:szCs w:val="24"/>
          <w:highlight w:val="none"/>
          <w14:textFill>
            <w14:solidFill>
              <w14:schemeClr w14:val="tx1"/>
            </w14:solidFill>
          </w14:textFill>
        </w:rPr>
        <w:t>向采购监督管理机构投诉。</w:t>
      </w:r>
    </w:p>
    <w:p>
      <w:pPr>
        <w:tabs>
          <w:tab w:val="left" w:pos="735"/>
        </w:tabs>
        <w:snapToGrid w:val="0"/>
        <w:spacing w:before="60" w:line="360" w:lineRule="auto"/>
        <w:ind w:left="422" w:right="420" w:rightChars="200" w:hanging="482" w:hanging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5.4   </w:t>
      </w:r>
      <w:r>
        <w:rPr>
          <w:rFonts w:hint="eastAsia" w:ascii="仿宋" w:hAnsi="仿宋" w:eastAsia="仿宋" w:cs="仿宋"/>
          <w:b/>
          <w:bCs/>
          <w:color w:val="000000" w:themeColor="text1"/>
          <w:sz w:val="24"/>
          <w:szCs w:val="24"/>
          <w:highlight w:val="none"/>
          <w:lang w:eastAsia="zh-CN"/>
          <w14:textFill>
            <w14:solidFill>
              <w14:schemeClr w14:val="tx1"/>
            </w14:solidFill>
          </w14:textFill>
        </w:rPr>
        <w:t>中标</w:t>
      </w:r>
      <w:r>
        <w:rPr>
          <w:rFonts w:hint="eastAsia" w:ascii="仿宋" w:hAnsi="仿宋" w:eastAsia="仿宋" w:cs="仿宋"/>
          <w:b/>
          <w:bCs/>
          <w:color w:val="000000" w:themeColor="text1"/>
          <w:sz w:val="24"/>
          <w:szCs w:val="24"/>
          <w:highlight w:val="none"/>
          <w14:textFill>
            <w14:solidFill>
              <w14:schemeClr w14:val="tx1"/>
            </w14:solidFill>
          </w14:textFill>
        </w:rPr>
        <w:t>通知书</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中标结果公告发布的同时，采购代理机构以书面形式向中标供应商发出《成交通知书》；中标供应商收到《成交通知书》后以书面形式向采购代理机构确认。</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《中标通知书》将是合同的一个组成部分，对采购人和中标供应商具有同等法律效力；《中标通知书》发出后，采购人改变中标结果，或者中标供应商放弃中标的，均应承担相应的法律责任。</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采购代理机构在向中标供应商发出《中标通知书》的同时，发布《招标结果公告》，将招标结果通知未中标供应商。</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5.5   签订合同</w:t>
      </w:r>
    </w:p>
    <w:p>
      <w:pPr>
        <w:widowControl w:val="0"/>
        <w:numPr>
          <w:ilvl w:val="0"/>
          <w:numId w:val="14"/>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成交供应商在收到《中标通知书》后，应按照《中标通知书》规定的时间内，派遣其授权代表与采购人签署合同。</w:t>
      </w:r>
    </w:p>
    <w:p>
      <w:pPr>
        <w:widowControl w:val="0"/>
        <w:numPr>
          <w:ilvl w:val="0"/>
          <w:numId w:val="14"/>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合同的组成基于但不限于以下部分：</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a.《合同书》；</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b. 磋商文件及其澄清、补充文件；</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 成交供应商的响应文件及其澄清、补充文件；</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d.《中标通知书》。</w:t>
      </w:r>
    </w:p>
    <w:p>
      <w:pPr>
        <w:tabs>
          <w:tab w:val="left" w:pos="735"/>
        </w:tabs>
        <w:snapToGrid w:val="0"/>
        <w:spacing w:before="60" w:line="360" w:lineRule="auto"/>
        <w:ind w:left="422" w:right="420" w:rightChars="200" w:hanging="482" w:hanging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5.6  服务费</w:t>
      </w:r>
    </w:p>
    <w:p>
      <w:pPr>
        <w:pStyle w:val="5"/>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（1）中标</w:t>
      </w:r>
      <w:r>
        <w:rPr>
          <w:rFonts w:hint="eastAsia" w:ascii="仿宋" w:hAnsi="仿宋" w:eastAsia="仿宋" w:cs="仿宋"/>
          <w:color w:val="000000" w:themeColor="text1"/>
          <w:spacing w:val="-4"/>
          <w:sz w:val="24"/>
          <w:szCs w:val="24"/>
          <w:highlight w:val="none"/>
          <w14:textFill>
            <w14:solidFill>
              <w14:schemeClr w14:val="tx1"/>
            </w14:solidFill>
          </w14:textFill>
        </w:rPr>
        <w:t>人</w:t>
      </w:r>
      <w:r>
        <w:rPr>
          <w:rFonts w:hint="eastAsia" w:ascii="仿宋" w:hAnsi="仿宋" w:eastAsia="仿宋" w:cs="仿宋"/>
          <w:color w:val="000000" w:themeColor="text1"/>
          <w:sz w:val="24"/>
          <w:szCs w:val="24"/>
          <w:highlight w:val="none"/>
          <w14:textFill>
            <w14:solidFill>
              <w14:schemeClr w14:val="tx1"/>
            </w14:solidFill>
          </w14:textFill>
        </w:rPr>
        <w:t>在</w:t>
      </w:r>
      <w:r>
        <w:rPr>
          <w:rFonts w:hint="eastAsia" w:ascii="仿宋" w:hAnsi="仿宋" w:eastAsia="仿宋" w:cs="仿宋"/>
          <w:color w:val="000000" w:themeColor="text1"/>
          <w:sz w:val="24"/>
          <w:szCs w:val="24"/>
          <w:highlight w:val="none"/>
          <w:lang w:eastAsia="zh-CN"/>
          <w14:textFill>
            <w14:solidFill>
              <w14:schemeClr w14:val="tx1"/>
            </w14:solidFill>
          </w14:textFill>
        </w:rPr>
        <w:t>获</w:t>
      </w:r>
      <w:r>
        <w:rPr>
          <w:rFonts w:hint="eastAsia" w:ascii="仿宋" w:hAnsi="仿宋" w:eastAsia="仿宋" w:cs="仿宋"/>
          <w:color w:val="000000" w:themeColor="text1"/>
          <w:sz w:val="24"/>
          <w:szCs w:val="24"/>
          <w:highlight w:val="none"/>
          <w14:textFill>
            <w14:solidFill>
              <w14:schemeClr w14:val="tx1"/>
            </w14:solidFill>
          </w14:textFill>
        </w:rPr>
        <w:t>取《成交通知书》时应向采购代理机构交纳中标服务费，本项目招标代理服务费收取标准参照（计价格[2002]1980号文）和（发改办价格[2003]857号文件），最终以双方确认为准</w:t>
      </w:r>
    </w:p>
    <w:p>
      <w:pPr>
        <w:pStyle w:val="5"/>
        <w:snapToGrid w:val="0"/>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成交服务费以人民币支付。</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成交服务费支付方式：一次性以电汇、支票或现金等形式支付。</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成交服务费不在报价中单列。</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供应商如果不按规定交纳成交服务费，采购代理机构将在成交人的投标保证金中抵扣服务费。</w:t>
      </w:r>
    </w:p>
    <w:p>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六、保密约定</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在磋商的全过程中，双方人员都应自觉遵守保密约定，以维护招标采购工作的公正、公平，保证招标采购工作的正常进行和完成；</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磋商期间，各方不得向无关人员，尤其是向供应商透露招标工作的内部秘密，如：供应商的名称、数量以及与招标投标有关的重要情况；</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开标前采购人向采购代理机构索要已获取磋商文件的潜在供应商的名称、数量、联系方式或者其它可能与公平竞争有关的招标投标文情况（资料），采购人必须以书面形式索要并具体列出索要的文件清单，采购代理机构同意提供的，采购人要写出有效的收条并严格履行法定的保密义务；</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4）任何一方不应私自与供应商就本投标内容进行单方接触或谈判。因工作需要或业务目的的任何对外活动均应事前、事后互相知会与沟通情况，以使工作协调；</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5）凡因单方泄露情况而导致工作不能顺利进行或无法进行，均视为对项目和对方利益的侵害，责任应由泄密方承担。</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七、磋商文件的解释权</w:t>
      </w:r>
    </w:p>
    <w:p>
      <w:pPr>
        <w:pStyle w:val="5"/>
        <w:snapToGrid w:val="0"/>
        <w:spacing w:before="60"/>
        <w:ind w:left="630" w:hanging="720" w:hangingChars="300"/>
        <w:rPr>
          <w:rFonts w:hint="eastAsia" w:ascii="仿宋" w:hAnsi="仿宋" w:eastAsia="仿宋" w:cs="仿宋"/>
          <w:color w:val="000000" w:themeColor="text1"/>
          <w:sz w:val="24"/>
          <w:szCs w:val="24"/>
          <w:highlight w:val="none"/>
          <w14:textFill>
            <w14:solidFill>
              <w14:schemeClr w14:val="tx1"/>
            </w14:solidFill>
          </w14:textFill>
        </w:rPr>
        <w:sectPr>
          <w:headerReference r:id="rId4" w:type="default"/>
          <w:footerReference r:id="rId5" w:type="default"/>
          <w:pgSz w:w="11907" w:h="16840"/>
          <w:pgMar w:top="1440" w:right="1418" w:bottom="1440" w:left="1418" w:header="851" w:footer="851" w:gutter="0"/>
          <w:pgNumType w:start="1"/>
          <w:cols w:space="720" w:num="1"/>
          <w:docGrid w:linePitch="285" w:charSpace="0"/>
        </w:sectPr>
      </w:pPr>
      <w:r>
        <w:rPr>
          <w:rFonts w:hint="eastAsia" w:ascii="仿宋" w:hAnsi="仿宋" w:eastAsia="仿宋" w:cs="仿宋"/>
          <w:color w:val="000000" w:themeColor="text1"/>
          <w:sz w:val="24"/>
          <w:szCs w:val="24"/>
          <w:highlight w:val="none"/>
          <w14:textFill>
            <w14:solidFill>
              <w14:schemeClr w14:val="tx1"/>
            </w14:solidFill>
          </w14:textFill>
        </w:rPr>
        <w:t>7.1   本磋商文件的解释权归</w:t>
      </w:r>
      <w:r>
        <w:rPr>
          <w:rFonts w:hint="eastAsia" w:ascii="仿宋" w:hAnsi="仿宋" w:eastAsia="仿宋" w:cs="仿宋"/>
          <w:b/>
          <w:color w:val="000000" w:themeColor="text1"/>
          <w:sz w:val="24"/>
          <w:szCs w:val="24"/>
          <w:highlight w:val="none"/>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 xml:space="preserve">所有。 </w:t>
      </w:r>
    </w:p>
    <w:p>
      <w:pPr>
        <w:pStyle w:val="30"/>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策勒县残疾人安装及维修假肢项目（二次）（编号2021-clx- 071号）</w:t>
      </w:r>
    </w:p>
    <w:p>
      <w:pPr>
        <w:pStyle w:val="5"/>
        <w:snapToGrid w:val="0"/>
        <w:spacing w:before="60"/>
        <w:ind w:left="904" w:hanging="723" w:hangingChars="30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初步评审细则表</w:t>
      </w:r>
    </w:p>
    <w:p>
      <w:pPr>
        <w:wordWrap w:val="0"/>
        <w:spacing w:line="360" w:lineRule="auto"/>
        <w:jc w:val="righ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评委签名：____________</w:t>
      </w:r>
    </w:p>
    <w:tbl>
      <w:tblPr>
        <w:tblStyle w:val="33"/>
        <w:tblW w:w="13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6435"/>
        <w:gridCol w:w="1362"/>
        <w:gridCol w:w="1643"/>
        <w:gridCol w:w="1536"/>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891" w:type="dxa"/>
            <w:gridSpan w:val="2"/>
            <w:tcBorders>
              <w:tl2br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报价单位</w:t>
            </w: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评审内容           </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456"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资格性审查</w:t>
            </w: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与公告中合格供应商资格条件要求一致</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631" w:type="dxa"/>
            <w:gridSpan w:val="6"/>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不能通过资格性审查的供应商，不需进行以下内容的审查。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restart"/>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符合性审查</w:t>
            </w: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投标保证金已足额递交</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响应文件完整、符合磋商文件规定的密封、签署、盖章</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报价价格是固定唯一的</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投标有效期为90天</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投标总报价没有超出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最高限价</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商务没有重大偏离或保留</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满足《用户需求书》中功能要求、质量指标和服务要求</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没有其它未实质性响应磋商文件的要求</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891" w:type="dxa"/>
            <w:gridSpan w:val="2"/>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结         论</w:t>
            </w:r>
          </w:p>
        </w:tc>
        <w:tc>
          <w:tcPr>
            <w:tcW w:w="136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4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36"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9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1．表中只需填写“√/通过”或“×/不通过”</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2．在结论栏中按“一票否决”填写“合格”或“不合格”。</w:t>
      </w:r>
    </w:p>
    <w:p>
      <w:pPr>
        <w:pStyle w:val="30"/>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jc w:val="center"/>
        <w:textAlignment w:val="auto"/>
        <w:rPr>
          <w:rFonts w:hint="eastAsia" w:ascii="仿宋" w:hAnsi="仿宋" w:eastAsia="仿宋" w:cs="仿宋"/>
          <w:b/>
          <w:bCs w:val="0"/>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策勒县残疾人安装及维修假肢项目（二次）（编号2021-clx- 071号）</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技术商务评分表</w:t>
      </w:r>
    </w:p>
    <w:tbl>
      <w:tblPr>
        <w:tblStyle w:val="33"/>
        <w:tblW w:w="1420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1"/>
        <w:gridCol w:w="1583"/>
        <w:gridCol w:w="9865"/>
        <w:gridCol w:w="784"/>
        <w:gridCol w:w="11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序号</w:t>
            </w:r>
          </w:p>
        </w:tc>
        <w:tc>
          <w:tcPr>
            <w:tcW w:w="1583" w:type="dxa"/>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评审因素</w:t>
            </w:r>
          </w:p>
        </w:tc>
        <w:tc>
          <w:tcPr>
            <w:tcW w:w="9865" w:type="dxa"/>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评分细则</w:t>
            </w:r>
          </w:p>
        </w:tc>
        <w:tc>
          <w:tcPr>
            <w:tcW w:w="784" w:type="dxa"/>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分值</w:t>
            </w:r>
          </w:p>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（分）</w:t>
            </w:r>
          </w:p>
        </w:tc>
        <w:tc>
          <w:tcPr>
            <w:tcW w:w="1150" w:type="dxa"/>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权重</w:t>
            </w:r>
          </w:p>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821" w:type="dxa"/>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一</w:t>
            </w:r>
          </w:p>
        </w:tc>
        <w:tc>
          <w:tcPr>
            <w:tcW w:w="13382" w:type="dxa"/>
            <w:gridSpan w:val="4"/>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技术部分（合计4</w:t>
            </w:r>
            <w:r>
              <w:rPr>
                <w:rFonts w:hint="eastAsia" w:ascii="仿宋" w:hAnsi="仿宋" w:eastAsia="仿宋" w:cs="仿宋"/>
                <w:b/>
                <w:color w:val="000000" w:themeColor="text1"/>
                <w:sz w:val="21"/>
                <w:szCs w:val="21"/>
                <w:highlight w:val="none"/>
                <w:lang w:val="en-US" w:eastAsia="zh-CN"/>
                <w14:textFill>
                  <w14:solidFill>
                    <w14:schemeClr w14:val="tx1"/>
                  </w14:solidFill>
                </w14:textFill>
              </w:rPr>
              <w:t>5</w:t>
            </w:r>
            <w:r>
              <w:rPr>
                <w:rFonts w:hint="eastAsia" w:ascii="仿宋" w:hAnsi="仿宋" w:eastAsia="仿宋" w:cs="仿宋"/>
                <w:b/>
                <w:color w:val="000000" w:themeColor="text1"/>
                <w:sz w:val="21"/>
                <w:szCs w:val="21"/>
                <w:highlight w:val="none"/>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2"/>
              <w:numPr>
                <w:ilvl w:val="0"/>
                <w:numId w:val="15"/>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snapToGrid w:val="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技术参数响应情况</w:t>
            </w:r>
          </w:p>
        </w:tc>
        <w:tc>
          <w:tcPr>
            <w:tcW w:w="9865" w:type="dxa"/>
            <w:noWrap w:val="0"/>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根据投标人对用户需求书中第四条“技术指标参数”的响应情况进行评审，参数指标完全满足或优于的，得</w:t>
            </w: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14:textFill>
                  <w14:solidFill>
                    <w14:schemeClr w14:val="tx1"/>
                  </w14:solidFill>
                </w14:textFill>
              </w:rPr>
              <w:t>分。</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除标注“★”指标外，每一项标有“▲”条款的参数指标不满足，扣2分，扣完为止。</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每有一项其他条款技术参数指标不满足扣1分，扣完为止。</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注：投标人需提供相关的证明文件，同时还须提供《用户需求书响应一览表》 如实响应，是否偏离情况根据投标人响应描述结合产品彩页、检测报告等证明文件中的内容为准，无证明文件依据的视为负偏离。如虚假提供材料应标后果自负。（以上证明材料原件备查）</w:t>
            </w:r>
          </w:p>
        </w:tc>
        <w:tc>
          <w:tcPr>
            <w:tcW w:w="784" w:type="dxa"/>
            <w:noWrap w:val="0"/>
            <w:vAlign w:val="center"/>
          </w:tcPr>
          <w:p>
            <w:pPr>
              <w:snapToGrid w:val="0"/>
              <w:spacing w:line="288" w:lineRule="auto"/>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1150" w:type="dxa"/>
            <w:noWrap w:val="0"/>
            <w:vAlign w:val="center"/>
          </w:tcPr>
          <w:p>
            <w:pPr>
              <w:snapToGrid w:val="0"/>
              <w:spacing w:line="288" w:lineRule="auto"/>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2"/>
              <w:numPr>
                <w:ilvl w:val="0"/>
                <w:numId w:val="15"/>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widowControl/>
              <w:adjustRightInd w:val="0"/>
              <w:snapToGrid w:val="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lang w:bidi="ar"/>
                <w14:textFill>
                  <w14:solidFill>
                    <w14:schemeClr w14:val="tx1"/>
                  </w14:solidFill>
                </w14:textFill>
              </w:rPr>
              <w:t>服务实施方案</w:t>
            </w:r>
          </w:p>
        </w:tc>
        <w:tc>
          <w:tcPr>
            <w:tcW w:w="9865" w:type="dxa"/>
            <w:noWrap w:val="0"/>
            <w:vAlign w:val="center"/>
          </w:tcPr>
          <w:p>
            <w:pPr>
              <w:adjustRightInd w:val="0"/>
              <w:snapToGrid w:val="0"/>
              <w:textAlignment w:val="top"/>
              <w:rPr>
                <w:rStyle w:val="95"/>
                <w:rFonts w:hint="eastAsia" w:ascii="仿宋" w:hAnsi="仿宋" w:eastAsia="仿宋" w:cs="仿宋"/>
                <w:color w:val="000000" w:themeColor="text1"/>
                <w:sz w:val="21"/>
                <w:szCs w:val="21"/>
                <w:lang w:eastAsia="zh-CN" w:bidi="ar"/>
                <w14:textFill>
                  <w14:solidFill>
                    <w14:schemeClr w14:val="tx1"/>
                  </w14:solidFill>
                </w14:textFill>
              </w:rPr>
            </w:pPr>
            <w:r>
              <w:rPr>
                <w:rStyle w:val="95"/>
                <w:rFonts w:hint="eastAsia" w:ascii="仿宋" w:hAnsi="仿宋" w:eastAsia="仿宋" w:cs="仿宋"/>
                <w:color w:val="000000" w:themeColor="text1"/>
                <w:sz w:val="21"/>
                <w:szCs w:val="21"/>
                <w:lang w:bidi="ar"/>
                <w14:textFill>
                  <w14:solidFill>
                    <w14:schemeClr w14:val="tx1"/>
                  </w14:solidFill>
                </w14:textFill>
              </w:rPr>
              <w:t>方案能根据需求做出深入分析，思路清晰，目标明确，措施完善、可行性高，设备人员配置齐全，有规范的管理</w:t>
            </w:r>
            <w:r>
              <w:rPr>
                <w:rStyle w:val="95"/>
                <w:rFonts w:hint="eastAsia" w:ascii="仿宋" w:hAnsi="仿宋" w:eastAsia="仿宋" w:cs="仿宋"/>
                <w:color w:val="000000" w:themeColor="text1"/>
                <w:sz w:val="21"/>
                <w:szCs w:val="21"/>
                <w:lang w:bidi="ar"/>
                <w14:textFill>
                  <w14:solidFill>
                    <w14:schemeClr w14:val="tx1"/>
                  </w14:solidFill>
                </w14:textFill>
              </w:rPr>
              <w:t>。</w:t>
            </w:r>
          </w:p>
          <w:p>
            <w:pPr>
              <w:adjustRightInd w:val="0"/>
              <w:snapToGrid w:val="0"/>
              <w:textAlignment w:val="top"/>
              <w:rPr>
                <w:rStyle w:val="95"/>
                <w:rFonts w:hint="eastAsia" w:ascii="仿宋" w:hAnsi="仿宋" w:eastAsia="仿宋" w:cs="仿宋"/>
                <w:color w:val="000000" w:themeColor="text1"/>
                <w:sz w:val="21"/>
                <w:szCs w:val="21"/>
                <w:lang w:bidi="ar"/>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对情况了解充分，完全满足项目要求</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Style w:val="95"/>
                <w:rFonts w:hint="eastAsia" w:ascii="仿宋" w:hAnsi="仿宋" w:eastAsia="仿宋" w:cs="仿宋"/>
                <w:color w:val="000000" w:themeColor="text1"/>
                <w:sz w:val="21"/>
                <w:szCs w:val="21"/>
                <w:lang w:bidi="ar"/>
                <w14:textFill>
                  <w14:solidFill>
                    <w14:schemeClr w14:val="tx1"/>
                  </w14:solidFill>
                </w14:textFill>
              </w:rPr>
              <w:t>方案完善可行，具有建设性</w:t>
            </w:r>
            <w:r>
              <w:rPr>
                <w:rStyle w:val="95"/>
                <w:rFonts w:hint="eastAsia" w:ascii="仿宋" w:hAnsi="仿宋" w:eastAsia="仿宋" w:cs="仿宋"/>
                <w:color w:val="000000" w:themeColor="text1"/>
                <w:sz w:val="21"/>
                <w:szCs w:val="21"/>
                <w:lang w:bidi="ar"/>
                <w14:textFill>
                  <w14:solidFill>
                    <w14:schemeClr w14:val="tx1"/>
                  </w14:solidFill>
                </w14:textFill>
              </w:rPr>
              <w:t>为优</w:t>
            </w:r>
            <w:r>
              <w:rPr>
                <w:rStyle w:val="95"/>
                <w:rFonts w:hint="eastAsia" w:ascii="仿宋" w:hAnsi="仿宋" w:eastAsia="仿宋" w:cs="仿宋"/>
                <w:color w:val="000000" w:themeColor="text1"/>
                <w:sz w:val="21"/>
                <w:szCs w:val="21"/>
                <w:lang w:bidi="ar"/>
                <w14:textFill>
                  <w14:solidFill>
                    <w14:schemeClr w14:val="tx1"/>
                  </w14:solidFill>
                </w14:textFill>
              </w:rPr>
              <w:t>，</w:t>
            </w:r>
            <w:r>
              <w:rPr>
                <w:rStyle w:val="95"/>
                <w:rFonts w:hint="eastAsia" w:ascii="仿宋" w:hAnsi="仿宋" w:eastAsia="仿宋" w:cs="仿宋"/>
                <w:color w:val="000000" w:themeColor="text1"/>
                <w:sz w:val="21"/>
                <w:szCs w:val="21"/>
                <w:lang w:bidi="ar"/>
                <w14:textFill>
                  <w14:solidFill>
                    <w14:schemeClr w14:val="tx1"/>
                  </w14:solidFill>
                </w14:textFill>
              </w:rPr>
              <w:t>得</w:t>
            </w:r>
            <w:r>
              <w:rPr>
                <w:rStyle w:val="95"/>
                <w:rFonts w:hint="eastAsia" w:ascii="仿宋" w:hAnsi="仿宋" w:eastAsia="仿宋" w:cs="仿宋"/>
                <w:color w:val="000000" w:themeColor="text1"/>
                <w:sz w:val="21"/>
                <w:szCs w:val="21"/>
                <w:lang w:bidi="ar"/>
                <w14:textFill>
                  <w14:solidFill>
                    <w14:schemeClr w14:val="tx1"/>
                  </w14:solidFill>
                </w14:textFill>
              </w:rPr>
              <w:t xml:space="preserve"> 1</w:t>
            </w:r>
            <w:r>
              <w:rPr>
                <w:rStyle w:val="95"/>
                <w:rFonts w:hint="eastAsia" w:ascii="仿宋" w:hAnsi="仿宋" w:eastAsia="仿宋" w:cs="仿宋"/>
                <w:color w:val="000000" w:themeColor="text1"/>
                <w:sz w:val="21"/>
                <w:szCs w:val="21"/>
                <w:lang w:val="en-US" w:eastAsia="zh-CN" w:bidi="ar"/>
                <w14:textFill>
                  <w14:solidFill>
                    <w14:schemeClr w14:val="tx1"/>
                  </w14:solidFill>
                </w14:textFill>
              </w:rPr>
              <w:t>0</w:t>
            </w:r>
            <w:r>
              <w:rPr>
                <w:rStyle w:val="95"/>
                <w:rFonts w:hint="eastAsia" w:ascii="仿宋" w:hAnsi="仿宋" w:eastAsia="仿宋" w:cs="仿宋"/>
                <w:color w:val="000000" w:themeColor="text1"/>
                <w:sz w:val="21"/>
                <w:szCs w:val="21"/>
                <w:lang w:bidi="ar"/>
                <w14:textFill>
                  <w14:solidFill>
                    <w14:schemeClr w14:val="tx1"/>
                  </w14:solidFill>
                </w14:textFill>
              </w:rPr>
              <w:t>分；</w:t>
            </w:r>
          </w:p>
          <w:p>
            <w:pPr>
              <w:adjustRightInd w:val="0"/>
              <w:snapToGrid w:val="0"/>
              <w:textAlignment w:val="top"/>
              <w:rPr>
                <w:rStyle w:val="95"/>
                <w:rFonts w:hint="eastAsia" w:ascii="仿宋" w:hAnsi="仿宋" w:eastAsia="仿宋" w:cs="仿宋"/>
                <w:color w:val="000000" w:themeColor="text1"/>
                <w:sz w:val="21"/>
                <w:szCs w:val="21"/>
                <w:lang w:bidi="ar"/>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对情况</w:t>
            </w:r>
            <w:r>
              <w:rPr>
                <w:rFonts w:hint="eastAsia" w:ascii="仿宋" w:hAnsi="仿宋" w:eastAsia="仿宋" w:cs="仿宋"/>
                <w:color w:val="000000" w:themeColor="text1"/>
                <w:sz w:val="21"/>
                <w:szCs w:val="21"/>
                <w:highlight w:val="none"/>
                <w:lang w:val="en-US" w:eastAsia="zh-CN"/>
                <w14:textFill>
                  <w14:solidFill>
                    <w14:schemeClr w14:val="tx1"/>
                  </w14:solidFill>
                </w14:textFill>
              </w:rPr>
              <w:t>了解充分，</w:t>
            </w:r>
            <w:r>
              <w:rPr>
                <w:rStyle w:val="95"/>
                <w:rFonts w:hint="eastAsia" w:ascii="仿宋" w:hAnsi="仿宋" w:eastAsia="仿宋" w:cs="仿宋"/>
                <w:color w:val="000000" w:themeColor="text1"/>
                <w:sz w:val="21"/>
                <w:szCs w:val="21"/>
                <w:lang w:bidi="ar"/>
                <w14:textFill>
                  <w14:solidFill>
                    <w14:schemeClr w14:val="tx1"/>
                  </w14:solidFill>
                </w14:textFill>
              </w:rPr>
              <w:t>方案较为完善</w:t>
            </w:r>
            <w:r>
              <w:rPr>
                <w:rStyle w:val="95"/>
                <w:rFonts w:hint="eastAsia" w:ascii="仿宋" w:hAnsi="仿宋" w:eastAsia="仿宋" w:cs="仿宋"/>
                <w:color w:val="000000" w:themeColor="text1"/>
                <w:sz w:val="21"/>
                <w:szCs w:val="21"/>
                <w:lang w:bidi="ar"/>
                <w14:textFill>
                  <w14:solidFill>
                    <w14:schemeClr w14:val="tx1"/>
                  </w14:solidFill>
                </w14:textFill>
              </w:rPr>
              <w:t>，</w:t>
            </w:r>
            <w:r>
              <w:rPr>
                <w:rStyle w:val="95"/>
                <w:rFonts w:hint="eastAsia" w:ascii="仿宋" w:hAnsi="仿宋" w:eastAsia="仿宋" w:cs="仿宋"/>
                <w:color w:val="000000" w:themeColor="text1"/>
                <w:sz w:val="21"/>
                <w:szCs w:val="21"/>
                <w:lang w:bidi="ar"/>
                <w14:textFill>
                  <w14:solidFill>
                    <w14:schemeClr w14:val="tx1"/>
                  </w14:solidFill>
                </w14:textFill>
              </w:rPr>
              <w:t>具有可行性为良</w:t>
            </w:r>
            <w:r>
              <w:rPr>
                <w:rStyle w:val="95"/>
                <w:rFonts w:hint="eastAsia" w:ascii="仿宋" w:hAnsi="仿宋" w:eastAsia="仿宋" w:cs="仿宋"/>
                <w:color w:val="000000" w:themeColor="text1"/>
                <w:sz w:val="21"/>
                <w:szCs w:val="21"/>
                <w:lang w:bidi="ar"/>
                <w14:textFill>
                  <w14:solidFill>
                    <w14:schemeClr w14:val="tx1"/>
                  </w14:solidFill>
                </w14:textFill>
              </w:rPr>
              <w:t>，</w:t>
            </w:r>
            <w:r>
              <w:rPr>
                <w:rStyle w:val="95"/>
                <w:rFonts w:hint="eastAsia" w:ascii="仿宋" w:hAnsi="仿宋" w:eastAsia="仿宋" w:cs="仿宋"/>
                <w:color w:val="000000" w:themeColor="text1"/>
                <w:sz w:val="21"/>
                <w:szCs w:val="21"/>
                <w:lang w:bidi="ar"/>
                <w14:textFill>
                  <w14:solidFill>
                    <w14:schemeClr w14:val="tx1"/>
                  </w14:solidFill>
                </w14:textFill>
              </w:rPr>
              <w:t>得</w:t>
            </w:r>
            <w:r>
              <w:rPr>
                <w:rStyle w:val="95"/>
                <w:rFonts w:hint="eastAsia" w:ascii="仿宋" w:hAnsi="仿宋" w:eastAsia="仿宋" w:cs="仿宋"/>
                <w:color w:val="000000" w:themeColor="text1"/>
                <w:sz w:val="21"/>
                <w:szCs w:val="21"/>
                <w:lang w:val="en-US" w:eastAsia="zh-CN" w:bidi="ar"/>
                <w14:textFill>
                  <w14:solidFill>
                    <w14:schemeClr w14:val="tx1"/>
                  </w14:solidFill>
                </w14:textFill>
              </w:rPr>
              <w:t>8</w:t>
            </w:r>
            <w:r>
              <w:rPr>
                <w:rStyle w:val="95"/>
                <w:rFonts w:hint="eastAsia" w:ascii="仿宋" w:hAnsi="仿宋" w:eastAsia="仿宋" w:cs="仿宋"/>
                <w:color w:val="000000" w:themeColor="text1"/>
                <w:sz w:val="21"/>
                <w:szCs w:val="21"/>
                <w:lang w:bidi="ar"/>
                <w14:textFill>
                  <w14:solidFill>
                    <w14:schemeClr w14:val="tx1"/>
                  </w14:solidFill>
                </w14:textFill>
              </w:rPr>
              <w:t>分；</w:t>
            </w:r>
          </w:p>
          <w:p>
            <w:pPr>
              <w:adjustRightInd w:val="0"/>
              <w:snapToGrid w:val="0"/>
              <w:textAlignment w:val="top"/>
              <w:rPr>
                <w:rStyle w:val="95"/>
                <w:rFonts w:hint="eastAsia" w:ascii="仿宋" w:hAnsi="仿宋" w:eastAsia="仿宋" w:cs="仿宋"/>
                <w:color w:val="000000" w:themeColor="text1"/>
                <w:sz w:val="21"/>
                <w:szCs w:val="21"/>
                <w:lang w:bidi="ar"/>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对情况了解比较充分，基本满足项目要求</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Style w:val="95"/>
                <w:rFonts w:hint="eastAsia" w:ascii="仿宋" w:hAnsi="仿宋" w:eastAsia="仿宋" w:cs="仿宋"/>
                <w:color w:val="000000" w:themeColor="text1"/>
                <w:sz w:val="21"/>
                <w:szCs w:val="21"/>
                <w:lang w:bidi="ar"/>
                <w14:textFill>
                  <w14:solidFill>
                    <w14:schemeClr w14:val="tx1"/>
                  </w14:solidFill>
                </w14:textFill>
              </w:rPr>
              <w:t>方案内容一般，不够具体为中，得5分；</w:t>
            </w:r>
          </w:p>
          <w:p>
            <w:pPr>
              <w:adjustRightInd w:val="0"/>
              <w:snapToGrid w:val="0"/>
              <w:textAlignment w:val="top"/>
              <w:rPr>
                <w:rStyle w:val="95"/>
                <w:rFonts w:hint="eastAsia" w:ascii="仿宋" w:hAnsi="仿宋" w:eastAsia="仿宋" w:cs="仿宋"/>
                <w:color w:val="000000" w:themeColor="text1"/>
                <w:sz w:val="21"/>
                <w:szCs w:val="21"/>
                <w:lang w:bidi="ar"/>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对情况了解一般，基本满足项目要求</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Style w:val="95"/>
                <w:rFonts w:hint="eastAsia" w:ascii="仿宋" w:hAnsi="仿宋" w:eastAsia="仿宋" w:cs="仿宋"/>
                <w:color w:val="000000" w:themeColor="text1"/>
                <w:sz w:val="21"/>
                <w:szCs w:val="21"/>
                <w:lang w:bidi="ar"/>
                <w14:textFill>
                  <w14:solidFill>
                    <w14:schemeClr w14:val="tx1"/>
                  </w14:solidFill>
                </w14:textFill>
              </w:rPr>
              <w:t>方案内容不完整</w:t>
            </w:r>
            <w:r>
              <w:rPr>
                <w:rStyle w:val="95"/>
                <w:rFonts w:hint="eastAsia" w:ascii="仿宋" w:hAnsi="仿宋" w:eastAsia="仿宋" w:cs="仿宋"/>
                <w:color w:val="000000" w:themeColor="text1"/>
                <w:sz w:val="21"/>
                <w:szCs w:val="21"/>
                <w:lang w:bidi="ar"/>
                <w14:textFill>
                  <w14:solidFill>
                    <w14:schemeClr w14:val="tx1"/>
                  </w14:solidFill>
                </w14:textFill>
              </w:rPr>
              <w:t>，</w:t>
            </w:r>
            <w:r>
              <w:rPr>
                <w:rStyle w:val="95"/>
                <w:rFonts w:hint="eastAsia" w:ascii="仿宋" w:hAnsi="仿宋" w:eastAsia="仿宋" w:cs="仿宋"/>
                <w:color w:val="000000" w:themeColor="text1"/>
                <w:sz w:val="21"/>
                <w:szCs w:val="21"/>
                <w:lang w:bidi="ar"/>
                <w14:textFill>
                  <w14:solidFill>
                    <w14:schemeClr w14:val="tx1"/>
                  </w14:solidFill>
                </w14:textFill>
              </w:rPr>
              <w:t>可行性为差得</w:t>
            </w:r>
            <w:r>
              <w:rPr>
                <w:rStyle w:val="95"/>
                <w:rFonts w:hint="eastAsia" w:ascii="仿宋" w:hAnsi="仿宋" w:eastAsia="仿宋" w:cs="仿宋"/>
                <w:color w:val="000000" w:themeColor="text1"/>
                <w:sz w:val="21"/>
                <w:szCs w:val="21"/>
                <w:lang w:bidi="ar"/>
                <w14:textFill>
                  <w14:solidFill>
                    <w14:schemeClr w14:val="tx1"/>
                  </w14:solidFill>
                </w14:textFill>
              </w:rPr>
              <w:t>，2</w:t>
            </w:r>
            <w:r>
              <w:rPr>
                <w:rStyle w:val="95"/>
                <w:rFonts w:hint="eastAsia" w:ascii="仿宋" w:hAnsi="仿宋" w:eastAsia="仿宋" w:cs="仿宋"/>
                <w:color w:val="000000" w:themeColor="text1"/>
                <w:sz w:val="21"/>
                <w:szCs w:val="21"/>
                <w:lang w:bidi="ar"/>
                <w14:textFill>
                  <w14:solidFill>
                    <w14:schemeClr w14:val="tx1"/>
                  </w14:solidFill>
                </w14:textFill>
              </w:rPr>
              <w:t>分。</w:t>
            </w:r>
          </w:p>
          <w:p>
            <w:pPr>
              <w:adjustRightInd w:val="0"/>
              <w:snapToGrid w:val="0"/>
              <w:textAlignment w:val="top"/>
              <w:rPr>
                <w:rStyle w:val="95"/>
                <w:rFonts w:hint="eastAsia" w:ascii="仿宋" w:hAnsi="仿宋" w:eastAsia="仿宋" w:cs="仿宋"/>
                <w:color w:val="000000" w:themeColor="text1"/>
                <w:sz w:val="21"/>
                <w:szCs w:val="21"/>
                <w:lang w:bidi="ar"/>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对情况不了解，不满足项目要求</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Style w:val="95"/>
                <w:rFonts w:hint="eastAsia" w:ascii="仿宋" w:hAnsi="仿宋" w:eastAsia="仿宋" w:cs="仿宋"/>
                <w:color w:val="000000" w:themeColor="text1"/>
                <w:sz w:val="21"/>
                <w:szCs w:val="21"/>
                <w:lang w:bidi="ar"/>
                <w14:textFill>
                  <w14:solidFill>
                    <w14:schemeClr w14:val="tx1"/>
                  </w14:solidFill>
                </w14:textFill>
              </w:rPr>
              <w:t>不提供方案得0分。</w:t>
            </w:r>
          </w:p>
          <w:p>
            <w:pPr>
              <w:adjustRightInd w:val="0"/>
              <w:snapToGrid w:val="0"/>
              <w:textAlignment w:val="top"/>
              <w:rPr>
                <w:rFonts w:hint="eastAsia" w:ascii="仿宋" w:hAnsi="仿宋" w:eastAsia="仿宋" w:cs="仿宋"/>
                <w:color w:val="000000" w:themeColor="text1"/>
                <w:sz w:val="21"/>
                <w:szCs w:val="21"/>
                <w:lang w:val="en-US"/>
                <w14:textFill>
                  <w14:solidFill>
                    <w14:schemeClr w14:val="tx1"/>
                  </w14:solidFill>
                </w14:textFill>
              </w:rPr>
            </w:pPr>
            <w:r>
              <w:rPr>
                <w:rStyle w:val="95"/>
                <w:rFonts w:hint="eastAsia" w:ascii="仿宋" w:hAnsi="仿宋" w:eastAsia="仿宋" w:cs="仿宋"/>
                <w:color w:val="000000" w:themeColor="text1"/>
                <w:sz w:val="21"/>
                <w:szCs w:val="21"/>
                <w:lang w:val="en-US" w:eastAsia="zh-CN" w:bidi="ar"/>
                <w14:textFill>
                  <w14:solidFill>
                    <w14:schemeClr w14:val="tx1"/>
                  </w14:solidFill>
                </w14:textFill>
              </w:rPr>
              <w:t>注：需包含新装假肢服务方案及维修假肢服务方案，如有缺失不得分。</w:t>
            </w:r>
          </w:p>
        </w:tc>
        <w:tc>
          <w:tcPr>
            <w:tcW w:w="784" w:type="dxa"/>
            <w:noWrap w:val="0"/>
            <w:vAlign w:val="center"/>
          </w:tcPr>
          <w:p>
            <w:pPr>
              <w:snapToGrid w:val="0"/>
              <w:spacing w:line="288" w:lineRule="auto"/>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1150" w:type="dxa"/>
            <w:noWrap w:val="0"/>
            <w:vAlign w:val="center"/>
          </w:tcPr>
          <w:p>
            <w:pPr>
              <w:snapToGrid w:val="0"/>
              <w:spacing w:line="288" w:lineRule="auto"/>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821" w:type="dxa"/>
            <w:noWrap w:val="0"/>
            <w:vAlign w:val="center"/>
          </w:tcPr>
          <w:p>
            <w:pPr>
              <w:pStyle w:val="82"/>
              <w:numPr>
                <w:ilvl w:val="0"/>
                <w:numId w:val="15"/>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widowControl/>
              <w:adjustRightInd w:val="0"/>
              <w:snapToGrid w:val="0"/>
              <w:jc w:val="center"/>
              <w:rPr>
                <w:rFonts w:hint="eastAsia" w:ascii="仿宋" w:hAnsi="仿宋" w:eastAsia="仿宋" w:cs="仿宋"/>
                <w:color w:val="000000" w:themeColor="text1"/>
                <w:sz w:val="21"/>
                <w:szCs w:val="21"/>
                <w:highlight w:val="none"/>
                <w:lang w:bidi="ar-SA"/>
                <w14:textFill>
                  <w14:solidFill>
                    <w14:schemeClr w14:val="tx1"/>
                  </w14:solidFill>
                </w14:textFill>
              </w:rPr>
            </w:pPr>
            <w:r>
              <w:rPr>
                <w:rFonts w:hint="eastAsia" w:ascii="仿宋" w:hAnsi="仿宋" w:eastAsia="仿宋" w:cs="仿宋"/>
                <w:color w:val="000000" w:themeColor="text1"/>
                <w:sz w:val="21"/>
                <w:szCs w:val="21"/>
                <w:lang w:bidi="ar"/>
                <w14:textFill>
                  <w14:solidFill>
                    <w14:schemeClr w14:val="tx1"/>
                  </w14:solidFill>
                </w14:textFill>
              </w:rPr>
              <w:t xml:space="preserve">产品质量保障 </w:t>
            </w:r>
          </w:p>
        </w:tc>
        <w:tc>
          <w:tcPr>
            <w:tcW w:w="9865" w:type="dxa"/>
            <w:noWrap w:val="0"/>
            <w:vAlign w:val="top"/>
          </w:tcPr>
          <w:p>
            <w:pPr>
              <w:widowControl/>
              <w:adjustRightInd w:val="0"/>
              <w:snapToGrid w:val="0"/>
              <w:jc w:val="left"/>
              <w:rPr>
                <w:rStyle w:val="95"/>
                <w:rFonts w:hint="eastAsia" w:ascii="仿宋" w:hAnsi="仿宋" w:eastAsia="仿宋" w:cs="仿宋"/>
                <w:color w:val="000000" w:themeColor="text1"/>
                <w:sz w:val="21"/>
                <w:szCs w:val="21"/>
                <w:lang w:bidi="ar"/>
                <w14:textFill>
                  <w14:solidFill>
                    <w14:schemeClr w14:val="tx1"/>
                  </w14:solidFill>
                </w14:textFill>
              </w:rPr>
            </w:pPr>
            <w:r>
              <w:rPr>
                <w:rStyle w:val="95"/>
                <w:rFonts w:hint="eastAsia" w:ascii="仿宋" w:hAnsi="仿宋" w:eastAsia="仿宋" w:cs="仿宋"/>
                <w:color w:val="000000" w:themeColor="text1"/>
                <w:sz w:val="21"/>
                <w:szCs w:val="21"/>
                <w:lang w:bidi="ar"/>
                <w14:textFill>
                  <w14:solidFill>
                    <w14:schemeClr w14:val="tx1"/>
                  </w14:solidFill>
                </w14:textFill>
              </w:rPr>
              <w:t xml:space="preserve">根据投标人所投产品的质量保障情况（包括但不限于功能效率、使用用途、产品成熟度、产品的可维修性、各环节的质量保证措施等），进行综合评价： </w:t>
            </w:r>
          </w:p>
          <w:p>
            <w:pPr>
              <w:widowControl/>
              <w:numPr>
                <w:ilvl w:val="0"/>
                <w:numId w:val="16"/>
              </w:numPr>
              <w:adjustRightInd w:val="0"/>
              <w:snapToGrid w:val="0"/>
              <w:jc w:val="left"/>
              <w:rPr>
                <w:rStyle w:val="95"/>
                <w:rFonts w:hint="eastAsia" w:ascii="仿宋" w:hAnsi="仿宋" w:eastAsia="仿宋" w:cs="仿宋"/>
                <w:color w:val="000000" w:themeColor="text1"/>
                <w:sz w:val="21"/>
                <w:szCs w:val="21"/>
                <w:lang w:bidi="ar"/>
                <w14:textFill>
                  <w14:solidFill>
                    <w14:schemeClr w14:val="tx1"/>
                  </w14:solidFill>
                </w14:textFill>
              </w:rPr>
            </w:pPr>
            <w:r>
              <w:rPr>
                <w:rStyle w:val="95"/>
                <w:rFonts w:hint="eastAsia" w:ascii="仿宋" w:hAnsi="仿宋" w:eastAsia="仿宋" w:cs="仿宋"/>
                <w:color w:val="000000" w:themeColor="text1"/>
                <w:sz w:val="21"/>
                <w:szCs w:val="21"/>
                <w:lang w:bidi="ar"/>
                <w14:textFill>
                  <w14:solidFill>
                    <w14:schemeClr w14:val="tx1"/>
                  </w14:solidFill>
                </w14:textFill>
              </w:rPr>
              <w:t>投标产品 的性能优质，用途的符合性及产品的成熟度高，各环节的质量保证措施完善，产品质 量有保证，得</w:t>
            </w:r>
            <w:r>
              <w:rPr>
                <w:rStyle w:val="95"/>
                <w:rFonts w:hint="eastAsia" w:ascii="仿宋" w:hAnsi="仿宋" w:eastAsia="仿宋" w:cs="仿宋"/>
                <w:color w:val="000000" w:themeColor="text1"/>
                <w:sz w:val="21"/>
                <w:szCs w:val="21"/>
                <w:lang w:val="en-US" w:eastAsia="zh-CN" w:bidi="ar"/>
                <w14:textFill>
                  <w14:solidFill>
                    <w14:schemeClr w14:val="tx1"/>
                  </w14:solidFill>
                </w14:textFill>
              </w:rPr>
              <w:t>8</w:t>
            </w:r>
            <w:r>
              <w:rPr>
                <w:rStyle w:val="95"/>
                <w:rFonts w:hint="eastAsia" w:ascii="仿宋" w:hAnsi="仿宋" w:eastAsia="仿宋" w:cs="仿宋"/>
                <w:color w:val="000000" w:themeColor="text1"/>
                <w:sz w:val="21"/>
                <w:szCs w:val="21"/>
                <w:lang w:bidi="ar"/>
                <w14:textFill>
                  <w14:solidFill>
                    <w14:schemeClr w14:val="tx1"/>
                  </w14:solidFill>
                </w14:textFill>
              </w:rPr>
              <w:t xml:space="preserve">分； </w:t>
            </w:r>
          </w:p>
          <w:p>
            <w:pPr>
              <w:widowControl/>
              <w:numPr>
                <w:ilvl w:val="0"/>
                <w:numId w:val="16"/>
              </w:numPr>
              <w:adjustRightInd w:val="0"/>
              <w:snapToGrid w:val="0"/>
              <w:jc w:val="left"/>
              <w:rPr>
                <w:rFonts w:hint="eastAsia" w:ascii="仿宋" w:hAnsi="仿宋" w:eastAsia="仿宋" w:cs="仿宋"/>
                <w:color w:val="000000" w:themeColor="text1"/>
                <w:sz w:val="21"/>
                <w:szCs w:val="21"/>
                <w:highlight w:val="none"/>
                <w14:textFill>
                  <w14:solidFill>
                    <w14:schemeClr w14:val="tx1"/>
                  </w14:solidFill>
                </w14:textFill>
              </w:rPr>
            </w:pPr>
            <w:r>
              <w:rPr>
                <w:rStyle w:val="95"/>
                <w:rFonts w:hint="eastAsia" w:ascii="仿宋" w:hAnsi="仿宋" w:eastAsia="仿宋" w:cs="仿宋"/>
                <w:color w:val="000000" w:themeColor="text1"/>
                <w:sz w:val="21"/>
                <w:szCs w:val="21"/>
                <w:lang w:bidi="ar"/>
                <w14:textFill>
                  <w14:solidFill>
                    <w14:schemeClr w14:val="tx1"/>
                  </w14:solidFill>
                </w14:textFill>
              </w:rPr>
              <w:t>投标产品的性能良好，用途的符合性及产品的成熟度较高 ，各环节的质量保证措施完整，产品质量较有保证得</w:t>
            </w:r>
            <w:r>
              <w:rPr>
                <w:rStyle w:val="95"/>
                <w:rFonts w:hint="eastAsia" w:ascii="仿宋" w:hAnsi="仿宋" w:eastAsia="仿宋" w:cs="仿宋"/>
                <w:color w:val="000000" w:themeColor="text1"/>
                <w:sz w:val="21"/>
                <w:szCs w:val="21"/>
                <w:lang w:val="en-US" w:eastAsia="zh-CN" w:bidi="ar"/>
                <w14:textFill>
                  <w14:solidFill>
                    <w14:schemeClr w14:val="tx1"/>
                  </w14:solidFill>
                </w14:textFill>
              </w:rPr>
              <w:t>6</w:t>
            </w:r>
            <w:r>
              <w:rPr>
                <w:rStyle w:val="95"/>
                <w:rFonts w:hint="eastAsia" w:ascii="仿宋" w:hAnsi="仿宋" w:eastAsia="仿宋" w:cs="仿宋"/>
                <w:color w:val="000000" w:themeColor="text1"/>
                <w:sz w:val="21"/>
                <w:szCs w:val="21"/>
                <w:lang w:bidi="ar"/>
                <w14:textFill>
                  <w14:solidFill>
                    <w14:schemeClr w14:val="tx1"/>
                  </w14:solidFill>
                </w14:textFill>
              </w:rPr>
              <w:t xml:space="preserve">分； </w:t>
            </w:r>
          </w:p>
          <w:p>
            <w:pPr>
              <w:widowControl/>
              <w:numPr>
                <w:ilvl w:val="0"/>
                <w:numId w:val="16"/>
              </w:numPr>
              <w:adjustRightInd w:val="0"/>
              <w:snapToGrid w:val="0"/>
              <w:jc w:val="left"/>
              <w:rPr>
                <w:rFonts w:hint="eastAsia" w:ascii="仿宋" w:hAnsi="仿宋" w:eastAsia="仿宋" w:cs="仿宋"/>
                <w:color w:val="000000" w:themeColor="text1"/>
                <w:sz w:val="21"/>
                <w:szCs w:val="21"/>
                <w:highlight w:val="none"/>
                <w14:textFill>
                  <w14:solidFill>
                    <w14:schemeClr w14:val="tx1"/>
                  </w14:solidFill>
                </w14:textFill>
              </w:rPr>
            </w:pPr>
            <w:r>
              <w:rPr>
                <w:rStyle w:val="95"/>
                <w:rFonts w:hint="eastAsia" w:ascii="仿宋" w:hAnsi="仿宋" w:eastAsia="仿宋" w:cs="仿宋"/>
                <w:color w:val="000000" w:themeColor="text1"/>
                <w:sz w:val="21"/>
                <w:szCs w:val="21"/>
                <w:lang w:bidi="ar"/>
                <w14:textFill>
                  <w14:solidFill>
                    <w14:schemeClr w14:val="tx1"/>
                  </w14:solidFill>
                </w14:textFill>
              </w:rPr>
              <w:t>投标产品的性能普 通，用途的符合性及产品的成熟度一般，产品质量保证性一般，得</w:t>
            </w:r>
            <w:r>
              <w:rPr>
                <w:rStyle w:val="95"/>
                <w:rFonts w:hint="eastAsia" w:ascii="仿宋" w:hAnsi="仿宋" w:eastAsia="仿宋" w:cs="仿宋"/>
                <w:color w:val="000000" w:themeColor="text1"/>
                <w:sz w:val="21"/>
                <w:szCs w:val="21"/>
                <w:lang w:val="en-US" w:eastAsia="zh-CN" w:bidi="ar"/>
                <w14:textFill>
                  <w14:solidFill>
                    <w14:schemeClr w14:val="tx1"/>
                  </w14:solidFill>
                </w14:textFill>
              </w:rPr>
              <w:t>3</w:t>
            </w:r>
            <w:r>
              <w:rPr>
                <w:rStyle w:val="95"/>
                <w:rFonts w:hint="eastAsia" w:ascii="仿宋" w:hAnsi="仿宋" w:eastAsia="仿宋" w:cs="仿宋"/>
                <w:color w:val="000000" w:themeColor="text1"/>
                <w:sz w:val="21"/>
                <w:szCs w:val="21"/>
                <w:lang w:bidi="ar"/>
                <w14:textFill>
                  <w14:solidFill>
                    <w14:schemeClr w14:val="tx1"/>
                  </w14:solidFill>
                </w14:textFill>
              </w:rPr>
              <w:t xml:space="preserve">分； </w:t>
            </w:r>
          </w:p>
          <w:p>
            <w:pPr>
              <w:widowControl/>
              <w:numPr>
                <w:ilvl w:val="0"/>
                <w:numId w:val="16"/>
              </w:numPr>
              <w:adjustRightInd w:val="0"/>
              <w:snapToGrid w:val="0"/>
              <w:jc w:val="left"/>
              <w:rPr>
                <w:rFonts w:hint="eastAsia" w:ascii="仿宋" w:hAnsi="仿宋" w:eastAsia="仿宋" w:cs="仿宋"/>
                <w:color w:val="000000" w:themeColor="text1"/>
                <w:sz w:val="21"/>
                <w:szCs w:val="21"/>
                <w:highlight w:val="none"/>
                <w14:textFill>
                  <w14:solidFill>
                    <w14:schemeClr w14:val="tx1"/>
                  </w14:solidFill>
                </w14:textFill>
              </w:rPr>
            </w:pPr>
            <w:r>
              <w:rPr>
                <w:rStyle w:val="95"/>
                <w:rFonts w:hint="eastAsia" w:ascii="仿宋" w:hAnsi="仿宋" w:eastAsia="仿宋" w:cs="仿宋"/>
                <w:color w:val="000000" w:themeColor="text1"/>
                <w:sz w:val="21"/>
                <w:szCs w:val="21"/>
                <w:lang w:bidi="ar"/>
                <w14:textFill>
                  <w14:solidFill>
                    <w14:schemeClr w14:val="tx1"/>
                  </w14:solidFill>
                </w14:textFill>
              </w:rPr>
              <w:t>投标产 品的性能较差，用途的符合性及产品的成熟度较差，产品质量保证性较差，得1分。</w:t>
            </w:r>
          </w:p>
        </w:tc>
        <w:tc>
          <w:tcPr>
            <w:tcW w:w="784" w:type="dxa"/>
            <w:noWrap w:val="0"/>
            <w:vAlign w:val="center"/>
          </w:tcPr>
          <w:p>
            <w:pPr>
              <w:snapToGrid w:val="0"/>
              <w:spacing w:line="288" w:lineRule="auto"/>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8</w:t>
            </w:r>
          </w:p>
        </w:tc>
        <w:tc>
          <w:tcPr>
            <w:tcW w:w="1150" w:type="dxa"/>
            <w:noWrap w:val="0"/>
            <w:vAlign w:val="center"/>
          </w:tcPr>
          <w:p>
            <w:pPr>
              <w:snapToGrid w:val="0"/>
              <w:spacing w:line="288" w:lineRule="auto"/>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821" w:type="dxa"/>
            <w:noWrap w:val="0"/>
            <w:vAlign w:val="center"/>
          </w:tcPr>
          <w:p>
            <w:pPr>
              <w:pStyle w:val="82"/>
              <w:numPr>
                <w:ilvl w:val="0"/>
                <w:numId w:val="15"/>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widowControl/>
              <w:adjustRightInd w:val="0"/>
              <w:snapToGrid w:val="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lang w:bidi="ar"/>
                <w14:textFill>
                  <w14:solidFill>
                    <w14:schemeClr w14:val="tx1"/>
                  </w14:solidFill>
                </w14:textFill>
              </w:rPr>
              <w:t>售后服务方案及应急措施</w:t>
            </w:r>
          </w:p>
        </w:tc>
        <w:tc>
          <w:tcPr>
            <w:tcW w:w="9865" w:type="dxa"/>
            <w:noWrap w:val="0"/>
            <w:vAlign w:val="center"/>
          </w:tcPr>
          <w:p>
            <w:pPr>
              <w:adjustRightInd w:val="0"/>
              <w:snapToGrid w:val="0"/>
              <w:textAlignment w:val="center"/>
              <w:rPr>
                <w:rFonts w:hint="eastAsia" w:ascii="仿宋" w:hAnsi="仿宋" w:eastAsia="仿宋" w:cs="仿宋"/>
                <w:color w:val="000000" w:themeColor="text1"/>
                <w:sz w:val="21"/>
                <w:szCs w:val="21"/>
                <w:lang w:bidi="ar"/>
                <w14:textFill>
                  <w14:solidFill>
                    <w14:schemeClr w14:val="tx1"/>
                  </w14:solidFill>
                </w14:textFill>
              </w:rPr>
            </w:pPr>
            <w:r>
              <w:rPr>
                <w:rFonts w:hint="eastAsia" w:ascii="仿宋" w:hAnsi="仿宋" w:eastAsia="仿宋" w:cs="仿宋"/>
                <w:color w:val="000000" w:themeColor="text1"/>
                <w:sz w:val="21"/>
                <w:szCs w:val="21"/>
                <w:lang w:bidi="ar"/>
                <w14:textFill>
                  <w14:solidFill>
                    <w14:schemeClr w14:val="tx1"/>
                  </w14:solidFill>
                </w14:textFill>
              </w:rPr>
              <w:t>售后服务方案内容优于招标文件要求，提出完善且有效的应急措施为优，得10分；</w:t>
            </w:r>
          </w:p>
          <w:p>
            <w:pPr>
              <w:adjustRightInd w:val="0"/>
              <w:snapToGrid w:val="0"/>
              <w:textAlignment w:val="center"/>
              <w:rPr>
                <w:rFonts w:hint="eastAsia" w:ascii="仿宋" w:hAnsi="仿宋" w:eastAsia="仿宋" w:cs="仿宋"/>
                <w:color w:val="000000" w:themeColor="text1"/>
                <w:sz w:val="21"/>
                <w:szCs w:val="21"/>
                <w:lang w:bidi="ar"/>
                <w14:textFill>
                  <w14:solidFill>
                    <w14:schemeClr w14:val="tx1"/>
                  </w14:solidFill>
                </w14:textFill>
              </w:rPr>
            </w:pPr>
            <w:r>
              <w:rPr>
                <w:rFonts w:hint="eastAsia" w:ascii="仿宋" w:hAnsi="仿宋" w:eastAsia="仿宋" w:cs="仿宋"/>
                <w:color w:val="000000" w:themeColor="text1"/>
                <w:sz w:val="21"/>
                <w:szCs w:val="21"/>
                <w:lang w:bidi="ar"/>
                <w14:textFill>
                  <w14:solidFill>
                    <w14:schemeClr w14:val="tx1"/>
                  </w14:solidFill>
                </w14:textFill>
              </w:rPr>
              <w:t>售后服务方案内容满足招标文件要求，提出较完善且较有效的应急措施的为良，得7分；</w:t>
            </w:r>
          </w:p>
          <w:p>
            <w:pPr>
              <w:adjustRightInd w:val="0"/>
              <w:snapToGrid w:val="0"/>
              <w:textAlignment w:val="center"/>
              <w:rPr>
                <w:rFonts w:hint="eastAsia" w:ascii="仿宋" w:hAnsi="仿宋" w:eastAsia="仿宋" w:cs="仿宋"/>
                <w:color w:val="000000" w:themeColor="text1"/>
                <w:sz w:val="21"/>
                <w:szCs w:val="21"/>
                <w:lang w:bidi="ar"/>
                <w14:textFill>
                  <w14:solidFill>
                    <w14:schemeClr w14:val="tx1"/>
                  </w14:solidFill>
                </w14:textFill>
              </w:rPr>
            </w:pPr>
            <w:r>
              <w:rPr>
                <w:rFonts w:hint="eastAsia" w:ascii="仿宋" w:hAnsi="仿宋" w:eastAsia="仿宋" w:cs="仿宋"/>
                <w:color w:val="000000" w:themeColor="text1"/>
                <w:sz w:val="21"/>
                <w:szCs w:val="21"/>
                <w:lang w:bidi="ar"/>
                <w14:textFill>
                  <w14:solidFill>
                    <w14:schemeClr w14:val="tx1"/>
                  </w14:solidFill>
                </w14:textFill>
              </w:rPr>
              <w:t>售后服务方案内容基本满足招标文件要求，提出应急措施一般为中，得5分</w:t>
            </w:r>
          </w:p>
          <w:p>
            <w:pPr>
              <w:adjustRightInd w:val="0"/>
              <w:snapToGrid w:val="0"/>
              <w:textAlignment w:val="center"/>
              <w:rPr>
                <w:rFonts w:hint="eastAsia" w:ascii="仿宋" w:hAnsi="仿宋" w:eastAsia="仿宋" w:cs="仿宋"/>
                <w:color w:val="000000" w:themeColor="text1"/>
                <w:sz w:val="21"/>
                <w:szCs w:val="21"/>
                <w:lang w:bidi="ar"/>
                <w14:textFill>
                  <w14:solidFill>
                    <w14:schemeClr w14:val="tx1"/>
                  </w14:solidFill>
                </w14:textFill>
              </w:rPr>
            </w:pPr>
            <w:r>
              <w:rPr>
                <w:rFonts w:hint="eastAsia" w:ascii="仿宋" w:hAnsi="仿宋" w:eastAsia="仿宋" w:cs="仿宋"/>
                <w:color w:val="000000" w:themeColor="text1"/>
                <w:sz w:val="21"/>
                <w:szCs w:val="21"/>
                <w:lang w:bidi="ar"/>
                <w14:textFill>
                  <w14:solidFill>
                    <w14:schemeClr w14:val="tx1"/>
                  </w14:solidFill>
                </w14:textFill>
              </w:rPr>
              <w:t>售后服务方案内容基本满足招标文件要求，提出应急措施较差，为差，得2分。</w:t>
            </w:r>
          </w:p>
          <w:p>
            <w:pPr>
              <w:widowControl/>
              <w:adjustRightInd w:val="0"/>
              <w:snapToGrid w:val="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lang w:bidi="ar"/>
                <w14:textFill>
                  <w14:solidFill>
                    <w14:schemeClr w14:val="tx1"/>
                  </w14:solidFill>
                </w14:textFill>
              </w:rPr>
              <w:t>售后服务方案低于招标文件要求的，无应急措施得0分。</w:t>
            </w:r>
          </w:p>
        </w:tc>
        <w:tc>
          <w:tcPr>
            <w:tcW w:w="784" w:type="dxa"/>
            <w:noWrap w:val="0"/>
            <w:vAlign w:val="center"/>
          </w:tcPr>
          <w:p>
            <w:pPr>
              <w:snapToGrid w:val="0"/>
              <w:spacing w:line="288" w:lineRule="auto"/>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1150" w:type="dxa"/>
            <w:noWrap w:val="0"/>
            <w:vAlign w:val="center"/>
          </w:tcPr>
          <w:p>
            <w:pPr>
              <w:snapToGrid w:val="0"/>
              <w:spacing w:line="288" w:lineRule="auto"/>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821" w:type="dxa"/>
            <w:noWrap w:val="0"/>
            <w:vAlign w:val="center"/>
          </w:tcPr>
          <w:p>
            <w:pPr>
              <w:pStyle w:val="82"/>
              <w:numPr>
                <w:ilvl w:val="0"/>
                <w:numId w:val="15"/>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pStyle w:val="79"/>
              <w:jc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投标货物技术先进和可靠性 </w:t>
            </w:r>
          </w:p>
        </w:tc>
        <w:tc>
          <w:tcPr>
            <w:tcW w:w="9865" w:type="dxa"/>
            <w:noWrap w:val="0"/>
            <w:vAlign w:val="top"/>
          </w:tcPr>
          <w:p>
            <w:pPr>
              <w:pStyle w:val="14"/>
              <w:spacing w:line="24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根据各投标人投标货物的技术先进和可靠性（包括但不限于使用的材料、配套货物、 生产技术等），进行综合评价： </w:t>
            </w:r>
          </w:p>
          <w:p>
            <w:pPr>
              <w:pStyle w:val="14"/>
              <w:numPr>
                <w:ilvl w:val="0"/>
                <w:numId w:val="17"/>
              </w:numPr>
              <w:spacing w:line="24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投标货物使用的材料优质、配套货物齐全优质 、生产技术先进、可靠性强，得</w:t>
            </w: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r>
              <w:rPr>
                <w:rFonts w:hint="eastAsia" w:ascii="仿宋" w:hAnsi="仿宋" w:eastAsia="仿宋" w:cs="仿宋"/>
                <w:color w:val="000000" w:themeColor="text1"/>
                <w:sz w:val="21"/>
                <w:szCs w:val="21"/>
                <w:highlight w:val="none"/>
                <w14:textFill>
                  <w14:solidFill>
                    <w14:schemeClr w14:val="tx1"/>
                  </w14:solidFill>
                </w14:textFill>
              </w:rPr>
              <w:t xml:space="preserve">分； </w:t>
            </w:r>
          </w:p>
          <w:p>
            <w:pPr>
              <w:pStyle w:val="14"/>
              <w:numPr>
                <w:ilvl w:val="0"/>
                <w:numId w:val="17"/>
              </w:numPr>
              <w:spacing w:line="24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投标货物使用的材料良好、配套货物齐 全、生产技术较先进、可靠性较强，得</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 xml:space="preserve">分； </w:t>
            </w:r>
          </w:p>
          <w:p>
            <w:pPr>
              <w:pStyle w:val="14"/>
              <w:numPr>
                <w:ilvl w:val="0"/>
                <w:numId w:val="17"/>
              </w:numPr>
              <w:spacing w:line="24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投标货物使用的材料一般、配套货物基本齐全、生产技术较一般、可靠性一般，得</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 xml:space="preserve">分； </w:t>
            </w:r>
          </w:p>
          <w:p>
            <w:pPr>
              <w:pStyle w:val="14"/>
              <w:numPr>
                <w:ilvl w:val="0"/>
                <w:numId w:val="17"/>
              </w:numPr>
              <w:spacing w:line="24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投标货物使用的材料较 差、配套货物较多缺漏、生产技术普通、可靠性较差，得1分。</w:t>
            </w:r>
          </w:p>
        </w:tc>
        <w:tc>
          <w:tcPr>
            <w:tcW w:w="784" w:type="dxa"/>
            <w:noWrap w:val="0"/>
            <w:vAlign w:val="center"/>
          </w:tcPr>
          <w:p>
            <w:pPr>
              <w:snapToGrid w:val="0"/>
              <w:spacing w:line="288" w:lineRule="auto"/>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p>
        </w:tc>
        <w:tc>
          <w:tcPr>
            <w:tcW w:w="1150" w:type="dxa"/>
            <w:noWrap w:val="0"/>
            <w:vAlign w:val="center"/>
          </w:tcPr>
          <w:p>
            <w:pPr>
              <w:snapToGrid w:val="0"/>
              <w:spacing w:line="288" w:lineRule="auto"/>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 w:hRule="atLeast"/>
        </w:trPr>
        <w:tc>
          <w:tcPr>
            <w:tcW w:w="821" w:type="dxa"/>
            <w:noWrap w:val="0"/>
            <w:vAlign w:val="center"/>
          </w:tcPr>
          <w:p>
            <w:pPr>
              <w:snapToGrid w:val="0"/>
              <w:spacing w:line="288" w:lineRule="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二</w:t>
            </w:r>
          </w:p>
        </w:tc>
        <w:tc>
          <w:tcPr>
            <w:tcW w:w="13382" w:type="dxa"/>
            <w:gridSpan w:val="4"/>
            <w:noWrap w:val="0"/>
            <w:vAlign w:val="center"/>
          </w:tcPr>
          <w:p>
            <w:pPr>
              <w:snapToGrid w:val="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商务部分（</w:t>
            </w:r>
            <w:r>
              <w:rPr>
                <w:rFonts w:hint="eastAsia" w:ascii="仿宋" w:hAnsi="仿宋" w:eastAsia="仿宋" w:cs="仿宋"/>
                <w:b/>
                <w:color w:val="000000" w:themeColor="text1"/>
                <w:sz w:val="21"/>
                <w:szCs w:val="21"/>
                <w:highlight w:val="none"/>
                <w:lang w:val="en-US" w:eastAsia="zh-CN"/>
                <w14:textFill>
                  <w14:solidFill>
                    <w14:schemeClr w14:val="tx1"/>
                  </w14:solidFill>
                </w14:textFill>
              </w:rPr>
              <w:t>25</w:t>
            </w:r>
            <w:r>
              <w:rPr>
                <w:rFonts w:hint="eastAsia" w:ascii="仿宋" w:hAnsi="仿宋" w:eastAsia="仿宋" w:cs="仿宋"/>
                <w:b/>
                <w:color w:val="000000" w:themeColor="text1"/>
                <w:sz w:val="21"/>
                <w:szCs w:val="21"/>
                <w:highlight w:val="none"/>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2"/>
              <w:numPr>
                <w:ilvl w:val="0"/>
                <w:numId w:val="18"/>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vMerge w:val="restart"/>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业绩得分</w:t>
            </w:r>
          </w:p>
        </w:tc>
        <w:tc>
          <w:tcPr>
            <w:tcW w:w="9865" w:type="dxa"/>
            <w:noWrap w:val="0"/>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按以下标准累计计分：</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自201</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年1月1日以来，投标人同类资格服务项目或销售过同类</w:t>
            </w:r>
            <w:r>
              <w:rPr>
                <w:rFonts w:hint="eastAsia" w:ascii="仿宋" w:hAnsi="仿宋" w:eastAsia="仿宋" w:cs="仿宋"/>
                <w:color w:val="000000" w:themeColor="text1"/>
                <w:sz w:val="21"/>
                <w:szCs w:val="21"/>
                <w:highlight w:val="none"/>
                <w:lang w:val="en-US" w:eastAsia="zh-CN"/>
                <w14:textFill>
                  <w14:solidFill>
                    <w14:schemeClr w14:val="tx1"/>
                  </w14:solidFill>
                </w14:textFill>
              </w:rPr>
              <w:t>假肢</w:t>
            </w:r>
            <w:r>
              <w:rPr>
                <w:rFonts w:hint="eastAsia" w:ascii="仿宋" w:hAnsi="仿宋" w:eastAsia="仿宋" w:cs="仿宋"/>
                <w:color w:val="000000" w:themeColor="text1"/>
                <w:sz w:val="21"/>
                <w:szCs w:val="21"/>
                <w:highlight w:val="none"/>
                <w14:textFill>
                  <w14:solidFill>
                    <w14:schemeClr w14:val="tx1"/>
                  </w14:solidFill>
                </w14:textFill>
              </w:rPr>
              <w:t>产品的经验、每提供一份得</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分，最高</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分，没有提供的不得分。</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注：投标人业绩须提供合同或中标通知书复印件，不按照上述要求提供资料者，不能作为评分的依据。</w:t>
            </w:r>
          </w:p>
        </w:tc>
        <w:tc>
          <w:tcPr>
            <w:tcW w:w="784" w:type="dxa"/>
            <w:vMerge w:val="restart"/>
            <w:noWrap w:val="0"/>
            <w:vAlign w:val="center"/>
          </w:tcPr>
          <w:p>
            <w:pPr>
              <w:snapToGrid w:val="0"/>
              <w:spacing w:line="288" w:lineRule="auto"/>
              <w:ind w:left="-78" w:leftChars="-37" w:right="-73" w:rightChars="-35"/>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8</w:t>
            </w:r>
          </w:p>
        </w:tc>
        <w:tc>
          <w:tcPr>
            <w:tcW w:w="1150" w:type="dxa"/>
            <w:vMerge w:val="restart"/>
            <w:noWrap w:val="0"/>
            <w:vAlign w:val="center"/>
          </w:tcPr>
          <w:p>
            <w:pPr>
              <w:snapToGrid w:val="0"/>
              <w:spacing w:line="288" w:lineRule="auto"/>
              <w:ind w:left="-78" w:leftChars="-37" w:right="-73" w:rightChars="-35"/>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2"/>
              <w:numPr>
                <w:ilvl w:val="0"/>
                <w:numId w:val="18"/>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vMerge w:val="continue"/>
            <w:tcBorders/>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9865" w:type="dxa"/>
            <w:noWrap w:val="0"/>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与“同类项目业绩”对应的客户评价，客户评价须为良好或以上（含同等意义的评价， 如80分或以上、满意或以上等），每项得</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分，最高得</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 xml:space="preserve">分。 </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注：提供加盖客户公章的评价证明材料复印件，不提供或专家无法认定的不得分。</w:t>
            </w:r>
          </w:p>
        </w:tc>
        <w:tc>
          <w:tcPr>
            <w:tcW w:w="784" w:type="dxa"/>
            <w:vMerge w:val="continue"/>
            <w:tcBorders/>
            <w:noWrap w:val="0"/>
            <w:vAlign w:val="center"/>
          </w:tcPr>
          <w:p>
            <w:pPr>
              <w:snapToGrid w:val="0"/>
              <w:spacing w:line="288" w:lineRule="auto"/>
              <w:ind w:left="-78" w:leftChars="-37" w:right="-73" w:rightChars="-35"/>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1150" w:type="dxa"/>
            <w:vMerge w:val="continue"/>
            <w:tcBorders/>
            <w:noWrap w:val="0"/>
            <w:vAlign w:val="center"/>
          </w:tcPr>
          <w:p>
            <w:pPr>
              <w:snapToGrid w:val="0"/>
              <w:spacing w:line="288" w:lineRule="auto"/>
              <w:ind w:left="-78" w:leftChars="-37" w:right="-73" w:rightChars="-35"/>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2"/>
              <w:numPr>
                <w:ilvl w:val="0"/>
                <w:numId w:val="18"/>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投标人曾获得政府部门的辅助器具配置定点机构资格</w:t>
            </w:r>
          </w:p>
        </w:tc>
        <w:tc>
          <w:tcPr>
            <w:tcW w:w="9865" w:type="dxa"/>
            <w:noWrap w:val="0"/>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提供一个资格的证明材料复印件得</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分，最高得</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分。</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提供资格证明材料加盖公司公章。</w:t>
            </w:r>
          </w:p>
        </w:tc>
        <w:tc>
          <w:tcPr>
            <w:tcW w:w="784" w:type="dxa"/>
            <w:noWrap w:val="0"/>
            <w:vAlign w:val="center"/>
          </w:tcPr>
          <w:p>
            <w:pPr>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c>
          <w:tcPr>
            <w:tcW w:w="1150" w:type="dxa"/>
            <w:noWrap w:val="0"/>
            <w:vAlign w:val="center"/>
          </w:tcPr>
          <w:p>
            <w:pPr>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2"/>
              <w:numPr>
                <w:ilvl w:val="0"/>
                <w:numId w:val="18"/>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pStyle w:val="79"/>
              <w:keepNext w:val="0"/>
              <w:keepLines w:val="0"/>
              <w:pageBreakBefore w:val="0"/>
              <w:kinsoku/>
              <w:wordWrap/>
              <w:overflowPunct/>
              <w:topLinePunct w:val="0"/>
              <w:bidi w:val="0"/>
              <w:spacing w:before="178"/>
              <w:ind w:left="0" w:leftChars="0" w:right="0" w:rightChars="0" w:firstLine="0" w:firstLineChars="0"/>
              <w:jc w:val="cente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履约便利性</w:t>
            </w:r>
          </w:p>
        </w:tc>
        <w:tc>
          <w:tcPr>
            <w:tcW w:w="9865" w:type="dxa"/>
            <w:noWrap w:val="0"/>
            <w:vAlign w:val="top"/>
          </w:tcPr>
          <w:p>
            <w:pPr>
              <w:pStyle w:val="79"/>
              <w:keepNext w:val="0"/>
              <w:keepLines w:val="0"/>
              <w:pageBreakBefore w:val="0"/>
              <w:numPr>
                <w:ilvl w:val="0"/>
                <w:numId w:val="0"/>
              </w:numPr>
              <w:tabs>
                <w:tab w:val="left" w:pos="634"/>
              </w:tabs>
              <w:kinsoku/>
              <w:wordWrap/>
              <w:overflowPunct/>
              <w:topLinePunct w:val="0"/>
              <w:bidi w:val="0"/>
              <w:spacing w:before="0" w:after="0" w:line="240" w:lineRule="auto"/>
              <w:ind w:left="0" w:leftChars="0" w:right="0" w:rightChars="0" w:firstLine="0"/>
              <w:jc w:val="left"/>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根据本项目“用户需求”的中“履约便利性”的内容，投标文件按照“关于服务场所所需证明材料的情况说明”提供响应采购方要求的证明材料。投标方按照要求在项目所在地区内提供自有或租赁的固定场所作为服务场所并为本项目派出人员提供服务为优得10分，供应商承诺中标后按上述要求设置服务场所并提供相关服务为一般得5分，无服务场所响应服务需求不得分。</w:t>
            </w:r>
          </w:p>
          <w:p>
            <w:pPr>
              <w:pStyle w:val="79"/>
              <w:keepNext w:val="0"/>
              <w:keepLines w:val="0"/>
              <w:pageBreakBefore w:val="0"/>
              <w:numPr>
                <w:ilvl w:val="0"/>
                <w:numId w:val="0"/>
              </w:numPr>
              <w:tabs>
                <w:tab w:val="left" w:pos="634"/>
              </w:tabs>
              <w:kinsoku/>
              <w:wordWrap/>
              <w:overflowPunct/>
              <w:topLinePunct w:val="0"/>
              <w:bidi w:val="0"/>
              <w:spacing w:before="0" w:after="0" w:line="240" w:lineRule="auto"/>
              <w:ind w:left="0" w:leftChars="0" w:right="0" w:rightChars="0" w:firstLine="0" w:firstLineChars="0"/>
              <w:jc w:val="left"/>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（投标文件响应采购方要求服务场所的需求并提供有效的服务场所所需证明材料（提供1、网点名称2、门牌号3、其他相关证明的照片 注：地址在知名搜索引擎例如：百度、360、搜狗等可以查询为准）、电话、联系人（电话保持畅通，上班时间随时可以联系），保证对各个地区提供长期、优质的服务）复印件，不提供不得分。</w:t>
            </w:r>
          </w:p>
        </w:tc>
        <w:tc>
          <w:tcPr>
            <w:tcW w:w="784" w:type="dxa"/>
            <w:noWrap w:val="0"/>
            <w:vAlign w:val="center"/>
          </w:tcPr>
          <w:p>
            <w:pPr>
              <w:jc w:val="cente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10</w:t>
            </w:r>
          </w:p>
        </w:tc>
        <w:tc>
          <w:tcPr>
            <w:tcW w:w="1150" w:type="dxa"/>
            <w:noWrap w:val="0"/>
            <w:vAlign w:val="center"/>
          </w:tcPr>
          <w:p>
            <w:pPr>
              <w:jc w:val="cente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2"/>
              <w:numPr>
                <w:ilvl w:val="0"/>
                <w:numId w:val="18"/>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jc w:val="cente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现场服务</w:t>
            </w:r>
          </w:p>
        </w:tc>
        <w:tc>
          <w:tcPr>
            <w:tcW w:w="9865" w:type="dxa"/>
            <w:noWrap w:val="0"/>
            <w:vAlign w:val="center"/>
          </w:tcPr>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（1）派驻现场服务人员配置合理，技术力量合理，得2分；人员及配置一般，得1分；技术力量较弱，人员及配置不合理的不得分。</w:t>
            </w: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（2）承诺项目组成员现场服务3小时内到达，得3分，项目组成员3小时以上到达，得1分。</w:t>
            </w:r>
          </w:p>
        </w:tc>
        <w:tc>
          <w:tcPr>
            <w:tcW w:w="784" w:type="dxa"/>
            <w:noWrap w:val="0"/>
            <w:vAlign w:val="center"/>
          </w:tcPr>
          <w:p>
            <w:pPr>
              <w:jc w:val="cente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5</w:t>
            </w:r>
          </w:p>
        </w:tc>
        <w:tc>
          <w:tcPr>
            <w:tcW w:w="1150" w:type="dxa"/>
            <w:noWrap w:val="0"/>
            <w:vAlign w:val="center"/>
          </w:tcPr>
          <w:p>
            <w:pPr>
              <w:jc w:val="cente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821" w:type="dxa"/>
            <w:noWrap w:val="0"/>
            <w:vAlign w:val="center"/>
          </w:tcPr>
          <w:p>
            <w:pPr>
              <w:snapToGrid w:val="0"/>
              <w:spacing w:line="288"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三</w:t>
            </w:r>
          </w:p>
        </w:tc>
        <w:tc>
          <w:tcPr>
            <w:tcW w:w="13382" w:type="dxa"/>
            <w:gridSpan w:val="4"/>
            <w:noWrap w:val="0"/>
            <w:vAlign w:val="center"/>
          </w:tcPr>
          <w:p>
            <w:pPr>
              <w:snapToGrid w:val="0"/>
              <w:jc w:val="center"/>
              <w:rPr>
                <w:rFonts w:hint="eastAsia" w:ascii="仿宋" w:hAnsi="仿宋" w:eastAsia="仿宋" w:cs="仿宋"/>
                <w:bCs/>
                <w:i/>
                <w:color w:val="000000" w:themeColor="text1"/>
                <w:sz w:val="21"/>
                <w:szCs w:val="21"/>
                <w:highlight w:val="none"/>
                <w:shd w:val="pct10" w:color="auto" w:fill="FFFFFF"/>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价格部分（合计</w:t>
            </w:r>
            <w:r>
              <w:rPr>
                <w:rFonts w:hint="eastAsia" w:ascii="仿宋" w:hAnsi="仿宋" w:eastAsia="仿宋" w:cs="仿宋"/>
                <w:b/>
                <w:color w:val="000000" w:themeColor="text1"/>
                <w:sz w:val="21"/>
                <w:szCs w:val="21"/>
                <w:highlight w:val="none"/>
                <w:lang w:val="en-US" w:eastAsia="zh-CN"/>
                <w14:textFill>
                  <w14:solidFill>
                    <w14:schemeClr w14:val="tx1"/>
                  </w14:solidFill>
                </w14:textFill>
              </w:rPr>
              <w:t>30</w:t>
            </w:r>
            <w:r>
              <w:rPr>
                <w:rFonts w:hint="eastAsia" w:ascii="仿宋" w:hAnsi="仿宋" w:eastAsia="仿宋" w:cs="仿宋"/>
                <w:b/>
                <w:color w:val="000000" w:themeColor="text1"/>
                <w:sz w:val="21"/>
                <w:szCs w:val="21"/>
                <w:highlight w:val="none"/>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821" w:type="dxa"/>
            <w:noWrap w:val="0"/>
            <w:vAlign w:val="center"/>
          </w:tcPr>
          <w:p>
            <w:pPr>
              <w:pStyle w:val="82"/>
              <w:numPr>
                <w:ilvl w:val="0"/>
                <w:numId w:val="19"/>
              </w:numPr>
              <w:snapToGrid w:val="0"/>
              <w:spacing w:line="288" w:lineRule="auto"/>
              <w:ind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83" w:type="dxa"/>
            <w:noWrap w:val="0"/>
            <w:vAlign w:val="center"/>
          </w:tcPr>
          <w:p>
            <w:pPr>
              <w:snapToGrid w:val="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w:t>
            </w:r>
          </w:p>
        </w:tc>
        <w:tc>
          <w:tcPr>
            <w:tcW w:w="9865" w:type="dxa"/>
            <w:noWrap w:val="0"/>
            <w:vAlign w:val="center"/>
          </w:tcPr>
          <w:p>
            <w:pPr>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p>
          <w:p>
            <w:pPr>
              <w:snapToGrid w:val="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投标报价得分=(评标基准价／投标报价)×100×权重</w:t>
            </w:r>
          </w:p>
          <w:p>
            <w:pPr>
              <w:snapToGrid w:val="0"/>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备注：</w:t>
            </w:r>
          </w:p>
          <w:p>
            <w:pPr>
              <w:pStyle w:val="82"/>
              <w:numPr>
                <w:ilvl w:val="0"/>
                <w:numId w:val="20"/>
              </w:numPr>
              <w:snapToGrid w:val="0"/>
              <w:ind w:left="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因落实政府采购政策进行价格调整的，以调整后的价格计算评标基准价和投标报价</w:t>
            </w:r>
            <w:r>
              <w:rPr>
                <w:rFonts w:hint="eastAsia" w:ascii="仿宋" w:hAnsi="仿宋" w:eastAsia="仿宋" w:cs="仿宋"/>
                <w:color w:val="000000" w:themeColor="text1"/>
                <w:sz w:val="21"/>
                <w:szCs w:val="21"/>
                <w:highlight w:val="none"/>
                <w14:textFill>
                  <w14:solidFill>
                    <w14:schemeClr w14:val="tx1"/>
                  </w14:solidFill>
                </w14:textFill>
              </w:rPr>
              <w:t>,详见《价格扣除》。</w:t>
            </w:r>
          </w:p>
          <w:p>
            <w:pPr>
              <w:pStyle w:val="82"/>
              <w:numPr>
                <w:ilvl w:val="0"/>
                <w:numId w:val="20"/>
              </w:numPr>
              <w:snapToGrid w:val="0"/>
              <w:ind w:left="0" w:firstLineChars="0"/>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投标报价得分四舍五入后，</w:t>
            </w:r>
            <w:r>
              <w:rPr>
                <w:rFonts w:hint="eastAsia" w:ascii="仿宋" w:hAnsi="仿宋" w:eastAsia="仿宋" w:cs="仿宋"/>
                <w:color w:val="000000" w:themeColor="text1"/>
                <w:sz w:val="21"/>
                <w:szCs w:val="21"/>
                <w:highlight w:val="none"/>
                <w14:textFill>
                  <w14:solidFill>
                    <w14:schemeClr w14:val="tx1"/>
                  </w14:solidFill>
                </w14:textFill>
              </w:rPr>
              <w:t>小数点后保留两位有效数</w:t>
            </w:r>
            <w:r>
              <w:rPr>
                <w:rFonts w:hint="eastAsia" w:ascii="仿宋" w:hAnsi="仿宋" w:eastAsia="仿宋" w:cs="仿宋"/>
                <w:bCs/>
                <w:color w:val="000000" w:themeColor="text1"/>
                <w:sz w:val="21"/>
                <w:szCs w:val="21"/>
                <w:highlight w:val="none"/>
                <w14:textFill>
                  <w14:solidFill>
                    <w14:schemeClr w14:val="tx1"/>
                  </w14:solidFill>
                </w14:textFill>
              </w:rPr>
              <w:t>；</w:t>
            </w:r>
          </w:p>
        </w:tc>
        <w:tc>
          <w:tcPr>
            <w:tcW w:w="784" w:type="dxa"/>
            <w:noWrap w:val="0"/>
            <w:vAlign w:val="center"/>
          </w:tcPr>
          <w:p>
            <w:pPr>
              <w:snapToGrid w:val="0"/>
              <w:spacing w:line="288" w:lineRule="auto"/>
              <w:ind w:left="-78" w:leftChars="-37" w:right="-73" w:rightChars="-35"/>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30</w:t>
            </w:r>
          </w:p>
        </w:tc>
        <w:tc>
          <w:tcPr>
            <w:tcW w:w="1150" w:type="dxa"/>
            <w:noWrap w:val="0"/>
            <w:vAlign w:val="center"/>
          </w:tcPr>
          <w:p>
            <w:pPr>
              <w:snapToGrid w:val="0"/>
              <w:spacing w:line="288" w:lineRule="auto"/>
              <w:ind w:left="-78" w:leftChars="-37" w:right="-73" w:rightChars="-35"/>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12269" w:type="dxa"/>
            <w:gridSpan w:val="3"/>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u w:val="double"/>
                <w14:textFill>
                  <w14:solidFill>
                    <w14:schemeClr w14:val="tx1"/>
                  </w14:solidFill>
                </w14:textFill>
              </w:rPr>
            </w:pPr>
            <w:r>
              <w:rPr>
                <w:rFonts w:hint="eastAsia" w:ascii="仿宋" w:hAnsi="仿宋" w:eastAsia="仿宋" w:cs="仿宋"/>
                <w:b/>
                <w:color w:val="000000" w:themeColor="text1"/>
                <w:sz w:val="21"/>
                <w:szCs w:val="21"/>
                <w:highlight w:val="none"/>
                <w:u w:val="double"/>
                <w14:textFill>
                  <w14:solidFill>
                    <w14:schemeClr w14:val="tx1"/>
                  </w14:solidFill>
                </w14:textFill>
              </w:rPr>
              <w:t>合计</w:t>
            </w:r>
          </w:p>
        </w:tc>
        <w:tc>
          <w:tcPr>
            <w:tcW w:w="784" w:type="dxa"/>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100分</w:t>
            </w:r>
          </w:p>
        </w:tc>
        <w:tc>
          <w:tcPr>
            <w:tcW w:w="1150" w:type="dxa"/>
            <w:noWrap w:val="0"/>
            <w:vAlign w:val="center"/>
          </w:tcPr>
          <w:p>
            <w:pPr>
              <w:snapToGrid w:val="0"/>
              <w:spacing w:line="288" w:lineRule="auto"/>
              <w:ind w:left="-78" w:leftChars="-37" w:right="-73" w:rightChars="-35"/>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 xml:space="preserve">100% </w:t>
            </w:r>
          </w:p>
        </w:tc>
      </w:tr>
    </w:tbl>
    <w:p>
      <w:pPr>
        <w:pStyle w:val="32"/>
        <w:wordWrap/>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注：1、评委按分项的规定分数范围内给各供应商进行打分，并统计总分。</w:t>
      </w: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价格评分：取满足磋商文件要求且最后报价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最低</w:t>
      </w:r>
      <w:r>
        <w:rPr>
          <w:rFonts w:hint="eastAsia" w:ascii="仿宋" w:hAnsi="仿宋" w:eastAsia="仿宋" w:cs="仿宋"/>
          <w:color w:val="000000" w:themeColor="text1"/>
          <w:sz w:val="24"/>
          <w:szCs w:val="24"/>
          <w:highlight w:val="none"/>
          <w14:textFill>
            <w14:solidFill>
              <w14:schemeClr w14:val="tx1"/>
            </w14:solidFill>
          </w14:textFill>
        </w:rPr>
        <w:t>的供应商为磋商基准价，其价格分为满分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分；其它供应商的价格分统一按照下列公式计算：磋商报价得分=磋商基准价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最终磋商</w:t>
      </w:r>
      <w:r>
        <w:rPr>
          <w:rFonts w:hint="eastAsia" w:ascii="仿宋" w:hAnsi="仿宋" w:eastAsia="仿宋" w:cs="仿宋"/>
          <w:color w:val="000000" w:themeColor="text1"/>
          <w:sz w:val="24"/>
          <w:szCs w:val="24"/>
          <w:highlight w:val="none"/>
          <w:lang w:eastAsia="zh-CN"/>
          <w14:textFill>
            <w14:solidFill>
              <w14:schemeClr w14:val="tx1"/>
            </w14:solidFill>
          </w14:textFill>
        </w:rPr>
        <w:t>报价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sectPr>
          <w:headerReference r:id="rId6" w:type="default"/>
          <w:footerReference r:id="rId7" w:type="default"/>
          <w:pgSz w:w="16840" w:h="11907" w:orient="landscape"/>
          <w:pgMar w:top="1418" w:right="1440" w:bottom="1418" w:left="1559" w:header="851" w:footer="851" w:gutter="0"/>
          <w:cols w:space="720" w:num="1"/>
          <w:docGrid w:linePitch="285" w:charSpace="0"/>
        </w:sectPr>
      </w:pPr>
    </w:p>
    <w:p>
      <w:pPr>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第三部分</w:t>
      </w: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用 户 需 求 书</w:t>
      </w:r>
    </w:p>
    <w:p>
      <w:pPr>
        <w:pStyle w:val="14"/>
        <w:rPr>
          <w:rFonts w:hint="eastAsia" w:ascii="仿宋" w:hAnsi="仿宋" w:eastAsia="仿宋" w:cs="仿宋"/>
          <w:b/>
          <w:color w:val="000000" w:themeColor="text1"/>
          <w:sz w:val="48"/>
          <w:szCs w:val="48"/>
          <w:highlight w:val="none"/>
          <w14:textFill>
            <w14:solidFill>
              <w14:schemeClr w14:val="tx1"/>
            </w14:solidFill>
          </w14:textFill>
        </w:rPr>
      </w:pPr>
    </w:p>
    <w:p>
      <w:pPr>
        <w:rPr>
          <w:rFonts w:hint="eastAsia" w:ascii="仿宋" w:hAnsi="仿宋" w:eastAsia="仿宋" w:cs="仿宋"/>
          <w:b/>
          <w:color w:val="000000" w:themeColor="text1"/>
          <w:sz w:val="48"/>
          <w:szCs w:val="48"/>
          <w:highlight w:val="none"/>
          <w14:textFill>
            <w14:solidFill>
              <w14:schemeClr w14:val="tx1"/>
            </w14:solidFill>
          </w14:textFill>
        </w:rPr>
      </w:pPr>
    </w:p>
    <w:p>
      <w:pPr>
        <w:pStyle w:val="14"/>
        <w:rPr>
          <w:rFonts w:hint="eastAsia" w:ascii="仿宋" w:hAnsi="仿宋" w:eastAsia="仿宋" w:cs="仿宋"/>
          <w:b/>
          <w:color w:val="000000" w:themeColor="text1"/>
          <w:sz w:val="48"/>
          <w:szCs w:val="48"/>
          <w:highlight w:val="none"/>
          <w14:textFill>
            <w14:solidFill>
              <w14:schemeClr w14:val="tx1"/>
            </w14:solidFill>
          </w14:textFill>
        </w:rPr>
      </w:pPr>
    </w:p>
    <w:p>
      <w:pPr>
        <w:rPr>
          <w:rFonts w:hint="eastAsia" w:ascii="仿宋" w:hAnsi="仿宋" w:eastAsia="仿宋" w:cs="仿宋"/>
          <w:b/>
          <w:color w:val="000000" w:themeColor="text1"/>
          <w:sz w:val="48"/>
          <w:szCs w:val="48"/>
          <w:highlight w:val="none"/>
          <w14:textFill>
            <w14:solidFill>
              <w14:schemeClr w14:val="tx1"/>
            </w14:solidFill>
          </w14:textFill>
        </w:rPr>
      </w:pPr>
    </w:p>
    <w:p>
      <w:pPr>
        <w:pStyle w:val="14"/>
        <w:rPr>
          <w:rFonts w:hint="eastAsia" w:ascii="仿宋" w:hAnsi="仿宋" w:eastAsia="仿宋" w:cs="仿宋"/>
          <w:b/>
          <w:color w:val="000000" w:themeColor="text1"/>
          <w:sz w:val="48"/>
          <w:szCs w:val="48"/>
          <w:highlight w:val="none"/>
          <w14:textFill>
            <w14:solidFill>
              <w14:schemeClr w14:val="tx1"/>
            </w14:solidFill>
          </w14:textFill>
        </w:rPr>
      </w:pPr>
    </w:p>
    <w:p>
      <w:pPr>
        <w:rPr>
          <w:rFonts w:hint="eastAsia" w:ascii="仿宋" w:hAnsi="仿宋" w:eastAsia="仿宋" w:cs="仿宋"/>
          <w:b/>
          <w:color w:val="000000" w:themeColor="text1"/>
          <w:sz w:val="48"/>
          <w:szCs w:val="48"/>
          <w:highlight w:val="none"/>
          <w14:textFill>
            <w14:solidFill>
              <w14:schemeClr w14:val="tx1"/>
            </w14:solidFill>
          </w14:textFill>
        </w:rPr>
      </w:pPr>
    </w:p>
    <w:p>
      <w:pPr>
        <w:pStyle w:val="14"/>
        <w:rPr>
          <w:rFonts w:hint="eastAsia" w:ascii="仿宋" w:hAnsi="仿宋" w:eastAsia="仿宋" w:cs="仿宋"/>
          <w:b/>
          <w:color w:val="000000" w:themeColor="text1"/>
          <w:sz w:val="48"/>
          <w:szCs w:val="48"/>
          <w:highlight w:val="none"/>
          <w14:textFill>
            <w14:solidFill>
              <w14:schemeClr w14:val="tx1"/>
            </w14:solidFill>
          </w14:textFill>
        </w:rPr>
      </w:pPr>
    </w:p>
    <w:p>
      <w:pPr>
        <w:rPr>
          <w:rFonts w:hint="eastAsia" w:ascii="仿宋" w:hAnsi="仿宋" w:eastAsia="仿宋" w:cs="仿宋"/>
          <w:b/>
          <w:color w:val="000000" w:themeColor="text1"/>
          <w:sz w:val="48"/>
          <w:szCs w:val="48"/>
          <w:highlight w:val="none"/>
          <w14:textFill>
            <w14:solidFill>
              <w14:schemeClr w14:val="tx1"/>
            </w14:solidFill>
          </w14:textFill>
        </w:rPr>
      </w:pPr>
    </w:p>
    <w:p>
      <w:pPr>
        <w:pStyle w:val="14"/>
        <w:rPr>
          <w:rFonts w:hint="eastAsia" w:ascii="仿宋" w:hAnsi="仿宋" w:eastAsia="仿宋" w:cs="仿宋"/>
          <w:b/>
          <w:color w:val="000000" w:themeColor="text1"/>
          <w:sz w:val="48"/>
          <w:szCs w:val="48"/>
          <w:highlight w:val="none"/>
          <w14:textFill>
            <w14:solidFill>
              <w14:schemeClr w14:val="tx1"/>
            </w14:solidFill>
          </w14:textFill>
        </w:rPr>
      </w:pPr>
    </w:p>
    <w:p>
      <w:pPr>
        <w:rPr>
          <w:rFonts w:hint="eastAsia" w:ascii="仿宋" w:hAnsi="仿宋" w:eastAsia="仿宋" w:cs="仿宋"/>
          <w:b/>
          <w:color w:val="000000" w:themeColor="text1"/>
          <w:sz w:val="48"/>
          <w:szCs w:val="48"/>
          <w:highlight w:val="none"/>
          <w14:textFill>
            <w14:solidFill>
              <w14:schemeClr w14:val="tx1"/>
            </w14:solidFill>
          </w14:textFill>
        </w:rPr>
      </w:pPr>
    </w:p>
    <w:p>
      <w:pPr>
        <w:pStyle w:val="14"/>
        <w:rPr>
          <w:rFonts w:hint="eastAsia" w:ascii="仿宋" w:hAnsi="仿宋" w:eastAsia="仿宋" w:cs="仿宋"/>
          <w:color w:val="000000" w:themeColor="text1"/>
          <w14:textFill>
            <w14:solidFill>
              <w14:schemeClr w14:val="tx1"/>
            </w14:solidFill>
          </w14:textFill>
        </w:rPr>
      </w:pPr>
    </w:p>
    <w:p>
      <w:p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注：1、磋商文件中，加★项是实质性响应要求。供应商要特别加以注意，必须对此回答并完全满足这些要求。否则若有一项“★”的指标未响应或不满足，将按无效报价处理。</w:t>
      </w:r>
    </w:p>
    <w:p>
      <w:pPr>
        <w:numPr>
          <w:ilvl w:val="0"/>
          <w:numId w:val="21"/>
        </w:num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磋商文件中，如标有“▲”的条款均为评审的重要评分指标，供应商若有部分“▲”条款未响应或不满足，将导致其响应性评审严重扣分。</w:t>
      </w:r>
    </w:p>
    <w:p>
      <w:pP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p>
    <w:p>
      <w:pPr>
        <w:pStyle w:val="19"/>
        <w:numPr>
          <w:ilvl w:val="0"/>
          <w:numId w:val="22"/>
        </w:numPr>
        <w:tabs>
          <w:tab w:val="left" w:pos="540"/>
        </w:tabs>
        <w:snapToGrid w:val="0"/>
        <w:spacing w:line="360" w:lineRule="auto"/>
        <w:rPr>
          <w:rFonts w:hint="eastAsia" w:ascii="仿宋" w:hAnsi="仿宋" w:eastAsia="仿宋" w:cs="仿宋"/>
          <w:b/>
          <w:bCs w:val="0"/>
          <w:color w:val="000000" w:themeColor="text1"/>
          <w:kern w:val="0"/>
          <w:sz w:val="24"/>
          <w:szCs w:val="24"/>
          <w:lang w:val="zh-CN" w:eastAsia="zh-CN" w:bidi="zh-CN"/>
          <w14:textFill>
            <w14:solidFill>
              <w14:schemeClr w14:val="tx1"/>
            </w14:solidFill>
          </w14:textFill>
        </w:rPr>
      </w:pPr>
      <w:bookmarkStart w:id="3" w:name="_Toc29398"/>
      <w:r>
        <w:rPr>
          <w:rFonts w:hint="eastAsia" w:ascii="仿宋" w:hAnsi="仿宋" w:eastAsia="仿宋" w:cs="仿宋"/>
          <w:b/>
          <w:bCs w:val="0"/>
          <w:color w:val="000000" w:themeColor="text1"/>
          <w:kern w:val="0"/>
          <w:sz w:val="24"/>
          <w:szCs w:val="24"/>
          <w:lang w:val="zh-CN" w:eastAsia="zh-CN" w:bidi="zh-CN"/>
          <w14:textFill>
            <w14:solidFill>
              <w14:schemeClr w14:val="tx1"/>
            </w14:solidFill>
          </w14:textFill>
        </w:rPr>
        <w:t>有关说明</w:t>
      </w:r>
    </w:p>
    <w:p>
      <w:pPr>
        <w:spacing w:line="360" w:lineRule="auto"/>
        <w:ind w:firstLine="560"/>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投标人须对本项目的采购标的进行整体投标，任何只对本项目采购标的其中一部分内容、数量进行的投标都被视为无效投标。</w:t>
      </w:r>
    </w:p>
    <w:p>
      <w:pPr>
        <w:spacing w:line="360" w:lineRule="auto"/>
        <w:ind w:firstLine="560"/>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采购需求中标注“★”号条款为实质性条款，必须逐条进行响应，有任何一条负偏离的，将导致无效投标。</w:t>
      </w:r>
    </w:p>
    <w:p>
      <w:pPr>
        <w:spacing w:line="360" w:lineRule="auto"/>
        <w:ind w:firstLine="560"/>
        <w:rPr>
          <w:rFonts w:hint="eastAsia" w:ascii="仿宋" w:hAnsi="仿宋" w:eastAsia="仿宋" w:cs="仿宋"/>
          <w:color w:val="000000" w:themeColor="text1"/>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z w:val="24"/>
          <w:szCs w:val="24"/>
          <w:highlight w:val="none"/>
          <w:lang w:val="zh-CN" w:eastAsia="zh-CN" w:bidi="zh-CN"/>
          <w14:textFill>
            <w14:solidFill>
              <w14:schemeClr w14:val="tx1"/>
            </w14:solidFill>
          </w14:textFill>
        </w:rPr>
        <w:t>采购需求中标注“▲”号条款为重要技术参数，但不作为无效投标条款。</w:t>
      </w:r>
    </w:p>
    <w:p>
      <w:pPr>
        <w:pStyle w:val="19"/>
        <w:numPr>
          <w:ilvl w:val="0"/>
          <w:numId w:val="22"/>
        </w:numPr>
        <w:tabs>
          <w:tab w:val="left" w:pos="540"/>
        </w:tabs>
        <w:snapToGrid w:val="0"/>
        <w:spacing w:line="360" w:lineRule="auto"/>
        <w:rPr>
          <w:rFonts w:hint="eastAsia" w:ascii="仿宋" w:hAnsi="仿宋" w:eastAsia="仿宋" w:cs="仿宋"/>
          <w:b/>
          <w:bCs w:val="0"/>
          <w:color w:val="000000" w:themeColor="text1"/>
          <w:kern w:val="0"/>
          <w:sz w:val="24"/>
          <w:szCs w:val="24"/>
          <w:lang w:val="zh-CN" w:eastAsia="zh-CN" w:bidi="zh-CN"/>
          <w14:textFill>
            <w14:solidFill>
              <w14:schemeClr w14:val="tx1"/>
            </w14:solidFill>
          </w14:textFill>
        </w:rPr>
      </w:pPr>
      <w:r>
        <w:rPr>
          <w:rFonts w:hint="eastAsia" w:ascii="仿宋" w:hAnsi="仿宋" w:eastAsia="仿宋" w:cs="仿宋"/>
          <w:b/>
          <w:bCs w:val="0"/>
          <w:color w:val="000000" w:themeColor="text1"/>
          <w:kern w:val="0"/>
          <w:sz w:val="24"/>
          <w:szCs w:val="24"/>
          <w:lang w:val="zh-CN" w:eastAsia="zh-CN" w:bidi="zh-CN"/>
          <w14:textFill>
            <w14:solidFill>
              <w14:schemeClr w14:val="tx1"/>
            </w14:solidFill>
          </w14:textFill>
        </w:rPr>
        <w:t>项目基本概况</w:t>
      </w:r>
    </w:p>
    <w:p>
      <w:pPr>
        <w:pStyle w:val="30"/>
        <w:spacing w:before="50" w:beforeAutospacing="0" w:after="50" w:afterAutospacing="0" w:line="360" w:lineRule="auto"/>
        <w:ind w:firstLine="420"/>
        <w:rPr>
          <w:rFonts w:hint="eastAsia" w:ascii="仿宋" w:hAnsi="仿宋" w:eastAsia="仿宋" w:cs="仿宋"/>
          <w:color w:val="000000" w:themeColor="text1"/>
          <w:highlight w:val="none"/>
          <w:u w:val="singl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项目编号</w:t>
      </w:r>
      <w:r>
        <w:rPr>
          <w:rFonts w:hint="eastAsia" w:ascii="仿宋" w:hAnsi="仿宋" w:eastAsia="仿宋" w:cs="仿宋"/>
          <w:color w:val="000000" w:themeColor="text1"/>
          <w:highlight w:val="none"/>
          <w:u w:val="single"/>
          <w14:textFill>
            <w14:solidFill>
              <w14:schemeClr w14:val="tx1"/>
            </w14:solidFill>
          </w14:textFill>
        </w:rPr>
        <w:t>：</w:t>
      </w:r>
      <w:r>
        <w:rPr>
          <w:rFonts w:hint="eastAsia" w:ascii="仿宋" w:hAnsi="仿宋" w:eastAsia="仿宋" w:cs="仿宋"/>
          <w:color w:val="000000" w:themeColor="text1"/>
          <w:highlight w:val="none"/>
          <w:u w:val="single"/>
          <w:lang w:val="en-US" w:eastAsia="zh-CN"/>
          <w14:textFill>
            <w14:solidFill>
              <w14:schemeClr w14:val="tx1"/>
            </w14:solidFill>
          </w14:textFill>
        </w:rPr>
        <w:t>2021-clx- 071号</w:t>
      </w:r>
    </w:p>
    <w:p>
      <w:pPr>
        <w:pStyle w:val="30"/>
        <w:spacing w:before="50" w:beforeAutospacing="0" w:after="50" w:afterAutospacing="0" w:line="360" w:lineRule="auto"/>
        <w:ind w:firstLine="420"/>
        <w:rPr>
          <w:rFonts w:hint="eastAsia" w:ascii="仿宋" w:hAnsi="仿宋" w:eastAsia="仿宋" w:cs="仿宋"/>
          <w:color w:val="000000" w:themeColor="text1"/>
          <w:highlight w:val="none"/>
          <w:u w:val="singl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r>
        <w:rPr>
          <w:rFonts w:hint="eastAsia" w:ascii="仿宋" w:hAnsi="仿宋" w:eastAsia="仿宋" w:cs="仿宋"/>
          <w:color w:val="000000" w:themeColor="text1"/>
          <w:highlight w:val="none"/>
          <w:u w:val="single"/>
          <w:lang w:eastAsia="zh-CN"/>
          <w14:textFill>
            <w14:solidFill>
              <w14:schemeClr w14:val="tx1"/>
            </w14:solidFill>
          </w14:textFill>
        </w:rPr>
        <w:t>策勒县残疾人安装及维修假肢项目（二次）</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采购方式：</w:t>
      </w:r>
      <w:r>
        <w:rPr>
          <w:rFonts w:hint="eastAsia" w:ascii="仿宋" w:hAnsi="仿宋" w:eastAsia="仿宋" w:cs="仿宋"/>
          <w:color w:val="000000" w:themeColor="text1"/>
          <w:highlight w:val="none"/>
          <w:lang w:eastAsia="zh-CN"/>
          <w14:textFill>
            <w14:solidFill>
              <w14:schemeClr w14:val="tx1"/>
            </w14:solidFill>
          </w14:textFill>
        </w:rPr>
        <w:t>竞争性磋商</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标项1：预算金额（元）：</w:t>
      </w:r>
      <w:r>
        <w:rPr>
          <w:rFonts w:hint="eastAsia" w:ascii="仿宋" w:hAnsi="仿宋" w:eastAsia="仿宋" w:cs="仿宋"/>
          <w:color w:val="000000" w:themeColor="text1"/>
          <w:highlight w:val="none"/>
          <w:lang w:val="en-US" w:eastAsia="zh-CN"/>
          <w14:textFill>
            <w14:solidFill>
              <w14:schemeClr w14:val="tx1"/>
            </w14:solidFill>
          </w14:textFill>
        </w:rPr>
        <w:t>1180000.00</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lang w:val="en-US" w:eastAsia="zh-CN" w:bidi="ar-SA"/>
          <w14:textFill>
            <w14:solidFill>
              <w14:schemeClr w14:val="tx1"/>
            </w14:solidFill>
          </w14:textFill>
        </w:rPr>
        <w:t>本项目的中小企业划分标准所属行业为：租赁和商务服务业</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最高限价（元）：</w:t>
      </w:r>
      <w:r>
        <w:rPr>
          <w:rFonts w:hint="eastAsia" w:ascii="仿宋" w:hAnsi="仿宋" w:eastAsia="仿宋" w:cs="仿宋"/>
          <w:color w:val="000000" w:themeColor="text1"/>
          <w:highlight w:val="none"/>
          <w:lang w:val="en-US" w:eastAsia="zh-CN"/>
          <w14:textFill>
            <w14:solidFill>
              <w14:schemeClr w14:val="tx1"/>
            </w14:solidFill>
          </w14:textFill>
        </w:rPr>
        <w:t>1180000.00</w:t>
      </w:r>
    </w:p>
    <w:p>
      <w:pPr>
        <w:pStyle w:val="4"/>
        <w:keepNext w:val="0"/>
        <w:pageBreakBefore w:val="0"/>
        <w:numPr>
          <w:ilvl w:val="0"/>
          <w:numId w:val="0"/>
        </w:numPr>
        <w:kinsoku/>
        <w:wordWrap/>
        <w:overflowPunct/>
        <w:topLinePunct w:val="0"/>
        <w:autoSpaceDE/>
        <w:autoSpaceDN/>
        <w:bidi w:val="0"/>
        <w:adjustRightInd/>
        <w:snapToGrid/>
        <w:spacing w:beforeLines="0" w:afterLines="0" w:line="360" w:lineRule="auto"/>
        <w:ind w:right="0" w:rightChars="0" w:firstLine="480" w:firstLineChars="200"/>
        <w:textAlignment w:val="auto"/>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采购需求：策勒县残疾人新装假肢23人，其中大腿15个，小腿7个，右臂一个，完成康复训练，质保5年。同时对策勒县残疾人</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约30人</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14:textFill>
            <w14:solidFill>
              <w14:schemeClr w14:val="tx1"/>
            </w14:solidFill>
          </w14:textFill>
        </w:rPr>
        <w:t>已安装的假肢进维修、修复、保养等服务</w:t>
      </w:r>
      <w:r>
        <w:rPr>
          <w:rFonts w:hint="eastAsia" w:ascii="仿宋" w:hAnsi="仿宋" w:eastAsia="仿宋" w:cs="仿宋"/>
          <w:b w:val="0"/>
          <w:bCs w:val="0"/>
          <w:color w:val="000000" w:themeColor="text1"/>
          <w:highlight w:val="none"/>
          <w:lang w:eastAsia="zh-CN"/>
          <w14:textFill>
            <w14:solidFill>
              <w14:schemeClr w14:val="tx1"/>
            </w14:solidFill>
          </w14:textFill>
        </w:rPr>
        <w:t>，</w:t>
      </w:r>
      <w:r>
        <w:rPr>
          <w:rFonts w:hint="eastAsia" w:ascii="仿宋" w:hAnsi="仿宋" w:eastAsia="仿宋" w:cs="仿宋"/>
          <w:b w:val="0"/>
          <w:bCs w:val="0"/>
          <w:color w:val="000000" w:themeColor="text1"/>
          <w:highlight w:val="none"/>
          <w:lang w:val="en-US" w:eastAsia="zh-CN"/>
          <w14:textFill>
            <w14:solidFill>
              <w14:schemeClr w14:val="tx1"/>
            </w14:solidFill>
          </w14:textFill>
        </w:rPr>
        <w:t>确保假肢正常使用，服务期5年</w:t>
      </w:r>
      <w:r>
        <w:rPr>
          <w:rFonts w:hint="eastAsia" w:ascii="仿宋" w:hAnsi="仿宋" w:eastAsia="仿宋" w:cs="仿宋"/>
          <w:b w:val="0"/>
          <w:bCs w:val="0"/>
          <w:color w:val="000000" w:themeColor="text1"/>
          <w:highlight w:val="none"/>
          <w14:textFill>
            <w14:solidFill>
              <w14:schemeClr w14:val="tx1"/>
            </w14:solidFill>
          </w14:textFill>
        </w:rPr>
        <w:t>。</w:t>
      </w:r>
    </w:p>
    <w:p>
      <w:pPr>
        <w:pStyle w:val="4"/>
        <w:keepNext w:val="0"/>
        <w:pageBreakBefore w:val="0"/>
        <w:numPr>
          <w:ilvl w:val="0"/>
          <w:numId w:val="0"/>
        </w:numPr>
        <w:kinsoku/>
        <w:wordWrap/>
        <w:overflowPunct/>
        <w:topLinePunct w:val="0"/>
        <w:autoSpaceDE/>
        <w:autoSpaceDN/>
        <w:bidi w:val="0"/>
        <w:adjustRightInd/>
        <w:snapToGrid/>
        <w:spacing w:beforeLines="0" w:afterLines="0" w:line="360" w:lineRule="auto"/>
        <w:ind w:right="0" w:rightChars="0" w:firstLine="480" w:firstLineChars="200"/>
        <w:textAlignment w:val="auto"/>
        <w:rPr>
          <w:rFonts w:hint="eastAsia" w:ascii="仿宋" w:hAnsi="仿宋" w:eastAsia="仿宋" w:cs="仿宋"/>
          <w:b w:val="0"/>
          <w:bCs w:val="0"/>
          <w:color w:val="000000" w:themeColor="text1"/>
          <w:lang w:val="en-US" w:eastAsia="zh-CN"/>
          <w14:textFill>
            <w14:solidFill>
              <w14:schemeClr w14:val="tx1"/>
            </w14:solidFill>
          </w14:textFill>
        </w:rPr>
      </w:pPr>
      <w:r>
        <w:rPr>
          <w:rFonts w:hint="eastAsia" w:ascii="仿宋" w:hAnsi="仿宋" w:eastAsia="仿宋" w:cs="仿宋"/>
          <w:b w:val="0"/>
          <w:bCs w:val="0"/>
          <w:color w:val="000000" w:themeColor="text1"/>
          <w:highlight w:val="none"/>
          <w14:textFill>
            <w14:solidFill>
              <w14:schemeClr w14:val="tx1"/>
            </w14:solidFill>
          </w14:textFill>
        </w:rPr>
        <w:t>要求提供“一对一”服务，了解残疾人的实际需要，征求残疾人的建议，经过筛查评估整理，形成服务方案。中标供应商需安排专业技术人员按采购人要求深入基层，到采购人指定地点进行现场评估工作，并做好相关记录；对于</w:t>
      </w:r>
      <w:r>
        <w:rPr>
          <w:rFonts w:hint="eastAsia" w:ascii="仿宋" w:hAnsi="仿宋" w:eastAsia="仿宋" w:cs="仿宋"/>
          <w:b w:val="0"/>
          <w:bCs w:val="0"/>
          <w:color w:val="000000" w:themeColor="text1"/>
          <w:highlight w:val="none"/>
          <w:lang w:eastAsia="zh-CN"/>
          <w14:textFill>
            <w14:solidFill>
              <w14:schemeClr w14:val="tx1"/>
            </w14:solidFill>
          </w14:textFill>
        </w:rPr>
        <w:t>假肢</w:t>
      </w:r>
      <w:r>
        <w:rPr>
          <w:rFonts w:hint="eastAsia" w:ascii="仿宋" w:hAnsi="仿宋" w:eastAsia="仿宋" w:cs="仿宋"/>
          <w:b w:val="0"/>
          <w:bCs w:val="0"/>
          <w:color w:val="000000" w:themeColor="text1"/>
          <w:highlight w:val="none"/>
          <w14:textFill>
            <w14:solidFill>
              <w14:schemeClr w14:val="tx1"/>
            </w14:solidFill>
          </w14:textFill>
        </w:rPr>
        <w:t>装配后，中标供应商安排专业康复人员指导残疾人进行康复训练，装配完成后中标供应商需定期或不定期做回访，以便及时了解残疾人员的穿戴情况，提供后续跟踪服务。中标供应商所装配的</w:t>
      </w:r>
      <w:r>
        <w:rPr>
          <w:rFonts w:hint="eastAsia" w:ascii="仿宋" w:hAnsi="仿宋" w:eastAsia="仿宋" w:cs="仿宋"/>
          <w:b w:val="0"/>
          <w:bCs w:val="0"/>
          <w:color w:val="000000" w:themeColor="text1"/>
          <w:highlight w:val="none"/>
          <w:lang w:eastAsia="zh-CN"/>
          <w14:textFill>
            <w14:solidFill>
              <w14:schemeClr w14:val="tx1"/>
            </w14:solidFill>
          </w14:textFill>
        </w:rPr>
        <w:t>假肢</w:t>
      </w:r>
      <w:r>
        <w:rPr>
          <w:rFonts w:hint="eastAsia" w:ascii="仿宋" w:hAnsi="仿宋" w:eastAsia="仿宋" w:cs="仿宋"/>
          <w:b w:val="0"/>
          <w:bCs w:val="0"/>
          <w:color w:val="000000" w:themeColor="text1"/>
          <w:highlight w:val="none"/>
          <w14:textFill>
            <w14:solidFill>
              <w14:schemeClr w14:val="tx1"/>
            </w14:solidFill>
          </w14:textFill>
        </w:rPr>
        <w:t>保修期一年或以上，凡属</w:t>
      </w:r>
      <w:r>
        <w:rPr>
          <w:rFonts w:hint="eastAsia" w:ascii="仿宋" w:hAnsi="仿宋" w:eastAsia="仿宋" w:cs="仿宋"/>
          <w:b w:val="0"/>
          <w:bCs w:val="0"/>
          <w:color w:val="000000" w:themeColor="text1"/>
          <w:highlight w:val="none"/>
          <w:lang w:eastAsia="zh-CN"/>
          <w14:textFill>
            <w14:solidFill>
              <w14:schemeClr w14:val="tx1"/>
            </w14:solidFill>
          </w14:textFill>
        </w:rPr>
        <w:t>假肢</w:t>
      </w:r>
      <w:r>
        <w:rPr>
          <w:rFonts w:hint="eastAsia" w:ascii="仿宋" w:hAnsi="仿宋" w:eastAsia="仿宋" w:cs="仿宋"/>
          <w:b w:val="0"/>
          <w:bCs w:val="0"/>
          <w:color w:val="000000" w:themeColor="text1"/>
          <w:highlight w:val="none"/>
          <w14:textFill>
            <w14:solidFill>
              <w14:schemeClr w14:val="tx1"/>
            </w14:solidFill>
          </w14:textFill>
        </w:rPr>
        <w:t>质量、制作问题，在保修期内的，中标供应商需进行免费维修或更换；服务机构需具备在省市范围内维修、适配的服务网点，方便为残疾人异地装配服务。</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合同履约期限：5年。</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本项目不接受联合体投标。</w:t>
      </w:r>
    </w:p>
    <w:p>
      <w:pPr>
        <w:pStyle w:val="4"/>
        <w:keepNext w:val="0"/>
        <w:pageBreakBefore w:val="0"/>
        <w:numPr>
          <w:ilvl w:val="0"/>
          <w:numId w:val="22"/>
        </w:numPr>
        <w:tabs>
          <w:tab w:val="clear" w:pos="420"/>
        </w:tabs>
        <w:kinsoku/>
        <w:wordWrap/>
        <w:overflowPunct/>
        <w:topLinePunct w:val="0"/>
        <w:autoSpaceDE/>
        <w:autoSpaceDN/>
        <w:bidi w:val="0"/>
        <w:adjustRightInd/>
        <w:snapToGrid/>
        <w:spacing w:beforeLines="0" w:afterLines="0" w:line="360" w:lineRule="auto"/>
        <w:ind w:left="420" w:leftChars="0" w:right="0" w:rightChars="0" w:hanging="420" w:firstLineChars="0"/>
        <w:textAlignment w:val="auto"/>
        <w:rPr>
          <w:rFonts w:hint="eastAsia" w:ascii="仿宋" w:hAnsi="仿宋" w:eastAsia="仿宋" w:cs="仿宋"/>
          <w:b/>
          <w:bCs w:val="0"/>
          <w:color w:val="000000" w:themeColor="text1"/>
          <w:sz w:val="24"/>
          <w:szCs w:val="24"/>
          <w:lang w:val="en-US" w:eastAsia="zh-CN" w:bidi="zh-CN"/>
          <w14:textFill>
            <w14:solidFill>
              <w14:schemeClr w14:val="tx1"/>
            </w14:solidFill>
          </w14:textFill>
        </w:rPr>
      </w:pPr>
      <w:r>
        <w:rPr>
          <w:rFonts w:hint="eastAsia" w:ascii="仿宋" w:hAnsi="仿宋" w:eastAsia="仿宋" w:cs="仿宋"/>
          <w:b/>
          <w:bCs w:val="0"/>
          <w:color w:val="000000" w:themeColor="text1"/>
          <w:sz w:val="24"/>
          <w:szCs w:val="24"/>
          <w:lang w:val="en-US" w:eastAsia="zh-CN" w:bidi="zh-CN"/>
          <w14:textFill>
            <w14:solidFill>
              <w14:schemeClr w14:val="tx1"/>
            </w14:solidFill>
          </w14:textFill>
        </w:rPr>
        <w:t>项目技术要求</w:t>
      </w:r>
      <w:bookmarkEnd w:id="3"/>
    </w:p>
    <w:p>
      <w:pPr>
        <w:numPr>
          <w:ilvl w:val="0"/>
          <w:numId w:val="23"/>
        </w:numPr>
        <w:tabs>
          <w:tab w:val="left" w:pos="3210"/>
        </w:tabs>
        <w:spacing w:line="360" w:lineRule="auto"/>
        <w:ind w:firstLine="472" w:firstLineChars="196"/>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新装假肢技术参数</w:t>
      </w:r>
    </w:p>
    <w:p>
      <w:pPr>
        <w:pStyle w:val="19"/>
        <w:numPr>
          <w:ilvl w:val="0"/>
          <w:numId w:val="0"/>
        </w:numPr>
        <w:tabs>
          <w:tab w:val="left" w:pos="540"/>
        </w:tabs>
        <w:snapToGrid w:val="0"/>
        <w:spacing w:line="360" w:lineRule="auto"/>
        <w:ind w:leftChars="0"/>
        <w:jc w:val="left"/>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以</w:t>
      </w:r>
      <w:r>
        <w:rPr>
          <w:rFonts w:hint="eastAsia" w:ascii="仿宋" w:hAnsi="仿宋" w:eastAsia="仿宋" w:cs="仿宋"/>
          <w:b/>
          <w:color w:val="000000" w:themeColor="text1"/>
          <w:sz w:val="24"/>
          <w:szCs w:val="24"/>
          <w:lang w:val="en-US" w:eastAsia="zh-CN"/>
          <w14:textFill>
            <w14:solidFill>
              <w14:schemeClr w14:val="tx1"/>
            </w14:solidFill>
          </w14:textFill>
        </w:rPr>
        <w:t>下</w:t>
      </w:r>
      <w:r>
        <w:rPr>
          <w:rFonts w:hint="eastAsia" w:ascii="仿宋" w:hAnsi="仿宋" w:eastAsia="仿宋" w:cs="仿宋"/>
          <w:b/>
          <w:color w:val="000000" w:themeColor="text1"/>
          <w:sz w:val="24"/>
          <w:szCs w:val="24"/>
          <w14:textFill>
            <w14:solidFill>
              <w14:schemeClr w14:val="tx1"/>
            </w14:solidFill>
          </w14:textFill>
        </w:rPr>
        <w:t>技术参数为参照或相当于需求最低配置要求，若有涉及具体品牌、工艺、材料、标准等参数，仅为方便描述项目质量水平的参考值，各潜在投标人可以在其提供的文件资料中选择更优的产品替代</w:t>
      </w:r>
      <w:r>
        <w:rPr>
          <w:rFonts w:hint="eastAsia" w:ascii="仿宋" w:hAnsi="仿宋" w:eastAsia="仿宋" w:cs="仿宋"/>
          <w:b/>
          <w:color w:val="000000" w:themeColor="text1"/>
          <w:sz w:val="24"/>
          <w:szCs w:val="24"/>
          <w:lang w:eastAsia="zh-CN"/>
          <w14:textFill>
            <w14:solidFill>
              <w14:schemeClr w14:val="tx1"/>
            </w14:solidFill>
          </w14:textFill>
        </w:rPr>
        <w:t>。</w:t>
      </w:r>
    </w:p>
    <w:p>
      <w:pPr>
        <w:rPr>
          <w:rFonts w:hint="eastAsia" w:ascii="仿宋" w:hAnsi="仿宋" w:eastAsia="仿宋" w:cs="仿宋"/>
          <w:color w:val="000000" w:themeColor="text1"/>
          <w:lang w:eastAsia="zh-CN"/>
          <w14:textFill>
            <w14:solidFill>
              <w14:schemeClr w14:val="tx1"/>
            </w14:solidFill>
          </w14:textFill>
        </w:rPr>
      </w:pPr>
    </w:p>
    <w:p>
      <w:pPr>
        <w:pStyle w:val="44"/>
        <w:rPr>
          <w:rFonts w:hint="eastAsia" w:ascii="仿宋" w:hAnsi="仿宋" w:eastAsia="仿宋" w:cs="仿宋"/>
          <w:color w:val="000000" w:themeColor="text1"/>
          <w:lang w:val="en-US" w:eastAsia="zh-CN"/>
          <w14:textFill>
            <w14:solidFill>
              <w14:schemeClr w14:val="tx1"/>
            </w14:solidFill>
          </w14:textFill>
        </w:rPr>
      </w:pP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8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pPr>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b/>
                <w:bCs/>
                <w:color w:val="000000" w:themeColor="text1"/>
                <w:sz w:val="28"/>
                <w:szCs w:val="28"/>
                <w:vertAlign w:val="baseline"/>
                <w:lang w:eastAsia="zh-CN"/>
                <w14:textFill>
                  <w14:solidFill>
                    <w14:schemeClr w14:val="tx1"/>
                  </w14:solidFill>
                </w14:textFill>
              </w:rPr>
              <w:t>大腿假肢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产品名称</w:t>
            </w:r>
          </w:p>
        </w:tc>
        <w:tc>
          <w:tcPr>
            <w:tcW w:w="4017" w:type="pct"/>
            <w:vAlign w:val="center"/>
          </w:tcPr>
          <w:p>
            <w:pPr>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可旋阴三爪</w:t>
            </w:r>
          </w:p>
        </w:tc>
        <w:tc>
          <w:tcPr>
            <w:tcW w:w="4017" w:type="pct"/>
          </w:tcPr>
          <w:p>
            <w:pPr>
              <w:numPr>
                <w:ilvl w:val="0"/>
                <w:numId w:val="0"/>
              </w:numPr>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1、材质：可旋阴连接头为钛合金材料，三爪为铸钢材质；                            2、自重不大于136g；最大适用体重100Kg；                                 3、零部件组件每套独立包装，零件之间有分隔，防止碰撞，防潮防腐；                       4、表面进行抛光处理，外表光洁，无麻点，配套M8紧定螺丝4个，M6连接螺丝1个；                 </w:t>
            </w:r>
          </w:p>
          <w:p>
            <w:pPr>
              <w:numPr>
                <w:ilvl w:val="0"/>
                <w:numId w:val="0"/>
              </w:numPr>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5、符合国家《下肢假肢通用件》（GB 14723-2008）标准要求；                                </w:t>
            </w:r>
            <w:r>
              <w:rPr>
                <w:rFonts w:hint="eastAsia" w:ascii="仿宋" w:hAnsi="仿宋" w:eastAsia="仿宋" w:cs="仿宋"/>
                <w:color w:val="000000" w:themeColor="text1"/>
                <w:sz w:val="24"/>
                <w:szCs w:val="24"/>
                <w:vertAlign w:val="baseline"/>
                <w14:textFill>
                  <w14:solidFill>
                    <w14:schemeClr w14:val="tx1"/>
                  </w14:solidFill>
                </w14:textFill>
              </w:rPr>
              <w:t>★提供国家康复辅具质量监督检验中心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r>
              <w:rPr>
                <w:rFonts w:hint="eastAsia" w:ascii="仿宋" w:hAnsi="仿宋" w:eastAsia="仿宋" w:cs="仿宋"/>
                <w:color w:val="000000" w:themeColor="text1"/>
                <w:sz w:val="24"/>
                <w:szCs w:val="24"/>
                <w:vertAlign w:val="baseli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五连杆几何锁气压膝关节</w:t>
            </w:r>
          </w:p>
        </w:tc>
        <w:tc>
          <w:tcPr>
            <w:tcW w:w="4017" w:type="pct"/>
            <w:vAlign w:val="top"/>
          </w:tcPr>
          <w:p>
            <w:pPr>
              <w:numPr>
                <w:ilvl w:val="0"/>
                <w:numId w:val="24"/>
              </w:numPr>
              <w:ind w:left="0" w:leftChars="0" w:firstLine="0" w:firstLineChars="0"/>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材质：采用镁铝合金材料；   </w:t>
            </w:r>
          </w:p>
          <w:p>
            <w:pPr>
              <w:numPr>
                <w:ilvl w:val="0"/>
                <w:numId w:val="24"/>
              </w:numPr>
              <w:ind w:left="0" w:leftChars="0" w:firstLine="0" w:firstLineChars="0"/>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几何锁结构确保在支撑期时膝关节处于安全锁定状态，膝关节过渡到行走期时，几何锁自动解锁；                             </w:t>
            </w:r>
          </w:p>
          <w:p>
            <w:pPr>
              <w:numPr>
                <w:ilvl w:val="0"/>
                <w:numId w:val="24"/>
              </w:numPr>
              <w:ind w:left="0" w:leftChars="0" w:firstLine="0" w:firstLineChars="0"/>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独立大气压缸；                                 </w:t>
            </w:r>
          </w:p>
          <w:p>
            <w:pPr>
              <w:numPr>
                <w:ilvl w:val="0"/>
                <w:numId w:val="24"/>
              </w:numPr>
              <w:ind w:left="0" w:leftChars="0" w:firstLine="0" w:firstLineChars="0"/>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长连杆设计；                            </w:t>
            </w:r>
          </w:p>
          <w:p>
            <w:pPr>
              <w:numPr>
                <w:ilvl w:val="0"/>
                <w:numId w:val="24"/>
              </w:numPr>
              <w:ind w:left="0" w:leftChars="0" w:firstLine="0" w:firstLineChars="0"/>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重量</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不大于</w:t>
            </w:r>
            <w:r>
              <w:rPr>
                <w:rFonts w:hint="eastAsia" w:ascii="仿宋" w:hAnsi="仿宋" w:eastAsia="仿宋" w:cs="仿宋"/>
                <w:color w:val="000000" w:themeColor="text1"/>
                <w:sz w:val="24"/>
                <w:szCs w:val="24"/>
                <w:vertAlign w:val="baseline"/>
                <w14:textFill>
                  <w14:solidFill>
                    <w14:schemeClr w14:val="tx1"/>
                  </w14:solidFill>
                </w14:textFill>
              </w:rPr>
              <w:t xml:space="preserve">845克、结构高度210mm；                     </w:t>
            </w:r>
          </w:p>
          <w:p>
            <w:pPr>
              <w:numPr>
                <w:ilvl w:val="0"/>
                <w:numId w:val="25"/>
              </w:numPr>
              <w:ind w:leftChars="0"/>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最大屈膝角度155°；                             </w:t>
            </w:r>
          </w:p>
          <w:p>
            <w:pPr>
              <w:numPr>
                <w:ilvl w:val="0"/>
                <w:numId w:val="25"/>
              </w:numPr>
              <w:ind w:leftChars="0"/>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适用体重：最大适用体重100Kg；                            </w:t>
            </w:r>
          </w:p>
          <w:p>
            <w:pPr>
              <w:numPr>
                <w:ilvl w:val="0"/>
                <w:numId w:val="25"/>
              </w:numPr>
              <w:ind w:leftChars="0"/>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表面进行抛光处理，外表光洁，无麻点；                                9、包装：每件独立包装，部件之间有分隔，防止碰撞，防潮防腐；                             </w:t>
            </w:r>
          </w:p>
          <w:p>
            <w:pPr>
              <w:numPr>
                <w:ilvl w:val="0"/>
                <w:numId w:val="0"/>
              </w:numPr>
              <w:ind w:left="0" w:leftChars="0" w:firstLine="0" w:firstLineChars="0"/>
              <w:jc w:val="left"/>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10、符合国家《下肢假肢通用件》（GB 14723-2008）标准要求。                      ★提供国家康复辅具质量监督检验中心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四连杆气压膝关节</w:t>
            </w:r>
          </w:p>
        </w:tc>
        <w:tc>
          <w:tcPr>
            <w:tcW w:w="4017" w:type="pct"/>
          </w:tcPr>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1、重量：不大于750g；</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2、材质：采用航空级超轻镁铝合金材料；</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3、关节整体高度：200mm；</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4、最大屈膝角度：140°；</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5、适用体重：最大适用体重100Kg；</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6、规格：四棱台连接头，关节底部带锁紧装置，四连杆双气压结构，可调节阻尼大小，助伸效果和缓冲性强；</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7、包装：每件独立包装，部件之间有分隔，防止碰撞，防潮防腐；</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8、符合国家《下肢假肢通用件》（GB14723-2008）标准要求；</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r>
              <w:rPr>
                <w:rFonts w:hint="eastAsia" w:ascii="仿宋" w:hAnsi="仿宋" w:eastAsia="仿宋" w:cs="仿宋"/>
                <w:color w:val="000000" w:themeColor="text1"/>
                <w:sz w:val="24"/>
                <w:szCs w:val="24"/>
                <w:vertAlign w:val="baseli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手动锁四连杆膝关节</w:t>
            </w:r>
          </w:p>
        </w:tc>
        <w:tc>
          <w:tcPr>
            <w:tcW w:w="4017" w:type="pct"/>
          </w:tcPr>
          <w:p>
            <w:pPr>
              <w:numPr>
                <w:ilvl w:val="0"/>
                <w:numId w:val="26"/>
              </w:numPr>
              <w:ind w:leftChars="0"/>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材质：镁铝合金材料；                  </w:t>
            </w:r>
          </w:p>
          <w:p>
            <w:pPr>
              <w:numPr>
                <w:ilvl w:val="0"/>
                <w:numId w:val="26"/>
              </w:numPr>
              <w:ind w:leftChars="0"/>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自重不大于5</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50</w:t>
            </w:r>
            <w:r>
              <w:rPr>
                <w:rFonts w:hint="eastAsia" w:ascii="仿宋" w:hAnsi="仿宋" w:eastAsia="仿宋" w:cs="仿宋"/>
                <w:color w:val="000000" w:themeColor="text1"/>
                <w:sz w:val="24"/>
                <w:szCs w:val="24"/>
                <w:vertAlign w:val="baseline"/>
                <w14:textFill>
                  <w14:solidFill>
                    <w14:schemeClr w14:val="tx1"/>
                  </w14:solidFill>
                </w14:textFill>
              </w:rPr>
              <w:t>g，最大适用体重100Kg；                             3、关节结构高度140mm,最大屈膝角度不小于150度；                                 4、</w:t>
            </w:r>
            <w:r>
              <w:rPr>
                <w:rFonts w:hint="eastAsia" w:ascii="仿宋" w:hAnsi="仿宋" w:eastAsia="仿宋" w:cs="仿宋"/>
                <w:color w:val="000000" w:themeColor="text1"/>
                <w:sz w:val="24"/>
                <w:szCs w:val="24"/>
                <w:vertAlign w:val="baseline"/>
                <w:lang w:eastAsia="zh-CN"/>
                <w14:textFill>
                  <w14:solidFill>
                    <w14:schemeClr w14:val="tx1"/>
                  </w14:solidFill>
                </w14:textFill>
              </w:rPr>
              <w:t>手动锁设计；</w:t>
            </w:r>
            <w:r>
              <w:rPr>
                <w:rFonts w:hint="eastAsia" w:ascii="仿宋" w:hAnsi="仿宋" w:eastAsia="仿宋" w:cs="仿宋"/>
                <w:color w:val="000000" w:themeColor="text1"/>
                <w:sz w:val="24"/>
                <w:szCs w:val="24"/>
                <w:vertAlign w:val="baseline"/>
                <w14:textFill>
                  <w14:solidFill>
                    <w14:schemeClr w14:val="tx1"/>
                  </w14:solidFill>
                </w14:textFill>
              </w:rPr>
              <w:t xml:space="preserve">关键部件采用滚针轴承；                   </w:t>
            </w:r>
          </w:p>
          <w:p>
            <w:pPr>
              <w:numPr>
                <w:ilvl w:val="0"/>
                <w:numId w:val="0"/>
              </w:numPr>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5、零部件组件每套独立包装，零件之间有分隔，防止碰撞，防潮防腐；                                           6、表面进行抛光处理，外表光洁，无麻点；                                7、符合国家《下肢假肢通用件》（GB/T18375）标准要求。</w:t>
            </w:r>
          </w:p>
          <w:p>
            <w:pPr>
              <w:numPr>
                <w:ilvl w:val="0"/>
                <w:numId w:val="0"/>
              </w:numPr>
              <w:ind w:leftChars="0"/>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可调铝合金一体管（</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4</w:t>
            </w:r>
            <w:r>
              <w:rPr>
                <w:rFonts w:hint="eastAsia" w:ascii="仿宋" w:hAnsi="仿宋" w:eastAsia="仿宋" w:cs="仿宋"/>
                <w:color w:val="000000" w:themeColor="text1"/>
                <w:sz w:val="24"/>
                <w:szCs w:val="24"/>
                <w:vertAlign w:val="baseline"/>
                <w:lang w:eastAsia="zh-CN"/>
                <w14:textFill>
                  <w14:solidFill>
                    <w14:schemeClr w14:val="tx1"/>
                  </w14:solidFill>
                </w14:textFill>
              </w:rPr>
              <w:t>20mm）</w:t>
            </w:r>
          </w:p>
        </w:tc>
        <w:tc>
          <w:tcPr>
            <w:tcW w:w="4017" w:type="pct"/>
            <w:vAlign w:val="top"/>
          </w:tcPr>
          <w:p>
            <w:pPr>
              <w:numPr>
                <w:ilvl w:val="0"/>
                <w:numId w:val="27"/>
              </w:numPr>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材质：一体化连接管为铝合金材料，管接头为钛合金材料；                        2、自重不大于</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258</w:t>
            </w:r>
            <w:r>
              <w:rPr>
                <w:rFonts w:hint="eastAsia" w:ascii="仿宋" w:hAnsi="仿宋" w:eastAsia="仿宋" w:cs="仿宋"/>
                <w:color w:val="000000" w:themeColor="text1"/>
                <w:sz w:val="24"/>
                <w:szCs w:val="24"/>
                <w:vertAlign w:val="baseline"/>
                <w14:textFill>
                  <w14:solidFill>
                    <w14:schemeClr w14:val="tx1"/>
                  </w14:solidFill>
                </w14:textFill>
              </w:rPr>
              <w:t xml:space="preserve">g，最大适用体重100Kg；                      </w:t>
            </w:r>
          </w:p>
          <w:p>
            <w:pPr>
              <w:numPr>
                <w:ilvl w:val="0"/>
                <w:numId w:val="27"/>
              </w:numPr>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铝合金管长度不低于</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4</w:t>
            </w:r>
            <w:r>
              <w:rPr>
                <w:rFonts w:hint="eastAsia" w:ascii="仿宋" w:hAnsi="仿宋" w:eastAsia="仿宋" w:cs="仿宋"/>
                <w:color w:val="000000" w:themeColor="text1"/>
                <w:sz w:val="24"/>
                <w:szCs w:val="24"/>
                <w:vertAlign w:val="baseline"/>
                <w14:textFill>
                  <w14:solidFill>
                    <w14:schemeClr w14:val="tx1"/>
                  </w14:solidFill>
                </w14:textFill>
              </w:rPr>
              <w:t xml:space="preserve">20mm,管壁厚不低于2mm，管外直径30mm；管接头为钛合金材质，两者连接牢固，不松动，配套M8紧定螺丝4个；                                  4、零部件组件每套独立包装，零件之间有分隔，防止碰撞，防潮防腐；                                           </w:t>
            </w:r>
          </w:p>
          <w:p>
            <w:pPr>
              <w:numPr>
                <w:ilvl w:val="0"/>
                <w:numId w:val="0"/>
              </w:numPr>
              <w:ind w:left="0" w:leftChars="0" w:firstLine="0" w:firstLineChars="0"/>
              <w:jc w:val="left"/>
              <w:rPr>
                <w:rFonts w:hint="eastAsia" w:ascii="仿宋" w:hAnsi="仿宋" w:eastAsia="仿宋" w:cs="仿宋"/>
                <w:b/>
                <w:bCs/>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5、符合国家《下肢假肢通用件》（GB 14723-2008）标准要求；                         ★提供国家康复辅具质量监督检验中心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碳纤脚板</w:t>
            </w:r>
          </w:p>
        </w:tc>
        <w:tc>
          <w:tcPr>
            <w:tcW w:w="4017" w:type="pct"/>
          </w:tcPr>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1、脚板均采用分趾设计，能适应凹凸路面等复杂路况变化；碳纤板和脚套分离，低结构高度设计；</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2、截肢高度：小腿截肢；体重—运动等级：M1-M3 ；                                3、产品重量：≤350g（不含脚套）；</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4、结构高度：≤65mm；</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5、跟高：10mm-15mm;适配等级1-9；      </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6、尺码：22cm-27cm，间隔1cm;配脚皮及玻纤袜套；</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7、接口：标准四棱台 ；                </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8、承重范围0-125kg；</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9、符合GB/T 18375.5-2004、GB/T 18375.6-2004标准要求；</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1</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0</w:t>
            </w:r>
            <w:r>
              <w:rPr>
                <w:rFonts w:hint="eastAsia" w:ascii="仿宋" w:hAnsi="仿宋" w:eastAsia="仿宋" w:cs="仿宋"/>
                <w:color w:val="000000" w:themeColor="text1"/>
                <w:sz w:val="24"/>
                <w:szCs w:val="24"/>
                <w:vertAlign w:val="baseline"/>
                <w14:textFill>
                  <w14:solidFill>
                    <w14:schemeClr w14:val="tx1"/>
                  </w14:solidFill>
                </w14:textFill>
              </w:rPr>
              <w:t>、假脚含1只聚氨酯仿真脚皮，1只消音玻纤袜套。</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pPr>
              <w:jc w:val="center"/>
              <w:rPr>
                <w:rFonts w:hint="eastAsia" w:ascii="仿宋" w:hAnsi="仿宋" w:eastAsia="仿宋" w:cs="仿宋"/>
                <w:color w:val="000000" w:themeColor="text1"/>
                <w:vertAlign w:val="baseline"/>
                <w:lang w:eastAsia="zh-CN"/>
                <w14:textFill>
                  <w14:solidFill>
                    <w14:schemeClr w14:val="tx1"/>
                  </w14:solidFill>
                </w14:textFill>
              </w:rPr>
            </w:pPr>
            <w:r>
              <w:rPr>
                <w:rFonts w:hint="eastAsia" w:ascii="仿宋" w:hAnsi="仿宋" w:eastAsia="仿宋" w:cs="仿宋"/>
                <w:b/>
                <w:bCs/>
                <w:color w:val="000000" w:themeColor="text1"/>
                <w:sz w:val="28"/>
                <w:szCs w:val="28"/>
                <w:vertAlign w:val="baseline"/>
                <w:lang w:eastAsia="zh-CN"/>
                <w14:textFill>
                  <w14:solidFill>
                    <w14:schemeClr w14:val="tx1"/>
                  </w14:solidFill>
                </w14:textFill>
              </w:rPr>
              <w:t>小腿假肢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方锥阳四爪</w:t>
            </w:r>
          </w:p>
        </w:tc>
        <w:tc>
          <w:tcPr>
            <w:tcW w:w="4017" w:type="pct"/>
          </w:tcPr>
          <w:p>
            <w:pPr>
              <w:numPr>
                <w:ilvl w:val="0"/>
                <w:numId w:val="28"/>
              </w:numPr>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材质：钛合金；                      </w:t>
            </w:r>
          </w:p>
          <w:p>
            <w:pPr>
              <w:numPr>
                <w:ilvl w:val="0"/>
                <w:numId w:val="28"/>
              </w:numPr>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自重不大于55g；最大适用体重100Kg；                                 3、零部件组件每套独立包装，零件之间有分隔，防止碰撞，防潮防腐；                       </w:t>
            </w:r>
          </w:p>
          <w:p>
            <w:pPr>
              <w:numPr>
                <w:ilvl w:val="0"/>
                <w:numId w:val="0"/>
              </w:numPr>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4、表面进行抛光处理，外表光洁，无麻点；                                5、符合国家《下肢假肢通用件》（GB 14723-2008）标准要求；                               ★提供国家康复辅具质量监督检验中心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r>
              <w:rPr>
                <w:rFonts w:hint="eastAsia" w:ascii="仿宋" w:hAnsi="仿宋" w:eastAsia="仿宋" w:cs="仿宋"/>
                <w:color w:val="000000" w:themeColor="text1"/>
                <w:sz w:val="24"/>
                <w:szCs w:val="24"/>
                <w:vertAlign w:val="baseli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锁紧管接头</w:t>
            </w:r>
          </w:p>
        </w:tc>
        <w:tc>
          <w:tcPr>
            <w:tcW w:w="4017" w:type="pct"/>
          </w:tcPr>
          <w:p>
            <w:pPr>
              <w:numPr>
                <w:ilvl w:val="0"/>
                <w:numId w:val="29"/>
              </w:numPr>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材质：钛合金；                       </w:t>
            </w:r>
          </w:p>
          <w:p>
            <w:pPr>
              <w:numPr>
                <w:ilvl w:val="0"/>
                <w:numId w:val="29"/>
              </w:numPr>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自重不大于75g，最大适用体重100Kg；                       </w:t>
            </w:r>
          </w:p>
          <w:p>
            <w:pPr>
              <w:numPr>
                <w:ilvl w:val="0"/>
                <w:numId w:val="29"/>
              </w:numPr>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零部件组件每套独立包装，零件之间有分隔，防止碰撞，防潮防腐；                       </w:t>
            </w:r>
          </w:p>
          <w:p>
            <w:pPr>
              <w:numPr>
                <w:ilvl w:val="0"/>
                <w:numId w:val="29"/>
              </w:numPr>
              <w:ind w:left="0" w:leftChars="0" w:firstLine="0" w:firstLineChars="0"/>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表面进行抛光处理，外表光洁，无麻点；管内直径为30mm、配套M8紧定螺丝4个，M6连接螺丝1个；                            </w:t>
            </w:r>
          </w:p>
          <w:p>
            <w:pPr>
              <w:numPr>
                <w:ilvl w:val="0"/>
                <w:numId w:val="0"/>
              </w:numPr>
              <w:ind w:leftChars="0"/>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5、符合国家《下肢假肢通用件》（GB 14723-2008）标准要求；                             ★提供国家康复辅具质量监督检验中心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可调铝合金一体管（220mm）</w:t>
            </w:r>
          </w:p>
        </w:tc>
        <w:tc>
          <w:tcPr>
            <w:tcW w:w="4017" w:type="pct"/>
          </w:tcPr>
          <w:p>
            <w:pPr>
              <w:numPr>
                <w:ilvl w:val="0"/>
                <w:numId w:val="30"/>
              </w:numPr>
              <w:jc w:val="left"/>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材质：一体化连接管为铝合金材料，管接头为钛合金材料；                        2、自重不大于158g，最大适用体重100Kg；                       </w:t>
            </w:r>
          </w:p>
          <w:p>
            <w:pPr>
              <w:numPr>
                <w:ilvl w:val="0"/>
                <w:numId w:val="30"/>
              </w:numPr>
              <w:jc w:val="left"/>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铝合金管长度不低于220mm,管壁厚不低于2mm，管外直径30mm；管接头为钛合金材质，两者连接牢固，不松动，配套M8紧定螺丝4个；                                  4、零部件组件每套独立包装，零件之间有分隔，防止碰撞，防潮防腐；                                           </w:t>
            </w:r>
          </w:p>
          <w:p>
            <w:pPr>
              <w:numPr>
                <w:ilvl w:val="0"/>
                <w:numId w:val="0"/>
              </w:numPr>
              <w:jc w:val="left"/>
              <w:rPr>
                <w:rFonts w:hint="eastAsia" w:ascii="仿宋" w:hAnsi="仿宋" w:eastAsia="仿宋" w:cs="仿宋"/>
                <w:b/>
                <w:bCs/>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5、符合国家《下肢假肢通用件》（GB 14723-2008）标准要求；                         ★提供国家康复辅具质量监督检验中心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Align w:val="center"/>
          </w:tcPr>
          <w:p>
            <w:pPr>
              <w:jc w:val="cente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碳纤脚板</w:t>
            </w:r>
          </w:p>
        </w:tc>
        <w:tc>
          <w:tcPr>
            <w:tcW w:w="4017" w:type="pct"/>
            <w:vAlign w:val="top"/>
          </w:tcPr>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1、脚板均采用分趾设计，能适应凹凸路面等复杂路况变化；碳纤板和脚套分离，低结构高度设计；</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2、截肢高度：小腿截肢；体重—运动等级：M1-M3 ；                                3、产品重量：≤350g（不含脚套）；</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4、结构高度：≤65mm；</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5、跟高：10mm-15mm;适配等级1-9；       </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6、尺码：22cm-27cm，间隔1cm;配脚皮及玻纤袜套；</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 xml:space="preserve">7、接口：标准四棱台 ；                 </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8、承重范围0-125kg；</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9、符合GB/T 18375.5-2004、GB/T 18375.6-2004标准要求；</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1</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0</w:t>
            </w:r>
            <w:r>
              <w:rPr>
                <w:rFonts w:hint="eastAsia" w:ascii="仿宋" w:hAnsi="仿宋" w:eastAsia="仿宋" w:cs="仿宋"/>
                <w:color w:val="000000" w:themeColor="text1"/>
                <w:sz w:val="24"/>
                <w:szCs w:val="24"/>
                <w:vertAlign w:val="baseline"/>
                <w14:textFill>
                  <w14:solidFill>
                    <w14:schemeClr w14:val="tx1"/>
                  </w14:solidFill>
                </w14:textFill>
              </w:rPr>
              <w:t>、假脚含1只聚氨酯仿真脚皮，1只消音玻纤袜套。</w:t>
            </w:r>
          </w:p>
          <w:p>
            <w:pPr>
              <w:rPr>
                <w:rFonts w:hint="eastAsia" w:ascii="仿宋" w:hAnsi="仿宋" w:eastAsia="仿宋" w:cs="仿宋"/>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r>
              <w:rPr>
                <w:rFonts w:hint="eastAsia" w:ascii="仿宋" w:hAnsi="仿宋" w:eastAsia="仿宋" w:cs="仿宋"/>
                <w:color w:val="000000" w:themeColor="text1"/>
                <w:sz w:val="24"/>
                <w:szCs w:val="24"/>
                <w:vertAlign w:val="baseli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pPr>
              <w:jc w:val="cente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b/>
                <w:bCs/>
                <w:color w:val="000000" w:themeColor="text1"/>
                <w:sz w:val="28"/>
                <w:szCs w:val="28"/>
                <w:vertAlign w:val="baseline"/>
                <w:lang w:eastAsia="zh-CN"/>
                <w14:textFill>
                  <w14:solidFill>
                    <w14:schemeClr w14:val="tx1"/>
                  </w14:solidFill>
                </w14:textFill>
              </w:rPr>
              <w:t>上臂肌电控制假肢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Merge w:val="restart"/>
            <w:vAlign w:val="center"/>
          </w:tcPr>
          <w:p>
            <w:pPr>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lang w:eastAsia="zh-CN"/>
                <w14:textFill>
                  <w14:solidFill>
                    <w14:schemeClr w14:val="tx1"/>
                  </w14:solidFill>
                </w14:textFill>
              </w:rPr>
              <w:t>上臂二自由度肌电假肢</w:t>
            </w:r>
          </w:p>
        </w:tc>
        <w:tc>
          <w:tcPr>
            <w:tcW w:w="4017" w:type="pct"/>
            <w:vAlign w:val="top"/>
          </w:tcPr>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一、技术要求</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1、最大开手距离≥95mm</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2、指端平均运动速度≥80mmS</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3、指端捏力≥30N</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4、开手90mm能耗≤1.3J</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5、噪音≤45db</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6、指端自锁阻力≥60N </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★提供国家康复辅具质量监督检验中心</w:t>
            </w:r>
            <w:r>
              <w:rPr>
                <w:rFonts w:hint="eastAsia" w:ascii="仿宋" w:hAnsi="仿宋" w:eastAsia="仿宋" w:cs="仿宋"/>
                <w:color w:val="000000" w:themeColor="text1"/>
                <w:sz w:val="24"/>
                <w:szCs w:val="24"/>
                <w:vertAlign w:val="baseline"/>
                <w:lang w:eastAsia="zh-CN"/>
                <w14:textFill>
                  <w14:solidFill>
                    <w14:schemeClr w14:val="tx1"/>
                  </w14:solidFill>
                </w14:textFill>
              </w:rPr>
              <w:t>出具的产品</w:t>
            </w:r>
            <w:r>
              <w:rPr>
                <w:rFonts w:hint="eastAsia" w:ascii="仿宋" w:hAnsi="仿宋" w:eastAsia="仿宋" w:cs="仿宋"/>
                <w:color w:val="000000" w:themeColor="text1"/>
                <w:sz w:val="24"/>
                <w:szCs w:val="24"/>
                <w:vertAlign w:val="baseline"/>
                <w14:textFill>
                  <w14:solidFill>
                    <w14:schemeClr w14:val="tx1"/>
                  </w14:solidFill>
                </w14:textFill>
              </w:rPr>
              <w:t>检验</w:t>
            </w:r>
            <w:r>
              <w:rPr>
                <w:rFonts w:hint="eastAsia" w:ascii="仿宋" w:hAnsi="仿宋" w:eastAsia="仿宋" w:cs="仿宋"/>
                <w:color w:val="000000" w:themeColor="text1"/>
                <w:sz w:val="24"/>
                <w:szCs w:val="24"/>
                <w:vertAlign w:val="baseline"/>
                <w:lang w:eastAsia="zh-CN"/>
                <w14:textFill>
                  <w14:solidFill>
                    <w14:schemeClr w14:val="tx1"/>
                  </w14:solidFill>
                </w14:textFill>
              </w:rPr>
              <w:t>报告</w:t>
            </w:r>
            <w:r>
              <w:rPr>
                <w:rFonts w:hint="eastAsia" w:ascii="仿宋" w:hAnsi="仿宋" w:eastAsia="仿宋" w:cs="仿宋"/>
                <w:color w:val="000000" w:themeColor="text1"/>
                <w:sz w:val="24"/>
                <w:szCs w:val="24"/>
                <w:vertAlign w:val="baseli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 w:type="pct"/>
            <w:vMerge w:val="continue"/>
            <w:vAlign w:val="center"/>
          </w:tcPr>
          <w:p>
            <w:pPr>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p>
        </w:tc>
        <w:tc>
          <w:tcPr>
            <w:tcW w:w="4017" w:type="pct"/>
            <w:vAlign w:val="top"/>
          </w:tcPr>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二、功能</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1）肌电控制手、肘动作</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2）腕关节被动旋转</w:t>
            </w:r>
          </w:p>
          <w:p>
            <w:pP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3）配有手动切换开关，起到辅助肌电信号切换作用</w:t>
            </w:r>
          </w:p>
          <w:p>
            <w:pPr>
              <w:rPr>
                <w:rFonts w:hint="eastAsia" w:ascii="仿宋" w:hAnsi="仿宋" w:eastAsia="仿宋" w:cs="仿宋"/>
                <w:color w:val="000000" w:themeColor="text1"/>
                <w:sz w:val="24"/>
                <w:szCs w:val="24"/>
                <w:vertAlign w:val="baseline"/>
                <w:lang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4）配有上臂被动旋转机构，上臂可根据需要左右调整适用于肩关节离断.上臂中、短残肢每套配硅胶手套一只，锂离子电池两块，充电器和适配器一套，模块及嵌件螺丝等</w:t>
            </w:r>
            <w:r>
              <w:rPr>
                <w:rFonts w:hint="eastAsia" w:ascii="仿宋" w:hAnsi="仿宋" w:eastAsia="仿宋" w:cs="仿宋"/>
                <w:color w:val="000000" w:themeColor="text1"/>
                <w:sz w:val="24"/>
                <w:szCs w:val="24"/>
                <w:vertAlign w:val="baseline"/>
                <w:lang w:eastAsia="zh-CN"/>
                <w14:textFill>
                  <w14:solidFill>
                    <w14:schemeClr w14:val="tx1"/>
                  </w14:solidFill>
                </w14:textFill>
              </w:rPr>
              <w:t>。</w:t>
            </w:r>
          </w:p>
        </w:tc>
      </w:tr>
    </w:tbl>
    <w:p>
      <w:pPr>
        <w:numPr>
          <w:ilvl w:val="0"/>
          <w:numId w:val="23"/>
        </w:numPr>
        <w:tabs>
          <w:tab w:val="left" w:pos="3210"/>
        </w:tabs>
        <w:spacing w:line="360" w:lineRule="auto"/>
        <w:ind w:firstLine="472" w:firstLineChars="196"/>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维修假肢服务要求</w:t>
      </w:r>
    </w:p>
    <w:p>
      <w:pPr>
        <w:tabs>
          <w:tab w:val="left" w:pos="3210"/>
        </w:tabs>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对策勒县残疾人（约30人）已安装的假肢进维修、修复、保养等服务，确保假肢正常使用，服务期5年。</w:t>
      </w:r>
    </w:p>
    <w:p>
      <w:pPr>
        <w:tabs>
          <w:tab w:val="left" w:pos="3210"/>
        </w:tabs>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服务内容包含假肢故障更换，包含但不限于：</w:t>
      </w:r>
    </w:p>
    <w:p>
      <w:pPr>
        <w:tabs>
          <w:tab w:val="left" w:pos="3210"/>
        </w:tabs>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大腿假肢：可旋阴三爪、五连杆几何锁气压膝关节、四连杆气压膝关节、手动锁四连杆膝关节、可调铝合金一体管、碳纤脚板；</w:t>
      </w:r>
    </w:p>
    <w:p>
      <w:pPr>
        <w:tabs>
          <w:tab w:val="left" w:pos="3210"/>
        </w:tabs>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小腿假肢：方锥阳四爪、锁紧管接头、可调铝合金一体管、碳纤脚板，所更换的备件为原假肢生产厂家和同一型号规格的全新零配件；</w:t>
      </w:r>
    </w:p>
    <w:p>
      <w:pPr>
        <w:tabs>
          <w:tab w:val="left" w:pos="3210"/>
        </w:tabs>
        <w:spacing w:line="360" w:lineRule="auto"/>
        <w:ind w:firstLine="480" w:firstLineChars="200"/>
        <w:rPr>
          <w:rFonts w:hint="eastAsia" w:ascii="仿宋" w:hAnsi="仿宋" w:eastAsia="仿宋" w:cs="仿宋"/>
          <w:color w:val="000000" w:themeColor="text1"/>
          <w:sz w:val="24"/>
          <w:szCs w:val="20"/>
          <w:lang w:val="en-US" w:eastAsia="zh-CN" w:bidi="ar-SA"/>
          <w14:textFill>
            <w14:solidFill>
              <w14:schemeClr w14:val="tx1"/>
            </w14:solidFill>
          </w14:textFill>
        </w:rPr>
      </w:pPr>
      <w:r>
        <w:rPr>
          <w:rFonts w:hint="eastAsia" w:ascii="仿宋" w:hAnsi="仿宋" w:eastAsia="仿宋" w:cs="仿宋"/>
          <w:color w:val="000000" w:themeColor="text1"/>
          <w:sz w:val="24"/>
          <w:szCs w:val="20"/>
          <w:lang w:val="en-US" w:eastAsia="zh-CN" w:bidi="ar-SA"/>
          <w14:textFill>
            <w14:solidFill>
              <w14:schemeClr w14:val="tx1"/>
            </w14:solidFill>
          </w14:textFill>
        </w:rPr>
        <w:t>上臂肌电控制假肢。</w:t>
      </w:r>
    </w:p>
    <w:p>
      <w:pPr>
        <w:tabs>
          <w:tab w:val="left" w:pos="3210"/>
        </w:tabs>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服务期内包含每年 4 次定期维护及运行情况检查、不定次数维修及备件、包含人工费、差旅费、配件费。确保假肢能满足残疾人正常使用，具体实施时间由采购人使用部门指定。</w:t>
      </w:r>
    </w:p>
    <w:p>
      <w:pPr>
        <w:tabs>
          <w:tab w:val="left" w:pos="3210"/>
        </w:tabs>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▲在服务期内接到服务对象通知时随叫随到，全天候电话响应，假肢制作师应在 3 小时内到达现场（包括节假日）,24 小时内处理完毕。如因服务不到位引发服务对象投诉或采购人形成有效投诉的，采购人有权终止合同并要求投标人赔偿损失。</w:t>
      </w:r>
    </w:p>
    <w:p>
      <w:pPr>
        <w:tabs>
          <w:tab w:val="left" w:pos="3210"/>
        </w:tabs>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szCs w:val="24"/>
          <w:vertAlign w:val="baseline"/>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若中标，服务期内必须安排驻点 2 名或以上假肢制作师，每月安排假肢制作师现场走访巡检一次，并出具书面服务结果报告经采购人使用部门或管理部门签字确认。（提供书面承诺函）</w:t>
      </w:r>
    </w:p>
    <w:p>
      <w:pPr>
        <w:tabs>
          <w:tab w:val="left" w:pos="3210"/>
        </w:tabs>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▲服务期内，投标人在维修更换配件时引假肢其他新故障时，由投标人自行解决故障及配件并承担全部费用。</w:t>
      </w:r>
    </w:p>
    <w:p>
      <w:pPr>
        <w:tabs>
          <w:tab w:val="left" w:pos="3210"/>
        </w:tabs>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投标人在服务期内，如遇到无能为力解决故障、未履行维修义务或履行义务未符合要求的，采购人有权聘请第三方（含生产厂家）维修解决，维修费用以及零配件更换费用等均由投标人承担。</w:t>
      </w:r>
    </w:p>
    <w:p>
      <w:pPr>
        <w:tabs>
          <w:tab w:val="left" w:pos="3210"/>
        </w:tabs>
        <w:spacing w:line="360" w:lineRule="auto"/>
        <w:ind w:firstLine="482" w:firstLineChars="200"/>
        <w:rPr>
          <w:rFonts w:hint="eastAsia" w:ascii="仿宋" w:hAnsi="仿宋" w:eastAsia="仿宋" w:cs="仿宋"/>
          <w:b/>
          <w:color w:val="000000" w:themeColor="text1"/>
          <w:sz w:val="24"/>
          <w:lang w:val="zh-CN"/>
          <w14:textFill>
            <w14:solidFill>
              <w14:schemeClr w14:val="tx1"/>
            </w14:solidFill>
          </w14:textFill>
        </w:rPr>
      </w:pPr>
      <w:r>
        <w:rPr>
          <w:rFonts w:hint="eastAsia" w:ascii="仿宋" w:hAnsi="仿宋" w:eastAsia="仿宋" w:cs="仿宋"/>
          <w:b/>
          <w:color w:val="000000" w:themeColor="text1"/>
          <w:sz w:val="24"/>
          <w:lang w:val="zh-CN"/>
          <w14:textFill>
            <w14:solidFill>
              <w14:schemeClr w14:val="tx1"/>
            </w14:solidFill>
          </w14:textFill>
        </w:rPr>
        <w:t>（</w:t>
      </w:r>
      <w:r>
        <w:rPr>
          <w:rFonts w:hint="eastAsia" w:ascii="仿宋" w:hAnsi="仿宋" w:eastAsia="仿宋" w:cs="仿宋"/>
          <w:b/>
          <w:color w:val="000000" w:themeColor="text1"/>
          <w:sz w:val="24"/>
          <w:lang w:val="en-US" w:eastAsia="zh-CN"/>
          <w14:textFill>
            <w14:solidFill>
              <w14:schemeClr w14:val="tx1"/>
            </w14:solidFill>
          </w14:textFill>
        </w:rPr>
        <w:t>三</w:t>
      </w:r>
      <w:r>
        <w:rPr>
          <w:rFonts w:hint="eastAsia" w:ascii="仿宋" w:hAnsi="仿宋" w:eastAsia="仿宋" w:cs="仿宋"/>
          <w:b/>
          <w:color w:val="000000" w:themeColor="text1"/>
          <w:sz w:val="24"/>
          <w:lang w:val="zh-CN"/>
          <w14:textFill>
            <w14:solidFill>
              <w14:schemeClr w14:val="tx1"/>
            </w14:solidFill>
          </w14:textFill>
        </w:rPr>
        <w:t>）服务要求</w:t>
      </w:r>
    </w:p>
    <w:p>
      <w:pPr>
        <w:tabs>
          <w:tab w:val="left" w:pos="3210"/>
        </w:tabs>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中标供应商应安排</w:t>
      </w:r>
      <w:r>
        <w:rPr>
          <w:rFonts w:hint="eastAsia" w:ascii="仿宋" w:hAnsi="仿宋" w:eastAsia="仿宋" w:cs="仿宋"/>
          <w:color w:val="000000" w:themeColor="text1"/>
          <w:sz w:val="24"/>
          <w:lang w:eastAsia="zh-CN"/>
          <w14:textFill>
            <w14:solidFill>
              <w14:schemeClr w14:val="tx1"/>
            </w14:solidFill>
          </w14:textFill>
        </w:rPr>
        <w:t>假肢</w:t>
      </w:r>
      <w:r>
        <w:rPr>
          <w:rFonts w:hint="eastAsia" w:ascii="仿宋" w:hAnsi="仿宋" w:eastAsia="仿宋" w:cs="仿宋"/>
          <w:color w:val="000000" w:themeColor="text1"/>
          <w:sz w:val="24"/>
          <w14:textFill>
            <w14:solidFill>
              <w14:schemeClr w14:val="tx1"/>
            </w14:solidFill>
          </w14:textFill>
        </w:rPr>
        <w:t>专业技术人员为残疾人</w:t>
      </w:r>
      <w:r>
        <w:rPr>
          <w:rFonts w:hint="eastAsia" w:ascii="仿宋" w:hAnsi="仿宋" w:eastAsia="仿宋" w:cs="仿宋"/>
          <w:color w:val="000000" w:themeColor="text1"/>
          <w:sz w:val="24"/>
          <w:lang w:eastAsia="zh-CN"/>
          <w14:textFill>
            <w14:solidFill>
              <w14:schemeClr w14:val="tx1"/>
            </w14:solidFill>
          </w14:textFill>
        </w:rPr>
        <w:t>假肢</w:t>
      </w:r>
      <w:r>
        <w:rPr>
          <w:rFonts w:hint="eastAsia" w:ascii="仿宋" w:hAnsi="仿宋" w:eastAsia="仿宋" w:cs="仿宋"/>
          <w:color w:val="000000" w:themeColor="text1"/>
          <w:sz w:val="24"/>
          <w14:textFill>
            <w14:solidFill>
              <w14:schemeClr w14:val="tx1"/>
            </w14:solidFill>
          </w14:textFill>
        </w:rPr>
        <w:t>装配的需求进行评估、适配、安装、制作、康复训练与使用指导；</w:t>
      </w:r>
    </w:p>
    <w:p>
      <w:pPr>
        <w:tabs>
          <w:tab w:val="left" w:pos="3210"/>
        </w:tabs>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2、投标人应具备残疾人</w:t>
      </w:r>
      <w:r>
        <w:rPr>
          <w:rFonts w:hint="eastAsia" w:ascii="仿宋" w:hAnsi="仿宋" w:eastAsia="仿宋" w:cs="仿宋"/>
          <w:color w:val="000000" w:themeColor="text1"/>
          <w:sz w:val="24"/>
          <w:lang w:eastAsia="zh-CN"/>
          <w14:textFill>
            <w14:solidFill>
              <w14:schemeClr w14:val="tx1"/>
            </w14:solidFill>
          </w14:textFill>
        </w:rPr>
        <w:t>假肢</w:t>
      </w:r>
      <w:r>
        <w:rPr>
          <w:rFonts w:hint="eastAsia" w:ascii="仿宋" w:hAnsi="仿宋" w:eastAsia="仿宋" w:cs="仿宋"/>
          <w:color w:val="000000" w:themeColor="text1"/>
          <w:sz w:val="24"/>
          <w14:textFill>
            <w14:solidFill>
              <w14:schemeClr w14:val="tx1"/>
            </w14:solidFill>
          </w14:textFill>
        </w:rPr>
        <w:t>装配及售后服务为一体的经营项目；</w:t>
      </w:r>
    </w:p>
    <w:p>
      <w:pPr>
        <w:tabs>
          <w:tab w:val="left" w:pos="3210"/>
        </w:tabs>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3、投标人应具备制作</w:t>
      </w:r>
      <w:r>
        <w:rPr>
          <w:rFonts w:hint="eastAsia" w:ascii="仿宋" w:hAnsi="仿宋" w:eastAsia="仿宋" w:cs="仿宋"/>
          <w:color w:val="000000" w:themeColor="text1"/>
          <w:sz w:val="24"/>
          <w:lang w:eastAsia="zh-CN"/>
          <w14:textFill>
            <w14:solidFill>
              <w14:schemeClr w14:val="tx1"/>
            </w14:solidFill>
          </w14:textFill>
        </w:rPr>
        <w:t>假肢</w:t>
      </w:r>
      <w:r>
        <w:rPr>
          <w:rFonts w:hint="eastAsia" w:ascii="仿宋" w:hAnsi="仿宋" w:eastAsia="仿宋" w:cs="仿宋"/>
          <w:color w:val="000000" w:themeColor="text1"/>
          <w:sz w:val="24"/>
          <w14:textFill>
            <w14:solidFill>
              <w14:schemeClr w14:val="tx1"/>
            </w14:solidFill>
          </w14:textFill>
        </w:rPr>
        <w:t>专业技术人员</w:t>
      </w: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名以上；</w:t>
      </w:r>
    </w:p>
    <w:p>
      <w:pPr>
        <w:tabs>
          <w:tab w:val="left" w:pos="3210"/>
        </w:tabs>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4、投标人须有多年服务过</w:t>
      </w:r>
      <w:r>
        <w:rPr>
          <w:rFonts w:hint="eastAsia" w:ascii="仿宋" w:hAnsi="仿宋" w:eastAsia="仿宋" w:cs="仿宋"/>
          <w:color w:val="000000" w:themeColor="text1"/>
          <w:sz w:val="24"/>
          <w:lang w:eastAsia="zh-CN"/>
          <w14:textFill>
            <w14:solidFill>
              <w14:schemeClr w14:val="tx1"/>
            </w14:solidFill>
          </w14:textFill>
        </w:rPr>
        <w:t>假肢</w:t>
      </w:r>
      <w:r>
        <w:rPr>
          <w:rFonts w:hint="eastAsia" w:ascii="仿宋" w:hAnsi="仿宋" w:eastAsia="仿宋" w:cs="仿宋"/>
          <w:color w:val="000000" w:themeColor="text1"/>
          <w:sz w:val="24"/>
          <w14:textFill>
            <w14:solidFill>
              <w14:schemeClr w14:val="tx1"/>
            </w14:solidFill>
          </w14:textFill>
        </w:rPr>
        <w:t>客户的经验。</w:t>
      </w:r>
    </w:p>
    <w:p>
      <w:pPr>
        <w:tabs>
          <w:tab w:val="left" w:pos="3210"/>
        </w:tabs>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5、中标人必须设立项目联系人，该联系人必须是正式员工（社保清单中必须含有项目联系人名单），因特殊原因需更换的，须在变更前三个工作日内书面报告采购人。</w:t>
      </w:r>
    </w:p>
    <w:p>
      <w:pPr>
        <w:tabs>
          <w:tab w:val="left" w:pos="3210"/>
        </w:tabs>
        <w:spacing w:line="360" w:lineRule="auto"/>
        <w:ind w:firstLine="482" w:firstLineChars="200"/>
        <w:rPr>
          <w:rFonts w:hint="eastAsia" w:ascii="仿宋" w:hAnsi="仿宋" w:eastAsia="仿宋" w:cs="仿宋"/>
          <w:b/>
          <w:color w:val="000000" w:themeColor="text1"/>
          <w:sz w:val="24"/>
          <w:lang w:val="zh-CN"/>
          <w14:textFill>
            <w14:solidFill>
              <w14:schemeClr w14:val="tx1"/>
            </w14:solidFill>
          </w14:textFill>
        </w:rPr>
      </w:pPr>
      <w:r>
        <w:rPr>
          <w:rFonts w:hint="eastAsia" w:ascii="仿宋" w:hAnsi="仿宋" w:eastAsia="仿宋" w:cs="仿宋"/>
          <w:b/>
          <w:color w:val="000000" w:themeColor="text1"/>
          <w:sz w:val="24"/>
          <w:lang w:val="zh-CN"/>
          <w14:textFill>
            <w14:solidFill>
              <w14:schemeClr w14:val="tx1"/>
            </w14:solidFill>
          </w14:textFill>
        </w:rPr>
        <w:t>（四）产品配送</w:t>
      </w:r>
    </w:p>
    <w:p>
      <w:pPr>
        <w:tabs>
          <w:tab w:val="left" w:pos="3210"/>
        </w:tabs>
        <w:spacing w:line="360" w:lineRule="auto"/>
        <w:ind w:firstLine="480" w:firstLineChars="20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辅助器具的配送由中标供应商确定专人专车负责，按照实际需求清单中提供的进行配送。采购人组织残疾人到专配站进行安装假肢（或上门为残疾人装配），为保证装配质量和使用效果，要重视假肢装配后的适应性训练和使用指导。</w:t>
      </w:r>
    </w:p>
    <w:p>
      <w:pPr>
        <w:tabs>
          <w:tab w:val="left" w:pos="3210"/>
        </w:tabs>
        <w:spacing w:line="360" w:lineRule="auto"/>
        <w:ind w:firstLine="482" w:firstLineChars="20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b/>
          <w:color w:val="000000" w:themeColor="text1"/>
          <w:sz w:val="24"/>
          <w:lang w:val="zh-CN"/>
          <w14:textFill>
            <w14:solidFill>
              <w14:schemeClr w14:val="tx1"/>
            </w14:solidFill>
          </w14:textFill>
        </w:rPr>
        <w:t>（五）售后服务</w:t>
      </w:r>
    </w:p>
    <w:p>
      <w:pPr>
        <w:tabs>
          <w:tab w:val="left" w:pos="3210"/>
        </w:tabs>
        <w:spacing w:line="360" w:lineRule="auto"/>
        <w:ind w:firstLine="480" w:firstLineChars="20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装配假肢三个月内要对受益人进行随访，了解假肢使用状况，发现问题及时处理。随访采用入户，电话或信函等方式，随访情况要记录存档。初次装配假肢的残疾人，当残肢萎缩导致接受腔松动时，应按规定指导受益人如何调整或采取技术措施予以处置，如无法继续使用时，应更换。</w:t>
      </w:r>
    </w:p>
    <w:p>
      <w:pPr>
        <w:tabs>
          <w:tab w:val="left" w:pos="3210"/>
        </w:tabs>
        <w:spacing w:line="360" w:lineRule="auto"/>
        <w:ind w:firstLine="480" w:firstLineChars="20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2、质保期须</w:t>
      </w:r>
      <w:r>
        <w:rPr>
          <w:rFonts w:hint="eastAsia" w:ascii="仿宋" w:hAnsi="仿宋" w:eastAsia="仿宋" w:cs="仿宋"/>
          <w:color w:val="000000" w:themeColor="text1"/>
          <w:sz w:val="24"/>
          <w:lang w:val="en-US" w:eastAsia="zh-CN"/>
          <w14:textFill>
            <w14:solidFill>
              <w14:schemeClr w14:val="tx1"/>
            </w14:solidFill>
          </w14:textFill>
        </w:rPr>
        <w:t>五</w:t>
      </w:r>
      <w:r>
        <w:rPr>
          <w:rFonts w:hint="eastAsia" w:ascii="仿宋" w:hAnsi="仿宋" w:eastAsia="仿宋" w:cs="仿宋"/>
          <w:color w:val="000000" w:themeColor="text1"/>
          <w:sz w:val="24"/>
          <w:lang w:val="zh-CN"/>
          <w14:textFill>
            <w14:solidFill>
              <w14:schemeClr w14:val="tx1"/>
            </w14:solidFill>
          </w14:textFill>
        </w:rPr>
        <w:t>年（含）或以上，质保期内中标供应商对所供货物实行包修、包换、包维护保养服务。</w:t>
      </w:r>
    </w:p>
    <w:p>
      <w:pPr>
        <w:snapToGrid w:val="0"/>
        <w:spacing w:line="360" w:lineRule="auto"/>
        <w:ind w:right="420" w:rightChars="200" w:firstLine="482" w:firstLineChars="200"/>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color w:val="000000" w:themeColor="text1"/>
          <w:sz w:val="24"/>
          <w:lang w:val="zh-CN"/>
          <w14:textFill>
            <w14:solidFill>
              <w14:schemeClr w14:val="tx1"/>
            </w14:solidFill>
          </w14:textFill>
        </w:rPr>
        <w:t>（六）</w:t>
      </w:r>
      <w:r>
        <w:rPr>
          <w:rFonts w:hint="eastAsia" w:ascii="仿宋" w:hAnsi="仿宋" w:eastAsia="仿宋" w:cs="仿宋"/>
          <w:b/>
          <w:bCs/>
          <w:color w:val="000000" w:themeColor="text1"/>
          <w:sz w:val="24"/>
          <w14:textFill>
            <w14:solidFill>
              <w14:schemeClr w14:val="tx1"/>
            </w14:solidFill>
          </w14:textFill>
        </w:rPr>
        <w:t>技术培训</w:t>
      </w:r>
    </w:p>
    <w:p>
      <w:pPr>
        <w:snapToGrid w:val="0"/>
        <w:spacing w:line="360" w:lineRule="auto"/>
        <w:ind w:right="420" w:rightChars="200"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由于离断假肢、上肢假肢均为新开展服务内容，中标供应商应加大项目管理和技术人员的培训力度，提升</w:t>
      </w:r>
      <w:r>
        <w:rPr>
          <w:rFonts w:hint="eastAsia" w:ascii="仿宋" w:hAnsi="仿宋" w:eastAsia="仿宋" w:cs="仿宋"/>
          <w:color w:val="000000" w:themeColor="text1"/>
          <w:sz w:val="24"/>
          <w:lang w:eastAsia="zh-CN"/>
          <w14:textFill>
            <w14:solidFill>
              <w14:schemeClr w14:val="tx1"/>
            </w14:solidFill>
          </w14:textFill>
        </w:rPr>
        <w:t>假肢</w:t>
      </w:r>
      <w:r>
        <w:rPr>
          <w:rFonts w:hint="eastAsia" w:ascii="仿宋" w:hAnsi="仿宋" w:eastAsia="仿宋" w:cs="仿宋"/>
          <w:color w:val="000000" w:themeColor="text1"/>
          <w:sz w:val="24"/>
          <w14:textFill>
            <w14:solidFill>
              <w14:schemeClr w14:val="tx1"/>
            </w14:solidFill>
          </w14:textFill>
        </w:rPr>
        <w:t>装配服务能力和水平，并免费开展残疾人日常保养和肢体养护学习和康复注意事项等相关内容的讲座或培训。</w:t>
      </w:r>
    </w:p>
    <w:p>
      <w:pPr>
        <w:snapToGrid w:val="0"/>
        <w:spacing w:line="360" w:lineRule="auto"/>
        <w:ind w:right="420" w:rightChars="200" w:firstLine="482"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lang w:val="zh-CN"/>
          <w14:textFill>
            <w14:solidFill>
              <w14:schemeClr w14:val="tx1"/>
            </w14:solidFill>
          </w14:textFill>
        </w:rPr>
        <w:t>（七）质量抽检</w:t>
      </w:r>
    </w:p>
    <w:p>
      <w:pPr>
        <w:tabs>
          <w:tab w:val="left" w:pos="3210"/>
        </w:tabs>
        <w:spacing w:line="360" w:lineRule="auto"/>
        <w:ind w:firstLine="480" w:firstLineChars="20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1、中标供应商提供的产品应该符合国家质检机构要求的合格产品，确保假肢的质量、性能和使用安全，维护残疾人合法权益。</w:t>
      </w:r>
    </w:p>
    <w:p>
      <w:pPr>
        <w:tabs>
          <w:tab w:val="left" w:pos="3210"/>
        </w:tabs>
        <w:spacing w:line="360" w:lineRule="auto"/>
        <w:ind w:firstLine="480" w:firstLineChars="20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2、甲方有权组成验收小组按国家有关规定、规范进行验收，必要时邀请相关的专业人员或机构参与验收。因货物质量问题发生争议时，由本地质量技术监督部门鉴定。</w:t>
      </w:r>
    </w:p>
    <w:p>
      <w:pPr>
        <w:snapToGrid w:val="0"/>
        <w:spacing w:line="360" w:lineRule="auto"/>
        <w:ind w:right="420" w:rightChars="200" w:firstLine="482"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lang w:val="zh-CN"/>
          <w14:textFill>
            <w14:solidFill>
              <w14:schemeClr w14:val="tx1"/>
            </w14:solidFill>
          </w14:textFill>
        </w:rPr>
        <w:t>（八）</w:t>
      </w:r>
      <w:r>
        <w:rPr>
          <w:rFonts w:hint="eastAsia" w:ascii="仿宋" w:hAnsi="仿宋" w:eastAsia="仿宋" w:cs="仿宋"/>
          <w:b/>
          <w:bCs/>
          <w:color w:val="000000" w:themeColor="text1"/>
          <w:sz w:val="24"/>
          <w14:textFill>
            <w14:solidFill>
              <w14:schemeClr w14:val="tx1"/>
            </w14:solidFill>
          </w14:textFill>
        </w:rPr>
        <w:t>其他要求</w:t>
      </w:r>
    </w:p>
    <w:p>
      <w:pPr>
        <w:snapToGrid w:val="0"/>
        <w:spacing w:line="360" w:lineRule="auto"/>
        <w:ind w:right="420" w:rightChars="200"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1）中标供应商承诺不通过任何途径诱导患者有偿接受超出基本型辅具适配目录以外的适配项目。患者有经济能力承担，及时</w:t>
      </w:r>
      <w:r>
        <w:rPr>
          <w:rFonts w:hint="eastAsia" w:ascii="仿宋" w:hAnsi="仿宋" w:eastAsia="仿宋" w:cs="仿宋"/>
          <w:color w:val="000000" w:themeColor="text1"/>
          <w:sz w:val="24"/>
          <w:lang w:eastAsia="zh-CN"/>
          <w14:textFill>
            <w14:solidFill>
              <w14:schemeClr w14:val="tx1"/>
            </w14:solidFill>
          </w14:textFill>
        </w:rPr>
        <w:t>假肢</w:t>
      </w:r>
      <w:r>
        <w:rPr>
          <w:rFonts w:hint="eastAsia" w:ascii="仿宋" w:hAnsi="仿宋" w:eastAsia="仿宋" w:cs="仿宋"/>
          <w:color w:val="000000" w:themeColor="text1"/>
          <w:sz w:val="24"/>
          <w14:textFill>
            <w14:solidFill>
              <w14:schemeClr w14:val="tx1"/>
            </w14:solidFill>
          </w14:textFill>
        </w:rPr>
        <w:t>材料、配件有更高的装配要求的，经患者或者监护人书面同意，允许中标供应商向患者提供高端材料或产品系列作选择，并由患者签订《知情同意书》费用由患者自负，中标供应商须出具符合财务制度的收款凭证。</w:t>
      </w:r>
    </w:p>
    <w:p>
      <w:pPr>
        <w:snapToGrid w:val="0"/>
        <w:spacing w:line="360" w:lineRule="auto"/>
        <w:ind w:right="420" w:rightChars="200"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2）中标供应商应对实际产生的康复费用全额出具符合财政制度的票据作为报销的凭证。因中标供应商出具的报销凭证不符合结算单位的财务制度要求，导致结算不能的后果由中标供应商自行承担。</w:t>
      </w:r>
    </w:p>
    <w:p>
      <w:pPr>
        <w:pStyle w:val="14"/>
        <w:widowControl/>
        <w:numPr>
          <w:ilvl w:val="0"/>
          <w:numId w:val="0"/>
        </w:numPr>
        <w:adjustRightInd w:val="0"/>
        <w:snapToGrid w:val="0"/>
        <w:spacing w:after="0"/>
        <w:ind w:left="562" w:leftChars="0"/>
        <w:jc w:val="left"/>
        <w:rPr>
          <w:rFonts w:hint="eastAsia" w:ascii="仿宋" w:hAnsi="仿宋" w:eastAsia="仿宋" w:cs="仿宋"/>
          <w:b/>
          <w:color w:val="000000" w:themeColor="text1"/>
          <w:sz w:val="24"/>
          <w:szCs w:val="24"/>
          <w:lang w:val="en-US" w:eastAsia="zh-CN"/>
          <w14:textFill>
            <w14:solidFill>
              <w14:schemeClr w14:val="tx1"/>
            </w14:solidFill>
          </w14:textFill>
        </w:rPr>
      </w:pPr>
    </w:p>
    <w:p>
      <w:pPr>
        <w:numPr>
          <w:ilvl w:val="0"/>
          <w:numId w:val="0"/>
        </w:numPr>
        <w:ind w:leftChars="0"/>
        <w:rPr>
          <w:rFonts w:hint="eastAsia" w:ascii="仿宋" w:hAnsi="仿宋" w:eastAsia="仿宋" w:cs="仿宋"/>
          <w:color w:val="000000" w:themeColor="text1"/>
          <w:lang w:val="en-US" w:eastAsia="zh-CN"/>
          <w14:textFill>
            <w14:solidFill>
              <w14:schemeClr w14:val="tx1"/>
            </w14:solidFill>
          </w14:textFill>
        </w:rPr>
      </w:pPr>
    </w:p>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firstLine="241"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三、商务要求</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★（一）报价要求</w:t>
      </w:r>
    </w:p>
    <w:p>
      <w:pPr>
        <w:keepNext w:val="0"/>
        <w:pageBreakBefore w:val="0"/>
        <w:numPr>
          <w:ilvl w:val="0"/>
          <w:numId w:val="31"/>
        </w:numPr>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总报价应包括各种人力成本、设备成本、资料费、服务费、税费及合同实施过程中的所有费用。</w:t>
      </w:r>
    </w:p>
    <w:p>
      <w:pPr>
        <w:keepNext w:val="0"/>
        <w:pageBreakBefore w:val="0"/>
        <w:numPr>
          <w:ilvl w:val="0"/>
          <w:numId w:val="31"/>
        </w:numPr>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报价不能超过该项目的最高限价，须精确到小数点后两位，如未按要求报价则为无效投标文件处理。</w:t>
      </w:r>
    </w:p>
    <w:p>
      <w:pPr>
        <w:pStyle w:val="44"/>
        <w:numPr>
          <w:ilvl w:val="0"/>
          <w:numId w:val="31"/>
        </w:numPr>
        <w:ind w:left="0" w:leftChars="0" w:firstLine="520" w:firstLineChars="20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报价应包含服务对象接送车费、食宿费等。</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（二）投标报价风险</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★投标报价已包含完成本项目所需的人力成本、投入成本、利润、税金、交通、中标服务费及其他相关费用等，采购人将不予支付除招标文件及承包合同约定的由投标人承担的风险因素之外的任何补偿。</w:t>
      </w:r>
    </w:p>
    <w:p>
      <w:pPr>
        <w:pStyle w:val="14"/>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周围环境等客观因素对项目实施影响巨大，难以将具体情况描述到位，投标人可通过自行现场踏勘掌握本项目的客观资料，便于制定科学的实施方案和风险分析，也可以准确拟定投标价格标准。投标人因未进行现场踏勘影响投标报价、方案编制的，由投标人自行承担。</w:t>
      </w:r>
    </w:p>
    <w:p>
      <w:pPr>
        <w:pStyle w:val="14"/>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投标人除招标文件缺陷等原因外，因供应商自身不能参加现场勘查或现场踏勘不全面的，供应商不得因此提出修改投标报价或提出索赔等要求，须在投标文件中提供书面承诺书。</w:t>
      </w:r>
    </w:p>
    <w:p>
      <w:pPr>
        <w:keepNext w:val="0"/>
        <w:pageBreakBefore w:val="0"/>
        <w:numPr>
          <w:ilvl w:val="0"/>
          <w:numId w:val="32"/>
        </w:numPr>
        <w:kinsoku/>
        <w:wordWrap/>
        <w:overflowPunct/>
        <w:topLinePunct w:val="0"/>
        <w:autoSpaceDE/>
        <w:autoSpaceDN/>
        <w:bidi w:val="0"/>
        <w:spacing w:line="360" w:lineRule="auto"/>
        <w:ind w:left="0" w:leftChars="0" w:right="0" w:firstLine="480" w:firstLineChars="200"/>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中标供应商具体工作内容</w:t>
      </w:r>
    </w:p>
    <w:p>
      <w:pPr>
        <w:pStyle w:val="14"/>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策勒县残疾人新装假肢23人，其中大腿15个，小腿7个，右臂一个，完成康复训练，质保5年。同时对策勒县残疾人（约30人）已安装的假肢进维修、修复、保养等服务，确保假肢正常使用，服务期5年。</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付款方式</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中标人凭以下有效文件与采购人结算：</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中标人开具的正式发票；</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★备注：因采购人使用的是</w:t>
      </w: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r>
        <w:rPr>
          <w:rFonts w:hint="eastAsia" w:ascii="仿宋" w:hAnsi="仿宋" w:eastAsia="仿宋" w:cs="仿宋"/>
          <w:color w:val="000000" w:themeColor="text1"/>
          <w:sz w:val="24"/>
          <w:szCs w:val="24"/>
          <w:highlight w:val="none"/>
          <w14:textFill>
            <w14:solidFill>
              <w14:schemeClr w14:val="tx1"/>
            </w14:solidFill>
          </w14:textFill>
        </w:rPr>
        <w:t>采购人在前款规定的付款时间为向政府采购支付部门提出办理财政支付申请手续的时间（不含政府财政支付部门审核的时间），在规定时间内提出支付申请手续后即视为采购人已经按期支付。</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本项目为连续服务项目，中标供应商不得因财政拨付资金不到位而停止服务，须在投标文件中针对此提供书面承诺函。</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（五）履约保证金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1、签订合同前，中标人需缴纳履约保证金合同总价的 10% 到采购人指定账户，在合同期内未出现违约现象，未发生劳资纠纷或投诉情况，合同结束时无息退还。部分违约现象或劳资纠纷，从履约保证金中扣除相应金额的违约金；若发现严重违约现象或有效投诉情况,则不予退还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2、交纳方式：以支票、汇票、本票、银行转账等非现金形式提交；采用支票、汇票、本票提交履约保证金的，有效期必须在供货期内保持有效；</w:t>
      </w:r>
    </w:p>
    <w:p>
      <w:pPr>
        <w:pStyle w:val="14"/>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3、交纳时间：签订合同前中标供应商向采购人交纳。</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（六）其他</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★为确保本项目顺利完成，供应商必须承诺：承诺在中标后所投入的专业技术人员为本企业人专业技术人员，并与投标文件提供的专业技术人员一致的承诺书。</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4" w:name="五、违约责任"/>
      <w:bookmarkEnd w:id="4"/>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、违约责任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在执行项目过程中如出现下列情形，采购人有权即时终止合同并要求中标人赔偿损失：</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中标人未能按合同规定的时间提供服务逾期半个月以上的，采购人除有权提前终止合同外，每逾期一天，由此造成的采购人经济损失由中标人承担；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中标人在合同履行期间，除法律另行规定外，未经采购人同意，将采购人提供的资料泄外，并在社会上造成不良影响及严重后果的。采购人有权终止合同，由此造成的采购人经济损失由中标人承担；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中标人提供的</w:t>
      </w:r>
      <w:r>
        <w:rPr>
          <w:rFonts w:hint="eastAsia" w:ascii="仿宋" w:hAnsi="仿宋" w:eastAsia="仿宋" w:cs="仿宋"/>
          <w:color w:val="000000" w:themeColor="text1"/>
          <w:sz w:val="24"/>
          <w:szCs w:val="24"/>
          <w:highlight w:val="none"/>
          <w:lang w:val="en-US" w:eastAsia="zh-CN"/>
          <w14:textFill>
            <w14:solidFill>
              <w14:schemeClr w14:val="tx1"/>
            </w14:solidFill>
          </w14:textFill>
        </w:rPr>
        <w:t>法务</w:t>
      </w:r>
      <w:r>
        <w:rPr>
          <w:rFonts w:hint="eastAsia" w:ascii="仿宋" w:hAnsi="仿宋" w:eastAsia="仿宋" w:cs="仿宋"/>
          <w:color w:val="000000" w:themeColor="text1"/>
          <w:sz w:val="24"/>
          <w:szCs w:val="24"/>
          <w:highlight w:val="none"/>
          <w14:textFill>
            <w14:solidFill>
              <w14:schemeClr w14:val="tx1"/>
            </w14:solidFill>
          </w14:textFill>
        </w:rPr>
        <w:t>服务不符合招标文件及其投标承诺， 经过整改后仍未能满足相关规定的，采购人有权终止合同， 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中标人出现上述情形的，采购人有权要求中标人按合同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%支付违约金。</w:t>
      </w:r>
    </w:p>
    <w:p>
      <w:pPr>
        <w:pStyle w:val="14"/>
        <w:keepNext w:val="0"/>
        <w:keepLines w:val="0"/>
        <w:pageBreakBefore w:val="0"/>
        <w:kinsoku/>
        <w:wordWrap/>
        <w:overflowPunct/>
        <w:topLinePunct w:val="0"/>
        <w:autoSpaceDE/>
        <w:autoSpaceDN/>
        <w:bidi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pStyle w:val="19"/>
        <w:keepNext w:val="0"/>
        <w:keepLines w:val="0"/>
        <w:pageBreakBefore w:val="0"/>
        <w:widowControl w:val="0"/>
        <w:numPr>
          <w:ilvl w:val="0"/>
          <w:numId w:val="22"/>
        </w:numPr>
        <w:tabs>
          <w:tab w:val="left" w:pos="540"/>
        </w:tabs>
        <w:kinsoku/>
        <w:wordWrap/>
        <w:overflowPunct/>
        <w:topLinePunct w:val="0"/>
        <w:autoSpaceDE/>
        <w:autoSpaceDN/>
        <w:bidi w:val="0"/>
        <w:adjustRightInd w:val="0"/>
        <w:snapToGrid w:val="0"/>
        <w:spacing w:line="360" w:lineRule="auto"/>
        <w:ind w:left="0" w:right="0" w:firstLine="482" w:firstLineChars="200"/>
        <w:jc w:val="left"/>
        <w:textAlignment w:val="baseline"/>
        <w:rPr>
          <w:rFonts w:hint="eastAsia" w:ascii="仿宋" w:hAnsi="仿宋" w:eastAsia="仿宋" w:cs="仿宋"/>
          <w:b w:val="0"/>
          <w:bCs w:val="0"/>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bCs/>
          <w:color w:val="000000" w:themeColor="text1"/>
          <w:sz w:val="24"/>
          <w:szCs w:val="24"/>
          <w:lang w:val="en-US" w:eastAsia="zh-CN" w:bidi="ar-SA"/>
          <w14:textFill>
            <w14:solidFill>
              <w14:schemeClr w14:val="tx1"/>
            </w14:solidFill>
          </w14:textFill>
        </w:rPr>
        <w:t>履约便利性的需求</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kern w:val="0"/>
          <w:sz w:val="24"/>
          <w:szCs w:val="24"/>
          <w:lang w:val="en-US" w:eastAsia="zh-CN" w:bidi="ar-SA"/>
          <w14:textFill>
            <w14:solidFill>
              <w14:schemeClr w14:val="tx1"/>
            </w14:solidFill>
          </w14:textFill>
        </w:rPr>
        <w:t>采</w:t>
      </w:r>
      <w:r>
        <w:rPr>
          <w:rFonts w:hint="eastAsia" w:ascii="仿宋" w:hAnsi="仿宋" w:eastAsia="仿宋" w:cs="仿宋"/>
          <w:color w:val="000000" w:themeColor="text1"/>
          <w:sz w:val="24"/>
          <w:szCs w:val="24"/>
          <w:lang w:val="en-US" w:eastAsia="zh-CN"/>
          <w14:textFill>
            <w14:solidFill>
              <w14:schemeClr w14:val="tx1"/>
            </w14:solidFill>
          </w14:textFill>
        </w:rPr>
        <w:t>购方要求供应商提供自有或租赁的固定场所作为服务场所并为本项目派出人员提供服务；或供应商承诺中标后按上述要求设置服务场所并提供相关服务。</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方关于本项目服务履约过程中所需服务场所为项目所在地的情况说明：本项目工作时间紧任务量大，具有特定时间安全管理要求高的特点，管理安全责任重大。为保障人民群众生命财产安全，需要投标方在项目所在地区设置直属服务机构且有固定的服务人员，能够密切联系采购方，应付突发情况和后勤保障，更快更好地为采购方服务。</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供应商按要求提供的服务场所作为合同履约的要求需列入合同管理，合同需要依法公开。中标供应商在中标后未按要求签订合同履约，视为拒绝履行合同义务，采购方可以依法主张有关权利。</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供应商提供投标文件需要按照“关于服务场所所需证明材料的情况说明”提供包括但不限于以下的证明材料复印件来佐证自己满足采购方要求服务场所的需求。各种服务场所的情形是否响应满足采购方的服务需求，由评标委员会依法在评标会议期间对采购文件、投标文件进行评审认定。关于服务场所所需证明材料的情况说明：根据《政府采购法实施条例》（国务院令第 658 号）第 17 条“法人或者其他组织的营业执照等证明文件”的规定，采购方要求投标文件提供证明材料为：</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供应商提供自有的固定场所作为服务场所，并为本项目派出人员提供服务。服务地点为注册地，提供营业执照复印件；服务地点为非注册地，一般需提供固定场所自有产权证复印件（可以只复印关键页）等；</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供应商提供租赁的固定场所作为服务场所，并为本项目派出人员提供服务。服务地点为注册地，提供营业执照复印件；服务地点为非注册地一般需提供租赁合同复印件和租赁发票（可以只复印关键页）、服务场所照片等；</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供应商由于自身原因在该项目投标期间未能设置服务场所来投标响应服务场所的需求，可以在其投标文件中承诺在中标后的签订合同环节按采购方要求服务场所的服务需求完成设置服务场所，并需在承诺中明确提供服务场所的方式。投标人承诺中标后10个日历日内必须在项目所在地区设立不少于300平方米的固定办公场所。（投标人必须就本项提交承诺书，如中标人未如期完成承诺事项，采购人有权中止采购合同）。</w:t>
      </w:r>
    </w:p>
    <w:p>
      <w:pPr>
        <w:pStyle w:val="19"/>
        <w:keepNext w:val="0"/>
        <w:keepLines w:val="0"/>
        <w:pageBreakBefore w:val="0"/>
        <w:widowControl w:val="0"/>
        <w:numPr>
          <w:ilvl w:val="0"/>
          <w:numId w:val="22"/>
        </w:numPr>
        <w:tabs>
          <w:tab w:val="left" w:pos="540"/>
        </w:tabs>
        <w:kinsoku/>
        <w:wordWrap/>
        <w:overflowPunct/>
        <w:topLinePunct w:val="0"/>
        <w:autoSpaceDE/>
        <w:autoSpaceDN/>
        <w:bidi w:val="0"/>
        <w:adjustRightInd w:val="0"/>
        <w:snapToGrid w:val="0"/>
        <w:spacing w:line="360" w:lineRule="auto"/>
        <w:ind w:left="0" w:right="0" w:firstLine="482" w:firstLineChars="200"/>
        <w:jc w:val="left"/>
        <w:textAlignment w:val="baseline"/>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诚信履约</w:t>
      </w:r>
      <w:r>
        <w:rPr>
          <w:rFonts w:hint="eastAsia" w:ascii="仿宋" w:hAnsi="仿宋" w:eastAsia="仿宋" w:cs="仿宋"/>
          <w:b/>
          <w:bCs/>
          <w:color w:val="000000" w:themeColor="text1"/>
          <w:sz w:val="24"/>
          <w:szCs w:val="24"/>
          <w:lang w:val="en-US"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（1）投标报价比本项目最高限价低 25%（含 25%）以上，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w:t>
      </w:r>
      <w:r>
        <w:rPr>
          <w:rFonts w:hint="eastAsia" w:ascii="仿宋" w:hAnsi="仿宋" w:eastAsia="仿宋" w:cs="仿宋"/>
          <w:color w:val="000000" w:themeColor="text1"/>
          <w:sz w:val="24"/>
          <w:szCs w:val="24"/>
          <w:lang w:val="en-US" w:eastAsia="zh-CN"/>
          <w14:textFill>
            <w14:solidFill>
              <w14:schemeClr w14:val="tx1"/>
            </w14:solidFill>
          </w14:textFill>
        </w:rPr>
        <w:t>由</w:t>
      </w:r>
      <w:r>
        <w:rPr>
          <w:rFonts w:hint="eastAsia" w:ascii="仿宋" w:hAnsi="仿宋" w:eastAsia="仿宋" w:cs="仿宋"/>
          <w:color w:val="000000" w:themeColor="text1"/>
          <w:sz w:val="24"/>
          <w:szCs w:val="24"/>
          <w14:textFill>
            <w14:solidFill>
              <w14:schemeClr w14:val="tx1"/>
            </w14:solidFill>
          </w14:textFill>
        </w:rPr>
        <w:t>法定代表人或者其授权代表签字确认。报价人不能合理说明或者提供相关证明材料将被评标委员会认定为以低于成本报价竞标的，作无效投标处理。（简称“有效报价提示一”）</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（2）评标委员会认为投标方的报价明显低于其他通过符合性审查投标方的报价低 20%（含 20%）以上，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jc w:val="lef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keepNext w:val="0"/>
        <w:keepLines w:val="0"/>
        <w:pageBreakBefore w:val="0"/>
        <w:kinsoku/>
        <w:wordWrap/>
        <w:overflowPunct/>
        <w:topLinePunct w:val="0"/>
        <w:autoSpaceDE/>
        <w:autoSpaceDN/>
        <w:bidi w:val="0"/>
        <w:spacing w:line="360" w:lineRule="auto"/>
        <w:ind w:firstLine="420" w:firstLineChars="200"/>
        <w:rPr>
          <w:rFonts w:hint="eastAsia" w:ascii="仿宋" w:hAnsi="仿宋" w:eastAsia="仿宋" w:cs="仿宋"/>
          <w:color w:val="000000" w:themeColor="text1"/>
          <w14:textFill>
            <w14:solidFill>
              <w14:schemeClr w14:val="tx1"/>
            </w14:solidFill>
          </w14:textFill>
        </w:rPr>
        <w:sectPr>
          <w:headerReference r:id="rId8" w:type="default"/>
          <w:footerReference r:id="rId9" w:type="default"/>
          <w:pgSz w:w="11910" w:h="16840"/>
          <w:pgMar w:top="1340" w:right="901" w:bottom="920" w:left="900" w:header="763" w:footer="720" w:gutter="0"/>
          <w:pgNumType w:start="1"/>
          <w:cols w:space="720" w:num="1"/>
        </w:sect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lang w:val="en-US" w:eastAsia="zh-CN"/>
          <w14:textFill>
            <w14:solidFill>
              <w14:schemeClr w14:val="tx1"/>
            </w14:solidFill>
          </w14:textFill>
        </w:rPr>
      </w:pPr>
      <w:r>
        <w:rPr>
          <w:rFonts w:hint="eastAsia" w:ascii="仿宋" w:hAnsi="仿宋" w:eastAsia="仿宋" w:cs="仿宋"/>
          <w:b/>
          <w:color w:val="000000" w:themeColor="text1"/>
          <w:sz w:val="48"/>
          <w:szCs w:val="48"/>
          <w:highlight w:val="none"/>
          <w:lang w:val="en-US" w:eastAsia="zh-CN"/>
          <w14:textFill>
            <w14:solidFill>
              <w14:schemeClr w14:val="tx1"/>
            </w14:solidFill>
          </w14:textFill>
        </w:rPr>
        <w:t xml:space="preserve">  </w:t>
      </w:r>
    </w:p>
    <w:p>
      <w:pPr>
        <w:pStyle w:val="32"/>
        <w:rPr>
          <w:rFonts w:hint="eastAsia" w:ascii="仿宋" w:hAnsi="仿宋" w:eastAsia="仿宋" w:cs="仿宋"/>
          <w:b/>
          <w:color w:val="000000" w:themeColor="text1"/>
          <w:sz w:val="48"/>
          <w:szCs w:val="48"/>
          <w:highlight w:val="none"/>
          <w:lang w:val="en-US" w:eastAsia="zh-CN"/>
          <w14:textFill>
            <w14:solidFill>
              <w14:schemeClr w14:val="tx1"/>
            </w14:solidFill>
          </w14:textFill>
        </w:rPr>
      </w:pPr>
    </w:p>
    <w:p>
      <w:pPr>
        <w:pStyle w:val="32"/>
        <w:rPr>
          <w:rFonts w:hint="eastAsia" w:ascii="仿宋" w:hAnsi="仿宋" w:eastAsia="仿宋" w:cs="仿宋"/>
          <w:b/>
          <w:color w:val="000000" w:themeColor="text1"/>
          <w:sz w:val="48"/>
          <w:szCs w:val="48"/>
          <w:highlight w:val="none"/>
          <w:lang w:val="en-US" w:eastAsia="zh-CN"/>
          <w14:textFill>
            <w14:solidFill>
              <w14:schemeClr w14:val="tx1"/>
            </w14:solidFill>
          </w14:textFill>
        </w:rPr>
      </w:pPr>
    </w:p>
    <w:p>
      <w:pPr>
        <w:pStyle w:val="32"/>
        <w:rPr>
          <w:rFonts w:hint="eastAsia" w:ascii="仿宋" w:hAnsi="仿宋" w:eastAsia="仿宋" w:cs="仿宋"/>
          <w:b/>
          <w:color w:val="000000" w:themeColor="text1"/>
          <w:sz w:val="48"/>
          <w:szCs w:val="48"/>
          <w:highlight w:val="none"/>
          <w:lang w:val="en-US" w:eastAsia="zh-CN"/>
          <w14:textFill>
            <w14:solidFill>
              <w14:schemeClr w14:val="tx1"/>
            </w14:solidFill>
          </w14:textFill>
        </w:rPr>
      </w:pPr>
    </w:p>
    <w:p>
      <w:pPr>
        <w:pStyle w:val="32"/>
        <w:rPr>
          <w:rFonts w:hint="eastAsia" w:ascii="仿宋" w:hAnsi="仿宋" w:eastAsia="仿宋" w:cs="仿宋"/>
          <w:b/>
          <w:color w:val="000000" w:themeColor="text1"/>
          <w:sz w:val="48"/>
          <w:szCs w:val="48"/>
          <w:highlight w:val="none"/>
          <w:lang w:val="en-US" w:eastAsia="zh-CN"/>
          <w14:textFill>
            <w14:solidFill>
              <w14:schemeClr w14:val="tx1"/>
            </w14:solidFill>
          </w14:textFill>
        </w:rPr>
      </w:pPr>
    </w:p>
    <w:p>
      <w:pPr>
        <w:pStyle w:val="32"/>
        <w:ind w:left="0" w:leftChars="0" w:firstLine="0" w:firstLineChars="0"/>
        <w:rPr>
          <w:rFonts w:hint="eastAsia" w:ascii="仿宋" w:hAnsi="仿宋" w:eastAsia="仿宋" w:cs="仿宋"/>
          <w:b/>
          <w:color w:val="000000" w:themeColor="text1"/>
          <w:sz w:val="48"/>
          <w:szCs w:val="48"/>
          <w:highlight w:val="none"/>
          <w:lang w:val="en-US" w:eastAsia="zh-CN"/>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第四部分</w:t>
      </w:r>
    </w:p>
    <w:p>
      <w:pPr>
        <w:rPr>
          <w:rFonts w:hint="eastAsia" w:ascii="仿宋" w:hAnsi="仿宋" w:eastAsia="仿宋" w:cs="仿宋"/>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合 同 条 款</w:t>
      </w:r>
    </w:p>
    <w:p>
      <w:pPr>
        <w:adjustRightInd w:val="0"/>
        <w:snapToGrid w:val="0"/>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tabs>
          <w:tab w:val="left" w:pos="6180"/>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p>
    <w:p>
      <w:pPr>
        <w:adjustRightInd w:val="0"/>
        <w:snapToGrid w:val="0"/>
        <w:spacing w:line="480" w:lineRule="exact"/>
        <w:jc w:val="center"/>
        <w:rPr>
          <w:rFonts w:hint="eastAsia"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spacing w:line="360" w:lineRule="auto"/>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bCs/>
          <w:color w:val="000000" w:themeColor="text1"/>
          <w:sz w:val="30"/>
          <w:szCs w:val="21"/>
          <w14:textFill>
            <w14:solidFill>
              <w14:schemeClr w14:val="tx1"/>
            </w14:solidFill>
          </w14:textFill>
        </w:rPr>
        <w:t>合同（样本）</w:t>
      </w:r>
    </w:p>
    <w:p>
      <w:pPr>
        <w:spacing w:line="360" w:lineRule="auto"/>
        <w:jc w:val="center"/>
        <w:rPr>
          <w:rFonts w:hint="eastAsia" w:ascii="仿宋" w:hAnsi="仿宋" w:eastAsia="仿宋" w:cs="仿宋"/>
          <w:b/>
          <w:color w:val="000000" w:themeColor="text1"/>
          <w:sz w:val="24"/>
          <w14:textFill>
            <w14:solidFill>
              <w14:schemeClr w14:val="tx1"/>
            </w14:solidFill>
          </w14:textFill>
        </w:rPr>
      </w:pPr>
    </w:p>
    <w:p>
      <w:pPr>
        <w:tabs>
          <w:tab w:val="left" w:pos="720"/>
        </w:tabs>
        <w:spacing w:line="360" w:lineRule="auto"/>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甲    方：</w:t>
      </w:r>
      <w:r>
        <w:rPr>
          <w:rFonts w:hint="eastAsia" w:ascii="仿宋" w:hAnsi="仿宋" w:eastAsia="仿宋" w:cs="仿宋"/>
          <w:b/>
          <w:color w:val="000000" w:themeColor="text1"/>
          <w:sz w:val="24"/>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    话：           　   传  真：           地  址：</w:t>
      </w:r>
    </w:p>
    <w:p>
      <w:pPr>
        <w:spacing w:line="360" w:lineRule="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乙    方：</w:t>
      </w:r>
      <w:r>
        <w:rPr>
          <w:rFonts w:hint="eastAsia" w:ascii="仿宋" w:hAnsi="仿宋" w:eastAsia="仿宋" w:cs="仿宋"/>
          <w:b/>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电    话：                传  真：           地  址：  </w:t>
      </w:r>
    </w:p>
    <w:p>
      <w:pPr>
        <w:tabs>
          <w:tab w:val="left" w:pos="720"/>
        </w:tabs>
        <w:spacing w:line="360" w:lineRule="auto"/>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项目名称：                                   采购编号：              </w:t>
      </w:r>
    </w:p>
    <w:p>
      <w:pPr>
        <w:spacing w:line="340" w:lineRule="exact"/>
        <w:rPr>
          <w:rFonts w:hint="eastAsia" w:ascii="仿宋" w:hAnsi="仿宋" w:eastAsia="仿宋" w:cs="仿宋"/>
          <w:color w:val="000000" w:themeColor="text1"/>
          <w:sz w:val="24"/>
          <w14:textFill>
            <w14:solidFill>
              <w14:schemeClr w14:val="tx1"/>
            </w14:solidFill>
          </w14:textFill>
        </w:rPr>
      </w:pP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根据 </w:t>
      </w:r>
      <w:r>
        <w:rPr>
          <w:rFonts w:hint="eastAsia" w:ascii="仿宋" w:hAnsi="仿宋" w:eastAsia="仿宋" w:cs="仿宋"/>
          <w:color w:val="000000" w:themeColor="text1"/>
          <w:sz w:val="24"/>
          <w:u w:val="single"/>
          <w14:textFill>
            <w14:solidFill>
              <w14:schemeClr w14:val="tx1"/>
            </w14:solidFill>
          </w14:textFill>
        </w:rPr>
        <w:t xml:space="preserve">              项目</w:t>
      </w:r>
      <w:r>
        <w:rPr>
          <w:rFonts w:hint="eastAsia" w:ascii="仿宋" w:hAnsi="仿宋" w:eastAsia="仿宋" w:cs="仿宋"/>
          <w:color w:val="000000" w:themeColor="text1"/>
          <w:sz w:val="24"/>
          <w14:textFill>
            <w14:solidFill>
              <w14:schemeClr w14:val="tx1"/>
            </w14:solidFill>
          </w14:textFill>
        </w:rPr>
        <w:t>的采购结果，按照《中华人民共和国政府采购法》、《合同法》的规定，</w:t>
      </w:r>
      <w:r>
        <w:rPr>
          <w:rFonts w:hint="eastAsia" w:ascii="仿宋" w:hAnsi="仿宋" w:eastAsia="仿宋" w:cs="仿宋"/>
          <w:color w:val="000000" w:themeColor="text1"/>
          <w:kern w:val="28"/>
          <w:sz w:val="24"/>
          <w14:textFill>
            <w14:solidFill>
              <w14:schemeClr w14:val="tx1"/>
            </w14:solidFill>
          </w14:textFill>
        </w:rPr>
        <w:t>经双方协商，</w:t>
      </w:r>
      <w:r>
        <w:rPr>
          <w:rFonts w:hint="eastAsia" w:ascii="仿宋" w:hAnsi="仿宋" w:eastAsia="仿宋" w:cs="仿宋"/>
          <w:color w:val="000000" w:themeColor="text1"/>
          <w:sz w:val="24"/>
          <w14:textFill>
            <w14:solidFill>
              <w14:schemeClr w14:val="tx1"/>
            </w14:solidFill>
          </w14:textFill>
        </w:rPr>
        <w:t>本着平等互利和诚实信用的原则，</w:t>
      </w:r>
      <w:r>
        <w:rPr>
          <w:rFonts w:hint="eastAsia" w:ascii="仿宋" w:hAnsi="仿宋" w:eastAsia="仿宋" w:cs="仿宋"/>
          <w:color w:val="000000" w:themeColor="text1"/>
          <w:kern w:val="28"/>
          <w:sz w:val="24"/>
          <w14:textFill>
            <w14:solidFill>
              <w14:schemeClr w14:val="tx1"/>
            </w14:solidFill>
          </w14:textFill>
        </w:rPr>
        <w:t>一致同意签订本协议如下。</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协议文件组成</w:t>
      </w:r>
    </w:p>
    <w:p>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下列文件均为本协议不可分割的组成部分，互为补充和解释，如有不清或相互矛盾之处，以所列顺序在前的为准，但甲乙双方有特别约定的除外；</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1.1本协议条款</w:t>
      </w:r>
    </w:p>
    <w:p>
      <w:pPr>
        <w:spacing w:line="360" w:lineRule="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1.2</w:t>
      </w:r>
      <w:r>
        <w:rPr>
          <w:rFonts w:hint="eastAsia" w:ascii="仿宋" w:hAnsi="仿宋" w:eastAsia="仿宋" w:cs="仿宋"/>
          <w:color w:val="000000" w:themeColor="text1"/>
          <w:sz w:val="24"/>
          <w:lang w:eastAsia="zh-CN"/>
          <w14:textFill>
            <w14:solidFill>
              <w14:schemeClr w14:val="tx1"/>
            </w14:solidFill>
          </w14:textFill>
        </w:rPr>
        <w:t>磋商文件</w:t>
      </w:r>
      <w:r>
        <w:rPr>
          <w:rFonts w:hint="eastAsia" w:ascii="仿宋" w:hAnsi="仿宋" w:eastAsia="仿宋" w:cs="仿宋"/>
          <w:color w:val="000000" w:themeColor="text1"/>
          <w:sz w:val="24"/>
          <w14:textFill>
            <w14:solidFill>
              <w14:schemeClr w14:val="tx1"/>
            </w14:solidFill>
          </w14:textFill>
        </w:rPr>
        <w:t>澄清及</w:t>
      </w:r>
      <w:r>
        <w:rPr>
          <w:rFonts w:hint="eastAsia" w:ascii="仿宋" w:hAnsi="仿宋" w:eastAsia="仿宋" w:cs="仿宋"/>
          <w:color w:val="000000" w:themeColor="text1"/>
          <w:sz w:val="24"/>
          <w:lang w:eastAsia="zh-CN"/>
          <w14:textFill>
            <w14:solidFill>
              <w14:schemeClr w14:val="tx1"/>
            </w14:solidFill>
          </w14:textFill>
        </w:rPr>
        <w:t>磋商文件</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1.3</w:t>
      </w:r>
      <w:r>
        <w:rPr>
          <w:rFonts w:hint="eastAsia" w:ascii="仿宋" w:hAnsi="仿宋" w:eastAsia="仿宋" w:cs="仿宋"/>
          <w:color w:val="000000" w:themeColor="text1"/>
          <w:sz w:val="24"/>
          <w:lang w:eastAsia="zh-CN"/>
          <w14:textFill>
            <w14:solidFill>
              <w14:schemeClr w14:val="tx1"/>
            </w14:solidFill>
          </w14:textFill>
        </w:rPr>
        <w:t>磋商文件</w:t>
      </w:r>
      <w:r>
        <w:rPr>
          <w:rFonts w:hint="eastAsia" w:ascii="仿宋" w:hAnsi="仿宋" w:eastAsia="仿宋" w:cs="仿宋"/>
          <w:color w:val="000000" w:themeColor="text1"/>
          <w:sz w:val="24"/>
          <w14:textFill>
            <w14:solidFill>
              <w14:schemeClr w14:val="tx1"/>
            </w14:solidFill>
          </w14:textFill>
        </w:rPr>
        <w:t>澄清及投标文件</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1.4中标通知书</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1.5形成协议书的其他有关文件，包括甲乙双方就具体单项服务内容签订的合同。</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协议术语定义</w:t>
      </w:r>
    </w:p>
    <w:p>
      <w:pPr>
        <w:spacing w:line="360" w:lineRule="auto"/>
        <w:ind w:firstLine="57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除非另有特别的解释或说明，在本协议中及与协议相关的，甲乙双方另行签署的其他文件（包括但不限于本协议的附件）中，下述词语均按照如下定义进行解释：</w:t>
      </w:r>
    </w:p>
    <w:p>
      <w:pPr>
        <w:spacing w:line="360" w:lineRule="auto"/>
        <w:ind w:firstLine="57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 “甲方”系指</w:t>
      </w:r>
      <w:r>
        <w:rPr>
          <w:rFonts w:hint="eastAsia" w:ascii="仿宋" w:hAnsi="仿宋" w:eastAsia="仿宋" w:cs="仿宋"/>
          <w:color w:val="000000" w:themeColor="text1"/>
          <w:sz w:val="24"/>
          <w:lang w:val="en-US" w:eastAsia="zh-CN"/>
          <w14:textFill>
            <w14:solidFill>
              <w14:schemeClr w14:val="tx1"/>
            </w14:solidFill>
          </w14:textFill>
        </w:rPr>
        <w:t>策勒县残疾人联合会</w:t>
      </w:r>
    </w:p>
    <w:p>
      <w:pPr>
        <w:spacing w:line="360" w:lineRule="auto"/>
        <w:ind w:firstLine="57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 “乙方”系指根据协议规定向甲方提供服务的具有法人资格的实体；即入围服务商；</w:t>
      </w:r>
    </w:p>
    <w:p>
      <w:pPr>
        <w:spacing w:line="360" w:lineRule="auto"/>
        <w:ind w:firstLine="57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 “协议”系指甲乙双方签署的，协议格式中载明的甲乙双方所达成的约定，包括构成协议的所有附件、附录和构成协议的所有文件；</w:t>
      </w:r>
    </w:p>
    <w:p>
      <w:pPr>
        <w:spacing w:line="360" w:lineRule="auto"/>
        <w:ind w:firstLine="57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2.4“服务”系指乙方根据协议规定须向甲方提供的全部服务。</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服务范围</w:t>
      </w:r>
    </w:p>
    <w:p>
      <w:pPr>
        <w:spacing w:line="360" w:lineRule="auto"/>
        <w:ind w:firstLine="54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3.1本协议的服务范围是指乙方按照招标文件中要求的服务内容向甲方提供服务。</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 乙方按本协议中规定的服务范围，根据甲方所需的具体业务，双方另行签订某项服务的协议书，并在协议书中商定本次服务的费用。</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3.3甲方暂不在本协议中确定服务的具体数量和规模，以甲方在协议有效期内的实际需求数量和规模为准。</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服务权限</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4.1乙方作为甲方选定的入围中介机构服务商，必须根据甲方要求，承担向甲方提供承诺的服务范围的相关工作。</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4.2任何情况下，未经甲方书面同意，乙方不得向第三方转让甲方在本协议中授予乙方的权限，不得超越甲方授权范围。否则甲方有权取消乙方的服务商资格。</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服务承诺及服务收费标准的确定</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5.1在本协议履行中，甲方有权随时对乙方提供的服务承诺及服务收费价格进行核查，如发现乙方违反了根据甲方所需的具体业务签订的某项服务的协议书中商定的服务承诺及服务收费标准、未及时向甲方上报调整后的内容，或不能提供与其承诺相符的服务时，甲方将依据相关法律法规规定对乙方进行处理，情况严重的甲方有权取消乙方的服务商资格。</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5.2 在本协议有效期内，乙方降低了根据甲方所需的具体业务签订的某项服务的协议书中商定的服务收费标准时，必须及时书面告知甲方进行的收费调整，送交或发送传真至甲方，确认收费更改，经甲方经书面同意后方可调整。</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特别承诺</w:t>
      </w:r>
    </w:p>
    <w:p>
      <w:pPr>
        <w:spacing w:line="360" w:lineRule="auto"/>
        <w:ind w:firstLine="57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特别承诺 乙方应保证无任何第三方就乙方向甲方提供的服务主张任何权利。如果任何第三方就乙方向甲方提供的服务主张任何权利，乙方须与第三方交涉并承担由此而产生的一切法律责任和费用，并赔偿因此给甲方造成的一切损失，以及甲方为反驳第三方的主张、向乙方主张权利所支付的各项费用，包括但不限于调查费、律师费、诉讼费等。</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支付方式</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7.1 甲方和乙方因本协议发生的一切费用均以人民币结算及支付。</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7.2 甲方凭乙方交来的合同、服务费用发票、服务项目明细等内容向乙方支付服务费。</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服务延期</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8.1乙方应按照协议规定或单项服务合同中规定的时间、地点向甲方提供服务。</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8.2在履行协议和单项服务合同过程中，如果乙方遇到不能按时提供服务的情况，应及时以书面形式将不能按时提供服务的理由、延误时间通知甲方。甲万在收到乙方通知后，可以酌情延长服务时间。</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8.3 如果乙万非因不可抗力而拖延向甲方提供服务，甲方有权采取不予退还履约保证金，加收违约金、赔偿金或解除本协议等措施。</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税费</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9.1 根据国家现行税法规定，应当对甲方征收的与本协议有关的一切税费均由甲方负担。</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9.2 根据国家现行税法规定，应当对乙方征收的与本协议有关的一切税费均由乙方负担。</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9.3 在中国境外发生的与本协议执行有关的一切税费均由乙方负担。</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计量单位</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除技术规范中另有规定外，计量单位均使用国家法定计量单位。</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违约责任</w:t>
      </w:r>
    </w:p>
    <w:p>
      <w:pPr>
        <w:spacing w:line="360" w:lineRule="auto"/>
        <w:ind w:firstLine="540" w:firstLineChars="225"/>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11.1 如果乙方未能在协议规定的期限或甲方书面同意延长的期限内提供服务，每逾期一天应向甲方支付     元违约金，甲方有权乙方支付的履约保证金直接扣除；</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如果乙方支付的履约保证金不足以承担违约金后仍不能提供服务，甲方可以解除或部分解除本协议。</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11.2 违约金不足以弥补甲方损失的，乙方应赔偿甲方的损失，补足违约金不足部分。支付违约金、赔偿金后，除非甲方行使解除权，乙方仍应按照本协议的约定履行其义务。</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11.3 如果乙方未能履行本协议规定的义务：乙方在甲方发出违约通知后30 内，或在甲方书面同意延长的时间内未能及时纠正其违约行为，甲方可以解除或部分解除本协议。</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11.4 因为乙方延迟提供服务，甲方行使解除权的，自甲方向乙方发出解除或部分解除本协议的书面通知到达乙方时，本协议即告解除或部分解除。</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11.5 如果甲方工作人员发生向乙方索要回扣、恶意压低服务价格、以个人意见影响中介机构发表公正客观报告等行为，乙方有权向甲方纪检监察部门投诉并申请追究其行政责任。</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破产解除协议</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12.1 如果乙方破产、解散、清算、停业、濒临破产或因其他原因无力履行本协议时，甲方可在任何时候以书面通知乙方解除本协议。自甲方向乙方发出解除本协议的书面通知到达乙方时，本协议即告解除。</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12.2 本协议解除后，根据协议履行情况，甲方可以要求乙方恢复原状、采取补救措施，并有权要求赔偿损失。</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不可抗力</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13.1 本协议所称不可抗力是指不能预见、不能避免并不能克服的客观情况，包括但不限于战争、严重火灾，水灾、台风和地震以及其他双方书面同意属于不可抗力的事故。</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因为不可抗力导致本协议部分或全部不能履行的，可以部分或全部解除本协议，或者根据不可抗力的影响，甲乙双方协商确定适当延长履行期限，或采取其他补救措施。</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13.2 受不可抗力的影响而不能履行的一方应在不可抗力发生后第一时间以书面形式通知另一方，并在不可抗力结束后48小时内，将有关部门出具的证明文件送达给另一方。根据不可抗力的影响，甲乙双方可以解除或部分解除本协议，或者就本协议的延期履行达成补充协议。</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13.3 因为不可抗力不能履行本协议的，根据不可抗力的影响，可以部分或全部免除履约方的责任，法律另有规定的除外。一方迟延履行后发生不可抗力的，不能免除责任。</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协议解除后的自救措施</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甲方依据法律法规和本协议的相关规定解除或部分解除本协议后，有权选择其他有能力的服务商重新作为协议乙方，另行签订服务协议，提供同类或类似服务。</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争议的解决</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15.1 甲方与乙方之间凡因本协议引起的或与本协议有关的一切争议，双方应协商解决；协商不成的，任何一方均司一向甲方住所地人民法院提出诉讼。</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协议修改</w:t>
      </w:r>
    </w:p>
    <w:p>
      <w:pPr>
        <w:spacing w:line="360" w:lineRule="auto"/>
        <w:ind w:left="359" w:leftChars="171" w:firstLine="180" w:firstLineChars="7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对本协议的任何变更，均须由甲方与乙方签署书面的协议修改书后方可生效。</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通知</w:t>
      </w:r>
    </w:p>
    <w:p>
      <w:pPr>
        <w:spacing w:line="360" w:lineRule="auto"/>
        <w:ind w:firstLine="537" w:firstLineChars="224"/>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17.1 本协议任何一方给另一方的通知、回复、确认等，都应以书面的形式通过专人送递、传真或特快专递方式送达，双方的收件地址和收件人以本协议附件一所载明的相关信息为准。如果持特快专递送达通知、回复、确认等，收件日期即为送达日期。</w:t>
      </w:r>
    </w:p>
    <w:p>
      <w:pPr>
        <w:spacing w:line="360" w:lineRule="auto"/>
        <w:ind w:firstLine="540" w:firstLineChars="22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17.2 如果一方的收件地址、收件人等通讯信息发生变更，应在变更发生后三个工作日内书面通知对方。通讯信息发生变更的一方不履行或不及时履行通知义务的，自行承担由此引发的一切法律后果。</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适用法律</w:t>
      </w:r>
    </w:p>
    <w:p>
      <w:pPr>
        <w:spacing w:line="360" w:lineRule="auto"/>
        <w:ind w:left="359" w:leftChars="171" w:firstLine="180" w:firstLineChars="7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本协议适用中华人民共和国法律。</w:t>
      </w:r>
    </w:p>
    <w:p>
      <w:pPr>
        <w:numPr>
          <w:ilvl w:val="0"/>
          <w:numId w:val="33"/>
        </w:numPr>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生效及其它</w:t>
      </w:r>
    </w:p>
    <w:p>
      <w:pPr>
        <w:spacing w:line="360" w:lineRule="auto"/>
        <w:ind w:left="359" w:leftChars="171" w:firstLine="180" w:firstLineChars="7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19.1 本协议经双方加盖公章后生效。</w:t>
      </w:r>
    </w:p>
    <w:p>
      <w:pPr>
        <w:spacing w:line="360" w:lineRule="auto"/>
        <w:ind w:left="359" w:leftChars="171" w:firstLine="180" w:firstLineChars="7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19.2 本协议一式</w:t>
      </w:r>
      <w:r>
        <w:rPr>
          <w:rFonts w:hint="eastAsia" w:ascii="仿宋" w:hAnsi="仿宋" w:eastAsia="仿宋" w:cs="仿宋"/>
          <w:color w:val="000000" w:themeColor="text1"/>
          <w:sz w:val="24"/>
          <w:u w:val="single"/>
          <w14:textFill>
            <w14:solidFill>
              <w14:schemeClr w14:val="tx1"/>
            </w14:solidFill>
          </w14:textFill>
        </w:rPr>
        <w:t xml:space="preserve"> 六 </w:t>
      </w:r>
      <w:r>
        <w:rPr>
          <w:rFonts w:hint="eastAsia" w:ascii="仿宋" w:hAnsi="仿宋" w:eastAsia="仿宋" w:cs="仿宋"/>
          <w:color w:val="000000" w:themeColor="text1"/>
          <w:sz w:val="24"/>
          <w14:textFill>
            <w14:solidFill>
              <w14:schemeClr w14:val="tx1"/>
            </w14:solidFill>
          </w14:textFill>
        </w:rPr>
        <w:t>份，以中文书写，双方各执</w:t>
      </w:r>
      <w:r>
        <w:rPr>
          <w:rFonts w:hint="eastAsia" w:ascii="仿宋" w:hAnsi="仿宋" w:eastAsia="仿宋" w:cs="仿宋"/>
          <w:color w:val="000000" w:themeColor="text1"/>
          <w:sz w:val="24"/>
          <w:u w:val="single"/>
          <w14:textFill>
            <w14:solidFill>
              <w14:schemeClr w14:val="tx1"/>
            </w14:solidFill>
          </w14:textFill>
        </w:rPr>
        <w:t xml:space="preserve"> 两 </w:t>
      </w:r>
      <w:r>
        <w:rPr>
          <w:rFonts w:hint="eastAsia" w:ascii="仿宋" w:hAnsi="仿宋" w:eastAsia="仿宋" w:cs="仿宋"/>
          <w:color w:val="000000" w:themeColor="text1"/>
          <w:sz w:val="24"/>
          <w14:textFill>
            <w14:solidFill>
              <w14:schemeClr w14:val="tx1"/>
            </w14:solidFill>
          </w14:textFill>
        </w:rPr>
        <w:t>份，市财政局政府采购监管科、采购代理机构各</w:t>
      </w:r>
      <w:r>
        <w:rPr>
          <w:rFonts w:hint="eastAsia" w:ascii="仿宋" w:hAnsi="仿宋" w:eastAsia="仿宋" w:cs="仿宋"/>
          <w:color w:val="000000" w:themeColor="text1"/>
          <w:sz w:val="24"/>
          <w:u w:val="single"/>
          <w14:textFill>
            <w14:solidFill>
              <w14:schemeClr w14:val="tx1"/>
            </w14:solidFill>
          </w14:textFill>
        </w:rPr>
        <w:t xml:space="preserve"> 一 </w:t>
      </w:r>
      <w:r>
        <w:rPr>
          <w:rFonts w:hint="eastAsia" w:ascii="仿宋" w:hAnsi="仿宋" w:eastAsia="仿宋" w:cs="仿宋"/>
          <w:color w:val="000000" w:themeColor="text1"/>
          <w:sz w:val="24"/>
          <w14:textFill>
            <w14:solidFill>
              <w14:schemeClr w14:val="tx1"/>
            </w14:solidFill>
          </w14:textFill>
        </w:rPr>
        <w:t>份</w:t>
      </w:r>
    </w:p>
    <w:p>
      <w:pPr>
        <w:spacing w:line="360" w:lineRule="auto"/>
        <w:ind w:firstLine="537" w:firstLineChars="224"/>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19.3 如需修改或补充本脚议内容，经协商，双方应签署书面修改或补充协议，并将其作为本协议的组成部分。</w:t>
      </w:r>
    </w:p>
    <w:p>
      <w:pPr>
        <w:spacing w:line="340" w:lineRule="exact"/>
        <w:rPr>
          <w:rFonts w:hint="eastAsia" w:ascii="仿宋" w:hAnsi="仿宋" w:eastAsia="仿宋" w:cs="仿宋"/>
          <w:b/>
          <w:color w:val="000000" w:themeColor="text1"/>
          <w:sz w:val="24"/>
          <w14:textFill>
            <w14:solidFill>
              <w14:schemeClr w14:val="tx1"/>
            </w14:solidFill>
          </w14:textFill>
        </w:rPr>
      </w:pPr>
    </w:p>
    <w:p>
      <w:pPr>
        <w:spacing w:line="34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甲方（盖章）：                                 乙方（盖章）：</w:t>
      </w:r>
    </w:p>
    <w:p>
      <w:pPr>
        <w:spacing w:line="340" w:lineRule="exact"/>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代表：                                        代表：</w:t>
      </w:r>
    </w:p>
    <w:p>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签定地点：</w:t>
      </w:r>
    </w:p>
    <w:p>
      <w:pPr>
        <w:spacing w:line="360" w:lineRule="auto"/>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签定日期：        年     月    日       签定日期：        年     月     日   </w:t>
      </w:r>
    </w:p>
    <w:p>
      <w:pPr>
        <w:spacing w:line="360" w:lineRule="auto"/>
        <w:ind w:firstLine="483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开户名称：</w:t>
      </w:r>
    </w:p>
    <w:p>
      <w:pPr>
        <w:spacing w:line="360" w:lineRule="auto"/>
        <w:ind w:firstLine="483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银行帐号：</w:t>
      </w:r>
    </w:p>
    <w:p>
      <w:pPr>
        <w:spacing w:line="360" w:lineRule="auto"/>
        <w:ind w:firstLine="4800" w:firstLineChars="2000"/>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 户 行：</w:t>
      </w:r>
    </w:p>
    <w:p>
      <w:pPr>
        <w:spacing w:line="360" w:lineRule="auto"/>
        <w:rPr>
          <w:rFonts w:hint="eastAsia" w:ascii="仿宋" w:hAnsi="仿宋" w:eastAsia="仿宋" w:cs="仿宋"/>
          <w:color w:val="000000" w:themeColor="text1"/>
          <w:sz w:val="24"/>
          <w14:textFill>
            <w14:solidFill>
              <w14:schemeClr w14:val="tx1"/>
            </w14:solidFill>
          </w14:textFill>
        </w:rPr>
      </w:pPr>
    </w:p>
    <w:p>
      <w:pPr>
        <w:spacing w:line="440" w:lineRule="exact"/>
        <w:rPr>
          <w:rFonts w:hint="eastAsia" w:ascii="仿宋" w:hAnsi="仿宋" w:eastAsia="仿宋" w:cs="仿宋"/>
          <w:color w:val="000000" w:themeColor="text1"/>
          <w:sz w:val="28"/>
          <w:szCs w:val="28"/>
          <w14:textFill>
            <w14:solidFill>
              <w14:schemeClr w14:val="tx1"/>
            </w14:solidFill>
          </w14:textFill>
        </w:rPr>
        <w:sectPr>
          <w:footerReference r:id="rId10" w:type="default"/>
          <w:pgSz w:w="11906" w:h="16838"/>
          <w:pgMar w:top="1418" w:right="1418" w:bottom="1418" w:left="1418" w:header="851" w:footer="992" w:gutter="0"/>
          <w:pgNumType w:start="1"/>
          <w:cols w:space="720" w:num="1"/>
          <w:docGrid w:linePitch="312" w:charSpace="0"/>
        </w:sect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both"/>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第五部分</w:t>
      </w: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响 应 文 件 格 式</w:t>
      </w: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（响应文件须编页码，且页码必须连续）</w:t>
      </w:r>
    </w:p>
    <w:p>
      <w:pPr>
        <w:spacing w:line="360" w:lineRule="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 xml:space="preserve">       </w:t>
      </w:r>
      <w:r>
        <w:rPr>
          <w:rFonts w:hint="eastAsia" w:ascii="仿宋" w:hAnsi="仿宋" w:eastAsia="仿宋" w:cs="仿宋"/>
          <w:b/>
          <w:color w:val="000000" w:themeColor="text1"/>
          <w:sz w:val="48"/>
          <w:szCs w:val="48"/>
          <w:highlight w:val="none"/>
          <w14:textFill>
            <w14:solidFill>
              <w14:schemeClr w14:val="tx1"/>
            </w14:solidFill>
          </w14:textFill>
        </w:rPr>
        <w:br w:type="page"/>
      </w:r>
      <w:bookmarkStart w:id="5" w:name="_Toc202819877"/>
      <w:bookmarkStart w:id="6" w:name="_Toc202820350"/>
      <w:bookmarkStart w:id="7" w:name="_Toc202816995"/>
      <w:bookmarkStart w:id="8" w:name="_Toc202254104"/>
      <w:bookmarkStart w:id="9" w:name="_Toc202251699"/>
      <w:bookmarkStart w:id="10" w:name="_Toc202251074"/>
      <w:bookmarkStart w:id="11" w:name="_Toc202252033"/>
      <w:r>
        <w:rPr>
          <w:rFonts w:hint="eastAsia" w:ascii="仿宋" w:hAnsi="仿宋" w:eastAsia="仿宋" w:cs="仿宋"/>
          <w:b/>
          <w:color w:val="000000" w:themeColor="text1"/>
          <w:sz w:val="21"/>
          <w:szCs w:val="21"/>
          <w:highlight w:val="none"/>
          <w14:textFill>
            <w14:solidFill>
              <w14:schemeClr w14:val="tx1"/>
            </w14:solidFill>
          </w14:textFill>
        </w:rPr>
        <w:t>自查表</w:t>
      </w:r>
      <w:bookmarkEnd w:id="5"/>
      <w:bookmarkEnd w:id="6"/>
      <w:bookmarkEnd w:id="7"/>
      <w:bookmarkEnd w:id="8"/>
      <w:bookmarkEnd w:id="9"/>
      <w:bookmarkEnd w:id="10"/>
      <w:bookmarkEnd w:id="11"/>
    </w:p>
    <w:tbl>
      <w:tblPr>
        <w:tblStyle w:val="33"/>
        <w:tblW w:w="1000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83"/>
        <w:gridCol w:w="3871"/>
        <w:gridCol w:w="2821"/>
        <w:gridCol w:w="252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tcBorders>
              <w:top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评审内容</w:t>
            </w:r>
          </w:p>
        </w:tc>
        <w:tc>
          <w:tcPr>
            <w:tcW w:w="3871"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磋商文件要求</w:t>
            </w:r>
          </w:p>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（详见《资格性和符合性审查表》各项）</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自查结论</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778" w:hRule="atLeast"/>
          <w:jc w:val="center"/>
        </w:trPr>
        <w:tc>
          <w:tcPr>
            <w:tcW w:w="783"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资格性审查</w:t>
            </w: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1）提供在中华人民共和国境内注册的法人或其他组织的营业执照或事业单位法人证书或社会团体法人登记证书复印件，如投标人为自然人的提供自然人身份证明复印件；如国家另有规定的，则从其规定。</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□通过 </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71"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firstLine="0"/>
              <w:jc w:val="both"/>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 xml:space="preserve"> 2）提供 2019 年度或 2020年度经审计的《财务审计报告书》复印件，或银行出具的资信证明材料复印件；</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03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3）提供近段时间内（近 3 个月或以上）的缴纳税收的完税证明或依法税务申报资料；</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4）提供近段时间内（近 3 个月或以上）的缴纳社保证明材料加盖公章。如依法不需要缴纳社会保障资金的，应提供相应文件证明；</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5）提供履行合同所必需的设备和专业技术能力的书面声明；（提供《投标人资格声明函》）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6）提供参加政府采购活动前3年内在经营活动中没有重大违法记录的书面声明；（提供《投标人资格声明函》）。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7）为采购项目提供整体设计、规范编制或者项目管理、监理、检测等服务的供应商，不得再参加该采购项目同一合同项下的其他采购活动。（提供《投标人资格声明函》）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8）单位负责人为同一人或者存在直接控股、管理关系的不同供应商，不得参加同一合同项下的政府采购活动。（提供《投标人资格声明函》）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30"/>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9）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□通过 </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符合性审查</w:t>
            </w:r>
          </w:p>
        </w:tc>
        <w:tc>
          <w:tcPr>
            <w:tcW w:w="3871" w:type="dxa"/>
            <w:tcBorders>
              <w:top w:val="outset" w:color="111111" w:sz="6" w:space="0"/>
              <w:left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投标保证金已足额递交</w:t>
            </w:r>
          </w:p>
        </w:tc>
        <w:tc>
          <w:tcPr>
            <w:tcW w:w="2821" w:type="dxa"/>
            <w:tcBorders>
              <w:top w:val="outset" w:color="111111" w:sz="6" w:space="0"/>
              <w:left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响应文件完整、符合磋商文件规定的密封、签署、 盖章</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报价价格是固定唯一的</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报价有效期为90天</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2"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spacing w:line="48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投标报价没有超出</w:t>
            </w:r>
            <w:r>
              <w:rPr>
                <w:rFonts w:hint="eastAsia" w:ascii="仿宋" w:hAnsi="仿宋" w:eastAsia="仿宋" w:cs="仿宋"/>
                <w:color w:val="000000" w:themeColor="text1"/>
                <w:sz w:val="21"/>
                <w:szCs w:val="21"/>
                <w:highlight w:val="none"/>
                <w:lang w:val="en-US" w:eastAsia="zh-CN"/>
                <w14:textFill>
                  <w14:solidFill>
                    <w14:schemeClr w14:val="tx1"/>
                  </w14:solidFill>
                </w14:textFill>
              </w:rPr>
              <w:t>最高限价</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商务没有重大偏离或保留</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满足《用户需求书》中功能要求、技术指标和服务要求</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78" w:hRule="atLeast"/>
          <w:jc w:val="center"/>
        </w:trPr>
        <w:tc>
          <w:tcPr>
            <w:tcW w:w="783" w:type="dxa"/>
            <w:vMerge w:val="continue"/>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没有其它未实质性响应磋商文件的要求</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bl>
    <w:p>
      <w:pPr>
        <w:pStyle w:val="13"/>
        <w:spacing w:after="0" w:line="360" w:lineRule="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注：以上材料将作为供应商合格性和有效性审核的重要内容之一，供应商必须严格按照其内容及序列要求在响应文件中对应如实提供，对缺漏和不符合项将会直接导致无效投标！在对应的□打“√”。</w:t>
      </w:r>
    </w:p>
    <w:p>
      <w:pPr>
        <w:pStyle w:val="13"/>
        <w:spacing w:after="0" w:line="360" w:lineRule="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adjustRightInd w:val="0"/>
        <w:snapToGrid w:val="0"/>
        <w:spacing w:line="360" w:lineRule="auto"/>
        <w:jc w:val="both"/>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 xml:space="preserve">供应商法定代表人（或法定代表人授权代表）签字：                  供应商名称（签章）：                       </w:t>
      </w:r>
    </w:p>
    <w:p>
      <w:pPr>
        <w:tabs>
          <w:tab w:val="left" w:pos="800"/>
          <w:tab w:val="left" w:pos="1000"/>
        </w:tabs>
        <w:spacing w:line="360" w:lineRule="auto"/>
        <w:jc w:val="both"/>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日期：   年   月   日</w:t>
      </w: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br w:type="page"/>
      </w:r>
    </w:p>
    <w:p>
      <w:pPr>
        <w:pStyle w:val="14"/>
        <w:rPr>
          <w:rFonts w:hint="eastAsia" w:ascii="仿宋" w:hAnsi="仿宋" w:eastAsia="仿宋" w:cs="仿宋"/>
          <w:color w:val="000000" w:themeColor="text1"/>
          <w:lang w:val="en-US" w:eastAsia="zh-CN"/>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1.2评审项目响应资料表</w:t>
      </w: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tbl>
      <w:tblPr>
        <w:tblStyle w:val="33"/>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548" w:type="dxa"/>
            <w:vAlign w:val="center"/>
          </w:tcPr>
          <w:p>
            <w:pPr>
              <w:pStyle w:val="69"/>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评审分项</w:t>
            </w:r>
          </w:p>
        </w:tc>
        <w:tc>
          <w:tcPr>
            <w:tcW w:w="6330" w:type="dxa"/>
            <w:vAlign w:val="center"/>
          </w:tcPr>
          <w:p>
            <w:pPr>
              <w:pStyle w:val="69"/>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评审细则</w:t>
            </w:r>
          </w:p>
        </w:tc>
        <w:tc>
          <w:tcPr>
            <w:tcW w:w="1620" w:type="dxa"/>
            <w:vAlign w:val="center"/>
          </w:tcPr>
          <w:p>
            <w:pPr>
              <w:pStyle w:val="69"/>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548" w:type="dxa"/>
            <w:vAlign w:val="center"/>
          </w:tcPr>
          <w:p>
            <w:pPr>
              <w:pStyle w:val="44"/>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6"/>
              <w:spacing w:line="360" w:lineRule="auto"/>
              <w:rPr>
                <w:rFonts w:hint="eastAsia" w:ascii="仿宋" w:hAnsi="仿宋" w:eastAsia="仿宋" w:cs="仿宋"/>
                <w:b/>
                <w:bCs/>
                <w:i/>
                <w:iCs/>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6"/>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6"/>
              <w:spacing w:line="360" w:lineRule="auto"/>
              <w:rPr>
                <w:rFonts w:hint="eastAsia" w:ascii="仿宋" w:hAnsi="仿宋" w:eastAsia="仿宋" w:cs="仿宋"/>
                <w:b/>
                <w:bCs/>
                <w:i/>
                <w:iCs/>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6"/>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6"/>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6"/>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6"/>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0" w:leftChars="-81"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548" w:type="dxa"/>
            <w:vAlign w:val="center"/>
          </w:tcPr>
          <w:p>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6"/>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498" w:type="dxa"/>
            <w:gridSpan w:val="3"/>
            <w:vAlign w:val="center"/>
          </w:tcPr>
          <w:p>
            <w:pPr>
              <w:spacing w:line="360" w:lineRule="auto"/>
              <w:ind w:left="-65" w:leftChars="-3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注：供应商应分别结合磋商文件第二部分供应商须知中《</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打分表》的内容，列出评审分项在响应文件所在位置，以便查对。</w:t>
            </w:r>
          </w:p>
        </w:tc>
      </w:tr>
    </w:tbl>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供应商名称（签章）：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日期：   年   月   日</w:t>
      </w:r>
    </w:p>
    <w:p>
      <w:pPr>
        <w:tabs>
          <w:tab w:val="left" w:pos="800"/>
          <w:tab w:val="left" w:pos="1000"/>
        </w:tabs>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19"/>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一、项 目 报 价 表</w:t>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bookmarkStart w:id="12" w:name="_Hlt10519799"/>
      <w:bookmarkEnd w:id="12"/>
      <w:bookmarkStart w:id="13" w:name="_Toc42951051"/>
      <w:r>
        <w:rPr>
          <w:rFonts w:hint="eastAsia" w:ascii="仿宋" w:hAnsi="仿宋" w:eastAsia="仿宋" w:cs="仿宋"/>
          <w:color w:val="000000" w:themeColor="text1"/>
          <w:sz w:val="24"/>
          <w:szCs w:val="24"/>
          <w:highlight w:val="none"/>
          <w14:textFill>
            <w14:solidFill>
              <w14:schemeClr w14:val="tx1"/>
            </w14:solidFill>
          </w14:textFill>
        </w:rPr>
        <w:t>1．报</w:t>
      </w:r>
      <w:bookmarkStart w:id="14" w:name="_Hlt10519308"/>
      <w:bookmarkEnd w:id="14"/>
      <w:r>
        <w:rPr>
          <w:rFonts w:hint="eastAsia" w:ascii="仿宋" w:hAnsi="仿宋" w:eastAsia="仿宋" w:cs="仿宋"/>
          <w:color w:val="000000" w:themeColor="text1"/>
          <w:sz w:val="24"/>
          <w:szCs w:val="24"/>
          <w:highlight w:val="none"/>
          <w14:textFill>
            <w14:solidFill>
              <w14:schemeClr w14:val="tx1"/>
            </w14:solidFill>
          </w14:textFill>
        </w:rPr>
        <w:t>价文件格式</w:t>
      </w:r>
      <w:bookmarkEnd w:id="13"/>
      <w:bookmarkStart w:id="15" w:name="_Hlt10456397"/>
      <w:bookmarkEnd w:id="15"/>
    </w:p>
    <w:p>
      <w:pPr>
        <w:pStyle w:val="19"/>
        <w:spacing w:line="480" w:lineRule="exact"/>
        <w:ind w:left="420" w:leftChars="200"/>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ind w:left="420" w:leftChars="200"/>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附表1.1 </w:t>
      </w:r>
    </w:p>
    <w:p>
      <w:pPr>
        <w:pStyle w:val="19"/>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报价总表</w:t>
      </w:r>
    </w:p>
    <w:p>
      <w:pPr>
        <w:pStyle w:val="19"/>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[货币单位：人民币元]</w:t>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报价人名称：                                        编号：</w:t>
      </w:r>
    </w:p>
    <w:tbl>
      <w:tblPr>
        <w:tblStyle w:val="33"/>
        <w:tblW w:w="10431" w:type="dxa"/>
        <w:tblInd w:w="0" w:type="dxa"/>
        <w:tblLayout w:type="fixed"/>
        <w:tblCellMar>
          <w:top w:w="0" w:type="dxa"/>
          <w:left w:w="30" w:type="dxa"/>
          <w:bottom w:w="0" w:type="dxa"/>
          <w:right w:w="30" w:type="dxa"/>
        </w:tblCellMar>
      </w:tblPr>
      <w:tblGrid>
        <w:gridCol w:w="563"/>
        <w:gridCol w:w="2537"/>
        <w:gridCol w:w="5091"/>
        <w:gridCol w:w="2240"/>
      </w:tblGrid>
      <w:tr>
        <w:tblPrEx>
          <w:tblCellMar>
            <w:top w:w="0" w:type="dxa"/>
            <w:left w:w="30" w:type="dxa"/>
            <w:bottom w:w="0" w:type="dxa"/>
            <w:right w:w="30" w:type="dxa"/>
          </w:tblCellMar>
        </w:tblPrEx>
        <w:trPr>
          <w:cantSplit/>
          <w:trHeight w:val="705" w:hRule="atLeast"/>
        </w:trPr>
        <w:tc>
          <w:tcPr>
            <w:tcW w:w="56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53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采购内容</w:t>
            </w:r>
          </w:p>
        </w:tc>
        <w:tc>
          <w:tcPr>
            <w:tcW w:w="5091"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总价</w:t>
            </w:r>
          </w:p>
        </w:tc>
        <w:tc>
          <w:tcPr>
            <w:tcW w:w="224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p>
        </w:tc>
      </w:tr>
      <w:tr>
        <w:tblPrEx>
          <w:tblCellMar>
            <w:top w:w="0" w:type="dxa"/>
            <w:left w:w="30" w:type="dxa"/>
            <w:bottom w:w="0" w:type="dxa"/>
            <w:right w:w="30" w:type="dxa"/>
          </w:tblCellMar>
        </w:tblPrEx>
        <w:trPr>
          <w:cantSplit/>
          <w:trHeight w:val="1343" w:hRule="atLeast"/>
        </w:trPr>
        <w:tc>
          <w:tcPr>
            <w:tcW w:w="5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w:t>
            </w:r>
          </w:p>
        </w:tc>
        <w:tc>
          <w:tcPr>
            <w:tcW w:w="2537" w:type="dxa"/>
            <w:tcBorders>
              <w:top w:val="single" w:color="auto" w:sz="4" w:space="0"/>
              <w:left w:val="single" w:color="auto" w:sz="4" w:space="0"/>
              <w:bottom w:val="single" w:color="auto" w:sz="4" w:space="0"/>
              <w:right w:val="single" w:color="auto" w:sz="4" w:space="0"/>
            </w:tcBorders>
            <w:vAlign w:val="center"/>
          </w:tcPr>
          <w:p>
            <w:pPr>
              <w:pStyle w:val="30"/>
              <w:keepNext w:val="0"/>
              <w:keepLines w:val="0"/>
              <w:widowControl/>
              <w:suppressLineNumbers w:val="0"/>
              <w:spacing w:before="75" w:beforeAutospacing="0" w:after="75" w:afterAutospacing="0" w:line="300" w:lineRule="atLeast"/>
              <w:ind w:right="0"/>
              <w:jc w:val="cente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策勒县残疾人安装及维修假肢项目（二次）</w:t>
            </w:r>
          </w:p>
        </w:tc>
        <w:tc>
          <w:tcPr>
            <w:tcW w:w="50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highlight w:val="none"/>
                <w:u w:val="single"/>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5年</w:t>
            </w:r>
          </w:p>
        </w:tc>
      </w:tr>
      <w:tr>
        <w:tblPrEx>
          <w:tblCellMar>
            <w:top w:w="0" w:type="dxa"/>
            <w:left w:w="30" w:type="dxa"/>
            <w:bottom w:w="0" w:type="dxa"/>
            <w:right w:w="30" w:type="dxa"/>
          </w:tblCellMar>
        </w:tblPrEx>
        <w:trPr>
          <w:cantSplit/>
          <w:trHeight w:val="1343" w:hRule="atLeast"/>
        </w:trPr>
        <w:tc>
          <w:tcPr>
            <w:tcW w:w="31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总计</w:t>
            </w:r>
          </w:p>
        </w:tc>
        <w:tc>
          <w:tcPr>
            <w:tcW w:w="73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小</w:t>
            </w:r>
            <w:r>
              <w:rPr>
                <w:rFonts w:hint="eastAsia" w:ascii="仿宋" w:hAnsi="仿宋" w:eastAsia="仿宋" w:cs="仿宋"/>
                <w:color w:val="000000" w:themeColor="text1"/>
                <w:sz w:val="24"/>
                <w:szCs w:val="24"/>
                <w14:textFill>
                  <w14:solidFill>
                    <w14:schemeClr w14:val="tx1"/>
                  </w14:solidFill>
                </w14:textFill>
              </w:rPr>
              <w:t>写：                                （￥               ）</w:t>
            </w:r>
          </w:p>
          <w:p>
            <w:pPr>
              <w:pStyle w:val="14"/>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大写：</w:t>
            </w:r>
          </w:p>
        </w:tc>
      </w:tr>
    </w:tbl>
    <w:p>
      <w:pPr>
        <w:spacing w:before="0"/>
        <w:ind w:left="518" w:right="0" w:firstLine="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w w:val="95"/>
          <w:sz w:val="24"/>
          <w:szCs w:val="24"/>
          <w:highlight w:val="none"/>
          <w14:textFill>
            <w14:solidFill>
              <w14:schemeClr w14:val="tx1"/>
            </w14:solidFill>
          </w14:textFill>
        </w:rPr>
        <w:t>1.投标人须按要求填写所有信息，不得随意更改本表格式。</w:t>
      </w:r>
    </w:p>
    <w:p>
      <w:pPr>
        <w:pStyle w:val="82"/>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pacing w:val="-2"/>
          <w:sz w:val="24"/>
          <w:szCs w:val="24"/>
          <w:highlight w:val="none"/>
          <w14:textFill>
            <w14:solidFill>
              <w14:schemeClr w14:val="tx1"/>
            </w14:solidFill>
          </w14:textFill>
        </w:rPr>
        <w:t>按政府采购规定程序进行报价。如果投标报价</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明显低于通过资格审查和符合性审查的其他投标人</w:t>
      </w:r>
      <w:r>
        <w:rPr>
          <w:rFonts w:hint="eastAsia" w:ascii="仿宋" w:hAnsi="仿宋" w:eastAsia="仿宋" w:cs="仿宋"/>
          <w:color w:val="000000" w:themeColor="text1"/>
          <w:sz w:val="24"/>
          <w:szCs w:val="24"/>
          <w:highlight w:val="none"/>
          <w14:textFill>
            <w14:solidFill>
              <w14:schemeClr w14:val="tx1"/>
            </w14:solidFill>
          </w14:textFill>
        </w:rPr>
        <w:t>，投标人须提供书面说明和成本清单等相关证明材料，评标委员会应当审查认定；经评标委员会审查认定，认为投标报价与市场报价存在较大差异且投标人对履约能力方面无合理说明的，评标委员会将其作为无效投标处理。</w:t>
      </w:r>
    </w:p>
    <w:p>
      <w:pPr>
        <w:pStyle w:val="82"/>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2"/>
          <w:sz w:val="24"/>
          <w:szCs w:val="24"/>
          <w:highlight w:val="none"/>
          <w14:textFill>
            <w14:solidFill>
              <w14:schemeClr w14:val="tx1"/>
            </w14:solidFill>
          </w14:textFill>
        </w:rPr>
        <w:t>中文大写金额用汉字，如壹、贰、叁、肆、伍、陆、柒、捌、玖、拾、佰、仟、万、亿、元、角、分、零、整（正）等。</w:t>
      </w:r>
    </w:p>
    <w:p>
      <w:pPr>
        <w:pStyle w:val="82"/>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2"/>
          <w:sz w:val="24"/>
          <w:szCs w:val="24"/>
          <w:highlight w:val="none"/>
          <w14:textFill>
            <w14:solidFill>
              <w14:schemeClr w14:val="tx1"/>
            </w14:solidFill>
          </w14:textFill>
        </w:rPr>
        <w:t>除招标文件另有规定外，投标文件内不得含有任何对本报价进行价格折扣的说明或资料，否则为无效投标。</w:t>
      </w:r>
    </w:p>
    <w:p>
      <w:pPr>
        <w:pStyle w:val="82"/>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2"/>
          <w:sz w:val="24"/>
          <w:szCs w:val="24"/>
          <w:highlight w:val="none"/>
          <w14:textFill>
            <w14:solidFill>
              <w14:schemeClr w14:val="tx1"/>
            </w14:solidFill>
          </w14:textFill>
        </w:rPr>
        <w:t>投标报价的小数点后保留2位有效数。</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9"/>
        <w:spacing w:line="360" w:lineRule="auto"/>
        <w:ind w:left="735" w:hanging="735"/>
        <w:rPr>
          <w:rFonts w:hint="eastAsia" w:ascii="仿宋" w:hAnsi="仿宋" w:eastAsia="仿宋" w:cs="仿宋"/>
          <w:color w:val="000000" w:themeColor="text1"/>
          <w:sz w:val="24"/>
          <w:szCs w:val="24"/>
          <w:highlight w:val="none"/>
          <w14:textFill>
            <w14:solidFill>
              <w14:schemeClr w14:val="tx1"/>
            </w14:solidFill>
          </w14:textFill>
        </w:rPr>
      </w:pPr>
    </w:p>
    <w:p>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报价人（公章）：</w:t>
      </w:r>
    </w:p>
    <w:p>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授权代表（签名）：</w:t>
      </w:r>
    </w:p>
    <w:p>
      <w:pPr>
        <w:pStyle w:val="19"/>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9"/>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3"/>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bookmarkStart w:id="16" w:name="_Toc42951052"/>
      <w:bookmarkStart w:id="17" w:name="_Hlt10456257"/>
      <w:r>
        <w:rPr>
          <w:rFonts w:hint="eastAsia" w:ascii="仿宋" w:hAnsi="仿宋" w:eastAsia="仿宋" w:cs="仿宋"/>
          <w:b/>
          <w:color w:val="000000" w:themeColor="text1"/>
          <w:sz w:val="24"/>
          <w:szCs w:val="24"/>
          <w:highlight w:val="none"/>
          <w14:textFill>
            <w14:solidFill>
              <w14:schemeClr w14:val="tx1"/>
            </w14:solidFill>
          </w14:textFill>
        </w:rPr>
        <w:t>附表1.</w:t>
      </w:r>
      <w:r>
        <w:rPr>
          <w:rFonts w:hint="eastAsia" w:ascii="仿宋" w:hAnsi="仿宋" w:eastAsia="仿宋" w:cs="仿宋"/>
          <w:b/>
          <w:color w:val="000000" w:themeColor="text1"/>
          <w:sz w:val="24"/>
          <w:szCs w:val="24"/>
          <w:highlight w:val="none"/>
          <w:lang w:val="en-US" w:eastAsia="zh-CN"/>
          <w14:textFill>
            <w14:solidFill>
              <w14:schemeClr w14:val="tx1"/>
            </w14:solidFill>
          </w14:textFill>
        </w:rPr>
        <w:t xml:space="preserve">2 </w:t>
      </w:r>
      <w:r>
        <w:rPr>
          <w:rFonts w:hint="eastAsia" w:ascii="仿宋" w:hAnsi="仿宋" w:eastAsia="仿宋" w:cs="仿宋"/>
          <w:b/>
          <w:color w:val="000000" w:themeColor="text1"/>
          <w:sz w:val="24"/>
          <w:szCs w:val="24"/>
          <w:highlight w:val="none"/>
          <w14:textFill>
            <w14:solidFill>
              <w14:schemeClr w14:val="tx1"/>
            </w14:solidFill>
          </w14:textFill>
        </w:rPr>
        <w:t>报价</w:t>
      </w:r>
      <w:r>
        <w:rPr>
          <w:rFonts w:hint="eastAsia" w:ascii="仿宋" w:hAnsi="仿宋" w:eastAsia="仿宋" w:cs="仿宋"/>
          <w:b/>
          <w:color w:val="000000" w:themeColor="text1"/>
          <w:sz w:val="24"/>
          <w:szCs w:val="24"/>
          <w:highlight w:val="none"/>
          <w:lang w:val="en-US" w:eastAsia="zh-CN"/>
          <w14:textFill>
            <w14:solidFill>
              <w14:schemeClr w14:val="tx1"/>
            </w14:solidFill>
          </w14:textFill>
        </w:rPr>
        <w:t>明细</w:t>
      </w:r>
      <w:r>
        <w:rPr>
          <w:rFonts w:hint="eastAsia" w:ascii="仿宋" w:hAnsi="仿宋" w:eastAsia="仿宋" w:cs="仿宋"/>
          <w:b/>
          <w:color w:val="000000" w:themeColor="text1"/>
          <w:sz w:val="24"/>
          <w:szCs w:val="24"/>
          <w:highlight w:val="none"/>
          <w14:textFill>
            <w14:solidFill>
              <w14:schemeClr w14:val="tx1"/>
            </w14:solidFill>
          </w14:textFill>
        </w:rPr>
        <w:t>表</w:t>
      </w:r>
    </w:p>
    <w:p>
      <w:pP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所投产品必须表明品牌、规格、型号否则投标无效。</w:t>
      </w:r>
    </w:p>
    <w:p>
      <w:pPr>
        <w:pStyle w:val="14"/>
        <w:rPr>
          <w:rFonts w:hint="eastAsia" w:ascii="仿宋" w:hAnsi="仿宋" w:eastAsia="仿宋" w:cs="仿宋"/>
          <w:color w:val="000000" w:themeColor="text1"/>
          <w:lang w:val="en-US" w:eastAsia="zh-CN"/>
          <w14:textFill>
            <w14:solidFill>
              <w14:schemeClr w14:val="tx1"/>
            </w14:solidFill>
          </w14:textFill>
        </w:rPr>
      </w:pPr>
    </w:p>
    <w:p>
      <w:pPr>
        <w:tabs>
          <w:tab w:val="left" w:pos="7740"/>
        </w:tabs>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w:t>
      </w:r>
    </w:p>
    <w:tbl>
      <w:tblPr>
        <w:tblStyle w:val="3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943"/>
        <w:gridCol w:w="518"/>
        <w:gridCol w:w="625"/>
        <w:gridCol w:w="730"/>
        <w:gridCol w:w="1154"/>
        <w:gridCol w:w="1792"/>
        <w:gridCol w:w="626"/>
        <w:gridCol w:w="519"/>
        <w:gridCol w:w="1049"/>
        <w:gridCol w:w="973"/>
        <w:gridCol w:w="7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81"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462"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产品</w:t>
            </w:r>
          </w:p>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256"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品牌</w:t>
            </w:r>
          </w:p>
        </w:tc>
        <w:tc>
          <w:tcPr>
            <w:tcW w:w="308"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规格</w:t>
            </w:r>
          </w:p>
        </w:tc>
        <w:tc>
          <w:tcPr>
            <w:tcW w:w="359"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型号</w:t>
            </w:r>
          </w:p>
        </w:tc>
        <w:tc>
          <w:tcPr>
            <w:tcW w:w="564"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制造商</w:t>
            </w:r>
          </w:p>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（生产者）</w:t>
            </w:r>
          </w:p>
        </w:tc>
        <w:tc>
          <w:tcPr>
            <w:tcW w:w="873"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原产地</w:t>
            </w:r>
          </w:p>
        </w:tc>
        <w:tc>
          <w:tcPr>
            <w:tcW w:w="308"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c>
          <w:tcPr>
            <w:tcW w:w="256"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513"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单价（人民币 元）</w:t>
            </w:r>
          </w:p>
        </w:tc>
        <w:tc>
          <w:tcPr>
            <w:tcW w:w="476" w:type="pct"/>
            <w:tcBorders>
              <w:top w:val="single" w:color="auto" w:sz="12" w:space="0"/>
              <w:bottom w:val="double" w:color="auto" w:sz="4" w:space="0"/>
            </w:tcBorders>
            <w:noWrap w:val="0"/>
            <w:vAlign w:val="center"/>
          </w:tcPr>
          <w:p>
            <w:pPr>
              <w:widowControl/>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合计（人民币 元）</w:t>
            </w:r>
          </w:p>
        </w:tc>
        <w:tc>
          <w:tcPr>
            <w:tcW w:w="342" w:type="pct"/>
            <w:tcBorders>
              <w:top w:val="single" w:color="auto" w:sz="12" w:space="0"/>
              <w:bottom w:val="double" w:color="auto" w:sz="4" w:space="0"/>
            </w:tcBorders>
            <w:noWrap w:val="0"/>
            <w:vAlign w:val="center"/>
          </w:tcPr>
          <w:p>
            <w:pPr>
              <w:snapToGrid w:val="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81"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462"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256"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08"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59" w:type="pct"/>
            <w:noWrap w:val="0"/>
            <w:vAlign w:val="top"/>
          </w:tcPr>
          <w:p>
            <w:pPr>
              <w:jc w:val="center"/>
              <w:rPr>
                <w:rFonts w:hint="eastAsia" w:ascii="仿宋" w:hAnsi="仿宋" w:eastAsia="仿宋" w:cs="仿宋"/>
                <w:color w:val="000000" w:themeColor="text1"/>
                <w:sz w:val="24"/>
                <w14:textFill>
                  <w14:solidFill>
                    <w14:schemeClr w14:val="tx1"/>
                  </w14:solidFill>
                </w14:textFill>
              </w:rPr>
            </w:pPr>
          </w:p>
        </w:tc>
        <w:tc>
          <w:tcPr>
            <w:tcW w:w="564" w:type="pct"/>
            <w:noWrap w:val="0"/>
            <w:vAlign w:val="top"/>
          </w:tcPr>
          <w:p>
            <w:pPr>
              <w:jc w:val="center"/>
              <w:rPr>
                <w:rFonts w:hint="eastAsia" w:ascii="仿宋" w:hAnsi="仿宋" w:eastAsia="仿宋" w:cs="仿宋"/>
                <w:color w:val="000000" w:themeColor="text1"/>
                <w:sz w:val="24"/>
                <w14:textFill>
                  <w14:solidFill>
                    <w14:schemeClr w14:val="tx1"/>
                  </w14:solidFill>
                </w14:textFill>
              </w:rPr>
            </w:pPr>
          </w:p>
        </w:tc>
        <w:tc>
          <w:tcPr>
            <w:tcW w:w="873"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p>
        </w:tc>
        <w:tc>
          <w:tcPr>
            <w:tcW w:w="308"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256"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513"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476"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42"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81"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462"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256"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08"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59" w:type="pct"/>
            <w:noWrap w:val="0"/>
            <w:vAlign w:val="top"/>
          </w:tcPr>
          <w:p>
            <w:pPr>
              <w:jc w:val="center"/>
              <w:rPr>
                <w:rFonts w:hint="eastAsia" w:ascii="仿宋" w:hAnsi="仿宋" w:eastAsia="仿宋" w:cs="仿宋"/>
                <w:color w:val="000000" w:themeColor="text1"/>
                <w:sz w:val="24"/>
                <w14:textFill>
                  <w14:solidFill>
                    <w14:schemeClr w14:val="tx1"/>
                  </w14:solidFill>
                </w14:textFill>
              </w:rPr>
            </w:pPr>
          </w:p>
        </w:tc>
        <w:tc>
          <w:tcPr>
            <w:tcW w:w="564" w:type="pct"/>
            <w:noWrap w:val="0"/>
            <w:vAlign w:val="top"/>
          </w:tcPr>
          <w:p>
            <w:pPr>
              <w:jc w:val="center"/>
              <w:rPr>
                <w:rFonts w:hint="eastAsia" w:ascii="仿宋" w:hAnsi="仿宋" w:eastAsia="仿宋" w:cs="仿宋"/>
                <w:color w:val="000000" w:themeColor="text1"/>
                <w:sz w:val="24"/>
                <w14:textFill>
                  <w14:solidFill>
                    <w14:schemeClr w14:val="tx1"/>
                  </w14:solidFill>
                </w14:textFill>
              </w:rPr>
            </w:pPr>
          </w:p>
        </w:tc>
        <w:tc>
          <w:tcPr>
            <w:tcW w:w="873"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08"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256"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513"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476"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42"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81"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462"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256"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08"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59" w:type="pct"/>
            <w:noWrap w:val="0"/>
            <w:vAlign w:val="top"/>
          </w:tcPr>
          <w:p>
            <w:pPr>
              <w:jc w:val="center"/>
              <w:rPr>
                <w:rFonts w:hint="eastAsia" w:ascii="仿宋" w:hAnsi="仿宋" w:eastAsia="仿宋" w:cs="仿宋"/>
                <w:color w:val="000000" w:themeColor="text1"/>
                <w:sz w:val="24"/>
                <w14:textFill>
                  <w14:solidFill>
                    <w14:schemeClr w14:val="tx1"/>
                  </w14:solidFill>
                </w14:textFill>
              </w:rPr>
            </w:pPr>
          </w:p>
        </w:tc>
        <w:tc>
          <w:tcPr>
            <w:tcW w:w="564" w:type="pct"/>
            <w:noWrap w:val="0"/>
            <w:vAlign w:val="top"/>
          </w:tcPr>
          <w:p>
            <w:pPr>
              <w:jc w:val="center"/>
              <w:rPr>
                <w:rFonts w:hint="eastAsia" w:ascii="仿宋" w:hAnsi="仿宋" w:eastAsia="仿宋" w:cs="仿宋"/>
                <w:color w:val="000000" w:themeColor="text1"/>
                <w:sz w:val="24"/>
                <w14:textFill>
                  <w14:solidFill>
                    <w14:schemeClr w14:val="tx1"/>
                  </w14:solidFill>
                </w14:textFill>
              </w:rPr>
            </w:pPr>
          </w:p>
        </w:tc>
        <w:tc>
          <w:tcPr>
            <w:tcW w:w="873"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08"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256"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513"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476"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c>
          <w:tcPr>
            <w:tcW w:w="342" w:type="pct"/>
            <w:noWrap w:val="0"/>
            <w:vAlign w:val="center"/>
          </w:tcPr>
          <w:p>
            <w:pPr>
              <w:jc w:val="center"/>
              <w:rPr>
                <w:rFonts w:hint="eastAsia" w:ascii="仿宋" w:hAnsi="仿宋" w:eastAsia="仿宋" w:cs="仿宋"/>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43" w:type="pct"/>
            <w:gridSpan w:val="2"/>
            <w:noWrap w:val="0"/>
            <w:vAlign w:val="center"/>
          </w:tcPr>
          <w:p>
            <w:pPr>
              <w:snapToGrid w:val="0"/>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总计</w:t>
            </w:r>
          </w:p>
        </w:tc>
        <w:tc>
          <w:tcPr>
            <w:tcW w:w="4257" w:type="pct"/>
            <w:gridSpan w:val="10"/>
            <w:noWrap w:val="0"/>
            <w:vAlign w:val="top"/>
          </w:tcPr>
          <w:p>
            <w:pPr>
              <w:snapToGrid w:val="0"/>
              <w:rPr>
                <w:rFonts w:hint="eastAsia" w:ascii="仿宋" w:hAnsi="仿宋" w:eastAsia="仿宋" w:cs="仿宋"/>
                <w:bCs/>
                <w:color w:val="000000" w:themeColor="text1"/>
                <w:sz w:val="24"/>
                <w:u w:val="single"/>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小写：RMB</w:t>
            </w:r>
          </w:p>
          <w:p>
            <w:p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大写：</w:t>
            </w:r>
          </w:p>
        </w:tc>
      </w:tr>
    </w:tbl>
    <w:p>
      <w:pPr>
        <w:snapToGrid w:val="0"/>
        <w:spacing w:line="360" w:lineRule="auto"/>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pPr>
    </w:p>
    <w:p>
      <w:pPr>
        <w:snapToGrid w:val="0"/>
        <w:spacing w:line="360" w:lineRule="auto"/>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pPr>
    </w:p>
    <w:p>
      <w:pPr>
        <w:snapToGrid w:val="0"/>
        <w:spacing w:line="360" w:lineRule="auto"/>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t>投标人名称（单位盖公章）：</w:t>
      </w:r>
    </w:p>
    <w:p>
      <w:pPr>
        <w:snapToGrid w:val="0"/>
        <w:spacing w:line="360" w:lineRule="auto"/>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t xml:space="preserve">法定代表人或投标人授权代表（签名或盖个人名章） </w:t>
      </w:r>
    </w:p>
    <w:p>
      <w:pPr>
        <w:snapToGrid w:val="0"/>
        <w:spacing w:line="360" w:lineRule="auto"/>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t>日期：</w:t>
      </w:r>
    </w:p>
    <w:p>
      <w:pPr>
        <w:tabs>
          <w:tab w:val="left" w:pos="567"/>
        </w:tabs>
        <w:snapToGrid w:val="0"/>
        <w:spacing w:line="360" w:lineRule="auto"/>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pPr>
    </w:p>
    <w:p>
      <w:pPr>
        <w:tabs>
          <w:tab w:val="left" w:pos="567"/>
        </w:tabs>
        <w:snapToGrid w:val="0"/>
        <w:spacing w:line="360" w:lineRule="auto"/>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t>说明：</w:t>
      </w:r>
    </w:p>
    <w:p>
      <w:pPr>
        <w:pStyle w:val="82"/>
        <w:numPr>
          <w:ilvl w:val="0"/>
          <w:numId w:val="34"/>
        </w:numPr>
        <w:tabs>
          <w:tab w:val="left" w:pos="567"/>
        </w:tabs>
        <w:snapToGrid w:val="0"/>
        <w:spacing w:line="360" w:lineRule="auto"/>
        <w:ind w:firstLineChars="0"/>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pPr>
      <w:r>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t>对于有配件、耗材、选件和特殊工具的货物，还应填报投标货物配件、耗材、选件表和备件及特殊工具清单，注明品牌、型号、产地、功能、单价等内容，该表格式由投标人自行设计，如有漏报，投标风险由投标人承担。</w:t>
      </w:r>
    </w:p>
    <w:p>
      <w:pPr>
        <w:pStyle w:val="82"/>
        <w:numPr>
          <w:ilvl w:val="0"/>
          <w:numId w:val="34"/>
        </w:numPr>
        <w:tabs>
          <w:tab w:val="left" w:pos="567"/>
        </w:tabs>
        <w:snapToGrid w:val="0"/>
        <w:spacing w:line="360" w:lineRule="auto"/>
        <w:ind w:firstLineChars="0"/>
        <w:rPr>
          <w:rFonts w:hint="eastAsia" w:ascii="仿宋" w:hAnsi="仿宋" w:eastAsia="仿宋" w:cs="仿宋"/>
          <w:color w:val="000000" w:themeColor="text1"/>
          <w:spacing w:val="-2"/>
          <w:sz w:val="24"/>
          <w:szCs w:val="24"/>
          <w:highlight w:val="none"/>
          <w:lang w:val="en-US" w:eastAsia="zh-CN" w:bidi="zh-CN"/>
          <w14:textFill>
            <w14:solidFill>
              <w14:schemeClr w14:val="tx1"/>
            </w14:solidFill>
          </w14:textFill>
        </w:rPr>
      </w:pPr>
      <w:r>
        <w:rPr>
          <w:rFonts w:hint="eastAsia" w:ascii="仿宋" w:hAnsi="仿宋" w:eastAsia="仿宋" w:cs="仿宋"/>
          <w:color w:val="000000" w:themeColor="text1"/>
          <w:spacing w:val="-2"/>
          <w:sz w:val="24"/>
          <w:szCs w:val="24"/>
          <w:highlight w:val="none"/>
          <w:lang w:val="zh-CN" w:eastAsia="zh-CN" w:bidi="zh-CN"/>
          <w14:textFill>
            <w14:solidFill>
              <w14:schemeClr w14:val="tx1"/>
            </w14:solidFill>
          </w14:textFill>
        </w:rPr>
        <w:t>投标人按照上述要求分类报价，其目的是便于评标，但在任何情况下并不限制采购人以任何条款签订合同的权利。</w:t>
      </w:r>
    </w:p>
    <w:p>
      <w:pPr>
        <w:pStyle w:val="14"/>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lang w:val="en-US" w:eastAsia="zh-CN"/>
          <w14:textFill>
            <w14:solidFill>
              <w14:schemeClr w14:val="tx1"/>
            </w14:solidFill>
          </w14:textFill>
        </w:rPr>
      </w:pPr>
    </w:p>
    <w:p>
      <w:pPr>
        <w:pStyle w:val="14"/>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lang w:val="en-US" w:eastAsia="zh-CN"/>
          <w14:textFill>
            <w14:solidFill>
              <w14:schemeClr w14:val="tx1"/>
            </w14:solidFill>
          </w14:textFill>
        </w:rPr>
      </w:pPr>
    </w:p>
    <w:p>
      <w:pPr>
        <w:pStyle w:val="14"/>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lang w:val="en-US" w:eastAsia="zh-CN"/>
          <w14:textFill>
            <w14:solidFill>
              <w14:schemeClr w14:val="tx1"/>
            </w14:solidFill>
          </w14:textFill>
        </w:rPr>
      </w:pPr>
    </w:p>
    <w:p>
      <w:pPr>
        <w:pStyle w:val="14"/>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lang w:val="en-US" w:eastAsia="zh-CN"/>
          <w14:textFill>
            <w14:solidFill>
              <w14:schemeClr w14:val="tx1"/>
            </w14:solidFill>
          </w14:textFill>
        </w:rPr>
      </w:pPr>
    </w:p>
    <w:p>
      <w:pPr>
        <w:pStyle w:val="14"/>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lang w:val="en-US" w:eastAsia="zh-CN"/>
          <w14:textFill>
            <w14:solidFill>
              <w14:schemeClr w14:val="tx1"/>
            </w14:solidFill>
          </w14:textFill>
        </w:rPr>
      </w:pPr>
    </w:p>
    <w:p>
      <w:pPr>
        <w:pStyle w:val="14"/>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lang w:val="en-US" w:eastAsia="zh-CN"/>
          <w14:textFill>
            <w14:solidFill>
              <w14:schemeClr w14:val="tx1"/>
            </w14:solidFill>
          </w14:textFill>
        </w:rPr>
      </w:pPr>
    </w:p>
    <w:p>
      <w:pPr>
        <w:pStyle w:val="14"/>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lang w:val="en-US" w:eastAsia="zh-CN"/>
          <w14:textFill>
            <w14:solidFill>
              <w14:schemeClr w14:val="tx1"/>
            </w14:solidFill>
          </w14:textFill>
        </w:rPr>
      </w:pPr>
    </w:p>
    <w:p>
      <w:pPr>
        <w:pStyle w:val="14"/>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lang w:val="en-US" w:eastAsia="zh-CN"/>
          <w14:textFill>
            <w14:solidFill>
              <w14:schemeClr w14:val="tx1"/>
            </w14:solidFill>
          </w14:textFill>
        </w:rPr>
      </w:pP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2．报价函格式</w:t>
      </w:r>
      <w:bookmarkEnd w:id="16"/>
    </w:p>
    <w:bookmarkEnd w:id="17"/>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 价 函</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我方确认收到贵方提供的</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（项目名称）      _ </w:t>
      </w:r>
      <w:r>
        <w:rPr>
          <w:rFonts w:hint="eastAsia" w:ascii="仿宋" w:hAnsi="仿宋" w:eastAsia="仿宋" w:cs="仿宋"/>
          <w:color w:val="000000" w:themeColor="text1"/>
          <w:sz w:val="24"/>
          <w:szCs w:val="24"/>
          <w:highlight w:val="none"/>
          <w14:textFill>
            <w14:solidFill>
              <w14:schemeClr w14:val="tx1"/>
            </w14:solidFill>
          </w14:textFill>
        </w:rPr>
        <w:t>货物及服务的磋商文件的全部内容，我方：__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_ </w:t>
      </w:r>
      <w:r>
        <w:rPr>
          <w:rFonts w:hint="eastAsia" w:ascii="仿宋" w:hAnsi="仿宋" w:eastAsia="仿宋" w:cs="仿宋"/>
          <w:color w:val="000000" w:themeColor="text1"/>
          <w:sz w:val="24"/>
          <w:szCs w:val="24"/>
          <w:highlight w:val="none"/>
          <w14:textFill>
            <w14:solidFill>
              <w14:schemeClr w14:val="tx1"/>
            </w14:solidFill>
          </w14:textFill>
        </w:rPr>
        <w:t xml:space="preserve"> (报价人名称</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作为报价者正式授权</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(授权代表全名, 职务</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代表我方进行有关本磋商的一切事宜。</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在此提交的报价文件, 正本一份, 副本</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叁 </w:t>
      </w:r>
      <w:r>
        <w:rPr>
          <w:rFonts w:hint="eastAsia" w:ascii="仿宋" w:hAnsi="仿宋" w:eastAsia="仿宋" w:cs="仿宋"/>
          <w:color w:val="000000" w:themeColor="text1"/>
          <w:sz w:val="24"/>
          <w:szCs w:val="24"/>
          <w:highlight w:val="none"/>
          <w14:textFill>
            <w14:solidFill>
              <w14:schemeClr w14:val="tx1"/>
            </w14:solidFill>
          </w14:textFill>
        </w:rPr>
        <w:t>份，报价文件包括如下等内容:</w:t>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 报价文件第一部分</w:t>
      </w:r>
    </w:p>
    <w:p>
      <w:pPr>
        <w:pStyle w:val="19"/>
        <w:tabs>
          <w:tab w:val="left" w:pos="3780"/>
        </w:tabs>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报价表</w:t>
      </w:r>
      <w:r>
        <w:rPr>
          <w:rFonts w:hint="eastAsia" w:ascii="仿宋" w:hAnsi="仿宋" w:eastAsia="仿宋" w:cs="仿宋"/>
          <w:color w:val="000000" w:themeColor="text1"/>
          <w:sz w:val="24"/>
          <w:szCs w:val="24"/>
          <w:highlight w:val="none"/>
          <w14:textFill>
            <w14:solidFill>
              <w14:schemeClr w14:val="tx1"/>
            </w14:solidFill>
          </w14:textFill>
        </w:rPr>
        <w:tab/>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 报价文件第二部分</w:t>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（一）报价函；</w:t>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（二）授权书；</w:t>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（三）资格证明文件；</w:t>
      </w:r>
    </w:p>
    <w:p>
      <w:pPr>
        <w:pStyle w:val="19"/>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投标保证金</w:t>
      </w:r>
      <w:r>
        <w:rPr>
          <w:rFonts w:hint="eastAsia" w:ascii="仿宋" w:hAnsi="仿宋" w:eastAsia="仿宋" w:cs="仿宋"/>
          <w:color w:val="000000" w:themeColor="text1"/>
          <w:sz w:val="24"/>
          <w:szCs w:val="24"/>
          <w:highlight w:val="none"/>
          <w14:textFill>
            <w14:solidFill>
              <w14:schemeClr w14:val="tx1"/>
            </w14:solidFill>
          </w14:textFill>
        </w:rPr>
        <w:t>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（大、小写）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color w:val="000000" w:themeColor="text1"/>
          <w:sz w:val="24"/>
          <w:szCs w:val="24"/>
          <w:highlight w:val="none"/>
          <w14:textFill>
            <w14:solidFill>
              <w14:schemeClr w14:val="tx1"/>
            </w14:solidFill>
          </w14:textFill>
        </w:rPr>
        <w:t>；</w:t>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响应表及差异表；</w:t>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（六）按磋商文件供应商须知的要求提供的报价文件格式的其它有关文件。</w:t>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 报价文件第三部分</w:t>
      </w:r>
    </w:p>
    <w:p>
      <w:pPr>
        <w:spacing w:line="480" w:lineRule="exact"/>
        <w:ind w:firstLine="5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我方已完全明白报价文件的所有条款要求，并重申以下几点：</w:t>
      </w:r>
    </w:p>
    <w:p>
      <w:pPr>
        <w:spacing w:line="480" w:lineRule="exact"/>
        <w:ind w:left="600" w:hanging="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（一）我方决定参加：采购编号为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号的报价；</w:t>
      </w:r>
    </w:p>
    <w:p>
      <w:pPr>
        <w:spacing w:line="480" w:lineRule="exact"/>
        <w:ind w:left="471" w:hanging="47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（二）全部有关服务的报价总价（详见报价表）；</w:t>
      </w:r>
    </w:p>
    <w:p>
      <w:pPr>
        <w:spacing w:line="480" w:lineRule="exact"/>
        <w:ind w:left="600" w:hanging="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（三）本报价文件的有效期为磋商</w:t>
      </w:r>
      <w:r>
        <w:rPr>
          <w:rFonts w:hint="eastAsia" w:ascii="仿宋" w:hAnsi="仿宋" w:eastAsia="仿宋" w:cs="仿宋"/>
          <w:color w:val="000000" w:themeColor="text1"/>
          <w:sz w:val="24"/>
          <w:szCs w:val="24"/>
          <w:highlight w:val="none"/>
          <w:lang w:eastAsia="zh-CN"/>
          <w14:textFill>
            <w14:solidFill>
              <w14:schemeClr w14:val="tx1"/>
            </w14:solidFill>
          </w14:textFill>
        </w:rPr>
        <w:t>日期</w:t>
      </w:r>
      <w:r>
        <w:rPr>
          <w:rFonts w:hint="eastAsia" w:ascii="仿宋" w:hAnsi="仿宋" w:eastAsia="仿宋" w:cs="仿宋"/>
          <w:color w:val="000000" w:themeColor="text1"/>
          <w:sz w:val="24"/>
          <w:szCs w:val="24"/>
          <w:highlight w:val="none"/>
          <w14:textFill>
            <w14:solidFill>
              <w14:schemeClr w14:val="tx1"/>
            </w14:solidFill>
          </w14:textFill>
        </w:rPr>
        <w:t>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天内有效，如成交，有效期将延至合同终止日为止；</w:t>
      </w:r>
    </w:p>
    <w:p>
      <w:pPr>
        <w:widowControl w:val="0"/>
        <w:spacing w:line="480" w:lineRule="exact"/>
        <w:ind w:left="693" w:hanging="792" w:hangingChars="3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（四）我方已详细研究了磋商文件的所有内容包括修改文件(如果有</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和所有已提供的参考资料以及有关附件并完全明白, 我方放弃在此方面提出含糊意见或误解的一切权力。</w:t>
      </w:r>
    </w:p>
    <w:p>
      <w:pPr>
        <w:spacing w:line="480" w:lineRule="exact"/>
        <w:ind w:left="693" w:hanging="792" w:hangingChars="3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 我方明白并愿意在规定的磋商时间和日期之后,报价有效期之内撤回报价, 则报价保证金将被贵方没收。</w:t>
      </w:r>
    </w:p>
    <w:p>
      <w:pPr>
        <w:pStyle w:val="21"/>
        <w:spacing w:line="480" w:lineRule="exact"/>
        <w:ind w:left="0" w:lef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 我方同意按照贵方可能提出的要求而提供与报价有关的任何其它数据或信息。</w:t>
      </w:r>
    </w:p>
    <w:p>
      <w:pPr>
        <w:spacing w:line="480" w:lineRule="exact"/>
        <w:ind w:left="588" w:hanging="58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（七） 我方理解贵方不一定接受最低标价或任何贵方可能收到的报价。</w:t>
      </w:r>
    </w:p>
    <w:p>
      <w:pPr>
        <w:spacing w:line="480" w:lineRule="exact"/>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（八） 我方如果成交，将保证履行磋商文件以及磋商文件修改文件（如果有的话）中的全部责任和义务，按质、按量、按期完成《合同书》中的全部任务。</w:t>
      </w:r>
    </w:p>
    <w:p>
      <w:pPr>
        <w:pStyle w:val="15"/>
        <w:spacing w:line="480" w:lineRule="exact"/>
        <w:ind w:left="840" w:leftChars="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（九） 如我方被授予合同，由我方就本次磋商支付或将支付的服务费列于磋商文件要求的承诺书（承诺书号</w:t>
      </w:r>
      <w:r>
        <w:rPr>
          <w:rFonts w:hint="eastAsia" w:ascii="仿宋" w:hAnsi="仿宋" w:eastAsia="仿宋" w:cs="仿宋"/>
          <w:color w:val="000000" w:themeColor="text1"/>
          <w:sz w:val="24"/>
          <w:szCs w:val="24"/>
          <w:highlight w:val="none"/>
          <w:lang w:eastAsia="zh-CN"/>
          <w14:textFill>
            <w14:solidFill>
              <w14:schemeClr w14:val="tx1"/>
            </w14:solidFill>
          </w14:textFill>
        </w:rPr>
        <w:t>2021-clx- 071号</w:t>
      </w:r>
      <w:r>
        <w:rPr>
          <w:rFonts w:hint="eastAsia" w:ascii="仿宋" w:hAnsi="仿宋" w:eastAsia="仿宋" w:cs="仿宋"/>
          <w:color w:val="000000" w:themeColor="text1"/>
          <w:sz w:val="24"/>
          <w:szCs w:val="24"/>
          <w:highlight w:val="none"/>
          <w14:textFill>
            <w14:solidFill>
              <w14:schemeClr w14:val="tx1"/>
            </w14:solidFill>
          </w14:textFill>
        </w:rPr>
        <w:t>）中。</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 所有与本磋商有关的函件请发往下列地址:</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.邮政编码：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代表姓名：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    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rPr>
          <w:rFonts w:hint="eastAsia" w:ascii="仿宋" w:hAnsi="仿宋" w:eastAsia="仿宋" w:cs="仿宋"/>
          <w:color w:val="000000" w:themeColor="text1"/>
          <w:sz w:val="24"/>
          <w:szCs w:val="24"/>
          <w:highlight w:val="none"/>
          <w:u w:val="singl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u w:val="singl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报价人（公章）：</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报价人地址：</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授权代表姓名（签名）：</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80" w:lineRule="exact"/>
        <w:jc w:val="center"/>
        <w:outlineLvl w:val="0"/>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二、</w:t>
      </w:r>
      <w:r>
        <w:rPr>
          <w:rFonts w:hint="eastAsia" w:ascii="仿宋" w:hAnsi="仿宋" w:eastAsia="仿宋" w:cs="仿宋"/>
          <w:b/>
          <w:color w:val="000000" w:themeColor="text1"/>
          <w:sz w:val="48"/>
          <w:szCs w:val="48"/>
          <w:highlight w:val="none"/>
          <w:lang w:eastAsia="zh-CN"/>
          <w14:textFill>
            <w14:solidFill>
              <w14:schemeClr w14:val="tx1"/>
            </w14:solidFill>
          </w14:textFill>
        </w:rPr>
        <w:t>技</w:t>
      </w:r>
      <w:r>
        <w:rPr>
          <w:rFonts w:hint="eastAsia" w:ascii="仿宋" w:hAnsi="仿宋" w:eastAsia="仿宋" w:cs="仿宋"/>
          <w:b/>
          <w:color w:val="000000" w:themeColor="text1"/>
          <w:sz w:val="48"/>
          <w:szCs w:val="4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48"/>
          <w:szCs w:val="48"/>
          <w:highlight w:val="none"/>
          <w:lang w:eastAsia="zh-CN"/>
          <w14:textFill>
            <w14:solidFill>
              <w14:schemeClr w14:val="tx1"/>
            </w14:solidFill>
          </w14:textFill>
        </w:rPr>
        <w:t>术</w:t>
      </w:r>
      <w:r>
        <w:rPr>
          <w:rFonts w:hint="eastAsia" w:ascii="仿宋" w:hAnsi="仿宋" w:eastAsia="仿宋" w:cs="仿宋"/>
          <w:b/>
          <w:color w:val="000000" w:themeColor="text1"/>
          <w:sz w:val="48"/>
          <w:szCs w:val="4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48"/>
          <w:szCs w:val="48"/>
          <w:highlight w:val="none"/>
          <w:lang w:eastAsia="zh-CN"/>
          <w14:textFill>
            <w14:solidFill>
              <w14:schemeClr w14:val="tx1"/>
            </w14:solidFill>
          </w14:textFill>
        </w:rPr>
        <w:t>商</w:t>
      </w:r>
      <w:r>
        <w:rPr>
          <w:rFonts w:hint="eastAsia" w:ascii="仿宋" w:hAnsi="仿宋" w:eastAsia="仿宋" w:cs="仿宋"/>
          <w:b/>
          <w:color w:val="000000" w:themeColor="text1"/>
          <w:sz w:val="48"/>
          <w:szCs w:val="4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48"/>
          <w:szCs w:val="48"/>
          <w:highlight w:val="none"/>
          <w:lang w:eastAsia="zh-CN"/>
          <w14:textFill>
            <w14:solidFill>
              <w14:schemeClr w14:val="tx1"/>
            </w14:solidFill>
          </w14:textFill>
        </w:rPr>
        <w:t>务</w:t>
      </w:r>
      <w:r>
        <w:rPr>
          <w:rFonts w:hint="eastAsia" w:ascii="仿宋" w:hAnsi="仿宋" w:eastAsia="仿宋" w:cs="仿宋"/>
          <w:b/>
          <w:color w:val="000000" w:themeColor="text1"/>
          <w:sz w:val="48"/>
          <w:szCs w:val="48"/>
          <w:highlight w:val="none"/>
          <w14:textFill>
            <w14:solidFill>
              <w14:schemeClr w14:val="tx1"/>
            </w14:solidFill>
          </w14:textFill>
        </w:rPr>
        <w:t xml:space="preserve"> 响 应</w:t>
      </w:r>
    </w:p>
    <w:p>
      <w:pPr>
        <w:pStyle w:val="19"/>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18" w:name="_Hlt10519541"/>
      <w:bookmarkEnd w:id="18"/>
      <w:bookmarkStart w:id="19" w:name="_Toc42951053"/>
      <w:r>
        <w:rPr>
          <w:rFonts w:hint="eastAsia" w:ascii="仿宋" w:hAnsi="仿宋" w:eastAsia="仿宋" w:cs="仿宋"/>
          <w:color w:val="000000" w:themeColor="text1"/>
          <w:sz w:val="24"/>
          <w:szCs w:val="24"/>
          <w:highlight w:val="none"/>
          <w14:textFill>
            <w14:solidFill>
              <w14:schemeClr w14:val="tx1"/>
            </w14:solidFill>
          </w14:textFill>
        </w:rPr>
        <w:t>1．</w:t>
      </w:r>
      <w:bookmarkEnd w:id="19"/>
      <w:r>
        <w:rPr>
          <w:rFonts w:hint="eastAsia" w:ascii="仿宋" w:hAnsi="仿宋" w:eastAsia="仿宋" w:cs="仿宋"/>
          <w:color w:val="000000" w:themeColor="text1"/>
          <w:sz w:val="24"/>
          <w:szCs w:val="24"/>
          <w:highlight w:val="none"/>
          <w14:textFill>
            <w14:solidFill>
              <w14:schemeClr w14:val="tx1"/>
            </w14:solidFill>
          </w14:textFill>
        </w:rPr>
        <w:t>法定代表人证明书、法定代表人授权书格式（附：法定代表人、被授权人身份证复印件）</w:t>
      </w:r>
    </w:p>
    <w:p>
      <w:pPr>
        <w:pStyle w:val="19"/>
        <w:spacing w:before="240" w:after="240" w:line="360" w:lineRule="auto"/>
        <w:ind w:firstLine="643"/>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法定代表人（企业负责人）</w:t>
      </w:r>
      <w:r>
        <w:rPr>
          <w:rFonts w:hint="eastAsia" w:ascii="仿宋" w:hAnsi="仿宋" w:eastAsia="仿宋" w:cs="仿宋"/>
          <w:b/>
          <w:color w:val="000000" w:themeColor="text1"/>
          <w:sz w:val="24"/>
          <w:szCs w:val="24"/>
          <w:highlight w:val="none"/>
          <w14:textFill>
            <w14:solidFill>
              <w14:schemeClr w14:val="tx1"/>
            </w14:solidFill>
          </w14:textFill>
        </w:rPr>
        <w:t>证明书</w:t>
      </w:r>
    </w:p>
    <w:p>
      <w:pPr>
        <w:pStyle w:val="19"/>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同志，现任我单位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职务，为法定代表人（企业负责人），特此证明。</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签发日期：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单位名称：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（公章）</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附：代表人性别：                 年龄：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营业执照号码：                   经济性质：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说明：1.法定代表人（企业负责人）为企业单位的主要行政负责人。</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2.内容必须填写真实、清楚、涂改无效，不得转让、买卖。</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3.将此证明提交对方作为合同附件。</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tabs>
          <w:tab w:val="left" w:pos="5761"/>
        </w:tabs>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供应商（公章）：</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4"/>
        <w:spacing w:before="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(为避免废标，请供应商务必提供本附件</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p>
    <w:p>
      <w:pPr>
        <w:spacing w:line="480" w:lineRule="exac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4"/>
        <w:spacing w:before="7"/>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4"/>
        <w:spacing w:before="5"/>
        <w:rPr>
          <w:rFonts w:hint="eastAsia" w:ascii="仿宋" w:hAnsi="仿宋" w:eastAsia="仿宋" w:cs="仿宋"/>
          <w:color w:val="000000" w:themeColor="text1"/>
          <w:sz w:val="24"/>
          <w:szCs w:val="24"/>
          <w:highlight w:val="none"/>
          <w14:textFill>
            <w14:solidFill>
              <w14:schemeClr w14:val="tx1"/>
            </w14:solidFill>
          </w14:textFill>
        </w:rPr>
        <w:sectPr>
          <w:footerReference r:id="rId11" w:type="default"/>
          <w:pgSz w:w="11910" w:h="16840"/>
          <w:pgMar w:top="1340" w:right="901" w:bottom="920" w:left="900" w:header="763" w:footer="720" w:gutter="0"/>
          <w:pgNumType w:start="1"/>
          <w:cols w:space="720" w:num="1"/>
        </w:sectPr>
      </w:pPr>
      <w:r>
        <w:rPr>
          <w:rFonts w:hint="eastAsia" w:ascii="仿宋" w:hAnsi="仿宋" w:eastAsia="仿宋" w:cs="仿宋"/>
          <w:color w:val="000000" w:themeColor="text1"/>
          <w:sz w:val="24"/>
          <w:szCs w:val="24"/>
          <w:highlight w:val="none"/>
          <w:lang w:val="en-US" w:bidi="ar-SA"/>
          <w14:textFill>
            <w14:solidFill>
              <w14:schemeClr w14:val="tx1"/>
            </w14:solidFill>
          </w14:textFill>
        </w:rPr>
        <mc:AlternateContent>
          <mc:Choice Requires="wpg">
            <w:drawing>
              <wp:anchor distT="0" distB="0" distL="114300" distR="114300" simplePos="0" relativeHeight="251661312" behindDoc="1" locked="0" layoutInCell="1" allowOverlap="1">
                <wp:simplePos x="0" y="0"/>
                <wp:positionH relativeFrom="page">
                  <wp:posOffset>1400810</wp:posOffset>
                </wp:positionH>
                <wp:positionV relativeFrom="paragraph">
                  <wp:posOffset>247650</wp:posOffset>
                </wp:positionV>
                <wp:extent cx="2343150" cy="1587500"/>
                <wp:effectExtent l="0" t="635" r="0" b="12065"/>
                <wp:wrapTopAndBottom/>
                <wp:docPr id="19" name="组合 19"/>
                <wp:cNvGraphicFramePr/>
                <a:graphic xmlns:a="http://schemas.openxmlformats.org/drawingml/2006/main">
                  <a:graphicData uri="http://schemas.microsoft.com/office/word/2010/wordprocessingGroup">
                    <wpg:wgp>
                      <wpg:cNvGrpSpPr/>
                      <wpg:grpSpPr>
                        <a:xfrm>
                          <a:off x="0" y="0"/>
                          <a:ext cx="2343150" cy="1587500"/>
                          <a:chOff x="2206" y="391"/>
                          <a:chExt cx="3690" cy="2500"/>
                        </a:xfrm>
                        <a:effectLst/>
                      </wpg:grpSpPr>
                      <wps:wsp>
                        <wps:cNvPr id="2" name="任意多边形 3"/>
                        <wps:cNvSpPr/>
                        <wps:spPr>
                          <a:xfrm>
                            <a:off x="2206" y="390"/>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3" name="文本框 4"/>
                        <wps:cNvSpPr txBox="1"/>
                        <wps:spPr>
                          <a:xfrm>
                            <a:off x="2206" y="390"/>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wps:txbx>
                        <wps:bodyPr lIns="0" tIns="0" rIns="0" bIns="0" upright="1"/>
                      </wps:wsp>
                    </wpg:wgp>
                  </a:graphicData>
                </a:graphic>
              </wp:anchor>
            </w:drawing>
          </mc:Choice>
          <mc:Fallback>
            <w:pict>
              <v:group id="_x0000_s1026" o:spid="_x0000_s1026" o:spt="203" style="position:absolute;left:0pt;margin-left:110.3pt;margin-top:19.5pt;height:125pt;width:184.5pt;mso-position-horizontal-relative:page;mso-wrap-distance-bottom:0pt;mso-wrap-distance-top:0pt;z-index:-251655168;mso-width-relative:page;mso-height-relative:page;" coordorigin="2206,391" coordsize="3690,2500" o:gfxdata="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">
                <o:lock v:ext="edit" aspectratio="f"/>
                <v:shape id="任意多边形 3" o:spid="_x0000_s1026" o:spt="100" style="position:absolute;left:2206;top:390;height:2500;width:3690;" fillcolor="#000000" filled="t" stroked="f" coordsize="3690,2500" o:gfxdata="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cLtW8AAAA&#10;2gAAAA8AAAAAAAAAAQAgAAAAIgAAAGRycy9kb3ducmV2LnhtbFBLAQIUABQAAAAIAIdO4kAzLwWe&#10;OwAAADkAAAAQAAAAAAAAAAEAIAAAAAsBAABkcnMvc2hhcGV4bWwueG1sUEsFBgAAAAAGAAYAWwEA&#10;ALUD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4" o:spid="_x0000_s1026" o:spt="202" type="#_x0000_t202" style="position:absolute;left:2206;top:390;height:2500;width:369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v:textbox>
                </v:shape>
                <w10:wrap type="topAndBottom"/>
              </v:group>
            </w:pict>
          </mc:Fallback>
        </mc:AlternateContent>
      </w:r>
      <w:r>
        <w:rPr>
          <w:rFonts w:hint="eastAsia" w:ascii="仿宋" w:hAnsi="仿宋" w:eastAsia="仿宋" w:cs="仿宋"/>
          <w:color w:val="000000" w:themeColor="text1"/>
          <w:sz w:val="24"/>
          <w:szCs w:val="24"/>
          <w:highlight w:val="none"/>
          <w:lang w:val="en-US" w:bidi="ar-SA"/>
          <w14:textFill>
            <w14:solidFill>
              <w14:schemeClr w14:val="tx1"/>
            </w14:solidFill>
          </w14:textFill>
        </w:rPr>
        <mc:AlternateContent>
          <mc:Choice Requires="wpg">
            <w:drawing>
              <wp:anchor distT="0" distB="0" distL="114300" distR="114300" simplePos="0" relativeHeight="251662336" behindDoc="1" locked="0" layoutInCell="1" allowOverlap="1">
                <wp:simplePos x="0" y="0"/>
                <wp:positionH relativeFrom="page">
                  <wp:posOffset>4043045</wp:posOffset>
                </wp:positionH>
                <wp:positionV relativeFrom="paragraph">
                  <wp:posOffset>252095</wp:posOffset>
                </wp:positionV>
                <wp:extent cx="2343150" cy="1587500"/>
                <wp:effectExtent l="635" t="635" r="0" b="12065"/>
                <wp:wrapTopAndBottom/>
                <wp:docPr id="7" name="组合 7"/>
                <wp:cNvGraphicFramePr/>
                <a:graphic xmlns:a="http://schemas.openxmlformats.org/drawingml/2006/main">
                  <a:graphicData uri="http://schemas.microsoft.com/office/word/2010/wordprocessingGroup">
                    <wpg:wgp>
                      <wpg:cNvGrpSpPr/>
                      <wpg:grpSpPr>
                        <a:xfrm>
                          <a:off x="0" y="0"/>
                          <a:ext cx="2343150" cy="1587500"/>
                          <a:chOff x="6368" y="398"/>
                          <a:chExt cx="3690" cy="2500"/>
                        </a:xfrm>
                        <a:effectLst/>
                      </wpg:grpSpPr>
                      <wps:wsp>
                        <wps:cNvPr id="18" name="任意多边形 6"/>
                        <wps:cNvSpPr/>
                        <wps:spPr>
                          <a:xfrm>
                            <a:off x="6367" y="397"/>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6" name="文本框 7"/>
                        <wps:cNvSpPr txBox="1"/>
                        <wps:spPr>
                          <a:xfrm>
                            <a:off x="6367" y="397"/>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wps:txbx>
                        <wps:bodyPr lIns="0" tIns="0" rIns="0" bIns="0" upright="1"/>
                      </wps:wsp>
                    </wpg:wgp>
                  </a:graphicData>
                </a:graphic>
              </wp:anchor>
            </w:drawing>
          </mc:Choice>
          <mc:Fallback>
            <w:pict>
              <v:group id="_x0000_s1026" o:spid="_x0000_s1026" o:spt="203" style="position:absolute;left:0pt;margin-left:318.35pt;margin-top:19.85pt;height:125pt;width:184.5pt;mso-position-horizontal-relative:page;mso-wrap-distance-bottom:0pt;mso-wrap-distance-top:0pt;z-index:-251654144;mso-width-relative:page;mso-height-relative:page;" coordorigin="6368,398" coordsize="3690,2500" o:gfxdata="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">
                <o:lock v:ext="edit" aspectratio="f"/>
                <v:shape id="任意多边形 6" o:spid="_x0000_s1026" o:spt="100" style="position:absolute;left:6367;top:397;height:2500;width:3690;" fillcolor="#000000" filled="t" stroked="f" coordsize="3690,2500" o:gfxdata="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Xvd2vQAA&#10;ANsAAAAPAAAAAAAAAAEAIAAAACIAAABkcnMvZG93bnJldi54bWxQSwECFAAUAAAACACHTuJAMy8F&#10;njsAAAA5AAAAEAAAAAAAAAABACAAAAAMAQAAZHJzL3NoYXBleG1sLnhtbFBLBQYAAAAABgAGAFsB&#10;AAC2AwA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7" o:spid="_x0000_s1026" o:spt="202" type="#_x0000_t202" style="position:absolute;left:6367;top:397;height:2500;width:369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v:textbox>
                </v:shape>
                <w10:wrap type="topAndBottom"/>
              </v:group>
            </w:pict>
          </mc:Fallback>
        </mc:AlternateContent>
      </w:r>
    </w:p>
    <w:p>
      <w:pPr>
        <w:pStyle w:val="19"/>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法定代表人/企业负责人授权书</w:t>
      </w:r>
    </w:p>
    <w:p>
      <w:pPr>
        <w:pStyle w:val="19"/>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pStyle w:val="19"/>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本授权书声明：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先生/女士，现任我单位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项目招标[招标编号为：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]的投标和合同执行过程中，授权其作为我公司的全权代理人，以我方的名义处理一切与之有关的事宜。本授权书于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日签字盖章生效。</w:t>
      </w:r>
    </w:p>
    <w:p>
      <w:pPr>
        <w:pStyle w:val="19"/>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说明：1.法定代表人为企业事业单位、国家机关、社会团体的主要行政负责人。</w:t>
      </w:r>
    </w:p>
    <w:p>
      <w:pPr>
        <w:pStyle w:val="19"/>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2.内容必须填写真实、清楚、涂改无效，不得转让、买卖。</w:t>
      </w:r>
    </w:p>
    <w:p>
      <w:pPr>
        <w:pStyle w:val="19"/>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3.将此证明书提交对方作为合同附件。</w:t>
      </w:r>
    </w:p>
    <w:p>
      <w:pPr>
        <w:pStyle w:val="19"/>
        <w:spacing w:line="480" w:lineRule="exact"/>
        <w:ind w:left="870" w:leftChars="300" w:hanging="240" w:hanging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4.授权权限：全权代表本公司参与上述采购项目的投标响应，负责提供与签署确认一切文书资料，以及向贵方递交的任何补充承诺。</w:t>
      </w:r>
    </w:p>
    <w:p>
      <w:pPr>
        <w:pStyle w:val="19"/>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5.有效期限：与本公司投标文件中标注的投标有效期相同。</w:t>
      </w:r>
    </w:p>
    <w:p>
      <w:pPr>
        <w:pStyle w:val="19"/>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6.投标签字代表为法定代表人，则本表不适用。</w:t>
      </w:r>
    </w:p>
    <w:p>
      <w:pPr>
        <w:pStyle w:val="19"/>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供应商（公章）：</w:t>
      </w:r>
    </w:p>
    <w:p>
      <w:pPr>
        <w:pStyle w:val="19"/>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法定代表人（企业负责人）（签字）：</w:t>
      </w:r>
    </w:p>
    <w:p>
      <w:pPr>
        <w:pStyle w:val="3"/>
        <w:rPr>
          <w:rFonts w:hint="eastAsia" w:ascii="仿宋" w:hAnsi="仿宋" w:eastAsia="仿宋" w:cs="仿宋"/>
          <w:color w:val="000000" w:themeColor="text1"/>
          <w:sz w:val="24"/>
          <w:szCs w:val="24"/>
          <w:highlight w:val="none"/>
          <w14:textFill>
            <w14:solidFill>
              <w14:schemeClr w14:val="tx1"/>
            </w14:solidFill>
          </w14:textFill>
        </w:rPr>
      </w:pPr>
    </w:p>
    <w:p>
      <w:pPr>
        <w:tabs>
          <w:tab w:val="center" w:pos="4535"/>
        </w:tabs>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p>
    <w:p>
      <w:pPr>
        <w:tabs>
          <w:tab w:val="center" w:pos="4535"/>
        </w:tabs>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4384" behindDoc="1" locked="0" layoutInCell="1" allowOverlap="1">
                <wp:simplePos x="0" y="0"/>
                <wp:positionH relativeFrom="page">
                  <wp:posOffset>1420495</wp:posOffset>
                </wp:positionH>
                <wp:positionV relativeFrom="paragraph">
                  <wp:posOffset>157480</wp:posOffset>
                </wp:positionV>
                <wp:extent cx="2343150" cy="1587500"/>
                <wp:effectExtent l="635" t="635" r="0" b="12065"/>
                <wp:wrapTopAndBottom/>
                <wp:docPr id="21" name="组合 21"/>
                <wp:cNvGraphicFramePr/>
                <a:graphic xmlns:a="http://schemas.openxmlformats.org/drawingml/2006/main">
                  <a:graphicData uri="http://schemas.microsoft.com/office/word/2010/wordprocessingGroup">
                    <wpg:wgp>
                      <wpg:cNvGrpSpPr/>
                      <wpg:grpSpPr>
                        <a:xfrm>
                          <a:off x="0" y="0"/>
                          <a:ext cx="2343150" cy="1587500"/>
                          <a:chOff x="2238" y="249"/>
                          <a:chExt cx="3690" cy="2500"/>
                        </a:xfrm>
                        <a:effectLst/>
                      </wpg:grpSpPr>
                      <wps:wsp>
                        <wps:cNvPr id="8" name="任意多边形 9"/>
                        <wps:cNvSpPr/>
                        <wps:spPr>
                          <a:xfrm>
                            <a:off x="2237" y="248"/>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9" name="文本框 10"/>
                        <wps:cNvSpPr txBox="1"/>
                        <wps:spPr>
                          <a:xfrm>
                            <a:off x="2237" y="248"/>
                            <a:ext cx="3690" cy="2500"/>
                          </a:xfrm>
                          <a:prstGeom prst="rect">
                            <a:avLst/>
                          </a:prstGeom>
                          <a:noFill/>
                          <a:ln>
                            <a:noFill/>
                          </a:ln>
                          <a:effectLst/>
                        </wps:spPr>
                        <wps:txbx>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111.85pt;margin-top:12.4pt;height:125pt;width:184.5pt;mso-position-horizontal-relative:page;mso-wrap-distance-bottom:0pt;mso-wrap-distance-top:0pt;z-index:-251652096;mso-width-relative:page;mso-height-relative:page;" coordorigin="2238,249" coordsize="3690,2500" o:gfxdata="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">
                <o:lock v:ext="edit" aspectratio="f"/>
                <v:shape id="任意多边形 9" o:spid="_x0000_s1026" o:spt="100" style="position:absolute;left:2237;top:248;height:2500;width:3690;" fillcolor="#000000" filled="t" stroked="f" coordsize="3690,2500" o:gfxdata="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QZP7gAAADaAAAA&#10;DwAAAAAAAAABACAAAAAiAAAAZHJzL2Rvd25yZXYueG1sUEsBAhQAFAAAAAgAh07iQDMvBZ47AAAA&#10;OQAAABAAAAAAAAAAAQAgAAAABwEAAGRycy9zaGFwZXhtbC54bWxQSwUGAAAAAAYABgBbAQAAsQMA&#10;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10" o:spid="_x0000_s1026" o:spt="202" type="#_x0000_t202" style="position:absolute;left:2237;top:248;height:2500;width:369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v:textbox>
                </v:shape>
                <w10:wrap type="topAndBottom"/>
              </v:group>
            </w:pict>
          </mc:Fallback>
        </mc:AlternateContent>
      </w:r>
      <w:r>
        <w:rPr>
          <w:rFonts w:hint="eastAsia" w:ascii="仿宋" w:hAnsi="仿宋" w:eastAsia="仿宋" w:cs="仿宋"/>
          <w:b/>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5408" behindDoc="1" locked="0" layoutInCell="1" allowOverlap="1">
                <wp:simplePos x="0" y="0"/>
                <wp:positionH relativeFrom="page">
                  <wp:posOffset>4038600</wp:posOffset>
                </wp:positionH>
                <wp:positionV relativeFrom="paragraph">
                  <wp:posOffset>161925</wp:posOffset>
                </wp:positionV>
                <wp:extent cx="2343150" cy="1587500"/>
                <wp:effectExtent l="0" t="635" r="0" b="12065"/>
                <wp:wrapTopAndBottom/>
                <wp:docPr id="20" name="组合 20"/>
                <wp:cNvGraphicFramePr/>
                <a:graphic xmlns:a="http://schemas.openxmlformats.org/drawingml/2006/main">
                  <a:graphicData uri="http://schemas.microsoft.com/office/word/2010/wordprocessingGroup">
                    <wpg:wgp>
                      <wpg:cNvGrpSpPr/>
                      <wpg:grpSpPr>
                        <a:xfrm>
                          <a:off x="0" y="0"/>
                          <a:ext cx="2343150" cy="1587500"/>
                          <a:chOff x="6360" y="256"/>
                          <a:chExt cx="3690" cy="2500"/>
                        </a:xfrm>
                        <a:effectLst/>
                      </wpg:grpSpPr>
                      <wps:wsp>
                        <wps:cNvPr id="11" name="任意多边形 12"/>
                        <wps:cNvSpPr/>
                        <wps:spPr>
                          <a:xfrm>
                            <a:off x="6360" y="255"/>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12" name="文本框 13"/>
                        <wps:cNvSpPr txBox="1"/>
                        <wps:spPr>
                          <a:xfrm>
                            <a:off x="6360" y="255"/>
                            <a:ext cx="3690" cy="2500"/>
                          </a:xfrm>
                          <a:prstGeom prst="rect">
                            <a:avLst/>
                          </a:prstGeom>
                          <a:noFill/>
                          <a:ln>
                            <a:noFill/>
                          </a:ln>
                          <a:effectLst/>
                        </wps:spPr>
                        <wps:txbx>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318pt;margin-top:12.75pt;height:125pt;width:184.5pt;mso-position-horizontal-relative:page;mso-wrap-distance-bottom:0pt;mso-wrap-distance-top:0pt;z-index:-251651072;mso-width-relative:page;mso-height-relative:page;" coordorigin="6360,256" coordsize="3690,2500" o:gfxdata="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">
                <o:lock v:ext="edit" aspectratio="f"/>
                <v:shape id="任意多边形 12" o:spid="_x0000_s1026" o:spt="100" style="position:absolute;left:6360;top:255;height:2500;width:3690;" fillcolor="#000000" filled="t" stroked="f" coordsize="3690,2500" o:gfxdata="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kXuu5AAAA2wAA&#10;AA8AAAAAAAAAAQAgAAAAIgAAAGRycy9kb3ducmV2LnhtbFBLAQIUABQAAAAIAIdO4kAzLwWeOwAA&#10;ADkAAAAQAAAAAAAAAAEAIAAAAAgBAABkcnMvc2hhcGV4bWwueG1sUEsFBgAAAAAGAAYAWwEAALID&#10;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13" o:spid="_x0000_s1026" o:spt="202" type="#_x0000_t202" style="position:absolute;left:6360;top:255;height:2500;width:369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v:textbox>
                </v:shape>
                <w10:wrap type="topAndBottom"/>
              </v:group>
            </w:pict>
          </mc:Fallback>
        </mc:AlternateContent>
      </w:r>
    </w:p>
    <w:p>
      <w:pPr>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2．资格声明书格式</w:t>
      </w:r>
    </w:p>
    <w:p>
      <w:pPr>
        <w:pStyle w:val="3"/>
        <w:spacing w:line="480" w:lineRule="exact"/>
        <w:jc w:val="center"/>
        <w:rPr>
          <w:rFonts w:hint="eastAsia" w:ascii="仿宋" w:hAnsi="仿宋" w:eastAsia="仿宋" w:cs="仿宋"/>
          <w:color w:val="000000" w:themeColor="text1"/>
          <w:sz w:val="24"/>
          <w:szCs w:val="24"/>
          <w:lang w:eastAsia="zh-CN"/>
          <w14:textFill>
            <w14:solidFill>
              <w14:schemeClr w14:val="tx1"/>
            </w14:solidFill>
          </w14:textFill>
        </w:rPr>
      </w:pPr>
      <w:bookmarkStart w:id="20" w:name="_Toc42951054"/>
      <w:r>
        <w:rPr>
          <w:rFonts w:hint="eastAsia" w:ascii="仿宋" w:hAnsi="仿宋" w:eastAsia="仿宋" w:cs="仿宋"/>
          <w:color w:val="000000" w:themeColor="text1"/>
          <w:sz w:val="24"/>
          <w:szCs w:val="24"/>
          <w:lang w:eastAsia="zh-CN"/>
          <w14:textFill>
            <w14:solidFill>
              <w14:schemeClr w14:val="tx1"/>
            </w14:solidFill>
          </w14:textFill>
        </w:rPr>
        <w:t>投标人资格声明函</w:t>
      </w:r>
    </w:p>
    <w:p>
      <w:pPr>
        <w:rPr>
          <w:rFonts w:hint="eastAsia" w:ascii="仿宋" w:hAnsi="仿宋" w:eastAsia="仿宋" w:cs="仿宋"/>
          <w:color w:val="000000" w:themeColor="text1"/>
          <w:sz w:val="24"/>
          <w:szCs w:val="24"/>
          <w:lang w:eastAsia="zh-CN"/>
          <w14:textFill>
            <w14:solidFill>
              <w14:schemeClr w14:val="tx1"/>
            </w14:solidFill>
          </w14:textFill>
        </w:rPr>
      </w:pPr>
    </w:p>
    <w:p>
      <w:pPr>
        <w:pStyle w:val="19"/>
        <w:spacing w:line="360" w:lineRule="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致:新疆晓君招标有限公司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关于采购人</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日发布</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lang w:eastAsia="zh-CN"/>
          <w14:textFill>
            <w14:solidFill>
              <w14:schemeClr w14:val="tx1"/>
            </w14:solidFill>
          </w14:textFill>
        </w:rPr>
        <w:t>（项目编号：</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的采购公告，本公司（企业）愿意参加投标，并声明：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一、本公司（企业）具备《中华人民共和国政府采购法》第二十二条规定的条件。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二、本公司在参加政府采购活动前3年内在经营活动中没有重大违法记录。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三</w:t>
      </w:r>
      <w:r>
        <w:rPr>
          <w:rFonts w:hint="eastAsia" w:ascii="仿宋" w:hAnsi="仿宋" w:eastAsia="仿宋" w:cs="仿宋"/>
          <w:color w:val="000000" w:themeColor="text1"/>
          <w:sz w:val="24"/>
          <w:szCs w:val="24"/>
          <w:lang w:eastAsia="zh-CN"/>
          <w14:textFill>
            <w14:solidFill>
              <w14:schemeClr w14:val="tx1"/>
            </w14:solidFill>
          </w14:textFill>
        </w:rPr>
        <w:t>、根据《中华人民共和国政府采购法实施条例》的规定，本公司（企业）如为采购项目提供整体设计、规范编制或者项目管理、监理、检测等服务的供应商，不再参加该采购项目的其他采购活动。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四</w:t>
      </w:r>
      <w:r>
        <w:rPr>
          <w:rFonts w:hint="eastAsia" w:ascii="仿宋" w:hAnsi="仿宋" w:eastAsia="仿宋" w:cs="仿宋"/>
          <w:color w:val="000000" w:themeColor="text1"/>
          <w:sz w:val="24"/>
          <w:szCs w:val="24"/>
          <w:lang w:eastAsia="zh-CN"/>
          <w14:textFill>
            <w14:solidFill>
              <w14:schemeClr w14:val="tx1"/>
            </w14:solidFill>
          </w14:textFill>
        </w:rPr>
        <w:t>、我方承诺单位负责人为同一人或者存在直接控股、管理关系的不同供应商，不得同时参加本项目的投标。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五、</w:t>
      </w:r>
      <w:r>
        <w:rPr>
          <w:rFonts w:hint="eastAsia" w:ascii="仿宋" w:hAnsi="仿宋" w:eastAsia="仿宋" w:cs="仿宋"/>
          <w:color w:val="000000" w:themeColor="text1"/>
          <w:sz w:val="24"/>
          <w:szCs w:val="24"/>
          <w:lang w:eastAsia="zh-CN"/>
          <w14:textFill>
            <w14:solidFill>
              <w14:schemeClr w14:val="tx1"/>
            </w14:solidFill>
          </w14:textFill>
        </w:rPr>
        <w:t>我方作为</w:t>
      </w:r>
      <w:r>
        <w:rPr>
          <w:rFonts w:hint="eastAsia" w:ascii="仿宋" w:hAnsi="仿宋" w:eastAsia="仿宋" w:cs="仿宋"/>
          <w:color w:val="000000" w:themeColor="text1"/>
          <w:sz w:val="24"/>
          <w:szCs w:val="24"/>
          <w:u w:val="single"/>
          <w:lang w:eastAsia="zh-CN"/>
          <w14:textFill>
            <w14:solidFill>
              <w14:schemeClr w14:val="tx1"/>
            </w14:solidFill>
          </w14:textFill>
        </w:rPr>
        <w:t xml:space="preserve">  （供应商）   </w:t>
      </w:r>
      <w:r>
        <w:rPr>
          <w:rFonts w:hint="eastAsia" w:ascii="仿宋" w:hAnsi="仿宋" w:eastAsia="仿宋" w:cs="仿宋"/>
          <w:color w:val="000000" w:themeColor="text1"/>
          <w:sz w:val="24"/>
          <w:szCs w:val="24"/>
          <w:lang w:eastAsia="zh-CN"/>
          <w14:textFill>
            <w14:solidFill>
              <w14:schemeClr w14:val="tx1"/>
            </w14:solidFill>
          </w14:textFill>
        </w:rPr>
        <w:t>是在法律、财务和运作上独立于采购人、采购代理机构的投标人，提供“用户需求书”中全部的相关服务，提交所有文件和全部说明是真实的和正确的。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六、</w:t>
      </w:r>
      <w:r>
        <w:rPr>
          <w:rFonts w:hint="eastAsia" w:ascii="仿宋" w:hAnsi="仿宋" w:eastAsia="仿宋" w:cs="仿宋"/>
          <w:color w:val="000000" w:themeColor="text1"/>
          <w:sz w:val="24"/>
          <w:szCs w:val="24"/>
          <w:lang w:eastAsia="zh-CN"/>
          <w14:textFill>
            <w14:solidFill>
              <w14:schemeClr w14:val="tx1"/>
            </w14:solidFill>
          </w14:textFill>
        </w:rPr>
        <w:t>本公司（企业）承诺在本次招标采购互动中，如有违法、法规，弄虚作假行为，所造成的损失，不良后果及法律责任，一律由我公司（企业）承担。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特此声明！</w:t>
      </w:r>
    </w:p>
    <w:p>
      <w:p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备注：1、本声明函必须提供且内容不得擅自删改，否则视为无效投标。</w:t>
      </w:r>
    </w:p>
    <w:p>
      <w:pPr>
        <w:spacing w:line="360" w:lineRule="auto"/>
        <w:ind w:firstLine="720" w:firstLineChars="3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2、本声明函如有虚假或与事实不符的，作无效投标处理。</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p>
    <w:p>
      <w:pPr>
        <w:spacing w:line="360" w:lineRule="auto"/>
        <w:ind w:left="0" w:leftChars="0" w:firstLine="5280" w:firstLineChars="2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投标人（公章）：</w:t>
      </w:r>
    </w:p>
    <w:p>
      <w:pPr>
        <w:spacing w:line="360" w:lineRule="auto"/>
        <w:ind w:left="0" w:leftChars="0" w:firstLine="5280" w:firstLineChars="2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投标人地址：</w:t>
      </w:r>
    </w:p>
    <w:p>
      <w:pPr>
        <w:spacing w:line="480" w:lineRule="exact"/>
        <w:ind w:left="0" w:leftChars="0" w:firstLine="5280" w:firstLineChars="2200"/>
        <w:rPr>
          <w:rFonts w:hint="eastAsia" w:ascii="仿宋" w:hAnsi="仿宋" w:eastAsia="仿宋" w:cs="仿宋"/>
          <w:color w:val="000000" w:themeColor="text1"/>
          <w:sz w:val="24"/>
          <w:szCs w:val="24"/>
          <w14:textFill>
            <w14:solidFill>
              <w14:schemeClr w14:val="tx1"/>
            </w14:solidFill>
          </w14:textFill>
        </w:rPr>
        <w:sectPr>
          <w:headerReference r:id="rId12" w:type="default"/>
          <w:footerReference r:id="rId13" w:type="default"/>
          <w:pgSz w:w="11906" w:h="16838"/>
          <w:pgMar w:top="1440" w:right="1379" w:bottom="1440" w:left="1400" w:header="851" w:footer="992" w:gutter="0"/>
          <w:pgNumType w:fmt="decimal"/>
          <w:cols w:space="720" w:num="1"/>
          <w:docGrid w:linePitch="312" w:charSpace="0"/>
        </w:sectPr>
      </w:pPr>
      <w:r>
        <w:rPr>
          <w:rFonts w:hint="eastAsia" w:ascii="仿宋" w:hAnsi="仿宋" w:eastAsia="仿宋" w:cs="仿宋"/>
          <w:color w:val="000000" w:themeColor="text1"/>
          <w:sz w:val="24"/>
          <w:szCs w:val="24"/>
          <w14:textFill>
            <w14:solidFill>
              <w14:schemeClr w14:val="tx1"/>
            </w14:solidFill>
          </w14:textFill>
        </w:rPr>
        <w:t>日    期：</w:t>
      </w:r>
    </w:p>
    <w:p>
      <w:pPr>
        <w:spacing w:line="480" w:lineRule="exact"/>
        <w:rPr>
          <w:rFonts w:hint="eastAsia" w:ascii="仿宋" w:hAnsi="仿宋" w:eastAsia="仿宋" w:cs="仿宋"/>
          <w:b/>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附：（注：本声明函对中小企业参与政府采购活动时适用）</w:t>
      </w:r>
    </w:p>
    <w:p>
      <w:pPr>
        <w:spacing w:line="588" w:lineRule="exact"/>
        <w:rPr>
          <w:rFonts w:hint="eastAsia" w:ascii="仿宋" w:hAnsi="仿宋" w:eastAsia="仿宋" w:cs="仿宋"/>
          <w:color w:val="000000" w:themeColor="text1"/>
          <w:spacing w:val="6"/>
          <w:sz w:val="24"/>
          <w:szCs w:val="24"/>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before="150" w:after="150" w:line="360" w:lineRule="auto"/>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中小企业声明函（承接本项目服务为中小企业时提交本函，所属行业应符合采购文件中明确的本项目所属行业）</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b/>
          <w:color w:val="000000" w:themeColor="text1"/>
          <w:kern w:val="0"/>
          <w:sz w:val="36"/>
          <w:szCs w:val="36"/>
          <w14:textFill>
            <w14:solidFill>
              <w14:schemeClr w14:val="tx1"/>
            </w14:solidFill>
          </w14:textFill>
        </w:rPr>
        <w:t>中小企业声明函（服务</w:t>
      </w:r>
      <w:r>
        <w:rPr>
          <w:rFonts w:hint="eastAsia" w:ascii="仿宋" w:hAnsi="仿宋" w:eastAsia="仿宋" w:cs="仿宋"/>
          <w:b/>
          <w:color w:val="000000" w:themeColor="text1"/>
          <w:kern w:val="0"/>
          <w:sz w:val="36"/>
          <w:szCs w:val="36"/>
          <w:lang w:val="en-US" w:eastAsia="zh-CN"/>
          <w14:textFill>
            <w14:solidFill>
              <w14:schemeClr w14:val="tx1"/>
            </w14:solidFill>
          </w14:textFill>
        </w:rPr>
        <w:t>/工程</w:t>
      </w:r>
      <w:r>
        <w:rPr>
          <w:rFonts w:hint="eastAsia" w:ascii="仿宋" w:hAnsi="仿宋" w:eastAsia="仿宋" w:cs="仿宋"/>
          <w:b/>
          <w:color w:val="000000" w:themeColor="text1"/>
          <w:kern w:val="0"/>
          <w:sz w:val="36"/>
          <w:szCs w:val="36"/>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仿宋" w:hAnsi="仿宋" w:eastAsia="仿宋" w:cs="仿宋"/>
          <w:i/>
          <w:color w:val="000000" w:themeColor="text1"/>
          <w:kern w:val="0"/>
          <w:sz w:val="24"/>
          <w:szCs w:val="24"/>
          <w:u w:val="single"/>
          <w14:textFill>
            <w14:solidFill>
              <w14:schemeClr w14:val="tx1"/>
            </w14:solidFill>
          </w14:textFill>
        </w:rPr>
        <w:t>（单位名称）</w:t>
      </w:r>
      <w:r>
        <w:rPr>
          <w:rFonts w:hint="eastAsia" w:ascii="仿宋" w:hAnsi="仿宋" w:eastAsia="仿宋" w:cs="仿宋"/>
          <w:color w:val="000000" w:themeColor="text1"/>
          <w:kern w:val="0"/>
          <w:sz w:val="24"/>
          <w:szCs w:val="24"/>
          <w14:textFill>
            <w14:solidFill>
              <w14:schemeClr w14:val="tx1"/>
            </w14:solidFill>
          </w14:textFill>
        </w:rPr>
        <w:t>的</w:t>
      </w:r>
      <w:r>
        <w:rPr>
          <w:rFonts w:hint="eastAsia" w:ascii="仿宋" w:hAnsi="仿宋" w:eastAsia="仿宋" w:cs="仿宋"/>
          <w:i/>
          <w:color w:val="000000" w:themeColor="text1"/>
          <w:kern w:val="0"/>
          <w:sz w:val="24"/>
          <w:szCs w:val="24"/>
          <w:u w:val="single"/>
          <w14:textFill>
            <w14:solidFill>
              <w14:schemeClr w14:val="tx1"/>
            </w14:solidFill>
          </w14:textFill>
        </w:rPr>
        <w:t>（项目名称）</w:t>
      </w:r>
      <w:r>
        <w:rPr>
          <w:rFonts w:hint="eastAsia" w:ascii="仿宋" w:hAnsi="仿宋" w:eastAsia="仿宋" w:cs="仿宋"/>
          <w:color w:val="000000" w:themeColor="text1"/>
          <w:kern w:val="0"/>
          <w:sz w:val="24"/>
          <w:szCs w:val="24"/>
          <w14:textFill>
            <w14:solidFill>
              <w14:schemeClr w14:val="tx1"/>
            </w14:solidFill>
          </w14:textFill>
        </w:rPr>
        <w:t xml:space="preserve">采购活动，服务全部由符合政策要求的中小企业承接。相关企业（含联合体中的中小企业、签订分包意向协议的中小企业）的具体情况如下：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r>
        <w:rPr>
          <w:rFonts w:hint="eastAsia" w:ascii="仿宋" w:hAnsi="仿宋" w:eastAsia="仿宋" w:cs="仿宋"/>
          <w:i/>
          <w:color w:val="000000" w:themeColor="text1"/>
          <w:kern w:val="0"/>
          <w:sz w:val="24"/>
          <w:szCs w:val="24"/>
          <w:u w:val="single"/>
          <w14:textFill>
            <w14:solidFill>
              <w14:schemeClr w14:val="tx1"/>
            </w14:solidFill>
          </w14:textFill>
        </w:rPr>
        <w:t>（标的名称）</w:t>
      </w:r>
      <w:r>
        <w:rPr>
          <w:rFonts w:hint="eastAsia" w:ascii="仿宋" w:hAnsi="仿宋" w:eastAsia="仿宋" w:cs="仿宋"/>
          <w:color w:val="000000" w:themeColor="text1"/>
          <w:kern w:val="0"/>
          <w:sz w:val="24"/>
          <w:szCs w:val="24"/>
          <w14:textFill>
            <w14:solidFill>
              <w14:schemeClr w14:val="tx1"/>
            </w14:solidFill>
          </w14:textFill>
        </w:rPr>
        <w:t>，属于</w:t>
      </w:r>
      <w:r>
        <w:rPr>
          <w:rFonts w:hint="eastAsia" w:ascii="仿宋" w:hAnsi="仿宋" w:eastAsia="仿宋" w:cs="仿宋"/>
          <w:i/>
          <w:color w:val="000000" w:themeColor="text1"/>
          <w:kern w:val="0"/>
          <w:sz w:val="24"/>
          <w:szCs w:val="24"/>
          <w:u w:val="single"/>
          <w14:textFill>
            <w14:solidFill>
              <w14:schemeClr w14:val="tx1"/>
            </w14:solidFill>
          </w14:textFill>
        </w:rPr>
        <w:t>（采购文件中明确的所属行业）行业</w:t>
      </w:r>
      <w:r>
        <w:rPr>
          <w:rFonts w:hint="eastAsia" w:ascii="仿宋" w:hAnsi="仿宋" w:eastAsia="仿宋" w:cs="仿宋"/>
          <w:color w:val="000000" w:themeColor="text1"/>
          <w:kern w:val="0"/>
          <w:sz w:val="24"/>
          <w:szCs w:val="24"/>
          <w14:textFill>
            <w14:solidFill>
              <w14:schemeClr w14:val="tx1"/>
            </w14:solidFill>
          </w14:textFill>
        </w:rPr>
        <w:t>；承建（承接）企业为</w:t>
      </w:r>
      <w:r>
        <w:rPr>
          <w:rFonts w:hint="eastAsia" w:ascii="仿宋" w:hAnsi="仿宋" w:eastAsia="仿宋" w:cs="仿宋"/>
          <w:i/>
          <w:color w:val="000000" w:themeColor="text1"/>
          <w:kern w:val="0"/>
          <w:sz w:val="24"/>
          <w:szCs w:val="24"/>
          <w:u w:val="single"/>
          <w14:textFill>
            <w14:solidFill>
              <w14:schemeClr w14:val="tx1"/>
            </w14:solidFill>
          </w14:textFill>
        </w:rPr>
        <w:t>（企业名称）</w:t>
      </w:r>
      <w:r>
        <w:rPr>
          <w:rFonts w:hint="eastAsia" w:ascii="仿宋" w:hAnsi="仿宋" w:eastAsia="仿宋" w:cs="仿宋"/>
          <w:color w:val="000000" w:themeColor="text1"/>
          <w:kern w:val="0"/>
          <w:sz w:val="24"/>
          <w:szCs w:val="24"/>
          <w14:textFill>
            <w14:solidFill>
              <w14:schemeClr w14:val="tx1"/>
            </w14:solidFill>
          </w14:textFill>
        </w:rPr>
        <w:t>，从业人员</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人，营业收入为</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 xml:space="preserve"> 万元，资产总额为</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万元，属于</w:t>
      </w:r>
      <w:r>
        <w:rPr>
          <w:rFonts w:hint="eastAsia" w:ascii="仿宋" w:hAnsi="仿宋" w:eastAsia="仿宋" w:cs="仿宋"/>
          <w:i/>
          <w:color w:val="000000" w:themeColor="text1"/>
          <w:kern w:val="0"/>
          <w:sz w:val="24"/>
          <w:szCs w:val="24"/>
          <w:u w:val="single"/>
          <w14:textFill>
            <w14:solidFill>
              <w14:schemeClr w14:val="tx1"/>
            </w14:solidFill>
          </w14:textFill>
        </w:rPr>
        <w:t>（中型企业、小型企业、微型企业）</w:t>
      </w:r>
      <w:r>
        <w:rPr>
          <w:rFonts w:hint="eastAsia" w:ascii="仿宋" w:hAnsi="仿宋" w:eastAsia="仿宋" w:cs="仿宋"/>
          <w:color w:val="000000" w:themeColor="text1"/>
          <w:kern w:val="0"/>
          <w:sz w:val="24"/>
          <w:szCs w:val="24"/>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w:t>
      </w:r>
      <w:r>
        <w:rPr>
          <w:rFonts w:hint="eastAsia" w:ascii="仿宋" w:hAnsi="仿宋" w:eastAsia="仿宋" w:cs="仿宋"/>
          <w:i/>
          <w:color w:val="000000" w:themeColor="text1"/>
          <w:kern w:val="0"/>
          <w:sz w:val="24"/>
          <w:szCs w:val="24"/>
          <w:u w:val="single"/>
          <w14:textFill>
            <w14:solidFill>
              <w14:schemeClr w14:val="tx1"/>
            </w14:solidFill>
          </w14:textFill>
        </w:rPr>
        <w:t>（标的名称）</w:t>
      </w:r>
      <w:r>
        <w:rPr>
          <w:rFonts w:hint="eastAsia" w:ascii="仿宋" w:hAnsi="仿宋" w:eastAsia="仿宋" w:cs="仿宋"/>
          <w:color w:val="000000" w:themeColor="text1"/>
          <w:kern w:val="0"/>
          <w:sz w:val="24"/>
          <w:szCs w:val="24"/>
          <w14:textFill>
            <w14:solidFill>
              <w14:schemeClr w14:val="tx1"/>
            </w14:solidFill>
          </w14:textFill>
        </w:rPr>
        <w:t>，属于</w:t>
      </w:r>
      <w:r>
        <w:rPr>
          <w:rFonts w:hint="eastAsia" w:ascii="仿宋" w:hAnsi="仿宋" w:eastAsia="仿宋" w:cs="仿宋"/>
          <w:i/>
          <w:color w:val="000000" w:themeColor="text1"/>
          <w:kern w:val="0"/>
          <w:sz w:val="24"/>
          <w:szCs w:val="24"/>
          <w:u w:val="single"/>
          <w14:textFill>
            <w14:solidFill>
              <w14:schemeClr w14:val="tx1"/>
            </w14:solidFill>
          </w14:textFill>
        </w:rPr>
        <w:t>（采购文件中明确的所属行业）行业</w:t>
      </w:r>
      <w:r>
        <w:rPr>
          <w:rFonts w:hint="eastAsia" w:ascii="仿宋" w:hAnsi="仿宋" w:eastAsia="仿宋" w:cs="仿宋"/>
          <w:color w:val="000000" w:themeColor="text1"/>
          <w:kern w:val="0"/>
          <w:sz w:val="24"/>
          <w:szCs w:val="24"/>
          <w14:textFill>
            <w14:solidFill>
              <w14:schemeClr w14:val="tx1"/>
            </w14:solidFill>
          </w14:textFill>
        </w:rPr>
        <w:t>；承建（承接）企业为</w:t>
      </w:r>
      <w:r>
        <w:rPr>
          <w:rFonts w:hint="eastAsia" w:ascii="仿宋" w:hAnsi="仿宋" w:eastAsia="仿宋" w:cs="仿宋"/>
          <w:i/>
          <w:color w:val="000000" w:themeColor="text1"/>
          <w:kern w:val="0"/>
          <w:sz w:val="24"/>
          <w:szCs w:val="24"/>
          <w:u w:val="single"/>
          <w14:textFill>
            <w14:solidFill>
              <w14:schemeClr w14:val="tx1"/>
            </w14:solidFill>
          </w14:textFill>
        </w:rPr>
        <w:t>（企业名称）</w:t>
      </w:r>
      <w:r>
        <w:rPr>
          <w:rFonts w:hint="eastAsia" w:ascii="仿宋" w:hAnsi="仿宋" w:eastAsia="仿宋" w:cs="仿宋"/>
          <w:color w:val="000000" w:themeColor="text1"/>
          <w:kern w:val="0"/>
          <w:sz w:val="24"/>
          <w:szCs w:val="24"/>
          <w14:textFill>
            <w14:solidFill>
              <w14:schemeClr w14:val="tx1"/>
            </w14:solidFill>
          </w14:textFill>
        </w:rPr>
        <w:t>，从业人员</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人，营业收入为</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万元，资产总额为</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万元，属于</w:t>
      </w:r>
      <w:r>
        <w:rPr>
          <w:rFonts w:hint="eastAsia" w:ascii="仿宋" w:hAnsi="仿宋" w:eastAsia="仿宋" w:cs="仿宋"/>
          <w:i/>
          <w:color w:val="000000" w:themeColor="text1"/>
          <w:kern w:val="0"/>
          <w:sz w:val="24"/>
          <w:szCs w:val="24"/>
          <w:u w:val="single"/>
          <w14:textFill>
            <w14:solidFill>
              <w14:schemeClr w14:val="tx1"/>
            </w14:solidFill>
          </w14:textFill>
        </w:rPr>
        <w:t>（中型企业、小型企业、微型企业）</w:t>
      </w:r>
      <w:r>
        <w:rPr>
          <w:rFonts w:hint="eastAsia" w:ascii="仿宋" w:hAnsi="仿宋" w:eastAsia="仿宋" w:cs="仿宋"/>
          <w:color w:val="000000" w:themeColor="text1"/>
          <w:kern w:val="0"/>
          <w:sz w:val="24"/>
          <w:szCs w:val="24"/>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本企业对上述声明内容的真实性负责。如有虚假，将依法承担相应责任。 </w:t>
      </w:r>
    </w:p>
    <w:p>
      <w:pPr>
        <w:keepNext w:val="0"/>
        <w:keepLines w:val="0"/>
        <w:pageBreakBefore w:val="0"/>
        <w:widowControl/>
        <w:kinsoku/>
        <w:wordWrap/>
        <w:overflowPunct/>
        <w:topLinePunct w:val="0"/>
        <w:autoSpaceDE/>
        <w:autoSpaceDN/>
        <w:bidi w:val="0"/>
        <w:adjustRightInd/>
        <w:snapToGrid/>
        <w:spacing w:line="360" w:lineRule="auto"/>
        <w:ind w:firstLine="3360" w:firstLineChars="1400"/>
        <w:jc w:val="left"/>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企业名称（盖章）： </w:t>
      </w:r>
      <w:r>
        <w:rPr>
          <w:rFonts w:hint="eastAsia" w:ascii="仿宋" w:hAnsi="仿宋" w:eastAsia="仿宋" w:cs="仿宋"/>
          <w:color w:val="000000" w:themeColor="text1"/>
          <w:kern w:val="0"/>
          <w:sz w:val="24"/>
          <w:szCs w:val="24"/>
          <w:u w:val="singl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3360" w:firstLineChars="1400"/>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日 期：</w:t>
      </w:r>
      <w:r>
        <w:rPr>
          <w:rFonts w:hint="eastAsia" w:ascii="仿宋" w:hAnsi="仿宋" w:eastAsia="仿宋" w:cs="仿宋"/>
          <w:color w:val="000000" w:themeColor="text1"/>
          <w:kern w:val="0"/>
          <w:sz w:val="24"/>
          <w:szCs w:val="24"/>
          <w:u w:val="single"/>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注</w:t>
      </w:r>
      <w:r>
        <w:rPr>
          <w:rFonts w:hint="eastAsia" w:ascii="仿宋" w:hAnsi="仿宋" w:eastAsia="仿宋" w:cs="仿宋"/>
          <w:color w:val="000000" w:themeColor="text1"/>
          <w:kern w:val="0"/>
          <w:sz w:val="24"/>
          <w:szCs w:val="24"/>
          <w14:textFill>
            <w14:solidFill>
              <w14:schemeClr w14:val="tx1"/>
            </w14:solidFill>
          </w14:textFill>
        </w:rPr>
        <w:t>：从业人员、营业收入、资产总额填报上一年度数据，无上一年度数据的新成立企业可不填报。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注</w:t>
      </w:r>
      <w:r>
        <w:rPr>
          <w:rFonts w:hint="eastAsia" w:ascii="仿宋" w:hAnsi="仿宋" w:eastAsia="仿宋" w:cs="仿宋"/>
          <w:color w:val="000000" w:themeColor="text1"/>
          <w:kern w:val="0"/>
          <w:sz w:val="24"/>
          <w:szCs w:val="24"/>
          <w14:textFill>
            <w14:solidFill>
              <w14:schemeClr w14:val="tx1"/>
            </w14:solidFill>
          </w14:textFill>
        </w:rPr>
        <w:t>：投标人应当自行核实是否属于小微企业，并认真填写声明函，若有虚假将追究其责任。</w:t>
      </w:r>
    </w:p>
    <w:p>
      <w:pPr>
        <w:tabs>
          <w:tab w:val="left" w:pos="4860"/>
        </w:tabs>
        <w:spacing w:line="588" w:lineRule="exact"/>
        <w:ind w:right="1560"/>
        <w:rPr>
          <w:rFonts w:hint="eastAsia" w:ascii="仿宋" w:hAnsi="仿宋" w:eastAsia="仿宋" w:cs="仿宋"/>
          <w:b/>
          <w:color w:val="000000" w:themeColor="text1"/>
          <w:sz w:val="24"/>
          <w:szCs w:val="24"/>
          <w:highlight w:val="none"/>
          <w14:textFill>
            <w14:solidFill>
              <w14:schemeClr w14:val="tx1"/>
            </w14:solidFill>
          </w14:textFill>
        </w:rPr>
      </w:pPr>
    </w:p>
    <w:p>
      <w:pPr>
        <w:pStyle w:val="14"/>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p>
    <w:p>
      <w:pPr>
        <w:pStyle w:val="14"/>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tabs>
          <w:tab w:val="left" w:pos="4860"/>
        </w:tabs>
        <w:spacing w:line="588" w:lineRule="exact"/>
        <w:ind w:right="156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3资格证明文件格式</w:t>
      </w:r>
      <w:bookmarkEnd w:id="20"/>
    </w:p>
    <w:p>
      <w:pPr>
        <w:widowControl w:val="0"/>
        <w:autoSpaceDE w:val="0"/>
        <w:autoSpaceDN w:val="0"/>
        <w:spacing w:line="360" w:lineRule="auto"/>
        <w:ind w:left="216" w:right="420" w:rightChars="200" w:hanging="247" w:hangingChars="103"/>
        <w:outlineLvl w:val="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[说明]供应商应按照磋商文件的要求做出全面的响应。其内容应包括但不限于以下各项：</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1.满足《中华人民共和国政府采购法》第二十二条规定；</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1）提供在中华人民共和国境内注册的法人或其他组织的营业执照或事业单位法人证书或社会团体法人登记证书复印件，如投标人为自然人的提供自然人身份证明复印件；如国家另有规定的，则从其规定。</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2）提供 2019 年度或 2020年度经审计的《财务审计报告书》复印件，或银行出具的资信证明材料复印件；</w:t>
      </w:r>
    </w:p>
    <w:p>
      <w:pPr>
        <w:pStyle w:val="30"/>
        <w:spacing w:before="50" w:beforeAutospacing="0" w:after="50" w:afterAutospacing="0" w:line="360" w:lineRule="auto"/>
        <w:ind w:firstLine="42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lang w:eastAsia="zh-CN"/>
          <w14:textFill>
            <w14:solidFill>
              <w14:schemeClr w14:val="tx1"/>
            </w14:solidFill>
          </w14:textFill>
        </w:rPr>
        <w:t>提供近段时间内（近 3 个月或以上）的缴纳税收的完税证明或依法税务申报资料；</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4）提供近段时间内（近 3 个月或以上）的缴纳社保证明材料加盖公章。如依法不需要缴纳社会保障资金的，应提供相应文件证明；</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5）提供履行合同所必需的设备和专业技术能力的书面声明；（提供《投标人资格声明函》）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6）提供参加政府采购活动前3年内在经营活动中没有重大违法记录的书面声明；（提供《投标人资格声明函》）。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2.落实政府采购政策需满足的资格要求：</w:t>
      </w:r>
    </w:p>
    <w:p>
      <w:pPr>
        <w:pStyle w:val="30"/>
        <w:spacing w:before="50" w:beforeAutospacing="0" w:after="50" w:afterAutospacing="0"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需要落实的政策要求：《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 </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3.本项目的特定资格要求：</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）为采购项目提供整体设计、规范编制或者项目管理、监理、检测等服务的供应商，不得再参加该采购项目同一合同项下的其他采购活动。（提供《投标人资格声明函》）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）单位负责人为同一人或者存在直接控股、管理关系的不同供应商，不得参加同一合同项下的政府采购活动。（提供《投标人资格声明函》）</w:t>
      </w:r>
    </w:p>
    <w:p>
      <w:pPr>
        <w:pStyle w:val="30"/>
        <w:spacing w:before="50" w:beforeAutospacing="0" w:after="50" w:afterAutospacing="0"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p>
      <w:pPr>
        <w:pStyle w:val="30"/>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lang w:eastAsia="zh-CN"/>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pStyle w:val="17"/>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w:t>
      </w:r>
      <w:bookmarkStart w:id="21" w:name="_Hlt10549792"/>
      <w:bookmarkEnd w:id="21"/>
      <w:r>
        <w:rPr>
          <w:rFonts w:hint="eastAsia" w:ascii="仿宋" w:hAnsi="仿宋" w:eastAsia="仿宋" w:cs="仿宋"/>
          <w:b/>
          <w:bCs/>
          <w:color w:val="000000" w:themeColor="text1"/>
          <w:sz w:val="24"/>
          <w:szCs w:val="24"/>
          <w:highlight w:val="none"/>
          <w14:textFill>
            <w14:solidFill>
              <w14:schemeClr w14:val="tx1"/>
            </w14:solidFill>
          </w14:textFill>
        </w:rPr>
        <w:t>4. 退保证金说明格式</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退保证金说明</w:t>
      </w:r>
    </w:p>
    <w:p>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致：新疆晓君招标有限公司</w:t>
      </w:r>
    </w:p>
    <w:p>
      <w:pPr>
        <w:spacing w:line="480" w:lineRule="exact"/>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投标[采购编号为：     ]所提交的保证金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元，请</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退还时划到以下帐户：</w:t>
      </w:r>
    </w:p>
    <w:tbl>
      <w:tblPr>
        <w:tblStyle w:val="33"/>
        <w:tblW w:w="9195" w:type="dxa"/>
        <w:tblInd w:w="93" w:type="dxa"/>
        <w:tblLayout w:type="fixed"/>
        <w:tblCellMar>
          <w:top w:w="0" w:type="dxa"/>
          <w:left w:w="108" w:type="dxa"/>
          <w:bottom w:w="0" w:type="dxa"/>
          <w:right w:w="108" w:type="dxa"/>
        </w:tblCellMar>
      </w:tblPr>
      <w:tblGrid>
        <w:gridCol w:w="540"/>
        <w:gridCol w:w="1635"/>
        <w:gridCol w:w="3420"/>
        <w:gridCol w:w="1080"/>
        <w:gridCol w:w="2520"/>
      </w:tblGrid>
      <w:tr>
        <w:tblPrEx>
          <w:tblCellMar>
            <w:top w:w="0" w:type="dxa"/>
            <w:left w:w="108" w:type="dxa"/>
            <w:bottom w:w="0" w:type="dxa"/>
            <w:right w:w="108" w:type="dxa"/>
          </w:tblCellMar>
        </w:tblPrEx>
        <w:trPr>
          <w:cantSplit/>
          <w:trHeight w:val="529" w:hRule="atLeast"/>
        </w:trPr>
        <w:tc>
          <w:tcPr>
            <w:tcW w:w="54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收款单位</w:t>
            </w:r>
          </w:p>
        </w:tc>
        <w:tc>
          <w:tcPr>
            <w:tcW w:w="1635"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收款单位名称 </w:t>
            </w:r>
          </w:p>
        </w:tc>
        <w:tc>
          <w:tcPr>
            <w:tcW w:w="7020" w:type="dxa"/>
            <w:gridSpan w:val="3"/>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49" w:hRule="atLeast"/>
        </w:trPr>
        <w:tc>
          <w:tcPr>
            <w:tcW w:w="540" w:type="dxa"/>
            <w:vMerge w:val="continue"/>
            <w:tcBorders>
              <w:top w:val="nil"/>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收款单位地址 </w:t>
            </w:r>
          </w:p>
        </w:tc>
        <w:tc>
          <w:tcPr>
            <w:tcW w:w="7020" w:type="dxa"/>
            <w:gridSpan w:val="3"/>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39" w:hRule="atLeast"/>
        </w:trPr>
        <w:tc>
          <w:tcPr>
            <w:tcW w:w="540"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 户 银 行</w:t>
            </w:r>
          </w:p>
        </w:tc>
        <w:tc>
          <w:tcPr>
            <w:tcW w:w="34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 系 人</w:t>
            </w:r>
          </w:p>
        </w:tc>
        <w:tc>
          <w:tcPr>
            <w:tcW w:w="2520"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90" w:hRule="atLeast"/>
        </w:trPr>
        <w:tc>
          <w:tcPr>
            <w:tcW w:w="540" w:type="dxa"/>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帐       号</w:t>
            </w:r>
          </w:p>
        </w:tc>
        <w:tc>
          <w:tcPr>
            <w:tcW w:w="34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p>
        </w:tc>
        <w:tc>
          <w:tcPr>
            <w:tcW w:w="25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bl>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pPr>
        <w:pStyle w:val="19"/>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9"/>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以下内容由采购代理机构填写，供应商须保留此表 ）                               </w:t>
      </w:r>
    </w:p>
    <w:tbl>
      <w:tblPr>
        <w:tblStyle w:val="33"/>
        <w:tblW w:w="8588" w:type="dxa"/>
        <w:tblInd w:w="93" w:type="dxa"/>
        <w:tblLayout w:type="fixed"/>
        <w:tblCellMar>
          <w:top w:w="0" w:type="dxa"/>
          <w:left w:w="108" w:type="dxa"/>
          <w:bottom w:w="0" w:type="dxa"/>
          <w:right w:w="108" w:type="dxa"/>
        </w:tblCellMar>
      </w:tblPr>
      <w:tblGrid>
        <w:gridCol w:w="8588"/>
      </w:tblGrid>
      <w:tr>
        <w:tblPrEx>
          <w:tblCellMar>
            <w:top w:w="0" w:type="dxa"/>
            <w:left w:w="108" w:type="dxa"/>
            <w:bottom w:w="0" w:type="dxa"/>
            <w:right w:w="108" w:type="dxa"/>
          </w:tblCellMar>
        </w:tblPrEx>
        <w:trPr>
          <w:trHeight w:val="855" w:hRule="atLeast"/>
        </w:trPr>
        <w:tc>
          <w:tcPr>
            <w:tcW w:w="8588" w:type="dxa"/>
            <w:tcBorders>
              <w:top w:val="nil"/>
              <w:left w:val="nil"/>
              <w:bottom w:val="nil"/>
              <w:right w:val="nil"/>
            </w:tcBorders>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付款申请表</w:t>
            </w:r>
          </w:p>
          <w:tbl>
            <w:tblPr>
              <w:tblStyle w:val="33"/>
              <w:tblW w:w="8362" w:type="dxa"/>
              <w:tblInd w:w="0" w:type="dxa"/>
              <w:tblLayout w:type="fixed"/>
              <w:tblCellMar>
                <w:top w:w="0" w:type="dxa"/>
                <w:left w:w="108" w:type="dxa"/>
                <w:bottom w:w="0" w:type="dxa"/>
                <w:right w:w="108" w:type="dxa"/>
              </w:tblCellMar>
            </w:tblPr>
            <w:tblGrid>
              <w:gridCol w:w="983"/>
              <w:gridCol w:w="1497"/>
              <w:gridCol w:w="1514"/>
              <w:gridCol w:w="1308"/>
              <w:gridCol w:w="712"/>
              <w:gridCol w:w="2348"/>
            </w:tblGrid>
            <w:tr>
              <w:tblPrEx>
                <w:tblCellMar>
                  <w:top w:w="0" w:type="dxa"/>
                  <w:left w:w="108" w:type="dxa"/>
                  <w:bottom w:w="0" w:type="dxa"/>
                  <w:right w:w="108" w:type="dxa"/>
                </w:tblCellMar>
              </w:tblPrEx>
              <w:trPr>
                <w:cantSplit/>
                <w:trHeight w:val="335" w:hRule="atLeast"/>
              </w:trPr>
              <w:tc>
                <w:tcPr>
                  <w:tcW w:w="983"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付款内容</w:t>
                  </w:r>
                </w:p>
              </w:tc>
              <w:tc>
                <w:tcPr>
                  <w:tcW w:w="149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付款金额：</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2348" w:type="dxa"/>
                  <w:tcBorders>
                    <w:top w:val="single" w:color="auto" w:sz="4" w:space="0"/>
                    <w:left w:val="single" w:color="auto" w:sz="4" w:space="0"/>
                    <w:bottom w:val="single" w:color="auto" w:sz="4" w:space="0"/>
                    <w:right w:val="single" w:color="000000" w:sz="4" w:space="0"/>
                  </w:tcBorders>
                  <w:vAlign w:val="center"/>
                </w:tcPr>
                <w:p>
                  <w:pP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cantSplit/>
                <w:trHeight w:val="311"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已付金额：  </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2348" w:type="dxa"/>
                  <w:tcBorders>
                    <w:top w:val="nil"/>
                    <w:left w:val="nil"/>
                    <w:bottom w:val="single" w:color="auto" w:sz="4" w:space="0"/>
                    <w:right w:val="single" w:color="auto" w:sz="4" w:space="0"/>
                  </w:tcBorders>
                  <w:vAlign w:val="center"/>
                </w:tcPr>
                <w:p>
                  <w:pP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w:t>
                  </w:r>
                </w:p>
              </w:tc>
            </w:tr>
            <w:tr>
              <w:tblPrEx>
                <w:tblCellMar>
                  <w:top w:w="0" w:type="dxa"/>
                  <w:left w:w="108" w:type="dxa"/>
                  <w:bottom w:w="0" w:type="dxa"/>
                  <w:right w:w="108" w:type="dxa"/>
                </w:tblCellMar>
              </w:tblPrEx>
              <w:trPr>
                <w:cantSplit/>
                <w:trHeight w:val="263"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付款方式：                                          </w:t>
                  </w:r>
                </w:p>
              </w:tc>
              <w:tc>
                <w:tcPr>
                  <w:tcW w:w="1514"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1.现金；</w:t>
                  </w:r>
                </w:p>
              </w:tc>
              <w:tc>
                <w:tcPr>
                  <w:tcW w:w="1308"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2.支票；</w:t>
                  </w:r>
                </w:p>
              </w:tc>
              <w:tc>
                <w:tcPr>
                  <w:tcW w:w="3060" w:type="dxa"/>
                  <w:gridSpan w:val="2"/>
                  <w:tcBorders>
                    <w:top w:val="nil"/>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3.转账 ；</w:t>
                  </w:r>
                </w:p>
              </w:tc>
            </w:tr>
            <w:tr>
              <w:tblPrEx>
                <w:tblCellMar>
                  <w:top w:w="0" w:type="dxa"/>
                  <w:left w:w="108" w:type="dxa"/>
                  <w:bottom w:w="0" w:type="dxa"/>
                  <w:right w:w="108" w:type="dxa"/>
                </w:tblCellMar>
              </w:tblPrEx>
              <w:trPr>
                <w:cantSplit/>
                <w:trHeight w:val="29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514"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4.保函；</w:t>
                  </w: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5.其它（电汇）；</w:t>
                  </w:r>
                </w:p>
              </w:tc>
            </w:tr>
            <w:tr>
              <w:tblPrEx>
                <w:tblCellMar>
                  <w:top w:w="0" w:type="dxa"/>
                  <w:left w:w="108" w:type="dxa"/>
                  <w:bottom w:w="0" w:type="dxa"/>
                  <w:right w:w="108" w:type="dxa"/>
                </w:tblCellMar>
              </w:tblPrEx>
              <w:trPr>
                <w:cantSplit/>
                <w:trHeight w:val="28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资金来源：</w:t>
                  </w:r>
                </w:p>
              </w:tc>
              <w:tc>
                <w:tcPr>
                  <w:tcW w:w="5882" w:type="dxa"/>
                  <w:gridSpan w:val="4"/>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保证金</w:t>
                  </w:r>
                </w:p>
              </w:tc>
            </w:tr>
            <w:tr>
              <w:tblPrEx>
                <w:tblCellMar>
                  <w:top w:w="0" w:type="dxa"/>
                  <w:left w:w="108" w:type="dxa"/>
                  <w:bottom w:w="0" w:type="dxa"/>
                  <w:right w:w="108" w:type="dxa"/>
                </w:tblCellMar>
              </w:tblPrEx>
              <w:trPr>
                <w:cantSplit/>
                <w:trHeight w:val="545"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7379" w:type="dxa"/>
                  <w:gridSpan w:val="5"/>
                  <w:tcBorders>
                    <w:top w:val="single" w:color="auto" w:sz="4" w:space="0"/>
                    <w:left w:val="nil"/>
                    <w:bottom w:val="single" w:color="auto" w:sz="4" w:space="0"/>
                    <w:right w:val="single" w:color="000000" w:sz="4" w:space="0"/>
                  </w:tcBorders>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备注： </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经办及审批</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申请人：</w:t>
                  </w: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采购部门负责人：</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合同管理人员审核</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2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财务部门审核</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362" w:type="dxa"/>
                  <w:gridSpan w:val="6"/>
                  <w:tcBorders>
                    <w:top w:val="nil"/>
                    <w:left w:val="nil"/>
                    <w:bottom w:val="nil"/>
                    <w:right w:val="nil"/>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adjustRightInd w:val="0"/>
        <w:snapToGrid w:val="0"/>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注：本说明请附投标保证金交纳凭据</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color w:val="000000" w:themeColor="text1"/>
          <w:sz w:val="24"/>
          <w:szCs w:val="24"/>
          <w:highlight w:val="none"/>
          <w14:textFill>
            <w14:solidFill>
              <w14:schemeClr w14:val="tx1"/>
            </w14:solidFill>
          </w14:textFill>
        </w:rPr>
        <w:t>附：</w:t>
      </w:r>
    </w:p>
    <w:tbl>
      <w:tblPr>
        <w:tblStyle w:val="33"/>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5" w:hRule="atLeast"/>
        </w:trPr>
        <w:tc>
          <w:tcPr>
            <w:tcW w:w="9636" w:type="dxa"/>
          </w:tcPr>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投标保证金为转账及银行汇款形式的，请在此处粘贴</w:t>
            </w:r>
            <w:r>
              <w:rPr>
                <w:rFonts w:hint="eastAsia" w:ascii="仿宋" w:hAnsi="仿宋" w:eastAsia="仿宋" w:cs="仿宋"/>
                <w:color w:val="000000" w:themeColor="text1"/>
                <w:sz w:val="24"/>
                <w:szCs w:val="24"/>
                <w:highlight w:val="none"/>
                <w:lang w:eastAsia="zh-CN"/>
                <w14:textFill>
                  <w14:solidFill>
                    <w14:schemeClr w14:val="tx1"/>
                  </w14:solidFill>
                </w14:textFill>
              </w:rPr>
              <w:t>转账</w:t>
            </w:r>
            <w:r>
              <w:rPr>
                <w:rFonts w:hint="eastAsia" w:ascii="仿宋" w:hAnsi="仿宋" w:eastAsia="仿宋" w:cs="仿宋"/>
                <w:color w:val="000000" w:themeColor="text1"/>
                <w:sz w:val="24"/>
                <w:szCs w:val="24"/>
                <w:highlight w:val="none"/>
                <w14:textFill>
                  <w14:solidFill>
                    <w14:schemeClr w14:val="tx1"/>
                  </w14:solidFill>
                </w14:textFill>
              </w:rPr>
              <w:t>或汇款的银行凭证复印件（加盖公章）。</w:t>
            </w: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tc>
      </w:tr>
    </w:tbl>
    <w:p>
      <w:pPr>
        <w:adjustRightInd w:val="0"/>
        <w:snapToGrid w:val="0"/>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2" w:name="_Toc42951056"/>
      <w:r>
        <w:rPr>
          <w:rFonts w:hint="eastAsia" w:ascii="仿宋" w:hAnsi="仿宋" w:eastAsia="仿宋" w:cs="仿宋"/>
          <w:b/>
          <w:bCs/>
          <w:color w:val="000000" w:themeColor="text1"/>
          <w:kern w:val="44"/>
          <w:sz w:val="24"/>
          <w:szCs w:val="24"/>
          <w:highlight w:val="none"/>
          <w14:textFill>
            <w14:solidFill>
              <w14:schemeClr w14:val="tx1"/>
            </w14:solidFill>
          </w14:textFill>
        </w:rPr>
        <w:t xml:space="preserve"> 5．</w:t>
      </w:r>
      <w:r>
        <w:rPr>
          <w:rFonts w:hint="eastAsia" w:ascii="仿宋" w:hAnsi="仿宋" w:eastAsia="仿宋" w:cs="仿宋"/>
          <w:b/>
          <w:bCs/>
          <w:color w:val="000000" w:themeColor="text1"/>
          <w:kern w:val="44"/>
          <w:sz w:val="24"/>
          <w:szCs w:val="24"/>
          <w:highlight w:val="none"/>
          <w:lang w:eastAsia="zh-CN"/>
          <w14:textFill>
            <w14:solidFill>
              <w14:schemeClr w14:val="tx1"/>
            </w14:solidFill>
          </w14:textFill>
        </w:rPr>
        <w:t>技术商务</w:t>
      </w:r>
      <w:r>
        <w:rPr>
          <w:rFonts w:hint="eastAsia" w:ascii="仿宋" w:hAnsi="仿宋" w:eastAsia="仿宋" w:cs="仿宋"/>
          <w:b/>
          <w:bCs/>
          <w:color w:val="000000" w:themeColor="text1"/>
          <w:kern w:val="44"/>
          <w:sz w:val="24"/>
          <w:szCs w:val="24"/>
          <w:highlight w:val="none"/>
          <w14:textFill>
            <w14:solidFill>
              <w14:schemeClr w14:val="tx1"/>
            </w14:solidFill>
          </w14:textFill>
        </w:rPr>
        <w:t>响应表格式</w:t>
      </w:r>
      <w:bookmarkEnd w:id="22"/>
    </w:p>
    <w:p>
      <w:pPr>
        <w:numPr>
          <w:ilvl w:val="0"/>
          <w:numId w:val="0"/>
        </w:numPr>
        <w:adjustRightInd w:val="0"/>
        <w:snapToGrid w:val="0"/>
        <w:spacing w:line="300" w:lineRule="auto"/>
        <w:ind w:left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说</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明：</w:t>
      </w:r>
    </w:p>
    <w:p>
      <w:pPr>
        <w:numPr>
          <w:ilvl w:val="0"/>
          <w:numId w:val="35"/>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投标人必须对应招标文件条款逐条应答并按要求填写下表。</w:t>
      </w:r>
    </w:p>
    <w:p>
      <w:pPr>
        <w:numPr>
          <w:ilvl w:val="0"/>
          <w:numId w:val="35"/>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投标人响应描述：投标人按响应货物</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或服务</w:t>
      </w:r>
      <w:r>
        <w:rPr>
          <w:rFonts w:hint="eastAsia" w:ascii="仿宋" w:hAnsi="仿宋" w:eastAsia="仿宋" w:cs="仿宋"/>
          <w:b w:val="0"/>
          <w:bCs/>
          <w:color w:val="000000" w:themeColor="text1"/>
          <w:sz w:val="21"/>
          <w:szCs w:val="21"/>
          <w:highlight w:val="none"/>
          <w14:textFill>
            <w14:solidFill>
              <w14:schemeClr w14:val="tx1"/>
            </w14:solidFill>
          </w14:textFill>
        </w:rPr>
        <w:t>实际数据填写</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逐条应答，否则视为未响应</w:t>
      </w:r>
      <w:r>
        <w:rPr>
          <w:rFonts w:hint="eastAsia" w:ascii="仿宋" w:hAnsi="仿宋" w:eastAsia="仿宋" w:cs="仿宋"/>
          <w:b w:val="0"/>
          <w:bCs/>
          <w:color w:val="000000" w:themeColor="text1"/>
          <w:sz w:val="21"/>
          <w:szCs w:val="21"/>
          <w:highlight w:val="none"/>
          <w14:textFill>
            <w14:solidFill>
              <w14:schemeClr w14:val="tx1"/>
            </w14:solidFill>
          </w14:textFill>
        </w:rPr>
        <w:t>。</w:t>
      </w:r>
    </w:p>
    <w:p>
      <w:pPr>
        <w:numPr>
          <w:ilvl w:val="0"/>
          <w:numId w:val="35"/>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投标人应按招标文件要求附相关证明文件，如有任何一项不响应或不满足的视为负偏离。</w:t>
      </w:r>
    </w:p>
    <w:p>
      <w:pPr>
        <w:numPr>
          <w:ilvl w:val="0"/>
          <w:numId w:val="35"/>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偏离情况说明：投标人根据投标人实际情况填写“正偏离”“完全响应”或“负偏离”。</w:t>
      </w:r>
    </w:p>
    <w:p>
      <w:pPr>
        <w:adjustRightInd w:val="0"/>
        <w:snapToGrid w:val="0"/>
        <w:spacing w:line="300" w:lineRule="auto"/>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156"/>
        <w:gridCol w:w="1419"/>
        <w:gridCol w:w="1140"/>
        <w:gridCol w:w="14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63"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序号</w:t>
            </w:r>
          </w:p>
        </w:tc>
        <w:tc>
          <w:tcPr>
            <w:tcW w:w="5156"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招标文件条款描述</w:t>
            </w:r>
          </w:p>
        </w:tc>
        <w:tc>
          <w:tcPr>
            <w:tcW w:w="1419"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投标人响应描述</w:t>
            </w:r>
          </w:p>
        </w:tc>
        <w:tc>
          <w:tcPr>
            <w:tcW w:w="1140"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偏离情况说明</w:t>
            </w:r>
          </w:p>
        </w:tc>
        <w:tc>
          <w:tcPr>
            <w:tcW w:w="1484"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（一）标注“★”的实质性条款（如有）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36"/>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36"/>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3</w:t>
            </w: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4</w:t>
            </w: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（二）标注“▲”的重要条款（如有）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37"/>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37"/>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（三）其他条款（技术条款）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38"/>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38"/>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（四）其他条款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39"/>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bl>
    <w:p>
      <w:pPr>
        <w:adjustRightInd w:val="0"/>
        <w:snapToGrid w:val="0"/>
        <w:spacing w:line="300" w:lineRule="auto"/>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供应商/响应供应商法定代表人（或法定代表人授权代表）签字：</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供应商/响应供应商名称（签章）：</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日期：</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年</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 xml:space="preserve"> 月</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 xml:space="preserve"> 日</w:t>
      </w:r>
    </w:p>
    <w:p>
      <w:pPr>
        <w:pStyle w:val="7"/>
        <w:tabs>
          <w:tab w:val="clear" w:pos="864"/>
        </w:tabs>
        <w:ind w:left="0" w:firstLine="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（2）一般</w:t>
      </w:r>
      <w:r>
        <w:rPr>
          <w:rFonts w:hint="eastAsia" w:ascii="仿宋" w:hAnsi="仿宋" w:eastAsia="仿宋" w:cs="仿宋"/>
          <w:color w:val="000000" w:themeColor="text1"/>
          <w:sz w:val="24"/>
          <w:szCs w:val="24"/>
          <w:highlight w:val="none"/>
          <w:lang w:val="en-US" w:eastAsia="zh-CN"/>
          <w14:textFill>
            <w14:solidFill>
              <w14:schemeClr w14:val="tx1"/>
            </w14:solidFill>
          </w14:textFill>
        </w:rPr>
        <w:t>技术</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商务条款响应表</w:t>
      </w:r>
    </w:p>
    <w:tbl>
      <w:tblPr>
        <w:tblStyle w:val="3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5828"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一般</w:t>
            </w:r>
            <w:r>
              <w:rPr>
                <w:rFonts w:hint="eastAsia" w:ascii="仿宋" w:hAnsi="仿宋" w:eastAsia="仿宋" w:cs="仿宋"/>
                <w:b/>
                <w:bCs/>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b/>
                <w:bCs/>
                <w:color w:val="000000" w:themeColor="text1"/>
                <w:sz w:val="24"/>
                <w:szCs w:val="24"/>
                <w:highlight w:val="none"/>
                <w14:textFill>
                  <w14:solidFill>
                    <w14:schemeClr w14:val="tx1"/>
                  </w14:solidFill>
                </w14:textFill>
              </w:rPr>
              <w:t>条款要求</w:t>
            </w:r>
          </w:p>
        </w:tc>
        <w:tc>
          <w:tcPr>
            <w:tcW w:w="758"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是否响应</w:t>
            </w:r>
          </w:p>
        </w:tc>
        <w:tc>
          <w:tcPr>
            <w:tcW w:w="2017"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完全理解并接受合同条款要求</w:t>
            </w:r>
          </w:p>
        </w:tc>
        <w:tc>
          <w:tcPr>
            <w:tcW w:w="758" w:type="dxa"/>
            <w:vAlign w:val="center"/>
          </w:tcPr>
          <w:p>
            <w:pPr>
              <w:pStyle w:val="69"/>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完全理解并接受对合格供应商/响应供应商、合格的货物、项目和服务要求</w:t>
            </w:r>
          </w:p>
        </w:tc>
        <w:tc>
          <w:tcPr>
            <w:tcW w:w="758" w:type="dxa"/>
            <w:vAlign w:val="center"/>
          </w:tcPr>
          <w:p>
            <w:pPr>
              <w:pStyle w:val="69"/>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完全理解并接受对供应商/响应供应商的各项须知、规约要求和责任义务</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ind w:right="-35"/>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报价有效期：报价有效期为自递交响应文件起至确定正式成交日止不少于</w:t>
            </w:r>
            <w:r>
              <w:rPr>
                <w:rFonts w:hint="eastAsia" w:ascii="仿宋" w:hAnsi="仿宋" w:eastAsia="仿宋" w:cs="仿宋"/>
                <w:color w:val="000000" w:themeColor="text1"/>
                <w:sz w:val="24"/>
                <w:szCs w:val="24"/>
                <w:highlight w:val="none"/>
                <w:u w:val="single"/>
                <w14:textFill>
                  <w14:solidFill>
                    <w14:schemeClr w14:val="tx1"/>
                  </w14:solidFill>
                </w14:textFill>
              </w:rPr>
              <w:t>90</w:t>
            </w:r>
            <w:r>
              <w:rPr>
                <w:rFonts w:hint="eastAsia" w:ascii="仿宋" w:hAnsi="仿宋" w:eastAsia="仿宋" w:cs="仿宋"/>
                <w:color w:val="000000" w:themeColor="text1"/>
                <w:sz w:val="24"/>
                <w:szCs w:val="24"/>
                <w:highlight w:val="none"/>
                <w14:textFill>
                  <w14:solidFill>
                    <w14:schemeClr w14:val="tx1"/>
                  </w14:solidFill>
                </w14:textFill>
              </w:rPr>
              <w:t>天，成交单位有效期至项目验收之日</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ind w:right="-35"/>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报价内容均涵盖报价要求之一切费用和伴随服务</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9"/>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所提供的报价不高于本公司目前的报价水平</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5828" w:type="dxa"/>
            <w:vAlign w:val="center"/>
          </w:tcPr>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r>
              <w:rPr>
                <w:rFonts w:hint="eastAsia" w:ascii="仿宋" w:hAnsi="仿宋" w:eastAsia="仿宋" w:cs="仿宋"/>
                <w:color w:val="000000" w:themeColor="text1"/>
                <w:sz w:val="24"/>
                <w:szCs w:val="24"/>
                <w:highlight w:val="none"/>
                <w:lang w:eastAsia="zh-CN"/>
                <w14:textFill>
                  <w14:solidFill>
                    <w14:schemeClr w14:val="tx1"/>
                  </w14:solidFill>
                </w14:textFill>
              </w:rPr>
              <w:t>5年</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同意接受合同范本所列述的各项条款</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9"/>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同意按本项目要求缴付相关款项</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9"/>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c>
          <w:tcPr>
            <w:tcW w:w="5828" w:type="dxa"/>
            <w:vAlign w:val="center"/>
          </w:tcPr>
          <w:p>
            <w:pPr>
              <w:pStyle w:val="2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同意采购方以任何形式对我方报价/响应文件内容的真实性和有效性进行审查、验证</w:t>
            </w:r>
          </w:p>
        </w:tc>
        <w:tc>
          <w:tcPr>
            <w:tcW w:w="758" w:type="dxa"/>
            <w:vAlign w:val="center"/>
          </w:tcPr>
          <w:p>
            <w:pPr>
              <w:pStyle w:val="73"/>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9"/>
              <w:keepNext w:val="0"/>
              <w:adjustRightInd/>
              <w:spacing w:before="0" w:after="0" w:line="240" w:lineRule="auto"/>
              <w:jc w:val="both"/>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其它商务条款偏离说明</w:t>
            </w:r>
          </w:p>
        </w:tc>
        <w:tc>
          <w:tcPr>
            <w:tcW w:w="758" w:type="dxa"/>
            <w:vAlign w:val="center"/>
          </w:tcPr>
          <w:p>
            <w:pPr>
              <w:pStyle w:val="73"/>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9"/>
              <w:keepNext w:val="0"/>
              <w:adjustRightInd/>
              <w:spacing w:before="0" w:after="0" w:line="240" w:lineRule="auto"/>
              <w:jc w:val="both"/>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bl>
    <w:p>
      <w:pPr>
        <w:rPr>
          <w:rFonts w:hint="eastAsia" w:ascii="仿宋" w:hAnsi="仿宋" w:eastAsia="仿宋" w:cs="仿宋"/>
          <w:color w:val="000000" w:themeColor="text1"/>
          <w:sz w:val="24"/>
          <w:szCs w:val="24"/>
          <w:highlight w:val="none"/>
          <w:lang w:val="en-GB"/>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注： 1.</w:t>
      </w:r>
      <w:r>
        <w:rPr>
          <w:rFonts w:hint="eastAsia" w:ascii="仿宋" w:hAnsi="仿宋" w:eastAsia="仿宋" w:cs="仿宋"/>
          <w:color w:val="000000" w:themeColor="text1"/>
          <w:sz w:val="24"/>
          <w:szCs w:val="24"/>
          <w:highlight w:val="none"/>
          <w14:textFill>
            <w14:solidFill>
              <w14:schemeClr w14:val="tx1"/>
            </w14:solidFill>
          </w14:textFill>
        </w:rPr>
        <w:t>对</w:t>
      </w:r>
      <w:r>
        <w:rPr>
          <w:rFonts w:hint="eastAsia" w:ascii="仿宋" w:hAnsi="仿宋" w:eastAsia="仿宋" w:cs="仿宋"/>
          <w:color w:val="000000" w:themeColor="text1"/>
          <w:sz w:val="24"/>
          <w:szCs w:val="24"/>
          <w:highlight w:val="none"/>
          <w:lang w:val="en-GB"/>
          <w14:textFill>
            <w14:solidFill>
              <w14:schemeClr w14:val="tx1"/>
            </w14:solidFill>
          </w14:textFill>
        </w:rPr>
        <w:t>于上述要求，如供应商/响应供应商完全响应，则请在“是否响应”栏内打“√”，对空白或打“×”视为偏离，请在“偏离说明”栏内扼要说明偏离情况。</w:t>
      </w:r>
    </w:p>
    <w:p>
      <w:pPr>
        <w:ind w:firstLine="420"/>
        <w:rPr>
          <w:rFonts w:hint="eastAsia" w:ascii="仿宋" w:hAnsi="仿宋" w:eastAsia="仿宋" w:cs="仿宋"/>
          <w:color w:val="000000" w:themeColor="text1"/>
          <w:sz w:val="24"/>
          <w:szCs w:val="24"/>
          <w:highlight w:val="none"/>
          <w:lang w:val="en-GB"/>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 xml:space="preserve"> 2.本表内容不得擅自修改。</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供应商/响应供应商法定代表人（或法定代表人授权代表）签字：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供应商/响应供应商名称（签章）：</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23" w:name="_Hlt10456523"/>
      <w:bookmarkEnd w:id="23"/>
      <w:bookmarkStart w:id="24" w:name="_Toc42951057"/>
      <w:r>
        <w:rPr>
          <w:rFonts w:hint="eastAsia" w:ascii="仿宋" w:hAnsi="仿宋" w:eastAsia="仿宋" w:cs="仿宋"/>
          <w:color w:val="000000" w:themeColor="text1"/>
          <w:sz w:val="24"/>
          <w:szCs w:val="24"/>
          <w:highlight w:val="none"/>
          <w14:textFill>
            <w14:solidFill>
              <w14:schemeClr w14:val="tx1"/>
            </w14:solidFill>
          </w14:textFill>
        </w:rPr>
        <w:t>6．服务费承诺书格式</w:t>
      </w:r>
      <w:bookmarkEnd w:id="24"/>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成交服务费承诺书</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right"/>
        <w:rPr>
          <w:rFonts w:hint="eastAsia" w:ascii="仿宋" w:hAnsi="仿宋" w:eastAsia="仿宋" w:cs="仿宋"/>
          <w:color w:val="000000" w:themeColor="text1"/>
          <w:sz w:val="24"/>
          <w:szCs w:val="24"/>
          <w:highlight w:val="none"/>
          <w:u w:val="singl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承诺书号：</w:t>
      </w:r>
      <w:r>
        <w:rPr>
          <w:rFonts w:hint="eastAsia" w:ascii="仿宋" w:hAnsi="仿宋" w:eastAsia="仿宋" w:cs="仿宋"/>
          <w:color w:val="000000" w:themeColor="text1"/>
          <w:sz w:val="24"/>
          <w:szCs w:val="24"/>
          <w:highlight w:val="none"/>
          <w:lang w:eastAsia="zh-CN"/>
          <w14:textFill>
            <w14:solidFill>
              <w14:schemeClr w14:val="tx1"/>
            </w14:solidFill>
          </w14:textFill>
        </w:rPr>
        <w:t>2021-clx- 071号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如果我方在</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组织的</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（项目名称）      </w:t>
      </w:r>
      <w:r>
        <w:rPr>
          <w:rFonts w:hint="eastAsia" w:ascii="仿宋" w:hAnsi="仿宋" w:eastAsia="仿宋" w:cs="仿宋"/>
          <w:color w:val="000000" w:themeColor="text1"/>
          <w:sz w:val="24"/>
          <w:szCs w:val="24"/>
          <w:highlight w:val="none"/>
          <w14:textFill>
            <w14:solidFill>
              <w14:schemeClr w14:val="tx1"/>
            </w14:solidFill>
          </w14:textFill>
        </w:rPr>
        <w:t>的货物及相关服务磋商中获成交（采购编号：       ），我方保证在收到《成交通知书》后，按磋商文件规定“供应商须知”向</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交纳成交服务费。</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我方如违约，愿凭</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开出的违约通知，按上述承诺金额的200％在我方提交的投标保证金（保函）及买方给我方的成交合同规定的货款中扣付，并在此同意和要求报价保函开立银行及买方（应</w:t>
      </w:r>
      <w:r>
        <w:rPr>
          <w:rFonts w:hint="eastAsia" w:ascii="仿宋" w:hAnsi="仿宋" w:eastAsia="仿宋" w:cs="仿宋"/>
          <w:b/>
          <w:color w:val="000000" w:themeColor="text1"/>
          <w:sz w:val="24"/>
          <w:szCs w:val="24"/>
          <w:highlight w:val="none"/>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的要求）办理支付手续。</w:t>
      </w: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特此承诺！</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供应商法定名称（公章）；</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供应商法定地址：</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供应商授权代表（签字）：</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承诺日期：</w:t>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5" w:name="_Hlt10520032"/>
      <w:bookmarkEnd w:id="25"/>
      <w:bookmarkStart w:id="26" w:name="_Hlt10520073"/>
      <w:bookmarkEnd w:id="26"/>
      <w:bookmarkStart w:id="27" w:name="_Toc42951058"/>
      <w:r>
        <w:rPr>
          <w:rFonts w:hint="eastAsia" w:ascii="仿宋" w:hAnsi="仿宋" w:eastAsia="仿宋" w:cs="仿宋"/>
          <w:color w:val="000000" w:themeColor="text1"/>
          <w:sz w:val="24"/>
          <w:szCs w:val="24"/>
          <w:highlight w:val="none"/>
          <w14:textFill>
            <w14:solidFill>
              <w14:schemeClr w14:val="tx1"/>
            </w14:solidFill>
          </w14:textFill>
        </w:rPr>
        <w:t>7．其它资料格式</w:t>
      </w:r>
      <w:bookmarkEnd w:id="27"/>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  供应商简介</w:t>
      </w:r>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  提供完成的同类项目业绩</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7.3  关于诉讼</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7.4  名称变更证明</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7.5  供应商获奖情况及质量认证</w:t>
      </w:r>
    </w:p>
    <w:p>
      <w:pPr>
        <w:spacing w:line="360" w:lineRule="auto"/>
        <w:ind w:firstLine="240" w:firstLineChars="1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7.6  供应商认为有必要提供的其它资料</w:t>
      </w:r>
    </w:p>
    <w:p>
      <w:pPr>
        <w:spacing w:line="360" w:lineRule="auto"/>
        <w:ind w:firstLine="600" w:firstLineChars="2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除上述资料外，《</w:t>
      </w:r>
      <w:r>
        <w:rPr>
          <w:rFonts w:hint="eastAsia" w:ascii="仿宋" w:hAnsi="仿宋" w:eastAsia="仿宋" w:cs="仿宋"/>
          <w:color w:val="000000" w:themeColor="text1"/>
          <w:sz w:val="24"/>
          <w:szCs w:val="24"/>
          <w:highlight w:val="none"/>
          <w:lang w:eastAsia="zh-CN"/>
          <w14:textFill>
            <w14:solidFill>
              <w14:schemeClr w14:val="tx1"/>
            </w14:solidFill>
          </w14:textFill>
        </w:rPr>
        <w:t>技术商务</w:t>
      </w:r>
      <w:r>
        <w:rPr>
          <w:rFonts w:hint="eastAsia" w:ascii="仿宋" w:hAnsi="仿宋" w:eastAsia="仿宋" w:cs="仿宋"/>
          <w:color w:val="000000" w:themeColor="text1"/>
          <w:sz w:val="24"/>
          <w:szCs w:val="24"/>
          <w:highlight w:val="none"/>
          <w14:textFill>
            <w14:solidFill>
              <w14:schemeClr w14:val="tx1"/>
            </w14:solidFill>
          </w14:textFill>
        </w:rPr>
        <w:t>打分表》要求提交的其它资料。</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7.1  供应商简介</w:t>
      </w: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供应商简介（供应商基本情况介绍，包括：人员、生产能力、技术设备、技术状况等，不够可以自制表格）</w:t>
      </w:r>
    </w:p>
    <w:p>
      <w:pPr>
        <w:pStyle w:val="28"/>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1、供应商情况表</w:t>
      </w:r>
    </w:p>
    <w:tbl>
      <w:tblPr>
        <w:tblStyle w:val="33"/>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240"/>
        <w:gridCol w:w="1460"/>
        <w:gridCol w:w="227"/>
        <w:gridCol w:w="1393"/>
        <w:gridCol w:w="256"/>
        <w:gridCol w:w="1004"/>
        <w:gridCol w:w="788"/>
        <w:gridCol w:w="29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单位名称</w:t>
            </w:r>
          </w:p>
        </w:tc>
        <w:tc>
          <w:tcPr>
            <w:tcW w:w="7818" w:type="dxa"/>
            <w:gridSpan w:val="9"/>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p>
        </w:tc>
        <w:tc>
          <w:tcPr>
            <w:tcW w:w="7818" w:type="dxa"/>
            <w:gridSpan w:val="9"/>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主管部门</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法人代表</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经济类型</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邮编</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单位简介及机构</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设置</w:t>
            </w:r>
          </w:p>
        </w:tc>
        <w:tc>
          <w:tcPr>
            <w:tcW w:w="7818" w:type="dxa"/>
            <w:gridSpan w:val="9"/>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单位优势及特长</w:t>
            </w:r>
          </w:p>
        </w:tc>
        <w:tc>
          <w:tcPr>
            <w:tcW w:w="7818" w:type="dxa"/>
            <w:gridSpan w:val="9"/>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71"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单位概况</w:t>
            </w:r>
          </w:p>
        </w:tc>
        <w:tc>
          <w:tcPr>
            <w:tcW w:w="124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注册资本</w:t>
            </w:r>
          </w:p>
        </w:tc>
        <w:tc>
          <w:tcPr>
            <w:tcW w:w="1460" w:type="dxa"/>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占地面积</w:t>
            </w:r>
          </w:p>
        </w:tc>
        <w:tc>
          <w:tcPr>
            <w:tcW w:w="3498" w:type="dxa"/>
            <w:gridSpan w:val="5"/>
          </w:tcPr>
          <w:p>
            <w:pPr>
              <w:tabs>
                <w:tab w:val="left" w:pos="540"/>
              </w:tabs>
              <w:ind w:left="-134" w:leftChars="-64" w:right="-105" w:rightChars="-50" w:firstLine="3480" w:firstLineChars="14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职工总数</w:t>
            </w:r>
          </w:p>
        </w:tc>
        <w:tc>
          <w:tcPr>
            <w:tcW w:w="1460" w:type="dxa"/>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人</w:t>
            </w: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建筑面积</w:t>
            </w:r>
          </w:p>
        </w:tc>
        <w:tc>
          <w:tcPr>
            <w:tcW w:w="3498" w:type="dxa"/>
            <w:gridSpan w:val="5"/>
          </w:tcPr>
          <w:p>
            <w:pPr>
              <w:tabs>
                <w:tab w:val="left" w:pos="540"/>
              </w:tabs>
              <w:ind w:left="-134" w:leftChars="-64" w:right="-105" w:rightChars="-50" w:firstLine="3480" w:firstLineChars="14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资产情况</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净资产</w:t>
            </w:r>
          </w:p>
        </w:tc>
        <w:tc>
          <w:tcPr>
            <w:tcW w:w="1620" w:type="dxa"/>
            <w:gridSpan w:val="2"/>
            <w:vAlign w:val="center"/>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3498" w:type="dxa"/>
            <w:gridSpan w:val="5"/>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负债</w:t>
            </w:r>
          </w:p>
        </w:tc>
        <w:tc>
          <w:tcPr>
            <w:tcW w:w="1620" w:type="dxa"/>
            <w:gridSpan w:val="2"/>
            <w:vAlign w:val="center"/>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3498" w:type="dxa"/>
            <w:gridSpan w:val="5"/>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财务状况</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年度</w:t>
            </w:r>
          </w:p>
        </w:tc>
        <w:tc>
          <w:tcPr>
            <w:tcW w:w="146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主营收入</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620"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收入总额</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利润总额（万元）</w:t>
            </w: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净利润（万元）</w:t>
            </w: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 xml:space="preserve"> 7.2  供应商提供同类项目业绩</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业  绩  表</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tbl>
      <w:tblPr>
        <w:tblStyle w:val="33"/>
        <w:tblW w:w="8942" w:type="dxa"/>
        <w:tblInd w:w="30" w:type="dxa"/>
        <w:tblLayout w:type="fixed"/>
        <w:tblCellMar>
          <w:top w:w="0" w:type="dxa"/>
          <w:left w:w="30" w:type="dxa"/>
          <w:bottom w:w="0" w:type="dxa"/>
          <w:right w:w="30" w:type="dxa"/>
        </w:tblCellMar>
      </w:tblPr>
      <w:tblGrid>
        <w:gridCol w:w="641"/>
        <w:gridCol w:w="1763"/>
        <w:gridCol w:w="1700"/>
        <w:gridCol w:w="1450"/>
        <w:gridCol w:w="1550"/>
        <w:gridCol w:w="1838"/>
      </w:tblGrid>
      <w:tr>
        <w:tblPrEx>
          <w:tblCellMar>
            <w:top w:w="0" w:type="dxa"/>
            <w:left w:w="30" w:type="dxa"/>
            <w:bottom w:w="0" w:type="dxa"/>
            <w:right w:w="30" w:type="dxa"/>
          </w:tblCellMar>
        </w:tblPrEx>
        <w:trPr>
          <w:trHeight w:val="502" w:hRule="atLeast"/>
        </w:trPr>
        <w:tc>
          <w:tcPr>
            <w:tcW w:w="641" w:type="dxa"/>
            <w:tcBorders>
              <w:top w:val="double" w:color="auto" w:sz="4" w:space="0"/>
              <w:left w:val="double" w:color="auto" w:sz="4"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763"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1700"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项目地址</w:t>
            </w:r>
          </w:p>
        </w:tc>
        <w:tc>
          <w:tcPr>
            <w:tcW w:w="1450"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合同内容</w:t>
            </w:r>
          </w:p>
        </w:tc>
        <w:tc>
          <w:tcPr>
            <w:tcW w:w="1550" w:type="dxa"/>
            <w:tcBorders>
              <w:top w:val="double" w:color="auto" w:sz="4" w:space="0"/>
              <w:left w:val="single" w:color="auto" w:sz="6"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合同总价</w:t>
            </w:r>
          </w:p>
        </w:tc>
        <w:tc>
          <w:tcPr>
            <w:tcW w:w="1838" w:type="dxa"/>
            <w:tcBorders>
              <w:top w:val="double" w:color="auto" w:sz="4" w:space="0"/>
              <w:left w:val="nil"/>
              <w:bottom w:val="single" w:color="auto" w:sz="4" w:space="0"/>
              <w:right w:val="doub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签约日期</w:t>
            </w:r>
          </w:p>
        </w:tc>
      </w:tr>
      <w:tr>
        <w:tblPrEx>
          <w:tblCellMar>
            <w:top w:w="0" w:type="dxa"/>
            <w:left w:w="30" w:type="dxa"/>
            <w:bottom w:w="0" w:type="dxa"/>
            <w:right w:w="30" w:type="dxa"/>
          </w:tblCellMar>
        </w:tblPrEx>
        <w:trPr>
          <w:trHeight w:val="502" w:hRule="atLeast"/>
        </w:trPr>
        <w:tc>
          <w:tcPr>
            <w:tcW w:w="641" w:type="dxa"/>
            <w:tcBorders>
              <w:top w:val="single" w:color="auto" w:sz="4"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4"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合计</w:t>
            </w:r>
          </w:p>
        </w:tc>
        <w:tc>
          <w:tcPr>
            <w:tcW w:w="1763"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doub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double" w:color="auto" w:sz="4"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 1、列出</w:t>
      </w:r>
      <w:bookmarkStart w:id="37" w:name="_GoBack"/>
      <w:bookmarkEnd w:id="37"/>
      <w:r>
        <w:rPr>
          <w:rFonts w:hint="eastAsia" w:ascii="仿宋" w:hAnsi="仿宋" w:eastAsia="仿宋" w:cs="仿宋"/>
          <w:color w:val="000000" w:themeColor="text1"/>
          <w:sz w:val="24"/>
          <w:szCs w:val="24"/>
          <w:highlight w:val="none"/>
          <w14:textFill>
            <w14:solidFill>
              <w14:schemeClr w14:val="tx1"/>
            </w14:solidFill>
          </w14:textFill>
        </w:rPr>
        <w:t>同类项目业绩；</w:t>
      </w:r>
    </w:p>
    <w:p>
      <w:pPr>
        <w:spacing w:line="480" w:lineRule="exact"/>
        <w:ind w:right="250" w:rightChars="119" w:firstLine="600" w:firstLineChars="2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2、须提供所填业绩的合同或中标通知书复印件并加盖公章。</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7.3 关于诉讼</w:t>
      </w:r>
    </w:p>
    <w:p>
      <w:pPr>
        <w:spacing w:line="480" w:lineRule="exact"/>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供应商应说明近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3 </w:t>
      </w:r>
      <w:r>
        <w:rPr>
          <w:rFonts w:hint="eastAsia" w:ascii="仿宋" w:hAnsi="仿宋" w:eastAsia="仿宋" w:cs="仿宋"/>
          <w:color w:val="000000" w:themeColor="text1"/>
          <w:sz w:val="24"/>
          <w:szCs w:val="24"/>
          <w:highlight w:val="none"/>
          <w14:textFill>
            <w14:solidFill>
              <w14:schemeClr w14:val="tx1"/>
            </w14:solidFill>
          </w14:textFill>
        </w:rPr>
        <w:t>年在经营活动及政府采购活动中发生的由于供应商违约或部分违约而引起的诉讼和索赔案件的具体情况及结果。若供应商对本项目进行隐瞒而又被采购人或招标代理机构发现，或被其它单位举证成立，其报价资格将被取消。</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7.4 名称变更证明</w:t>
      </w:r>
    </w:p>
    <w:p>
      <w:pPr>
        <w:spacing w:line="480" w:lineRule="exact"/>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本次招标，如果有名称变更的（非因该单位出现了与资格预审时的营业性质的根本改变以至不再满足本次招标的要求），供应商应提供相关变更证明文件，说明由原名称因何种原因变更为现名称。</w:t>
      </w:r>
    </w:p>
    <w:p>
      <w:pPr>
        <w:spacing w:line="480" w:lineRule="exact"/>
        <w:ind w:left="720" w:hanging="617" w:hangingChars="25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7.5 供应商获奖情况及质量认证</w:t>
      </w: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7.6 供应商认为有必要提供的其它资料。</w:t>
      </w:r>
    </w:p>
    <w:p>
      <w:pP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除上述资料外，</w:t>
      </w:r>
      <w:r>
        <w:rPr>
          <w:rFonts w:hint="eastAsia" w:ascii="仿宋" w:hAnsi="仿宋" w:eastAsia="仿宋" w:cs="仿宋"/>
          <w:color w:val="000000" w:themeColor="text1"/>
          <w:sz w:val="24"/>
          <w:szCs w:val="24"/>
          <w:highlight w:val="none"/>
          <w:lang w:val="en-US" w:eastAsia="zh-CN"/>
          <w14:textFill>
            <w14:solidFill>
              <w14:schemeClr w14:val="tx1"/>
            </w14:solidFill>
          </w14:textFill>
        </w:rPr>
        <w:t>磋商文件</w:t>
      </w:r>
      <w:r>
        <w:rPr>
          <w:rFonts w:hint="eastAsia" w:ascii="仿宋" w:hAnsi="仿宋" w:eastAsia="仿宋" w:cs="仿宋"/>
          <w:color w:val="000000" w:themeColor="text1"/>
          <w:sz w:val="24"/>
          <w:szCs w:val="24"/>
          <w:highlight w:val="none"/>
          <w14:textFill>
            <w14:solidFill>
              <w14:schemeClr w14:val="tx1"/>
            </w14:solidFill>
          </w14:textFill>
        </w:rPr>
        <w:t>要求提交的其它资料。</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bookmarkStart w:id="28" w:name="_Hlt10462379"/>
      <w:bookmarkEnd w:id="28"/>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7.6.1本项目管理技术人员配置</w:t>
      </w: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（1）本项目的项目负责人简历表</w:t>
      </w:r>
    </w:p>
    <w:p>
      <w:pPr>
        <w:spacing w:line="360" w:lineRule="auto"/>
        <w:ind w:left="1320" w:leftChars="342" w:hanging="602" w:hangingChars="25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项目负责人简历表</w:t>
      </w:r>
    </w:p>
    <w:tbl>
      <w:tblPr>
        <w:tblStyle w:val="33"/>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0"/>
        <w:gridCol w:w="378"/>
        <w:gridCol w:w="516"/>
        <w:gridCol w:w="879"/>
        <w:gridCol w:w="708"/>
        <w:gridCol w:w="599"/>
        <w:gridCol w:w="659"/>
        <w:gridCol w:w="854"/>
        <w:gridCol w:w="145"/>
        <w:gridCol w:w="16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77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07"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性别</w:t>
            </w:r>
          </w:p>
        </w:tc>
        <w:tc>
          <w:tcPr>
            <w:tcW w:w="1658"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年龄</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77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07"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1658"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学历</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20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参加工作时间</w:t>
            </w:r>
          </w:p>
        </w:tc>
        <w:tc>
          <w:tcPr>
            <w:tcW w:w="2845" w:type="dxa"/>
            <w:gridSpan w:val="4"/>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8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从事项目经理年限</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20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具有认证资质</w:t>
            </w:r>
          </w:p>
        </w:tc>
        <w:tc>
          <w:tcPr>
            <w:tcW w:w="6877" w:type="dxa"/>
            <w:gridSpan w:val="8"/>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081" w:type="dxa"/>
            <w:gridSpan w:val="11"/>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服务单位</w:t>
            </w: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服务内容</w:t>
            </w: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完成日期</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14:textFill>
            <w14:solidFill>
              <w14:schemeClr w14:val="tx1"/>
            </w14:solidFill>
          </w14:textFill>
        </w:rPr>
        <w:t>1）附项目负责人的资质证书</w:t>
      </w:r>
    </w:p>
    <w:p>
      <w:pPr>
        <w:spacing w:line="4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2）要求项目负责人专注于本项目的实施和管理，在项目实施过程中，不能任意更换。</w:t>
      </w: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（2）本项目实施服务人员情况表</w:t>
      </w: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参加本项目的实施技术服务人员情况表</w:t>
      </w:r>
    </w:p>
    <w:tbl>
      <w:tblPr>
        <w:tblStyle w:val="3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3"/>
        <w:gridCol w:w="1260"/>
        <w:gridCol w:w="1470"/>
        <w:gridCol w:w="136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8"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序号</w:t>
            </w:r>
          </w:p>
        </w:tc>
        <w:tc>
          <w:tcPr>
            <w:tcW w:w="1673"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姓名</w:t>
            </w:r>
          </w:p>
        </w:tc>
        <w:tc>
          <w:tcPr>
            <w:tcW w:w="1260"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部门</w:t>
            </w:r>
          </w:p>
        </w:tc>
        <w:tc>
          <w:tcPr>
            <w:tcW w:w="1470"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职务</w:t>
            </w:r>
          </w:p>
        </w:tc>
        <w:tc>
          <w:tcPr>
            <w:tcW w:w="1365"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本项目岗位及职责</w:t>
            </w:r>
          </w:p>
        </w:tc>
        <w:tc>
          <w:tcPr>
            <w:tcW w:w="2302"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主要资历、项目经验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ind w:left="930" w:hanging="1063" w:hangingChars="4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备注</w:t>
      </w:r>
      <w:r>
        <w:rPr>
          <w:rFonts w:hint="eastAsia" w:ascii="仿宋" w:hAnsi="仿宋" w:eastAsia="仿宋" w:cs="仿宋"/>
          <w:color w:val="000000" w:themeColor="text1"/>
          <w:sz w:val="24"/>
          <w:szCs w:val="24"/>
          <w:highlight w:val="none"/>
          <w14:textFill>
            <w14:solidFill>
              <w14:schemeClr w14:val="tx1"/>
            </w14:solidFill>
          </w14:textFill>
        </w:rPr>
        <w:t>：（1）提供所有参与本项目人员的相应毕业证书、身份证明等材料的复印件；</w:t>
      </w:r>
    </w:p>
    <w:p>
      <w:pPr>
        <w:spacing w:line="480" w:lineRule="exact"/>
        <w:ind w:left="930" w:hanging="1063" w:hangingChars="4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（2）提供高级项目师的技术等级认证证书等</w:t>
      </w: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授权代表（签名）：</w:t>
      </w:r>
    </w:p>
    <w:p>
      <w:pPr>
        <w:tabs>
          <w:tab w:val="left" w:pos="676"/>
          <w:tab w:val="left" w:pos="2330"/>
          <w:tab w:val="left" w:pos="9230"/>
        </w:tabs>
        <w:autoSpaceDE w:val="0"/>
        <w:autoSpaceDN w:val="0"/>
        <w:adjustRightInd w:val="0"/>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ind w:left="4700" w:leftChars="2238"/>
        <w:jc w:val="left"/>
        <w:rPr>
          <w:rFonts w:hint="eastAsia" w:ascii="仿宋" w:hAnsi="仿宋" w:eastAsia="仿宋" w:cs="仿宋"/>
          <w:color w:val="000000" w:themeColor="text1"/>
          <w:sz w:val="24"/>
          <w:szCs w:val="24"/>
          <w:highlight w:val="none"/>
          <w14:textFill>
            <w14:solidFill>
              <w14:schemeClr w14:val="tx1"/>
            </w14:solidFill>
          </w14:textFill>
        </w:rPr>
        <w:sectPr>
          <w:headerReference r:id="rId14" w:type="default"/>
          <w:footerReference r:id="rId15" w:type="default"/>
          <w:pgSz w:w="11907" w:h="16840"/>
          <w:pgMar w:top="1440" w:right="1418" w:bottom="1440" w:left="1418" w:header="851" w:footer="851" w:gutter="0"/>
          <w:cols w:space="720" w:num="1"/>
          <w:docGrid w:linePitch="285" w:charSpace="0"/>
        </w:sectPr>
      </w:pPr>
      <w:r>
        <w:rPr>
          <w:rFonts w:hint="eastAsia" w:ascii="仿宋" w:hAnsi="仿宋" w:eastAsia="仿宋" w:cs="仿宋"/>
          <w:color w:val="000000" w:themeColor="text1"/>
          <w:sz w:val="24"/>
          <w:szCs w:val="24"/>
          <w:highlight w:val="none"/>
          <w14:textFill>
            <w14:solidFill>
              <w14:schemeClr w14:val="tx1"/>
            </w14:solidFill>
          </w14:textFill>
        </w:rPr>
        <w:t>日      期：</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bookmarkStart w:id="29" w:name="_Toc42956290"/>
      <w:r>
        <w:rPr>
          <w:rFonts w:hint="eastAsia" w:ascii="仿宋" w:hAnsi="仿宋" w:eastAsia="仿宋" w:cs="仿宋"/>
          <w:b/>
          <w:color w:val="000000" w:themeColor="text1"/>
          <w:sz w:val="24"/>
          <w:szCs w:val="24"/>
          <w:highlight w:val="none"/>
          <w14:textFill>
            <w14:solidFill>
              <w14:schemeClr w14:val="tx1"/>
            </w14:solidFill>
          </w14:textFill>
        </w:rPr>
        <w:t>7.6.2   采购人配合条件</w:t>
      </w:r>
      <w:bookmarkEnd w:id="29"/>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采购人配合的条件</w:t>
      </w:r>
    </w:p>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为配合本项目计划进度时间表所进行的各阶段工作，供应商必须列明需采购人配合的工作内容和具体要求。</w:t>
      </w: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 价 人（法人公章）：</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授权代表（签字）：</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    期：</w:t>
      </w:r>
    </w:p>
    <w:p>
      <w:pPr>
        <w:pStyle w:val="19"/>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bookmarkStart w:id="30" w:name="_Hlt10567911"/>
      <w:bookmarkEnd w:id="30"/>
    </w:p>
    <w:p>
      <w:pPr>
        <w:pStyle w:val="19"/>
        <w:spacing w:line="20" w:lineRule="exact"/>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31" w:name="_Hlt10523642"/>
      <w:bookmarkEnd w:id="31"/>
    </w:p>
    <w:p>
      <w:pPr>
        <w:pStyle w:val="19"/>
        <w:spacing w:line="2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00" w:lineRule="atLeast"/>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44"/>
          <w:sz w:val="24"/>
          <w:szCs w:val="24"/>
          <w:highlight w:val="none"/>
          <w14:textFill>
            <w14:solidFill>
              <w14:schemeClr w14:val="tx1"/>
            </w14:solidFill>
          </w14:textFill>
        </w:rPr>
        <w:t>8</w:t>
      </w:r>
      <w:r>
        <w:rPr>
          <w:rFonts w:hint="eastAsia" w:ascii="仿宋" w:hAnsi="仿宋" w:eastAsia="仿宋" w:cs="仿宋"/>
          <w:b/>
          <w:color w:val="000000" w:themeColor="text1"/>
          <w:kern w:val="10"/>
          <w:sz w:val="24"/>
          <w:szCs w:val="24"/>
          <w:highlight w:val="none"/>
          <w14:textFill>
            <w14:solidFill>
              <w14:schemeClr w14:val="tx1"/>
            </w14:solidFill>
          </w14:textFill>
        </w:rPr>
        <w:t>、</w:t>
      </w:r>
      <w:r>
        <w:rPr>
          <w:rFonts w:hint="eastAsia" w:ascii="仿宋" w:hAnsi="仿宋" w:eastAsia="仿宋" w:cs="仿宋"/>
          <w:b/>
          <w:bCs/>
          <w:color w:val="000000" w:themeColor="text1"/>
          <w:kern w:val="44"/>
          <w:sz w:val="24"/>
          <w:szCs w:val="24"/>
          <w:highlight w:val="none"/>
          <w14:textFill>
            <w14:solidFill>
              <w14:schemeClr w14:val="tx1"/>
            </w14:solidFill>
          </w14:textFill>
        </w:rPr>
        <w:t>同意磋商文件条款声明格式</w:t>
      </w:r>
    </w:p>
    <w:p>
      <w:pPr>
        <w:pStyle w:val="19"/>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同意磋商文件条款声明</w:t>
      </w:r>
    </w:p>
    <w:p>
      <w:pPr>
        <w:pStyle w:val="19"/>
        <w:spacing w:line="400" w:lineRule="atLeast"/>
        <w:rPr>
          <w:rFonts w:hint="eastAsia" w:ascii="仿宋" w:hAnsi="仿宋" w:eastAsia="仿宋" w:cs="仿宋"/>
          <w:b/>
          <w:color w:val="000000" w:themeColor="text1"/>
          <w:sz w:val="24"/>
          <w:szCs w:val="24"/>
          <w:highlight w:val="none"/>
          <w14:textFill>
            <w14:solidFill>
              <w14:schemeClr w14:val="tx1"/>
            </w14:solidFill>
          </w14:textFill>
        </w:rPr>
      </w:pP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00" w:lineRule="atLeast"/>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为响应你方组织的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策勒县残疾人安装及维修假肢项目（二次）</w:t>
      </w:r>
      <w:r>
        <w:rPr>
          <w:rFonts w:hint="eastAsia" w:ascii="仿宋" w:hAnsi="仿宋" w:eastAsia="仿宋" w:cs="仿宋"/>
          <w:color w:val="000000" w:themeColor="text1"/>
          <w:sz w:val="24"/>
          <w:szCs w:val="24"/>
          <w:highlight w:val="none"/>
          <w14:textFill>
            <w14:solidFill>
              <w14:schemeClr w14:val="tx1"/>
            </w14:solidFill>
          </w14:textFill>
        </w:rPr>
        <w:t xml:space="preserve">的供货及相关服务的竞争性磋商[编号为：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2021-clx- 071号</w:t>
      </w:r>
      <w:r>
        <w:rPr>
          <w:rFonts w:hint="eastAsia" w:ascii="仿宋" w:hAnsi="仿宋" w:eastAsia="仿宋" w:cs="仿宋"/>
          <w:color w:val="000000" w:themeColor="text1"/>
          <w:sz w:val="24"/>
          <w:szCs w:val="24"/>
          <w:highlight w:val="none"/>
          <w14:textFill>
            <w14:solidFill>
              <w14:schemeClr w14:val="tx1"/>
            </w14:solidFill>
          </w14:textFill>
        </w:rPr>
        <w:t xml:space="preserve">  ]，我方在参与投标（报价）前已详细研究了磋商文件的所有内容，包括修改文件（如果有的话）和所有已提供的参考资料以及有关附件，我方完全明白并认为此磋商文件没有倾向性，也没有存在排斥潜在投标（报价）人的内容，我方并同意磋商文件的相关条款。</w:t>
      </w: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特此声明。</w:t>
      </w: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报价（报价）人（公章）：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 定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姓名（印刷体）</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pStyle w:val="19"/>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9"/>
        <w:spacing w:line="400" w:lineRule="atLeas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napToGrid w:val="0"/>
        <w:spacing w:line="400" w:lineRule="atLeas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9"/>
        <w:spacing w:line="2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32" w:name="_Hlt10524029"/>
      <w:bookmarkEnd w:id="32"/>
      <w:bookmarkStart w:id="33" w:name="_Hlt10524018"/>
      <w:bookmarkEnd w:id="33"/>
      <w:bookmarkStart w:id="34" w:name="_Hlt10462525"/>
      <w:bookmarkEnd w:id="34"/>
      <w:bookmarkStart w:id="35" w:name="_Hlt10529670"/>
      <w:bookmarkEnd w:id="35"/>
      <w:bookmarkStart w:id="36" w:name="_Hlt10524010"/>
      <w:bookmarkEnd w:id="36"/>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before="120" w:line="360" w:lineRule="auto"/>
        <w:ind w:firstLine="5520" w:firstLineChars="2300"/>
        <w:rPr>
          <w:rFonts w:hint="eastAsia" w:ascii="仿宋" w:hAnsi="仿宋" w:eastAsia="仿宋" w:cs="仿宋"/>
          <w:color w:val="000000" w:themeColor="text1"/>
          <w:sz w:val="24"/>
          <w:szCs w:val="24"/>
          <w:highlight w:val="none"/>
          <w14:textFill>
            <w14:solidFill>
              <w14:schemeClr w14:val="tx1"/>
            </w14:solidFill>
          </w14:textFill>
        </w:rPr>
      </w:pPr>
    </w:p>
    <w:sectPr>
      <w:pgSz w:w="11906" w:h="16838"/>
      <w:pgMar w:top="1440" w:right="1418" w:bottom="1440"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5b8b_4f53">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rPr>
        <w:rFonts w:ascii="宋体"/>
      </w:rPr>
    </w:pPr>
    <w:r>
      <w:rPr>
        <w:rFonts w:hint="eastAsia"/>
      </w:rPr>
      <w:t>新疆晓君招标有限公司</w:t>
    </w:r>
    <w:r>
      <w:rPr>
        <w:rFonts w:ascii="宋体" w:hAnsi="宋体"/>
      </w:rPr>
      <w:t xml:space="preserve">                                                                </w:t>
    </w:r>
    <w:r>
      <w:rPr>
        <w:rFonts w:hint="eastAsia" w:ascii="宋体" w:hAnsi="宋体"/>
        <w:sz w:val="18"/>
        <w:szCs w:val="18"/>
        <w:lang w:val="en-US" w:eastAsia="zh-CN"/>
      </w:rPr>
      <w:t>2</w:t>
    </w:r>
    <w:r>
      <w:rPr>
        <w:rFonts w:ascii="宋体" w:hAnsi="宋体"/>
        <w:sz w:val="18"/>
        <w:szCs w:val="18"/>
      </w:rPr>
      <w:t>-</w:t>
    </w:r>
    <w:r>
      <w:rPr>
        <w:rStyle w:val="38"/>
        <w:rFonts w:ascii="宋体" w:hAnsi="宋体"/>
        <w:sz w:val="18"/>
        <w:szCs w:val="18"/>
      </w:rPr>
      <w:fldChar w:fldCharType="begin"/>
    </w:r>
    <w:r>
      <w:rPr>
        <w:rStyle w:val="38"/>
        <w:rFonts w:ascii="宋体" w:hAnsi="宋体"/>
        <w:sz w:val="18"/>
        <w:szCs w:val="18"/>
      </w:rPr>
      <w:instrText xml:space="preserve"> PAGE </w:instrText>
    </w:r>
    <w:r>
      <w:rPr>
        <w:rStyle w:val="38"/>
        <w:rFonts w:ascii="宋体" w:hAnsi="宋体"/>
        <w:sz w:val="18"/>
        <w:szCs w:val="18"/>
      </w:rPr>
      <w:fldChar w:fldCharType="separate"/>
    </w:r>
    <w:r>
      <w:rPr>
        <w:rStyle w:val="38"/>
        <w:rFonts w:ascii="宋体" w:hAnsi="宋体"/>
        <w:sz w:val="18"/>
        <w:szCs w:val="18"/>
      </w:rPr>
      <w:t>14</w:t>
    </w:r>
    <w:r>
      <w:rPr>
        <w:rStyle w:val="38"/>
        <w:rFonts w:ascii="宋体" w:hAnsi="宋体"/>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rPr>
        <w:rFonts w:ascii="宋体"/>
      </w:rPr>
    </w:pPr>
    <w:r>
      <w:rPr>
        <w:rFonts w:hint="eastAsia"/>
      </w:rPr>
      <w:t>新疆晓君招标有限公司</w:t>
    </w:r>
    <w:r>
      <w:rPr>
        <w:rFonts w:ascii="宋体" w:hAnsi="宋体"/>
      </w:rPr>
      <w:t xml:space="preserve">                                                                    2-</w:t>
    </w:r>
    <w:r>
      <w:rPr>
        <w:rStyle w:val="38"/>
        <w:rFonts w:ascii="宋体" w:hAnsi="宋体"/>
        <w:sz w:val="18"/>
        <w:szCs w:val="18"/>
      </w:rPr>
      <w:fldChar w:fldCharType="begin"/>
    </w:r>
    <w:r>
      <w:rPr>
        <w:rStyle w:val="38"/>
        <w:rFonts w:ascii="宋体" w:hAnsi="宋体"/>
        <w:sz w:val="18"/>
        <w:szCs w:val="18"/>
      </w:rPr>
      <w:instrText xml:space="preserve"> PAGE </w:instrText>
    </w:r>
    <w:r>
      <w:rPr>
        <w:rStyle w:val="38"/>
        <w:rFonts w:ascii="宋体" w:hAnsi="宋体"/>
        <w:sz w:val="18"/>
        <w:szCs w:val="18"/>
      </w:rPr>
      <w:fldChar w:fldCharType="separate"/>
    </w:r>
    <w:r>
      <w:rPr>
        <w:rStyle w:val="38"/>
        <w:rFonts w:ascii="宋体" w:hAnsi="宋体"/>
        <w:sz w:val="18"/>
        <w:szCs w:val="18"/>
      </w:rPr>
      <w:t>17</w:t>
    </w:r>
    <w:r>
      <w:rPr>
        <w:rStyle w:val="38"/>
        <w:rFonts w:ascii="宋体" w:hAnsi="宋体"/>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rPr>
        <w:lang w:val="en-US" w:bidi="ar-SA"/>
      </w:rPr>
      <mc:AlternateContent>
        <mc:Choice Requires="wps">
          <w:drawing>
            <wp:anchor distT="0" distB="0" distL="114300" distR="114300" simplePos="0" relativeHeight="251663360" behindDoc="0" locked="0" layoutInCell="1" allowOverlap="1">
              <wp:simplePos x="0" y="0"/>
              <wp:positionH relativeFrom="margin">
                <wp:posOffset>5777865</wp:posOffset>
              </wp:positionH>
              <wp:positionV relativeFrom="paragraph">
                <wp:posOffset>20320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454.95pt;margin-top:1.6pt;height:144pt;width:144pt;mso-position-horizontal-relative:margin;mso-wrap-style:none;z-index:251663360;mso-width-relative:page;mso-height-relative:page;" filled="f" stroked="f" coordsize="21600,21600" o:gfxdata="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b8pE3ZAAAACgEAAA8AAAAAAAAAAQAgAAAAIgAAAGRy&#10;cy9kb3ducmV2LnhtbFBLAQIUABQAAAAIAIdO4kDeRK/QywEAAJkDAAAOAAAAAAAAAAEAIAAAACgB&#10;AABkcnMvZTJvRG9jLnhtbFBLBQYAAAAABgAGAFkBAABlBQAAAAA=&#10;">
              <v:fill on="f" focussize="0,0"/>
              <v:stroke on="f" weight="1.2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61312" behindDoc="0" locked="0" layoutInCell="1" allowOverlap="1">
              <wp:simplePos x="0" y="0"/>
              <wp:positionH relativeFrom="margin">
                <wp:posOffset>12700</wp:posOffset>
              </wp:positionH>
              <wp:positionV relativeFrom="paragraph">
                <wp:posOffset>7620</wp:posOffset>
              </wp:positionV>
              <wp:extent cx="6652895" cy="20066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6652895" cy="200660"/>
                      </a:xfrm>
                      <a:prstGeom prst="rect">
                        <a:avLst/>
                      </a:prstGeom>
                      <a:noFill/>
                      <a:ln w="15875">
                        <a:noFill/>
                      </a:ln>
                    </wps:spPr>
                    <wps:txbx>
                      <w:txbxContent>
                        <w:p>
                          <w:pPr>
                            <w:pStyle w:val="23"/>
                          </w:pPr>
                          <w:r>
                            <w:rPr>
                              <w:rFonts w:hint="eastAsia"/>
                            </w:rPr>
                            <w:t xml:space="preserve">新疆晓君招标有限公司                                                                               </w:t>
                          </w:r>
                          <w:r>
                            <w:rPr>
                              <w:rFonts w:hint="eastAsia"/>
                              <w:lang w:val="en-US" w:eastAsia="zh-CN"/>
                            </w:rPr>
                            <w:t>3</w:t>
                          </w:r>
                          <w:r>
                            <w:rPr>
                              <w:rFonts w:hint="eastAsia"/>
                            </w:rPr>
                            <w:t>-</w:t>
                          </w:r>
                        </w:p>
                      </w:txbxContent>
                    </wps:txbx>
                    <wps:bodyPr lIns="0" tIns="0" rIns="0" bIns="0"/>
                  </wps:wsp>
                </a:graphicData>
              </a:graphic>
            </wp:anchor>
          </w:drawing>
        </mc:Choice>
        <mc:Fallback>
          <w:pict>
            <v:shape id="_x0000_s1026" o:spid="_x0000_s1026" o:spt="202" type="#_x0000_t202" style="position:absolute;left:0pt;margin-left:1pt;margin-top:0.6pt;height:15.8pt;width:523.85pt;mso-position-horizontal-relative:margin;z-index:251661312;mso-width-relative:page;mso-height-relative:page;" filled="f" stroked="f" coordsize="21600,21600" o:gfxdata="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U3v3dYAAAAHAQAADwAAAAAAAAABACAAAAAiAAAAZHJzL2Rvd25yZXYueG1sUEsB&#10;AhQAFAAAAAgAh07iQPU1smy+AQAAcgMAAA4AAAAAAAAAAQAgAAAAJQEAAGRycy9lMm9Eb2MueG1s&#10;UEsFBgAAAAAGAAYAWQEAAFUFAAAAAA==&#10;">
              <v:fill on="f" focussize="0,0"/>
              <v:stroke on="f" weight="1.25pt"/>
              <v:imagedata o:title=""/>
              <o:lock v:ext="edit" aspectratio="f"/>
              <v:textbox inset="0mm,0mm,0mm,0mm">
                <w:txbxContent>
                  <w:p>
                    <w:pPr>
                      <w:pStyle w:val="23"/>
                    </w:pPr>
                    <w:r>
                      <w:rPr>
                        <w:rFonts w:hint="eastAsia"/>
                      </w:rPr>
                      <w:t xml:space="preserve">新疆晓君招标有限公司                                                                               </w:t>
                    </w:r>
                    <w:r>
                      <w:rPr>
                        <w:rFonts w:hint="eastAsia"/>
                        <w:lang w:val="en-US" w:eastAsia="zh-CN"/>
                      </w:rPr>
                      <w:t>3</w:t>
                    </w:r>
                    <w:r>
                      <w:rPr>
                        <w:rFonts w:hint="eastAsia"/>
                      </w:rPr>
                      <w:t>-</w:t>
                    </w:r>
                  </w:p>
                </w:txbxContent>
              </v:textbox>
            </v:shape>
          </w:pict>
        </mc:Fallback>
      </mc:AlternateContent>
    </w:r>
    <w:r>
      <w:rPr>
        <w:rFonts w:hint="eastAsia"/>
      </w:rPr>
      <w:t>司</w:t>
    </w:r>
    <w:r>
      <w:rPr>
        <w:sz w:val="18"/>
        <w:lang w:val="en-US" w:bidi="ar-SA"/>
      </w:rPr>
      <mc:AlternateContent>
        <mc:Choice Requires="wps">
          <w:drawing>
            <wp:anchor distT="0" distB="0" distL="114300" distR="114300" simplePos="0" relativeHeight="251661312" behindDoc="0" locked="0" layoutInCell="1" allowOverlap="1">
              <wp:simplePos x="0" y="0"/>
              <wp:positionH relativeFrom="margin">
                <wp:posOffset>-571500</wp:posOffset>
              </wp:positionH>
              <wp:positionV relativeFrom="paragraph">
                <wp:posOffset>-10227310</wp:posOffset>
              </wp:positionV>
              <wp:extent cx="815975"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815975" cy="1828800"/>
                      </a:xfrm>
                      <a:prstGeom prst="rect">
                        <a:avLst/>
                      </a:prstGeom>
                      <a:noFill/>
                      <a:ln w="15875">
                        <a:noFill/>
                      </a:ln>
                    </wps:spPr>
                    <wps:txbx>
                      <w:txbxContent>
                        <w:p/>
                      </w:txbxContent>
                    </wps:txbx>
                    <wps:bodyPr lIns="0" tIns="0" rIns="0" bIns="0">
                      <a:spAutoFit/>
                    </wps:bodyPr>
                  </wps:wsp>
                </a:graphicData>
              </a:graphic>
            </wp:anchor>
          </w:drawing>
        </mc:Choice>
        <mc:Fallback>
          <w:pict>
            <v:shape id="_x0000_s1026" o:spid="_x0000_s1026" o:spt="202" type="#_x0000_t202" style="position:absolute;left:0pt;margin-left:-45pt;margin-top:-805.3pt;height:144pt;width:64.25pt;mso-position-horizontal-relative:margin;z-index:251661312;mso-width-relative:page;mso-height-relative:page;" filled="f" stroked="f" coordsize="21600,21600" o:gfxdata="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W4t+3AAAAA4BAAAPAAAAAAAAAAEAIAAAACIAAABkcnMv&#10;ZG93bnJldi54bWxQSwECFAAUAAAACACHTuJAPfGGDcYBAACMAwAADgAAAAAAAAABACAAAAArAQAA&#10;ZHJzL2Uyb0RvYy54bWxQSwUGAAAAAAYABgBZAQAAYwUAAAAA&#10;">
              <v:fill on="f" focussize="0,0"/>
              <v:stroke on="f" weight="1.25pt"/>
              <v:imagedata o:title=""/>
              <o:lock v:ext="edit" aspectratio="f"/>
              <v:textbox inset="0mm,0mm,0mm,0mm" style="mso-fit-shape-to-text:t;">
                <w:txbxContent>
                  <w:p/>
                </w:txbxContent>
              </v:textbox>
            </v:shape>
          </w:pict>
        </mc:Fallback>
      </mc:AlternateContent>
    </w:r>
    <w:r>
      <w:rPr>
        <w:lang w:val="en-US" w:bidi="ar-SA"/>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10062210</wp:posOffset>
              </wp:positionV>
              <wp:extent cx="166370" cy="1397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pPr>
                            <w:spacing w:line="220" w:lineRule="exact"/>
                            <w:ind w:left="40"/>
                            <w:rPr>
                              <w:rFonts w:ascii="宋体"/>
                              <w:sz w:val="18"/>
                            </w:rPr>
                          </w:pPr>
                        </w:p>
                      </w:txbxContent>
                    </wps:txbx>
                    <wps:bodyPr lIns="0" tIns="0" rIns="0" bIns="0" upright="1"/>
                  </wps:wsp>
                </a:graphicData>
              </a:graphic>
            </wp:anchor>
          </w:drawing>
        </mc:Choice>
        <mc:Fallback>
          <w:pict>
            <v:shape id="_x0000_s1026" o:spid="_x0000_s1026" o:spt="202" type="#_x0000_t202" style="position:absolute;left:0pt;margin-left:291.15pt;margin-top:792.3pt;height:11pt;width:13.1pt;mso-position-horizontal-relative:page;mso-position-vertical-relative:page;z-index:-251657216;mso-width-relative:page;mso-height-relative:page;" filled="f" stroked="f" coordsize="21600,21600" o:gfxdata="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NybOLaAAAADQEAAA8AAAAAAAAAAQAgAAAAIgAAAGRycy9kb3ducmV2Lnht&#10;bFBLAQIUABQAAAAIAIdO4kA78wGivgEAAIEDAAAOAAAAAAAAAAEAIAAAACkBAABkcnMvZTJvRG9j&#10;LnhtbFBLBQYAAAAABgAGAFkBAABZBQAAAAA=&#10;">
              <v:fill on="f" focussize="0,0"/>
              <v:stroke on="f"/>
              <v:imagedata o:title=""/>
              <o:lock v:ext="edit" aspectratio="f"/>
              <v:textbox inset="0mm,0mm,0mm,0mm">
                <w:txbxContent>
                  <w:p>
                    <w:pPr>
                      <w:spacing w:line="220" w:lineRule="exact"/>
                      <w:ind w:left="40"/>
                      <w:rPr>
                        <w:rFonts w:ascii="宋体"/>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rPr>
        <w:lang w:val="en-US" w:bidi="ar-SA"/>
      </w:rPr>
      <mc:AlternateContent>
        <mc:Choice Requires="wps">
          <w:drawing>
            <wp:anchor distT="0" distB="0" distL="114300" distR="114300" simplePos="0" relativeHeight="251671552" behindDoc="0" locked="0" layoutInCell="1" allowOverlap="1">
              <wp:simplePos x="0" y="0"/>
              <wp:positionH relativeFrom="margin">
                <wp:posOffset>5777865</wp:posOffset>
              </wp:positionH>
              <wp:positionV relativeFrom="paragraph">
                <wp:posOffset>20320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454.95pt;margin-top:1.6pt;height:144pt;width:144pt;mso-position-horizontal-relative:margin;mso-wrap-style:none;z-index:251671552;mso-width-relative:page;mso-height-relative:page;" filled="f" stroked="f" coordsize="21600,21600" o:gfxdata="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&#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m/KRN2QAAAAoBAAAPAAAAAAAAAAEAIAAAACIAAABk&#10;cnMvZG93bnJldi54bWxQSwECFAAUAAAACACHTuJAaZqY48wBAACZAwAADgAAAAAAAAABACAAAAAo&#10;AQAAZHJzL2Uyb0RvYy54bWxQSwUGAAAAAAYABgBZAQAAZgUAAAAA&#10;">
              <v:fill on="f" focussize="0,0"/>
              <v:stroke on="f" weight="1.2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70528" behindDoc="0" locked="0" layoutInCell="1" allowOverlap="1">
              <wp:simplePos x="0" y="0"/>
              <wp:positionH relativeFrom="margin">
                <wp:posOffset>12700</wp:posOffset>
              </wp:positionH>
              <wp:positionV relativeFrom="paragraph">
                <wp:posOffset>7620</wp:posOffset>
              </wp:positionV>
              <wp:extent cx="6652895" cy="20066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6652895" cy="200660"/>
                      </a:xfrm>
                      <a:prstGeom prst="rect">
                        <a:avLst/>
                      </a:prstGeom>
                      <a:noFill/>
                      <a:ln w="15875">
                        <a:noFill/>
                      </a:ln>
                    </wps:spPr>
                    <wps:txbx>
                      <w:txbxContent>
                        <w:p>
                          <w:pPr>
                            <w:pStyle w:val="23"/>
                          </w:pPr>
                          <w:r>
                            <w:rPr>
                              <w:rFonts w:hint="eastAsia"/>
                            </w:rPr>
                            <w:t xml:space="preserve">新疆晓君招标有限公司                                                                               </w:t>
                          </w:r>
                          <w:r>
                            <w:rPr>
                              <w:rFonts w:hint="eastAsia"/>
                              <w:lang w:val="en-US" w:eastAsia="zh-CN"/>
                            </w:rPr>
                            <w:t>4</w:t>
                          </w:r>
                          <w:r>
                            <w:rPr>
                              <w:rFonts w:hint="eastAsia"/>
                            </w:rPr>
                            <w:t>-</w:t>
                          </w:r>
                        </w:p>
                      </w:txbxContent>
                    </wps:txbx>
                    <wps:bodyPr lIns="0" tIns="0" rIns="0" bIns="0"/>
                  </wps:wsp>
                </a:graphicData>
              </a:graphic>
            </wp:anchor>
          </w:drawing>
        </mc:Choice>
        <mc:Fallback>
          <w:pict>
            <v:shape id="_x0000_s1026" o:spid="_x0000_s1026" o:spt="202" type="#_x0000_t202" style="position:absolute;left:0pt;margin-left:1pt;margin-top:0.6pt;height:15.8pt;width:523.85pt;mso-position-horizontal-relative:margin;z-index:251670528;mso-width-relative:page;mso-height-relative:page;" filled="f" stroked="f" coordsize="21600,21600" o:gfxdata="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Te/d1gAAAAcBAAAPAAAAAAAAAAEAIAAAACIAAABkcnMvZG93bnJldi54bWxQSwEC&#10;FAAUAAAACACHTuJAq4kvub0BAAByAwAADgAAAAAAAAABACAAAAAlAQAAZHJzL2Uyb0RvYy54bWxQ&#10;SwUGAAAAAAYABgBZAQAAVAUAAAAA&#10;">
              <v:fill on="f" focussize="0,0"/>
              <v:stroke on="f" weight="1.25pt"/>
              <v:imagedata o:title=""/>
              <o:lock v:ext="edit" aspectratio="f"/>
              <v:textbox inset="0mm,0mm,0mm,0mm">
                <w:txbxContent>
                  <w:p>
                    <w:pPr>
                      <w:pStyle w:val="23"/>
                    </w:pPr>
                    <w:r>
                      <w:rPr>
                        <w:rFonts w:hint="eastAsia"/>
                      </w:rPr>
                      <w:t xml:space="preserve">新疆晓君招标有限公司                                                                               </w:t>
                    </w:r>
                    <w:r>
                      <w:rPr>
                        <w:rFonts w:hint="eastAsia"/>
                        <w:lang w:val="en-US" w:eastAsia="zh-CN"/>
                      </w:rPr>
                      <w:t>4</w:t>
                    </w:r>
                    <w:r>
                      <w:rPr>
                        <w:rFonts w:hint="eastAsia"/>
                      </w:rPr>
                      <w:t>-</w:t>
                    </w:r>
                  </w:p>
                </w:txbxContent>
              </v:textbox>
            </v:shape>
          </w:pict>
        </mc:Fallback>
      </mc:AlternateContent>
    </w:r>
    <w:r>
      <w:rPr>
        <w:rFonts w:hint="eastAsia"/>
      </w:rPr>
      <w:t>司</w:t>
    </w:r>
    <w:r>
      <w:rPr>
        <w:sz w:val="18"/>
        <w:lang w:val="en-US" w:bidi="ar-SA"/>
      </w:rPr>
      <mc:AlternateContent>
        <mc:Choice Requires="wps">
          <w:drawing>
            <wp:anchor distT="0" distB="0" distL="114300" distR="114300" simplePos="0" relativeHeight="251670528" behindDoc="0" locked="0" layoutInCell="1" allowOverlap="1">
              <wp:simplePos x="0" y="0"/>
              <wp:positionH relativeFrom="margin">
                <wp:posOffset>-571500</wp:posOffset>
              </wp:positionH>
              <wp:positionV relativeFrom="paragraph">
                <wp:posOffset>-10227310</wp:posOffset>
              </wp:positionV>
              <wp:extent cx="815975"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815975" cy="1828800"/>
                      </a:xfrm>
                      <a:prstGeom prst="rect">
                        <a:avLst/>
                      </a:prstGeom>
                      <a:noFill/>
                      <a:ln w="15875">
                        <a:noFill/>
                      </a:ln>
                    </wps:spPr>
                    <wps:txbx>
                      <w:txbxContent>
                        <w:p/>
                      </w:txbxContent>
                    </wps:txbx>
                    <wps:bodyPr lIns="0" tIns="0" rIns="0" bIns="0">
                      <a:spAutoFit/>
                    </wps:bodyPr>
                  </wps:wsp>
                </a:graphicData>
              </a:graphic>
            </wp:anchor>
          </w:drawing>
        </mc:Choice>
        <mc:Fallback>
          <w:pict>
            <v:shape id="_x0000_s1026" o:spid="_x0000_s1026" o:spt="202" type="#_x0000_t202" style="position:absolute;left:0pt;margin-left:-45pt;margin-top:-805.3pt;height:144pt;width:64.25pt;mso-position-horizontal-relative:margin;z-index:251670528;mso-width-relative:page;mso-height-relative:page;" filled="f" stroked="f" coordsize="21600,21600" o:gfxdata="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&#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tbi37cAAAADgEAAA8AAAAAAAAAAQAgAAAAIgAAAGRy&#10;cy9kb3ducmV2LnhtbFBLAQIUABQAAAAIAIdO4kCBCwsoyAEAAIwDAAAOAAAAAAAAAAEAIAAAACsB&#10;AABkcnMvZTJvRG9jLnhtbFBLBQYAAAAABgAGAFkBAABlBQAAAAA=&#10;">
              <v:fill on="f" focussize="0,0"/>
              <v:stroke on="f" weight="1.25pt"/>
              <v:imagedata o:title=""/>
              <o:lock v:ext="edit" aspectratio="f"/>
              <v:textbox inset="0mm,0mm,0mm,0mm" style="mso-fit-shape-to-text:t;">
                <w:txbxContent>
                  <w:p/>
                </w:txbxContent>
              </v:textbox>
            </v:shape>
          </w:pict>
        </mc:Fallback>
      </mc:AlternateContent>
    </w:r>
    <w:r>
      <w:rPr>
        <w:lang w:val="en-US" w:bidi="ar-SA"/>
      </w:rPr>
      <mc:AlternateContent>
        <mc:Choice Requires="wps">
          <w:drawing>
            <wp:anchor distT="0" distB="0" distL="114300" distR="114300" simplePos="0" relativeHeight="251669504" behindDoc="1" locked="0" layoutInCell="1" allowOverlap="1">
              <wp:simplePos x="0" y="0"/>
              <wp:positionH relativeFrom="page">
                <wp:posOffset>3697605</wp:posOffset>
              </wp:positionH>
              <wp:positionV relativeFrom="page">
                <wp:posOffset>10062210</wp:posOffset>
              </wp:positionV>
              <wp:extent cx="166370" cy="1397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pPr>
                            <w:spacing w:line="220" w:lineRule="exact"/>
                            <w:ind w:left="40"/>
                            <w:rPr>
                              <w:rFonts w:ascii="宋体"/>
                              <w:sz w:val="18"/>
                            </w:rPr>
                          </w:pPr>
                        </w:p>
                      </w:txbxContent>
                    </wps:txbx>
                    <wps:bodyPr lIns="0" tIns="0" rIns="0" bIns="0" upright="1"/>
                  </wps:wsp>
                </a:graphicData>
              </a:graphic>
            </wp:anchor>
          </w:drawing>
        </mc:Choice>
        <mc:Fallback>
          <w:pict>
            <v:shape id="_x0000_s1026" o:spid="_x0000_s1026" o:spt="202" type="#_x0000_t202" style="position:absolute;left:0pt;margin-left:291.15pt;margin-top:792.3pt;height:11pt;width:13.1pt;mso-position-horizontal-relative:page;mso-position-vertical-relative:page;z-index:-251646976;mso-width-relative:page;mso-height-relative:page;" filled="f" stroked="f" coordsize="21600,21600" o:gfxdata="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zcmzi2gAAAA0BAAAPAAAAAAAAAAEAIAAAACIAAABkcnMvZG93bnJldi54&#10;bWxQSwECFAAUAAAACACHTuJAs9td578BAACBAwAADgAAAAAAAAABACAAAAApAQAAZHJzL2Uyb0Rv&#10;Yy54bWxQSwUGAAAAAAYABgBZAQAAWgUAAAAA&#10;">
              <v:fill on="f" focussize="0,0"/>
              <v:stroke on="f"/>
              <v:imagedata o:title=""/>
              <o:lock v:ext="edit" aspectratio="f"/>
              <v:textbox inset="0mm,0mm,0mm,0mm">
                <w:txbxContent>
                  <w:p>
                    <w:pPr>
                      <w:spacing w:line="220" w:lineRule="exact"/>
                      <w:ind w:left="40"/>
                      <w:rPr>
                        <w:rFonts w:ascii="宋体"/>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rPr>
        <w:lang w:val="en-US" w:bidi="ar-SA"/>
      </w:rPr>
      <mc:AlternateContent>
        <mc:Choice Requires="wps">
          <w:drawing>
            <wp:anchor distT="0" distB="0" distL="114300" distR="114300" simplePos="0" relativeHeight="251668480" behindDoc="0" locked="0" layoutInCell="1" allowOverlap="1">
              <wp:simplePos x="0" y="0"/>
              <wp:positionH relativeFrom="margin">
                <wp:posOffset>5777865</wp:posOffset>
              </wp:positionH>
              <wp:positionV relativeFrom="paragraph">
                <wp:posOffset>20320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454.95pt;margin-top:1.6pt;height:144pt;width:144pt;mso-position-horizontal-relative:margin;mso-wrap-style:none;z-index:251668480;mso-width-relative:page;mso-height-relative:page;" filled="f" stroked="f" coordsize="21600,21600" o:gfxdata="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b8pE3ZAAAACgEAAA8AAAAAAAAAAQAgAAAAIgAAAGRy&#10;cy9kb3ducmV2LnhtbFBLAQIUABQAAAAIAIdO4kCAna3LywEAAJcDAAAOAAAAAAAAAAEAIAAAACgB&#10;AABkcnMvZTJvRG9jLnhtbFBLBQYAAAAABgAGAFkBAABlBQAAAAA=&#10;">
              <v:fill on="f" focussize="0,0"/>
              <v:stroke on="f" weight="1.2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66432" behindDoc="0" locked="0" layoutInCell="1" allowOverlap="1">
              <wp:simplePos x="0" y="0"/>
              <wp:positionH relativeFrom="margin">
                <wp:posOffset>12700</wp:posOffset>
              </wp:positionH>
              <wp:positionV relativeFrom="paragraph">
                <wp:posOffset>7620</wp:posOffset>
              </wp:positionV>
              <wp:extent cx="6652895" cy="20066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652895" cy="200660"/>
                      </a:xfrm>
                      <a:prstGeom prst="rect">
                        <a:avLst/>
                      </a:prstGeom>
                      <a:noFill/>
                      <a:ln w="15875">
                        <a:noFill/>
                      </a:ln>
                    </wps:spPr>
                    <wps:txbx>
                      <w:txbxContent>
                        <w:p>
                          <w:pPr>
                            <w:pStyle w:val="23"/>
                            <w:rPr>
                              <w:rFonts w:hint="default"/>
                              <w:lang w:val="en-US"/>
                            </w:rPr>
                          </w:pPr>
                          <w:r>
                            <w:rPr>
                              <w:rFonts w:hint="eastAsia"/>
                            </w:rPr>
                            <w:t xml:space="preserve">新疆晓君招标有限公司                                                                               </w:t>
                          </w:r>
                          <w:r>
                            <w:rPr>
                              <w:rFonts w:hint="eastAsia"/>
                              <w:lang w:val="en-US" w:eastAsia="zh-CN"/>
                            </w:rPr>
                            <w:t>5-</w:t>
                          </w:r>
                        </w:p>
                      </w:txbxContent>
                    </wps:txbx>
                    <wps:bodyPr lIns="0" tIns="0" rIns="0" bIns="0"/>
                  </wps:wsp>
                </a:graphicData>
              </a:graphic>
            </wp:anchor>
          </w:drawing>
        </mc:Choice>
        <mc:Fallback>
          <w:pict>
            <v:shape id="_x0000_s1026" o:spid="_x0000_s1026" o:spt="202" type="#_x0000_t202" style="position:absolute;left:0pt;margin-left:1pt;margin-top:0.6pt;height:15.8pt;width:523.85pt;mso-position-horizontal-relative:margin;z-index:251666432;mso-width-relative:page;mso-height-relative:page;" filled="f" stroked="f" coordsize="21600,21600" o:gfxdata="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Te/d1gAAAAcBAAAPAAAAAAAAAAEAIAAAACIAAABkcnMvZG93bnJldi54bWxQSwEC&#10;FAAUAAAACACHTuJArWsX9L0BAAByAwAADgAAAAAAAAABACAAAAAlAQAAZHJzL2Uyb0RvYy54bWxQ&#10;SwUGAAAAAAYABgBZAQAAVAUAAAAA&#10;">
              <v:fill on="f" focussize="0,0"/>
              <v:stroke on="f" weight="1.25pt"/>
              <v:imagedata o:title=""/>
              <o:lock v:ext="edit" aspectratio="f"/>
              <v:textbox inset="0mm,0mm,0mm,0mm">
                <w:txbxContent>
                  <w:p>
                    <w:pPr>
                      <w:pStyle w:val="23"/>
                      <w:rPr>
                        <w:rFonts w:hint="default"/>
                        <w:lang w:val="en-US"/>
                      </w:rPr>
                    </w:pPr>
                    <w:r>
                      <w:rPr>
                        <w:rFonts w:hint="eastAsia"/>
                      </w:rPr>
                      <w:t xml:space="preserve">新疆晓君招标有限公司                                                                               </w:t>
                    </w:r>
                    <w:r>
                      <w:rPr>
                        <w:rFonts w:hint="eastAsia"/>
                        <w:lang w:val="en-US" w:eastAsia="zh-CN"/>
                      </w:rPr>
                      <w:t>5-</w:t>
                    </w:r>
                  </w:p>
                </w:txbxContent>
              </v:textbox>
            </v:shape>
          </w:pict>
        </mc:Fallback>
      </mc:AlternateContent>
    </w:r>
    <w:r>
      <w:rPr>
        <w:lang w:val="en-US" w:bidi="ar-SA"/>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QzjdzMAQAAmQMAAA4AAABkcnMvZTJvRG9jLnhtbK1TS27bMBDd&#10;F8gdCO5jKS7S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TkcqDv91HbCF3llBHqKkYTixzm7YrrcS/95z19Ee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JDON3MwBAACZAwAADgAAAAAAAAABACAAAAAiAQAAZHJz&#10;L2Uyb0RvYy54bWxQSwUGAAAAAAYABgBZAQAAYAUAAAAA&#10;">
              <v:fill on="f" focussize="0,0"/>
              <v:stroke on="f" weight="1.25pt"/>
              <v:imagedata o:title=""/>
              <o:lock v:ext="edit" aspectratio="f"/>
              <v:textbox inset="0mm,0mm,0mm,0mm" style="mso-fit-shape-to-text:t;">
                <w:txbxContent>
                  <w:p>
                    <w:pPr>
                      <w:pStyle w:val="23"/>
                    </w:pPr>
                  </w:p>
                </w:txbxContent>
              </v:textbox>
            </v:shape>
          </w:pict>
        </mc:Fallback>
      </mc:AlternateContent>
    </w:r>
    <w:r>
      <w:rPr>
        <w:rFonts w:hint="eastAsia"/>
      </w:rPr>
      <w:t>司</w:t>
    </w:r>
    <w:r>
      <w:rPr>
        <w:sz w:val="18"/>
        <w:lang w:val="en-US" w:bidi="ar-SA"/>
      </w:rPr>
      <mc:AlternateContent>
        <mc:Choice Requires="wps">
          <w:drawing>
            <wp:anchor distT="0" distB="0" distL="114300" distR="114300" simplePos="0" relativeHeight="251666432" behindDoc="0" locked="0" layoutInCell="1" allowOverlap="1">
              <wp:simplePos x="0" y="0"/>
              <wp:positionH relativeFrom="margin">
                <wp:posOffset>-571500</wp:posOffset>
              </wp:positionH>
              <wp:positionV relativeFrom="paragraph">
                <wp:posOffset>-10227310</wp:posOffset>
              </wp:positionV>
              <wp:extent cx="815975"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815975" cy="1828800"/>
                      </a:xfrm>
                      <a:prstGeom prst="rect">
                        <a:avLst/>
                      </a:prstGeom>
                      <a:noFill/>
                      <a:ln w="15875">
                        <a:noFill/>
                      </a:ln>
                    </wps:spPr>
                    <wps:txbx>
                      <w:txbxContent>
                        <w:p/>
                      </w:txbxContent>
                    </wps:txbx>
                    <wps:bodyPr lIns="0" tIns="0" rIns="0" bIns="0">
                      <a:spAutoFit/>
                    </wps:bodyPr>
                  </wps:wsp>
                </a:graphicData>
              </a:graphic>
            </wp:anchor>
          </w:drawing>
        </mc:Choice>
        <mc:Fallback>
          <w:pict>
            <v:shape id="_x0000_s1026" o:spid="_x0000_s1026" o:spt="202" type="#_x0000_t202" style="position:absolute;left:0pt;margin-left:-45pt;margin-top:-805.3pt;height:144pt;width:64.25pt;mso-position-horizontal-relative:margin;z-index:251666432;mso-width-relative:page;mso-height-relative:page;" filled="f" stroked="f" coordsize="21600,21600" o:gfxdata="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21uLftwAAAAOAQAADwAAAAAAAAABACAAAAAiAAAAZHJz&#10;L2Rvd25yZXYueG1sUEsBAhQAFAAAAAgAh07iQDV6q5bHAQAAjAMAAA4AAAAAAAAAAQAgAAAAKwEA&#10;AGRycy9lMm9Eb2MueG1sUEsFBgAAAAAGAAYAWQEAAGQFAAAAAA==&#10;">
              <v:fill on="f" focussize="0,0"/>
              <v:stroke on="f" weight="1.25pt"/>
              <v:imagedata o:title=""/>
              <o:lock v:ext="edit" aspectratio="f"/>
              <v:textbox inset="0mm,0mm,0mm,0mm" style="mso-fit-shape-to-text:t;">
                <w:txbxContent>
                  <w:p/>
                </w:txbxContent>
              </v:textbox>
            </v:shape>
          </w:pict>
        </mc:Fallback>
      </mc:AlternateContent>
    </w:r>
    <w:r>
      <w:rPr>
        <w:lang w:val="en-US" w:bidi="ar-SA"/>
      </w:rPr>
      <mc:AlternateContent>
        <mc:Choice Requires="wps">
          <w:drawing>
            <wp:anchor distT="0" distB="0" distL="114300" distR="114300" simplePos="0" relativeHeight="251665408" behindDoc="1" locked="0" layoutInCell="1" allowOverlap="1">
              <wp:simplePos x="0" y="0"/>
              <wp:positionH relativeFrom="page">
                <wp:posOffset>3697605</wp:posOffset>
              </wp:positionH>
              <wp:positionV relativeFrom="page">
                <wp:posOffset>10062210</wp:posOffset>
              </wp:positionV>
              <wp:extent cx="166370" cy="1397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pPr>
                            <w:spacing w:line="220" w:lineRule="exact"/>
                            <w:ind w:left="40"/>
                            <w:rPr>
                              <w:rFonts w:ascii="宋体"/>
                              <w:sz w:val="18"/>
                            </w:rPr>
                          </w:pPr>
                        </w:p>
                      </w:txbxContent>
                    </wps:txbx>
                    <wps:bodyPr lIns="0" tIns="0" rIns="0" bIns="0" upright="1"/>
                  </wps:wsp>
                </a:graphicData>
              </a:graphic>
            </wp:anchor>
          </w:drawing>
        </mc:Choice>
        <mc:Fallback>
          <w:pict>
            <v:shape id="_x0000_s1026" o:spid="_x0000_s1026" o:spt="202" type="#_x0000_t202" style="position:absolute;left:0pt;margin-left:291.15pt;margin-top:792.3pt;height:11pt;width:13.1pt;mso-position-horizontal-relative:page;mso-position-vertical-relative:page;z-index:-251651072;mso-width-relative:page;mso-height-relative:page;" filled="f" stroked="f" coordsize="21600,21600" o:gfxdata="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zcmzi2gAAAA0BAAAPAAAAAAAAAAEAIAAAACIAAABkcnMvZG93bnJldi54&#10;bWxQSwECFAAUAAAACACHTuJAJ6TQXb8BAACBAwAADgAAAAAAAAABACAAAAApAQAAZHJzL2Uyb0Rv&#10;Yy54bWxQSwUGAAAAAAYABgBZAQAAWgUAAAAA&#10;">
              <v:fill on="f" focussize="0,0"/>
              <v:stroke on="f"/>
              <v:imagedata o:title=""/>
              <o:lock v:ext="edit" aspectratio="f"/>
              <v:textbox inset="0mm,0mm,0mm,0mm">
                <w:txbxContent>
                  <w:p>
                    <w:pPr>
                      <w:spacing w:line="220" w:lineRule="exact"/>
                      <w:ind w:left="40"/>
                      <w:rPr>
                        <w:rFonts w:ascii="宋体"/>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left"/>
      <w:rPr>
        <w:rFonts w:hint="eastAsia"/>
      </w:rPr>
    </w:pPr>
    <w:r>
      <w:rPr>
        <w:rFonts w:hint="eastAsia"/>
        <w:lang w:eastAsia="zh-CN"/>
      </w:rPr>
      <w:t>新疆晓君招标有限公司</w:t>
    </w:r>
    <w:r>
      <w:rPr>
        <w:rFonts w:hint="eastAsia"/>
      </w:rPr>
      <w:t xml:space="preserve">                          </w:t>
    </w:r>
    <w:r>
      <w:rPr>
        <w:rFonts w:hint="eastAsia"/>
        <w:lang w:val="en-US" w:eastAsia="zh-CN"/>
      </w:rPr>
      <w:t xml:space="preserve">                         </w:t>
    </w:r>
    <w:r>
      <w:rPr>
        <w:rFonts w:hint="eastAsia"/>
      </w:rPr>
      <w:t xml:space="preserve">     </w:t>
    </w:r>
    <w:r>
      <w:rPr>
        <w:rFonts w:hint="eastAsia"/>
        <w:sz w:val="21"/>
        <w:szCs w:val="21"/>
      </w:rPr>
      <w:t>5-</w:t>
    </w:r>
    <w:r>
      <w:rPr>
        <w:sz w:val="21"/>
        <w:szCs w:val="21"/>
      </w:rPr>
      <w:fldChar w:fldCharType="begin"/>
    </w:r>
    <w:r>
      <w:rPr>
        <w:rStyle w:val="38"/>
        <w:sz w:val="21"/>
        <w:szCs w:val="21"/>
      </w:rPr>
      <w:instrText xml:space="preserve"> PAGE </w:instrText>
    </w:r>
    <w:r>
      <w:rPr>
        <w:sz w:val="21"/>
        <w:szCs w:val="21"/>
      </w:rPr>
      <w:fldChar w:fldCharType="separate"/>
    </w:r>
    <w:r>
      <w:rPr>
        <w:rStyle w:val="38"/>
        <w:sz w:val="21"/>
        <w:szCs w:val="21"/>
      </w:rPr>
      <w:t>32</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rPr>
        <w:rFonts w:ascii="宋体"/>
      </w:rPr>
    </w:pPr>
    <w:r>
      <mc:AlternateContent>
        <mc:Choice Requires="wps">
          <w:drawing>
            <wp:anchor distT="0" distB="0" distL="114300" distR="114300" simplePos="0" relativeHeight="251660288" behindDoc="0" locked="0" layoutInCell="1" allowOverlap="1">
              <wp:simplePos x="0" y="0"/>
              <wp:positionH relativeFrom="margin">
                <wp:posOffset>1905</wp:posOffset>
              </wp:positionH>
              <wp:positionV relativeFrom="paragraph">
                <wp:posOffset>0</wp:posOffset>
              </wp:positionV>
              <wp:extent cx="5747385" cy="252095"/>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5747385" cy="252095"/>
                      </a:xfrm>
                      <a:prstGeom prst="rect">
                        <a:avLst/>
                      </a:prstGeom>
                      <a:noFill/>
                      <a:ln w="15875">
                        <a:noFill/>
                      </a:ln>
                    </wps:spPr>
                    <wps:txbx>
                      <w:txbxContent>
                        <w:p>
                          <w:pPr>
                            <w:pStyle w:val="23"/>
                            <w:rPr>
                              <w:sz w:val="18"/>
                              <w:szCs w:val="18"/>
                            </w:rPr>
                          </w:pPr>
                          <w:r>
                            <w:rPr>
                              <w:rFonts w:hint="eastAsia"/>
                              <w:sz w:val="21"/>
                              <w:szCs w:val="21"/>
                            </w:rPr>
                            <w:t>新疆晓君招标有限公司</w:t>
                          </w:r>
                          <w:r>
                            <w:rPr>
                              <w:rFonts w:ascii="宋体" w:hAnsi="宋体"/>
                              <w:sz w:val="21"/>
                              <w:szCs w:val="21"/>
                            </w:rPr>
                            <w:t xml:space="preserve">           </w:t>
                          </w:r>
                          <w:r>
                            <w:rPr>
                              <w:rFonts w:hint="eastAsia" w:ascii="宋体" w:hAnsi="宋体"/>
                              <w:sz w:val="21"/>
                              <w:szCs w:val="21"/>
                            </w:rPr>
                            <w:t xml:space="preserve">                                          </w:t>
                          </w:r>
                          <w:r>
                            <w:rPr>
                              <w:rFonts w:hint="eastAsia" w:ascii="宋体" w:hAnsi="宋体"/>
                              <w:sz w:val="18"/>
                              <w:szCs w:val="18"/>
                            </w:rPr>
                            <w:t xml:space="preserve"> </w:t>
                          </w:r>
                          <w:r>
                            <w:rPr>
                              <w:rFonts w:ascii="宋体" w:hAnsi="宋体"/>
                              <w:sz w:val="18"/>
                              <w:szCs w:val="18"/>
                            </w:rPr>
                            <w:t>5-</w:t>
                          </w:r>
                          <w:r>
                            <w:rPr>
                              <w:rStyle w:val="38"/>
                              <w:rFonts w:ascii="宋体" w:hAnsi="宋体"/>
                              <w:sz w:val="18"/>
                              <w:szCs w:val="18"/>
                            </w:rPr>
                            <w:fldChar w:fldCharType="begin"/>
                          </w:r>
                          <w:r>
                            <w:rPr>
                              <w:rStyle w:val="38"/>
                              <w:rFonts w:ascii="宋体" w:hAnsi="宋体"/>
                              <w:sz w:val="18"/>
                              <w:szCs w:val="18"/>
                            </w:rPr>
                            <w:instrText xml:space="preserve"> PAGE </w:instrText>
                          </w:r>
                          <w:r>
                            <w:rPr>
                              <w:rStyle w:val="38"/>
                              <w:rFonts w:ascii="宋体" w:hAnsi="宋体"/>
                              <w:sz w:val="18"/>
                              <w:szCs w:val="18"/>
                            </w:rPr>
                            <w:fldChar w:fldCharType="separate"/>
                          </w:r>
                          <w:r>
                            <w:rPr>
                              <w:rStyle w:val="38"/>
                              <w:rFonts w:ascii="宋体" w:hAnsi="宋体"/>
                              <w:sz w:val="18"/>
                              <w:szCs w:val="18"/>
                            </w:rPr>
                            <w:t>25</w:t>
                          </w:r>
                          <w:r>
                            <w:rPr>
                              <w:rStyle w:val="38"/>
                              <w:rFonts w:ascii="宋体" w:hAnsi="宋体"/>
                              <w:sz w:val="18"/>
                              <w:szCs w:val="18"/>
                            </w:rPr>
                            <w:fldChar w:fldCharType="end"/>
                          </w:r>
                        </w:p>
                      </w:txbxContent>
                    </wps:txbx>
                    <wps:bodyPr lIns="0" tIns="0" rIns="0" bIns="0" upright="1"/>
                  </wps:wsp>
                </a:graphicData>
              </a:graphic>
            </wp:anchor>
          </w:drawing>
        </mc:Choice>
        <mc:Fallback>
          <w:pict>
            <v:shape id="文本框 1029" o:spid="_x0000_s1026" o:spt="202" type="#_x0000_t202" style="position:absolute;left:0pt;margin-left:0.15pt;margin-top:0pt;height:19.85pt;width:452.55pt;mso-position-horizontal-relative:margin;z-index:251660288;mso-width-relative:page;mso-height-relative:page;" filled="f" stroked="f" coordsize="21600,21600" o:gfxdata="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ZRHOHUAAAABAEAAA8AAAAAAAAAAQAgAAAAIgAAAGRycy9kb3ducmV2&#10;LnhtbFBLAQIUABQAAAAIAIdO4kBTtAA/xwEAAH8DAAAOAAAAAAAAAAEAIAAAACMBAABkcnMvZTJv&#10;RG9jLnhtbFBLBQYAAAAABgAGAFkBAABcBQAAAAA=&#10;">
              <v:fill on="f" focussize="0,0"/>
              <v:stroke on="f" weight="1.25pt"/>
              <v:imagedata o:title=""/>
              <o:lock v:ext="edit" aspectratio="f"/>
              <v:textbox inset="0mm,0mm,0mm,0mm">
                <w:txbxContent>
                  <w:p>
                    <w:pPr>
                      <w:pStyle w:val="23"/>
                      <w:rPr>
                        <w:sz w:val="18"/>
                        <w:szCs w:val="18"/>
                      </w:rPr>
                    </w:pPr>
                    <w:r>
                      <w:rPr>
                        <w:rFonts w:hint="eastAsia"/>
                        <w:sz w:val="21"/>
                        <w:szCs w:val="21"/>
                      </w:rPr>
                      <w:t>新疆晓君招标有限公司</w:t>
                    </w:r>
                    <w:r>
                      <w:rPr>
                        <w:rFonts w:ascii="宋体" w:hAnsi="宋体"/>
                        <w:sz w:val="21"/>
                        <w:szCs w:val="21"/>
                      </w:rPr>
                      <w:t xml:space="preserve">           </w:t>
                    </w:r>
                    <w:r>
                      <w:rPr>
                        <w:rFonts w:hint="eastAsia" w:ascii="宋体" w:hAnsi="宋体"/>
                        <w:sz w:val="21"/>
                        <w:szCs w:val="21"/>
                      </w:rPr>
                      <w:t xml:space="preserve">                                          </w:t>
                    </w:r>
                    <w:r>
                      <w:rPr>
                        <w:rFonts w:hint="eastAsia" w:ascii="宋体" w:hAnsi="宋体"/>
                        <w:sz w:val="18"/>
                        <w:szCs w:val="18"/>
                      </w:rPr>
                      <w:t xml:space="preserve"> </w:t>
                    </w:r>
                    <w:r>
                      <w:rPr>
                        <w:rFonts w:ascii="宋体" w:hAnsi="宋体"/>
                        <w:sz w:val="18"/>
                        <w:szCs w:val="18"/>
                      </w:rPr>
                      <w:t>5-</w:t>
                    </w:r>
                    <w:r>
                      <w:rPr>
                        <w:rStyle w:val="38"/>
                        <w:rFonts w:ascii="宋体" w:hAnsi="宋体"/>
                        <w:sz w:val="18"/>
                        <w:szCs w:val="18"/>
                      </w:rPr>
                      <w:fldChar w:fldCharType="begin"/>
                    </w:r>
                    <w:r>
                      <w:rPr>
                        <w:rStyle w:val="38"/>
                        <w:rFonts w:ascii="宋体" w:hAnsi="宋体"/>
                        <w:sz w:val="18"/>
                        <w:szCs w:val="18"/>
                      </w:rPr>
                      <w:instrText xml:space="preserve"> PAGE </w:instrText>
                    </w:r>
                    <w:r>
                      <w:rPr>
                        <w:rStyle w:val="38"/>
                        <w:rFonts w:ascii="宋体" w:hAnsi="宋体"/>
                        <w:sz w:val="18"/>
                        <w:szCs w:val="18"/>
                      </w:rPr>
                      <w:fldChar w:fldCharType="separate"/>
                    </w:r>
                    <w:r>
                      <w:rPr>
                        <w:rStyle w:val="38"/>
                        <w:rFonts w:ascii="宋体" w:hAnsi="宋体"/>
                        <w:sz w:val="18"/>
                        <w:szCs w:val="18"/>
                      </w:rPr>
                      <w:t>25</w:t>
                    </w:r>
                    <w:r>
                      <w:rPr>
                        <w:rStyle w:val="38"/>
                        <w:rFonts w:ascii="宋体" w:hAnsi="宋体"/>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rFonts w:hint="eastAsia"/>
        <w:lang w:eastAsia="zh-CN"/>
      </w:rPr>
    </w:pPr>
    <w:r>
      <w:rPr>
        <w:rFonts w:hint="eastAsia"/>
        <w:lang w:eastAsia="zh-CN"/>
      </w:rPr>
      <w:t>策勒县残疾人安装及维修假肢项目（二次）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rFonts w:hint="eastAsia" w:ascii="宋体" w:eastAsia="宋体"/>
        <w:lang w:eastAsia="zh-CN"/>
      </w:rPr>
    </w:pPr>
    <w:r>
      <w:rPr>
        <w:rFonts w:hint="eastAsia"/>
        <w:lang w:eastAsia="zh-CN"/>
      </w:rPr>
      <w:t>策勒县残疾人安装及维修假肢项目（二次）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rFonts w:hint="eastAsia" w:eastAsia="宋体"/>
        <w:szCs w:val="21"/>
        <w:u w:val="single"/>
        <w:lang w:eastAsia="zh-CN"/>
      </w:rPr>
    </w:pPr>
    <w:r>
      <w:rPr>
        <w:rFonts w:hint="eastAsia"/>
        <w:lang w:eastAsia="zh-CN"/>
      </w:rPr>
      <w:t>策勒县残疾人安装及维修假肢项目（二次）</w:t>
    </w:r>
    <w:r>
      <w:rPr>
        <w:rFonts w:hint="eastAsia" w:ascii="宋体" w:hAnsi="宋体"/>
        <w:szCs w:val="21"/>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rFonts w:hint="eastAsia"/>
      </w:rPr>
    </w:pPr>
    <w:r>
      <w:rPr>
        <w:rFonts w:hint="eastAsia"/>
        <w:lang w:eastAsia="zh-CN"/>
      </w:rPr>
      <w:t>策勒县残疾人安装及维修假肢项目（二次）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rFonts w:hint="eastAsia"/>
        <w:lang w:eastAsia="zh-CN"/>
      </w:rPr>
    </w:pPr>
    <w:r>
      <w:rPr>
        <w:rFonts w:hint="eastAsia"/>
        <w:lang w:eastAsia="zh-CN"/>
      </w:rPr>
      <w:t>策勒县残疾人安装及维修假肢项目（二次）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5A813"/>
    <w:multiLevelType w:val="singleLevel"/>
    <w:tmpl w:val="9BA5A813"/>
    <w:lvl w:ilvl="0" w:tentative="0">
      <w:start w:val="1"/>
      <w:numFmt w:val="decimal"/>
      <w:suff w:val="nothing"/>
      <w:lvlText w:val="%1、"/>
      <w:lvlJc w:val="left"/>
    </w:lvl>
  </w:abstractNum>
  <w:abstractNum w:abstractNumId="1">
    <w:nsid w:val="9BB878F1"/>
    <w:multiLevelType w:val="singleLevel"/>
    <w:tmpl w:val="9BB878F1"/>
    <w:lvl w:ilvl="0" w:tentative="0">
      <w:start w:val="1"/>
      <w:numFmt w:val="decimal"/>
      <w:suff w:val="nothing"/>
      <w:lvlText w:val="%1、"/>
      <w:lvlJc w:val="left"/>
    </w:lvl>
  </w:abstractNum>
  <w:abstractNum w:abstractNumId="2">
    <w:nsid w:val="AFDBBAFB"/>
    <w:multiLevelType w:val="singleLevel"/>
    <w:tmpl w:val="AFDBBAFB"/>
    <w:lvl w:ilvl="0" w:tentative="0">
      <w:start w:val="2"/>
      <w:numFmt w:val="chineseCounting"/>
      <w:suff w:val="nothing"/>
      <w:lvlText w:val="%1、"/>
      <w:lvlJc w:val="left"/>
      <w:rPr>
        <w:rFonts w:hint="eastAsia"/>
      </w:rPr>
    </w:lvl>
  </w:abstractNum>
  <w:abstractNum w:abstractNumId="3">
    <w:nsid w:val="BF464EB1"/>
    <w:multiLevelType w:val="singleLevel"/>
    <w:tmpl w:val="BF464EB1"/>
    <w:lvl w:ilvl="0" w:tentative="0">
      <w:start w:val="1"/>
      <w:numFmt w:val="decimal"/>
      <w:lvlText w:val="%1."/>
      <w:lvlJc w:val="left"/>
      <w:pPr>
        <w:ind w:left="425" w:hanging="425"/>
      </w:pPr>
      <w:rPr>
        <w:rFonts w:hint="default"/>
      </w:rPr>
    </w:lvl>
  </w:abstractNum>
  <w:abstractNum w:abstractNumId="4">
    <w:nsid w:val="C0540E5D"/>
    <w:multiLevelType w:val="singleLevel"/>
    <w:tmpl w:val="C0540E5D"/>
    <w:lvl w:ilvl="0" w:tentative="0">
      <w:start w:val="1"/>
      <w:numFmt w:val="decimal"/>
      <w:suff w:val="nothing"/>
      <w:lvlText w:val="（%1）"/>
      <w:lvlJc w:val="left"/>
    </w:lvl>
  </w:abstractNum>
  <w:abstractNum w:abstractNumId="5">
    <w:nsid w:val="C30B7A73"/>
    <w:multiLevelType w:val="singleLevel"/>
    <w:tmpl w:val="C30B7A73"/>
    <w:lvl w:ilvl="0" w:tentative="0">
      <w:start w:val="1"/>
      <w:numFmt w:val="chineseCounting"/>
      <w:suff w:val="nothing"/>
      <w:lvlText w:val="（%1）"/>
      <w:lvlJc w:val="left"/>
      <w:rPr>
        <w:rFonts w:hint="eastAsia"/>
      </w:rPr>
    </w:lvl>
  </w:abstractNum>
  <w:abstractNum w:abstractNumId="6">
    <w:nsid w:val="EBA3DD98"/>
    <w:multiLevelType w:val="singleLevel"/>
    <w:tmpl w:val="EBA3DD98"/>
    <w:lvl w:ilvl="0" w:tentative="0">
      <w:start w:val="1"/>
      <w:numFmt w:val="decimal"/>
      <w:suff w:val="nothing"/>
      <w:lvlText w:val="%1、"/>
      <w:lvlJc w:val="left"/>
    </w:lvl>
  </w:abstractNum>
  <w:abstractNum w:abstractNumId="7">
    <w:nsid w:val="EEAE4EB8"/>
    <w:multiLevelType w:val="singleLevel"/>
    <w:tmpl w:val="EEAE4EB8"/>
    <w:lvl w:ilvl="0" w:tentative="0">
      <w:start w:val="1"/>
      <w:numFmt w:val="decimal"/>
      <w:suff w:val="nothing"/>
      <w:lvlText w:val="%1、"/>
      <w:lvlJc w:val="left"/>
    </w:lvl>
  </w:abstractNum>
  <w:abstractNum w:abstractNumId="8">
    <w:nsid w:val="F5E7F01B"/>
    <w:multiLevelType w:val="singleLevel"/>
    <w:tmpl w:val="F5E7F01B"/>
    <w:lvl w:ilvl="0" w:tentative="0">
      <w:start w:val="1"/>
      <w:numFmt w:val="decimal"/>
      <w:suff w:val="nothing"/>
      <w:lvlText w:val="%1、"/>
      <w:lvlJc w:val="left"/>
    </w:lvl>
  </w:abstractNum>
  <w:abstractNum w:abstractNumId="9">
    <w:nsid w:val="08B375D3"/>
    <w:multiLevelType w:val="multilevel"/>
    <w:tmpl w:val="08B375D3"/>
    <w:lvl w:ilvl="0" w:tentative="0">
      <w:start w:val="1"/>
      <w:numFmt w:val="decimal"/>
      <w:lvlText w:val="%1."/>
      <w:lvlJc w:val="left"/>
      <w:pPr>
        <w:ind w:left="420" w:hanging="420"/>
      </w:pPr>
      <w:rPr>
        <w:rFonts w:ascii="宋体" w:hAnsi="宋体" w:eastAsia="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28B0F4C"/>
    <w:multiLevelType w:val="multilevel"/>
    <w:tmpl w:val="128B0F4C"/>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9CF589C"/>
    <w:multiLevelType w:val="multilevel"/>
    <w:tmpl w:val="19CF589C"/>
    <w:lvl w:ilvl="0" w:tentative="0">
      <w:start w:val="1"/>
      <w:numFmt w:val="decimal"/>
      <w:lvlText w:val="%1."/>
      <w:lvlJc w:val="left"/>
      <w:pPr>
        <w:tabs>
          <w:tab w:val="left" w:pos="420"/>
        </w:tabs>
        <w:ind w:left="420" w:hanging="420"/>
      </w:pPr>
      <w:rPr>
        <w:rFonts w:cs="Times New Roman"/>
      </w:rPr>
    </w:lvl>
    <w:lvl w:ilvl="1" w:tentative="0">
      <w:start w:val="1"/>
      <w:numFmt w:val="decimal"/>
      <w:lvlText w:val="2.%2"/>
      <w:lvlJc w:val="left"/>
      <w:pPr>
        <w:tabs>
          <w:tab w:val="left" w:pos="239"/>
        </w:tabs>
        <w:ind w:left="749" w:hanging="510"/>
      </w:pPr>
      <w:rPr>
        <w:rFonts w:hint="default" w:cs="Times New Roman"/>
      </w:rPr>
    </w:lvl>
    <w:lvl w:ilvl="2" w:tentative="0">
      <w:start w:val="1"/>
      <w:numFmt w:val="lowerRoman"/>
      <w:lvlText w:val="%3."/>
      <w:lvlJc w:val="right"/>
      <w:pPr>
        <w:tabs>
          <w:tab w:val="left" w:pos="1079"/>
        </w:tabs>
        <w:ind w:left="1079" w:hanging="420"/>
      </w:pPr>
      <w:rPr>
        <w:rFonts w:cs="Times New Roman"/>
      </w:rPr>
    </w:lvl>
    <w:lvl w:ilvl="3" w:tentative="0">
      <w:start w:val="1"/>
      <w:numFmt w:val="decimal"/>
      <w:lvlText w:val="%4."/>
      <w:lvlJc w:val="left"/>
      <w:pPr>
        <w:tabs>
          <w:tab w:val="left" w:pos="1499"/>
        </w:tabs>
        <w:ind w:left="1499" w:hanging="420"/>
      </w:pPr>
      <w:rPr>
        <w:rFonts w:cs="Times New Roman"/>
      </w:rPr>
    </w:lvl>
    <w:lvl w:ilvl="4" w:tentative="0">
      <w:start w:val="1"/>
      <w:numFmt w:val="lowerLetter"/>
      <w:lvlText w:val="%5)"/>
      <w:lvlJc w:val="left"/>
      <w:pPr>
        <w:tabs>
          <w:tab w:val="left" w:pos="1919"/>
        </w:tabs>
        <w:ind w:left="1919" w:hanging="420"/>
      </w:pPr>
      <w:rPr>
        <w:rFonts w:cs="Times New Roman"/>
      </w:rPr>
    </w:lvl>
    <w:lvl w:ilvl="5" w:tentative="0">
      <w:start w:val="1"/>
      <w:numFmt w:val="lowerRoman"/>
      <w:lvlText w:val="%6."/>
      <w:lvlJc w:val="right"/>
      <w:pPr>
        <w:tabs>
          <w:tab w:val="left" w:pos="2339"/>
        </w:tabs>
        <w:ind w:left="2339" w:hanging="420"/>
      </w:pPr>
      <w:rPr>
        <w:rFonts w:cs="Times New Roman"/>
      </w:rPr>
    </w:lvl>
    <w:lvl w:ilvl="6" w:tentative="0">
      <w:start w:val="1"/>
      <w:numFmt w:val="decimal"/>
      <w:lvlText w:val="%7."/>
      <w:lvlJc w:val="left"/>
      <w:pPr>
        <w:tabs>
          <w:tab w:val="left" w:pos="2759"/>
        </w:tabs>
        <w:ind w:left="2759" w:hanging="420"/>
      </w:pPr>
      <w:rPr>
        <w:rFonts w:cs="Times New Roman"/>
      </w:rPr>
    </w:lvl>
    <w:lvl w:ilvl="7" w:tentative="0">
      <w:start w:val="1"/>
      <w:numFmt w:val="lowerLetter"/>
      <w:lvlText w:val="%8)"/>
      <w:lvlJc w:val="left"/>
      <w:pPr>
        <w:tabs>
          <w:tab w:val="left" w:pos="3179"/>
        </w:tabs>
        <w:ind w:left="3179" w:hanging="420"/>
      </w:pPr>
      <w:rPr>
        <w:rFonts w:cs="Times New Roman"/>
      </w:rPr>
    </w:lvl>
    <w:lvl w:ilvl="8" w:tentative="0">
      <w:start w:val="1"/>
      <w:numFmt w:val="lowerRoman"/>
      <w:lvlText w:val="%9."/>
      <w:lvlJc w:val="right"/>
      <w:pPr>
        <w:tabs>
          <w:tab w:val="left" w:pos="3599"/>
        </w:tabs>
        <w:ind w:left="3599" w:hanging="420"/>
      </w:pPr>
      <w:rPr>
        <w:rFonts w:cs="Times New Roman"/>
      </w:rPr>
    </w:lvl>
  </w:abstractNum>
  <w:abstractNum w:abstractNumId="13">
    <w:nsid w:val="1D0D278B"/>
    <w:multiLevelType w:val="multilevel"/>
    <w:tmpl w:val="1D0D278B"/>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20482C2D"/>
    <w:multiLevelType w:val="multilevel"/>
    <w:tmpl w:val="20482C2D"/>
    <w:lvl w:ilvl="0" w:tentative="0">
      <w:start w:val="1"/>
      <w:numFmt w:val="decimal"/>
      <w:lvlText w:val="2.%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22C2A88E"/>
    <w:multiLevelType w:val="singleLevel"/>
    <w:tmpl w:val="22C2A88E"/>
    <w:lvl w:ilvl="0" w:tentative="0">
      <w:start w:val="1"/>
      <w:numFmt w:val="decimal"/>
      <w:suff w:val="nothing"/>
      <w:lvlText w:val="（%1）"/>
      <w:lvlJc w:val="left"/>
    </w:lvl>
  </w:abstractNum>
  <w:abstractNum w:abstractNumId="16">
    <w:nsid w:val="233C6D0B"/>
    <w:multiLevelType w:val="multilevel"/>
    <w:tmpl w:val="233C6D0B"/>
    <w:lvl w:ilvl="0" w:tentative="0">
      <w:start w:val="1"/>
      <w:numFmt w:val="decimal"/>
      <w:lvlText w:val="6.%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23F32BAE"/>
    <w:multiLevelType w:val="singleLevel"/>
    <w:tmpl w:val="23F32BAE"/>
    <w:lvl w:ilvl="0" w:tentative="0">
      <w:start w:val="1"/>
      <w:numFmt w:val="decimal"/>
      <w:suff w:val="nothing"/>
      <w:lvlText w:val="%1、"/>
      <w:lvlJc w:val="left"/>
    </w:lvl>
  </w:abstractNum>
  <w:abstractNum w:abstractNumId="18">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2F580ADD"/>
    <w:multiLevelType w:val="multilevel"/>
    <w:tmpl w:val="2F580ADD"/>
    <w:lvl w:ilvl="0" w:tentative="0">
      <w:start w:val="1"/>
      <w:numFmt w:val="decimal"/>
      <w:lvlText w:val="1.%1"/>
      <w:lvlJc w:val="left"/>
      <w:pPr>
        <w:tabs>
          <w:tab w:val="left" w:pos="1438"/>
        </w:tabs>
        <w:ind w:left="1438" w:hanging="720"/>
      </w:pPr>
      <w:rPr>
        <w:rFonts w:hint="default" w:cs="Times New Roman"/>
      </w:rPr>
    </w:lvl>
    <w:lvl w:ilvl="1" w:tentative="0">
      <w:start w:val="1"/>
      <w:numFmt w:val="lowerLetter"/>
      <w:lvlText w:val="%2)"/>
      <w:lvlJc w:val="left"/>
      <w:pPr>
        <w:tabs>
          <w:tab w:val="left" w:pos="1558"/>
        </w:tabs>
        <w:ind w:left="1558" w:hanging="420"/>
      </w:pPr>
      <w:rPr>
        <w:rFonts w:cs="Times New Roman"/>
      </w:rPr>
    </w:lvl>
    <w:lvl w:ilvl="2" w:tentative="0">
      <w:start w:val="1"/>
      <w:numFmt w:val="lowerRoman"/>
      <w:lvlText w:val="%3."/>
      <w:lvlJc w:val="right"/>
      <w:pPr>
        <w:tabs>
          <w:tab w:val="left" w:pos="1978"/>
        </w:tabs>
        <w:ind w:left="1978" w:hanging="420"/>
      </w:pPr>
      <w:rPr>
        <w:rFonts w:cs="Times New Roman"/>
      </w:rPr>
    </w:lvl>
    <w:lvl w:ilvl="3" w:tentative="0">
      <w:start w:val="1"/>
      <w:numFmt w:val="decimal"/>
      <w:lvlText w:val="%4."/>
      <w:lvlJc w:val="left"/>
      <w:pPr>
        <w:tabs>
          <w:tab w:val="left" w:pos="2398"/>
        </w:tabs>
        <w:ind w:left="2398" w:hanging="420"/>
      </w:pPr>
      <w:rPr>
        <w:rFonts w:cs="Times New Roman"/>
      </w:rPr>
    </w:lvl>
    <w:lvl w:ilvl="4" w:tentative="0">
      <w:start w:val="1"/>
      <w:numFmt w:val="lowerLetter"/>
      <w:lvlText w:val="%5)"/>
      <w:lvlJc w:val="left"/>
      <w:pPr>
        <w:tabs>
          <w:tab w:val="left" w:pos="2818"/>
        </w:tabs>
        <w:ind w:left="2818" w:hanging="420"/>
      </w:pPr>
      <w:rPr>
        <w:rFonts w:cs="Times New Roman"/>
      </w:rPr>
    </w:lvl>
    <w:lvl w:ilvl="5" w:tentative="0">
      <w:start w:val="1"/>
      <w:numFmt w:val="lowerRoman"/>
      <w:lvlText w:val="%6."/>
      <w:lvlJc w:val="right"/>
      <w:pPr>
        <w:tabs>
          <w:tab w:val="left" w:pos="3238"/>
        </w:tabs>
        <w:ind w:left="3238" w:hanging="420"/>
      </w:pPr>
      <w:rPr>
        <w:rFonts w:cs="Times New Roman"/>
      </w:rPr>
    </w:lvl>
    <w:lvl w:ilvl="6" w:tentative="0">
      <w:start w:val="1"/>
      <w:numFmt w:val="decimal"/>
      <w:lvlText w:val="%7."/>
      <w:lvlJc w:val="left"/>
      <w:pPr>
        <w:tabs>
          <w:tab w:val="left" w:pos="3658"/>
        </w:tabs>
        <w:ind w:left="3658" w:hanging="420"/>
      </w:pPr>
      <w:rPr>
        <w:rFonts w:cs="Times New Roman"/>
      </w:rPr>
    </w:lvl>
    <w:lvl w:ilvl="7" w:tentative="0">
      <w:start w:val="1"/>
      <w:numFmt w:val="lowerLetter"/>
      <w:lvlText w:val="%8)"/>
      <w:lvlJc w:val="left"/>
      <w:pPr>
        <w:tabs>
          <w:tab w:val="left" w:pos="4078"/>
        </w:tabs>
        <w:ind w:left="4078" w:hanging="420"/>
      </w:pPr>
      <w:rPr>
        <w:rFonts w:cs="Times New Roman"/>
      </w:rPr>
    </w:lvl>
    <w:lvl w:ilvl="8" w:tentative="0">
      <w:start w:val="1"/>
      <w:numFmt w:val="lowerRoman"/>
      <w:lvlText w:val="%9."/>
      <w:lvlJc w:val="right"/>
      <w:pPr>
        <w:tabs>
          <w:tab w:val="left" w:pos="4498"/>
        </w:tabs>
        <w:ind w:left="4498" w:hanging="420"/>
      </w:pPr>
      <w:rPr>
        <w:rFonts w:cs="Times New Roman"/>
      </w:rPr>
    </w:lvl>
  </w:abstractNum>
  <w:abstractNum w:abstractNumId="21">
    <w:nsid w:val="326454F5"/>
    <w:multiLevelType w:val="multilevel"/>
    <w:tmpl w:val="326454F5"/>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363C642F"/>
    <w:multiLevelType w:val="multilevel"/>
    <w:tmpl w:val="363C642F"/>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3">
    <w:nsid w:val="385E2112"/>
    <w:multiLevelType w:val="multilevel"/>
    <w:tmpl w:val="385E211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A24442D"/>
    <w:multiLevelType w:val="multilevel"/>
    <w:tmpl w:val="3A24442D"/>
    <w:lvl w:ilvl="0" w:tentative="0">
      <w:start w:val="2"/>
      <w:numFmt w:val="decimal"/>
      <w:pStyle w:val="4"/>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25">
    <w:nsid w:val="4A6C5E79"/>
    <w:multiLevelType w:val="multilevel"/>
    <w:tmpl w:val="4A6C5E7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4DF62D2F"/>
    <w:multiLevelType w:val="multilevel"/>
    <w:tmpl w:val="4DF62D2F"/>
    <w:lvl w:ilvl="0" w:tentative="0">
      <w:start w:val="1"/>
      <w:numFmt w:val="decimal"/>
      <w:lvlText w:val="（%1）"/>
      <w:lvlJc w:val="left"/>
      <w:pPr>
        <w:tabs>
          <w:tab w:val="left" w:pos="481"/>
        </w:tabs>
        <w:ind w:left="481" w:hanging="720"/>
      </w:pPr>
      <w:rPr>
        <w:rFonts w:hint="default" w:cs="Times New Roman"/>
      </w:rPr>
    </w:lvl>
    <w:lvl w:ilvl="1" w:tentative="0">
      <w:start w:val="1"/>
      <w:numFmt w:val="decimal"/>
      <w:lvlText w:val="%2."/>
      <w:lvlJc w:val="left"/>
      <w:pPr>
        <w:tabs>
          <w:tab w:val="left" w:pos="780"/>
        </w:tabs>
        <w:ind w:left="780" w:hanging="360"/>
      </w:pPr>
      <w:rPr>
        <w:rFonts w:hint="default" w:ascii="宋体" w:eastAsia="宋体"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7">
    <w:nsid w:val="4E5E31DF"/>
    <w:multiLevelType w:val="multilevel"/>
    <w:tmpl w:val="4E5E31DF"/>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8">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590AD9C3"/>
    <w:multiLevelType w:val="singleLevel"/>
    <w:tmpl w:val="590AD9C3"/>
    <w:lvl w:ilvl="0" w:tentative="0">
      <w:start w:val="1"/>
      <w:numFmt w:val="decimal"/>
      <w:suff w:val="space"/>
      <w:lvlText w:val="（%1）"/>
      <w:lvlJc w:val="left"/>
      <w:rPr>
        <w:rFonts w:cs="Times New Roman"/>
      </w:rPr>
    </w:lvl>
  </w:abstractNum>
  <w:abstractNum w:abstractNumId="30">
    <w:nsid w:val="5ACD7B8D"/>
    <w:multiLevelType w:val="singleLevel"/>
    <w:tmpl w:val="5ACD7B8D"/>
    <w:lvl w:ilvl="0" w:tentative="0">
      <w:start w:val="6"/>
      <w:numFmt w:val="decimal"/>
      <w:suff w:val="nothing"/>
      <w:lvlText w:val="%1、"/>
      <w:lvlJc w:val="left"/>
    </w:lvl>
  </w:abstractNum>
  <w:abstractNum w:abstractNumId="31">
    <w:nsid w:val="60844FEC"/>
    <w:multiLevelType w:val="singleLevel"/>
    <w:tmpl w:val="60844FEC"/>
    <w:lvl w:ilvl="0" w:tentative="0">
      <w:start w:val="1"/>
      <w:numFmt w:val="decimal"/>
      <w:suff w:val="nothing"/>
      <w:lvlText w:val="%1、"/>
      <w:lvlJc w:val="left"/>
    </w:lvl>
  </w:abstractNum>
  <w:abstractNum w:abstractNumId="32">
    <w:nsid w:val="626E2726"/>
    <w:multiLevelType w:val="singleLevel"/>
    <w:tmpl w:val="626E2726"/>
    <w:lvl w:ilvl="0" w:tentative="0">
      <w:start w:val="3"/>
      <w:numFmt w:val="chineseCounting"/>
      <w:suff w:val="nothing"/>
      <w:lvlText w:val="（%1）"/>
      <w:lvlJc w:val="left"/>
      <w:rPr>
        <w:rFonts w:hint="eastAsia"/>
      </w:rPr>
    </w:lvl>
  </w:abstractNum>
  <w:abstractNum w:abstractNumId="33">
    <w:nsid w:val="62D68BC6"/>
    <w:multiLevelType w:val="singleLevel"/>
    <w:tmpl w:val="62D68BC6"/>
    <w:lvl w:ilvl="0" w:tentative="0">
      <w:start w:val="1"/>
      <w:numFmt w:val="decimal"/>
      <w:suff w:val="nothing"/>
      <w:lvlText w:val="%1、"/>
      <w:lvlJc w:val="left"/>
    </w:lvl>
  </w:abstractNum>
  <w:abstractNum w:abstractNumId="34">
    <w:nsid w:val="63DD4F01"/>
    <w:multiLevelType w:val="multilevel"/>
    <w:tmpl w:val="63DD4F01"/>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1079"/>
        </w:tabs>
        <w:ind w:left="1079" w:hanging="420"/>
      </w:pPr>
      <w:rPr>
        <w:rFonts w:cs="Times New Roman"/>
      </w:rPr>
    </w:lvl>
    <w:lvl w:ilvl="2" w:tentative="0">
      <w:start w:val="1"/>
      <w:numFmt w:val="lowerRoman"/>
      <w:lvlText w:val="%3."/>
      <w:lvlJc w:val="right"/>
      <w:pPr>
        <w:tabs>
          <w:tab w:val="left" w:pos="1499"/>
        </w:tabs>
        <w:ind w:left="1499" w:hanging="420"/>
      </w:pPr>
      <w:rPr>
        <w:rFonts w:cs="Times New Roman"/>
      </w:rPr>
    </w:lvl>
    <w:lvl w:ilvl="3" w:tentative="0">
      <w:start w:val="1"/>
      <w:numFmt w:val="decimal"/>
      <w:lvlText w:val="%4."/>
      <w:lvlJc w:val="left"/>
      <w:pPr>
        <w:tabs>
          <w:tab w:val="left" w:pos="1919"/>
        </w:tabs>
        <w:ind w:left="1919" w:hanging="420"/>
      </w:pPr>
      <w:rPr>
        <w:rFonts w:cs="Times New Roman"/>
      </w:rPr>
    </w:lvl>
    <w:lvl w:ilvl="4" w:tentative="0">
      <w:start w:val="1"/>
      <w:numFmt w:val="lowerLetter"/>
      <w:lvlText w:val="%5)"/>
      <w:lvlJc w:val="left"/>
      <w:pPr>
        <w:tabs>
          <w:tab w:val="left" w:pos="2339"/>
        </w:tabs>
        <w:ind w:left="2339" w:hanging="420"/>
      </w:pPr>
      <w:rPr>
        <w:rFonts w:cs="Times New Roman"/>
      </w:rPr>
    </w:lvl>
    <w:lvl w:ilvl="5" w:tentative="0">
      <w:start w:val="1"/>
      <w:numFmt w:val="lowerRoman"/>
      <w:lvlText w:val="%6."/>
      <w:lvlJc w:val="right"/>
      <w:pPr>
        <w:tabs>
          <w:tab w:val="left" w:pos="2759"/>
        </w:tabs>
        <w:ind w:left="2759" w:hanging="420"/>
      </w:pPr>
      <w:rPr>
        <w:rFonts w:cs="Times New Roman"/>
      </w:rPr>
    </w:lvl>
    <w:lvl w:ilvl="6" w:tentative="0">
      <w:start w:val="1"/>
      <w:numFmt w:val="decimal"/>
      <w:lvlText w:val="%7."/>
      <w:lvlJc w:val="left"/>
      <w:pPr>
        <w:tabs>
          <w:tab w:val="left" w:pos="3179"/>
        </w:tabs>
        <w:ind w:left="3179" w:hanging="420"/>
      </w:pPr>
      <w:rPr>
        <w:rFonts w:cs="Times New Roman"/>
      </w:rPr>
    </w:lvl>
    <w:lvl w:ilvl="7" w:tentative="0">
      <w:start w:val="1"/>
      <w:numFmt w:val="lowerLetter"/>
      <w:lvlText w:val="%8)"/>
      <w:lvlJc w:val="left"/>
      <w:pPr>
        <w:tabs>
          <w:tab w:val="left" w:pos="3599"/>
        </w:tabs>
        <w:ind w:left="3599" w:hanging="420"/>
      </w:pPr>
      <w:rPr>
        <w:rFonts w:cs="Times New Roman"/>
      </w:rPr>
    </w:lvl>
    <w:lvl w:ilvl="8" w:tentative="0">
      <w:start w:val="1"/>
      <w:numFmt w:val="lowerRoman"/>
      <w:lvlText w:val="%9."/>
      <w:lvlJc w:val="right"/>
      <w:pPr>
        <w:tabs>
          <w:tab w:val="left" w:pos="4019"/>
        </w:tabs>
        <w:ind w:left="4019" w:hanging="420"/>
      </w:pPr>
      <w:rPr>
        <w:rFonts w:cs="Times New Roman"/>
      </w:rPr>
    </w:lvl>
  </w:abstractNum>
  <w:abstractNum w:abstractNumId="35">
    <w:nsid w:val="64352317"/>
    <w:multiLevelType w:val="multilevel"/>
    <w:tmpl w:val="64352317"/>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6">
    <w:nsid w:val="6BF14F17"/>
    <w:multiLevelType w:val="multilevel"/>
    <w:tmpl w:val="6BF14F17"/>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C73457C"/>
    <w:multiLevelType w:val="multilevel"/>
    <w:tmpl w:val="6C73457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77B11D4D"/>
    <w:multiLevelType w:val="multilevel"/>
    <w:tmpl w:val="77B11D4D"/>
    <w:lvl w:ilvl="0" w:tentative="0">
      <w:start w:val="1"/>
      <w:numFmt w:val="decimal"/>
      <w:lvlText w:val="4.%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4"/>
  </w:num>
  <w:num w:numId="2">
    <w:abstractNumId w:val="2"/>
  </w:num>
  <w:num w:numId="3">
    <w:abstractNumId w:val="12"/>
  </w:num>
  <w:num w:numId="4">
    <w:abstractNumId w:val="34"/>
  </w:num>
  <w:num w:numId="5">
    <w:abstractNumId w:val="20"/>
  </w:num>
  <w:num w:numId="6">
    <w:abstractNumId w:val="27"/>
  </w:num>
  <w:num w:numId="7">
    <w:abstractNumId w:val="38"/>
  </w:num>
  <w:num w:numId="8">
    <w:abstractNumId w:val="16"/>
  </w:num>
  <w:num w:numId="9">
    <w:abstractNumId w:val="14"/>
  </w:num>
  <w:num w:numId="10">
    <w:abstractNumId w:val="13"/>
  </w:num>
  <w:num w:numId="11">
    <w:abstractNumId w:val="29"/>
  </w:num>
  <w:num w:numId="12">
    <w:abstractNumId w:val="35"/>
  </w:num>
  <w:num w:numId="13">
    <w:abstractNumId w:val="26"/>
  </w:num>
  <w:num w:numId="14">
    <w:abstractNumId w:val="22"/>
  </w:num>
  <w:num w:numId="15">
    <w:abstractNumId w:val="37"/>
  </w:num>
  <w:num w:numId="16">
    <w:abstractNumId w:val="4"/>
  </w:num>
  <w:num w:numId="17">
    <w:abstractNumId w:val="15"/>
  </w:num>
  <w:num w:numId="18">
    <w:abstractNumId w:val="18"/>
  </w:num>
  <w:num w:numId="19">
    <w:abstractNumId w:val="23"/>
  </w:num>
  <w:num w:numId="20">
    <w:abstractNumId w:val="36"/>
  </w:num>
  <w:num w:numId="21">
    <w:abstractNumId w:val="1"/>
  </w:num>
  <w:num w:numId="22">
    <w:abstractNumId w:val="19"/>
  </w:num>
  <w:num w:numId="23">
    <w:abstractNumId w:val="5"/>
  </w:num>
  <w:num w:numId="24">
    <w:abstractNumId w:val="6"/>
  </w:num>
  <w:num w:numId="25">
    <w:abstractNumId w:val="30"/>
  </w:num>
  <w:num w:numId="26">
    <w:abstractNumId w:val="31"/>
  </w:num>
  <w:num w:numId="27">
    <w:abstractNumId w:val="8"/>
  </w:num>
  <w:num w:numId="28">
    <w:abstractNumId w:val="33"/>
  </w:num>
  <w:num w:numId="29">
    <w:abstractNumId w:val="7"/>
  </w:num>
  <w:num w:numId="30">
    <w:abstractNumId w:val="0"/>
  </w:num>
  <w:num w:numId="31">
    <w:abstractNumId w:val="17"/>
  </w:num>
  <w:num w:numId="32">
    <w:abstractNumId w:val="32"/>
  </w:num>
  <w:num w:numId="33">
    <w:abstractNumId w:val="10"/>
  </w:num>
  <w:num w:numId="34">
    <w:abstractNumId w:val="9"/>
  </w:num>
  <w:num w:numId="35">
    <w:abstractNumId w:val="3"/>
  </w:num>
  <w:num w:numId="36">
    <w:abstractNumId w:val="28"/>
  </w:num>
  <w:num w:numId="37">
    <w:abstractNumId w:val="25"/>
  </w:num>
  <w:num w:numId="38">
    <w:abstractNumId w:val="11"/>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D5"/>
    <w:rsid w:val="00000522"/>
    <w:rsid w:val="000021D4"/>
    <w:rsid w:val="00005A43"/>
    <w:rsid w:val="000101F0"/>
    <w:rsid w:val="00011A53"/>
    <w:rsid w:val="00013B61"/>
    <w:rsid w:val="00014F27"/>
    <w:rsid w:val="00017CD5"/>
    <w:rsid w:val="0002460D"/>
    <w:rsid w:val="000261C7"/>
    <w:rsid w:val="00026AD9"/>
    <w:rsid w:val="000339FA"/>
    <w:rsid w:val="00041CF5"/>
    <w:rsid w:val="00041D3A"/>
    <w:rsid w:val="00043CED"/>
    <w:rsid w:val="00044E35"/>
    <w:rsid w:val="00046E0D"/>
    <w:rsid w:val="00052D71"/>
    <w:rsid w:val="00052FB4"/>
    <w:rsid w:val="000540A5"/>
    <w:rsid w:val="00056408"/>
    <w:rsid w:val="00066957"/>
    <w:rsid w:val="00075BB9"/>
    <w:rsid w:val="00076540"/>
    <w:rsid w:val="000770BE"/>
    <w:rsid w:val="00082811"/>
    <w:rsid w:val="000849F9"/>
    <w:rsid w:val="00084B6B"/>
    <w:rsid w:val="00084C8D"/>
    <w:rsid w:val="00086BD7"/>
    <w:rsid w:val="00092488"/>
    <w:rsid w:val="00092574"/>
    <w:rsid w:val="00092A9D"/>
    <w:rsid w:val="00095CD9"/>
    <w:rsid w:val="00096A55"/>
    <w:rsid w:val="000A546B"/>
    <w:rsid w:val="000B1D0F"/>
    <w:rsid w:val="000B4B51"/>
    <w:rsid w:val="000B6877"/>
    <w:rsid w:val="000C0BF7"/>
    <w:rsid w:val="000C0C0F"/>
    <w:rsid w:val="000C3A3B"/>
    <w:rsid w:val="000C3C3D"/>
    <w:rsid w:val="000C7A4F"/>
    <w:rsid w:val="000D21CC"/>
    <w:rsid w:val="000D3500"/>
    <w:rsid w:val="000D5FEE"/>
    <w:rsid w:val="000D662E"/>
    <w:rsid w:val="000E2827"/>
    <w:rsid w:val="000E4A32"/>
    <w:rsid w:val="000E65BE"/>
    <w:rsid w:val="000E79B8"/>
    <w:rsid w:val="000F5C15"/>
    <w:rsid w:val="000F63F9"/>
    <w:rsid w:val="001039C3"/>
    <w:rsid w:val="00112553"/>
    <w:rsid w:val="00113268"/>
    <w:rsid w:val="001140CE"/>
    <w:rsid w:val="001141E1"/>
    <w:rsid w:val="00116C26"/>
    <w:rsid w:val="00121B97"/>
    <w:rsid w:val="0012441E"/>
    <w:rsid w:val="001316FF"/>
    <w:rsid w:val="0013216D"/>
    <w:rsid w:val="00133DDC"/>
    <w:rsid w:val="00147D1A"/>
    <w:rsid w:val="0015302B"/>
    <w:rsid w:val="00155FF8"/>
    <w:rsid w:val="0016202B"/>
    <w:rsid w:val="00165285"/>
    <w:rsid w:val="00167798"/>
    <w:rsid w:val="00180B71"/>
    <w:rsid w:val="00180D2B"/>
    <w:rsid w:val="00180E09"/>
    <w:rsid w:val="00182D9A"/>
    <w:rsid w:val="0018538A"/>
    <w:rsid w:val="00187506"/>
    <w:rsid w:val="00190EED"/>
    <w:rsid w:val="00195629"/>
    <w:rsid w:val="001A0FE1"/>
    <w:rsid w:val="001A7958"/>
    <w:rsid w:val="001B1072"/>
    <w:rsid w:val="001B2EB0"/>
    <w:rsid w:val="001B2F8B"/>
    <w:rsid w:val="001B3D8E"/>
    <w:rsid w:val="001C119F"/>
    <w:rsid w:val="001C650C"/>
    <w:rsid w:val="001D133D"/>
    <w:rsid w:val="001D475C"/>
    <w:rsid w:val="001D51EE"/>
    <w:rsid w:val="001E183D"/>
    <w:rsid w:val="001E2B37"/>
    <w:rsid w:val="001E2C00"/>
    <w:rsid w:val="001E30F6"/>
    <w:rsid w:val="001F1C19"/>
    <w:rsid w:val="001F4B88"/>
    <w:rsid w:val="001F5843"/>
    <w:rsid w:val="001F5DD7"/>
    <w:rsid w:val="00202775"/>
    <w:rsid w:val="00202D71"/>
    <w:rsid w:val="00203D1A"/>
    <w:rsid w:val="00215DB7"/>
    <w:rsid w:val="002200C2"/>
    <w:rsid w:val="00221D60"/>
    <w:rsid w:val="00223571"/>
    <w:rsid w:val="00223E51"/>
    <w:rsid w:val="002329D2"/>
    <w:rsid w:val="00232EB7"/>
    <w:rsid w:val="00235FE2"/>
    <w:rsid w:val="00236CEA"/>
    <w:rsid w:val="002370AF"/>
    <w:rsid w:val="00256DE4"/>
    <w:rsid w:val="00263294"/>
    <w:rsid w:val="002656BE"/>
    <w:rsid w:val="00267327"/>
    <w:rsid w:val="00267EA3"/>
    <w:rsid w:val="002701B9"/>
    <w:rsid w:val="00281063"/>
    <w:rsid w:val="0028193E"/>
    <w:rsid w:val="00284152"/>
    <w:rsid w:val="00285923"/>
    <w:rsid w:val="0029373D"/>
    <w:rsid w:val="002947F3"/>
    <w:rsid w:val="00294931"/>
    <w:rsid w:val="00297385"/>
    <w:rsid w:val="002A2850"/>
    <w:rsid w:val="002A5B15"/>
    <w:rsid w:val="002A6F21"/>
    <w:rsid w:val="002B019F"/>
    <w:rsid w:val="002B763B"/>
    <w:rsid w:val="002C0FED"/>
    <w:rsid w:val="002C34FF"/>
    <w:rsid w:val="002C4318"/>
    <w:rsid w:val="002E0B1F"/>
    <w:rsid w:val="002E11EF"/>
    <w:rsid w:val="002F0D1F"/>
    <w:rsid w:val="002F10F3"/>
    <w:rsid w:val="002F11D4"/>
    <w:rsid w:val="002F3F9C"/>
    <w:rsid w:val="00300B59"/>
    <w:rsid w:val="00301C77"/>
    <w:rsid w:val="00302437"/>
    <w:rsid w:val="003040EC"/>
    <w:rsid w:val="0030665B"/>
    <w:rsid w:val="00306F03"/>
    <w:rsid w:val="0031018E"/>
    <w:rsid w:val="0031027C"/>
    <w:rsid w:val="00310CCA"/>
    <w:rsid w:val="00313A63"/>
    <w:rsid w:val="003179E5"/>
    <w:rsid w:val="00320057"/>
    <w:rsid w:val="003277B2"/>
    <w:rsid w:val="003303BB"/>
    <w:rsid w:val="003318CE"/>
    <w:rsid w:val="0034038F"/>
    <w:rsid w:val="00340663"/>
    <w:rsid w:val="00345892"/>
    <w:rsid w:val="00346EAF"/>
    <w:rsid w:val="003479E1"/>
    <w:rsid w:val="003512ED"/>
    <w:rsid w:val="00352928"/>
    <w:rsid w:val="00352B25"/>
    <w:rsid w:val="00352E00"/>
    <w:rsid w:val="00353F61"/>
    <w:rsid w:val="00360EB8"/>
    <w:rsid w:val="0036186C"/>
    <w:rsid w:val="00361A18"/>
    <w:rsid w:val="0037722F"/>
    <w:rsid w:val="00382B0F"/>
    <w:rsid w:val="00385091"/>
    <w:rsid w:val="00397192"/>
    <w:rsid w:val="003A5FF3"/>
    <w:rsid w:val="003A6915"/>
    <w:rsid w:val="003A70A3"/>
    <w:rsid w:val="003B09EB"/>
    <w:rsid w:val="003B1B0F"/>
    <w:rsid w:val="003B4658"/>
    <w:rsid w:val="003B5F99"/>
    <w:rsid w:val="003B669E"/>
    <w:rsid w:val="003C03FA"/>
    <w:rsid w:val="003C1146"/>
    <w:rsid w:val="003C4A9F"/>
    <w:rsid w:val="003C575E"/>
    <w:rsid w:val="003C6A93"/>
    <w:rsid w:val="003D163E"/>
    <w:rsid w:val="003D1854"/>
    <w:rsid w:val="003D5E0F"/>
    <w:rsid w:val="003D7EE4"/>
    <w:rsid w:val="003E5555"/>
    <w:rsid w:val="003E736F"/>
    <w:rsid w:val="003F038F"/>
    <w:rsid w:val="003F084A"/>
    <w:rsid w:val="003F16A8"/>
    <w:rsid w:val="003F31DD"/>
    <w:rsid w:val="003F47F6"/>
    <w:rsid w:val="00401414"/>
    <w:rsid w:val="004034FB"/>
    <w:rsid w:val="004106EF"/>
    <w:rsid w:val="004165D2"/>
    <w:rsid w:val="00416C89"/>
    <w:rsid w:val="00422E5A"/>
    <w:rsid w:val="00424B1A"/>
    <w:rsid w:val="004265A5"/>
    <w:rsid w:val="00434A93"/>
    <w:rsid w:val="00454471"/>
    <w:rsid w:val="00460CD7"/>
    <w:rsid w:val="00462FA0"/>
    <w:rsid w:val="00463BF0"/>
    <w:rsid w:val="004649B6"/>
    <w:rsid w:val="0046642C"/>
    <w:rsid w:val="00475902"/>
    <w:rsid w:val="004871E5"/>
    <w:rsid w:val="00491093"/>
    <w:rsid w:val="00493883"/>
    <w:rsid w:val="0049786C"/>
    <w:rsid w:val="00497C72"/>
    <w:rsid w:val="004A4262"/>
    <w:rsid w:val="004A5EBD"/>
    <w:rsid w:val="004B008D"/>
    <w:rsid w:val="004B0940"/>
    <w:rsid w:val="004B33B1"/>
    <w:rsid w:val="004B3B54"/>
    <w:rsid w:val="004C048E"/>
    <w:rsid w:val="004C6407"/>
    <w:rsid w:val="004D0C1C"/>
    <w:rsid w:val="004D3306"/>
    <w:rsid w:val="004D3BA7"/>
    <w:rsid w:val="004D66A5"/>
    <w:rsid w:val="004D71A4"/>
    <w:rsid w:val="004E2886"/>
    <w:rsid w:val="004E575A"/>
    <w:rsid w:val="004E75B9"/>
    <w:rsid w:val="004F3CDA"/>
    <w:rsid w:val="005016D4"/>
    <w:rsid w:val="005017E5"/>
    <w:rsid w:val="00502291"/>
    <w:rsid w:val="005078E0"/>
    <w:rsid w:val="00507C35"/>
    <w:rsid w:val="0051391A"/>
    <w:rsid w:val="0051443A"/>
    <w:rsid w:val="0052062C"/>
    <w:rsid w:val="00522B5D"/>
    <w:rsid w:val="00523364"/>
    <w:rsid w:val="00526534"/>
    <w:rsid w:val="00527968"/>
    <w:rsid w:val="00532DC1"/>
    <w:rsid w:val="00540DF2"/>
    <w:rsid w:val="0055183E"/>
    <w:rsid w:val="005546E4"/>
    <w:rsid w:val="0055587A"/>
    <w:rsid w:val="00561A1C"/>
    <w:rsid w:val="005655AD"/>
    <w:rsid w:val="005655D8"/>
    <w:rsid w:val="00570137"/>
    <w:rsid w:val="005706A9"/>
    <w:rsid w:val="00571F77"/>
    <w:rsid w:val="005752B3"/>
    <w:rsid w:val="00576D06"/>
    <w:rsid w:val="00581231"/>
    <w:rsid w:val="0058194A"/>
    <w:rsid w:val="00584026"/>
    <w:rsid w:val="005878C9"/>
    <w:rsid w:val="00591486"/>
    <w:rsid w:val="00592653"/>
    <w:rsid w:val="00593C87"/>
    <w:rsid w:val="005941E6"/>
    <w:rsid w:val="00596F42"/>
    <w:rsid w:val="00597349"/>
    <w:rsid w:val="005A1347"/>
    <w:rsid w:val="005A37B4"/>
    <w:rsid w:val="005A3C57"/>
    <w:rsid w:val="005A54C2"/>
    <w:rsid w:val="005A6864"/>
    <w:rsid w:val="005B40BB"/>
    <w:rsid w:val="005C4B0C"/>
    <w:rsid w:val="005C6E35"/>
    <w:rsid w:val="005E35CD"/>
    <w:rsid w:val="005E414E"/>
    <w:rsid w:val="005E6EFA"/>
    <w:rsid w:val="00612204"/>
    <w:rsid w:val="00613E34"/>
    <w:rsid w:val="006179B0"/>
    <w:rsid w:val="006212E1"/>
    <w:rsid w:val="00624923"/>
    <w:rsid w:val="00625801"/>
    <w:rsid w:val="00627AB6"/>
    <w:rsid w:val="006308D3"/>
    <w:rsid w:val="00632160"/>
    <w:rsid w:val="006328F3"/>
    <w:rsid w:val="00636DD4"/>
    <w:rsid w:val="006403E7"/>
    <w:rsid w:val="006441BA"/>
    <w:rsid w:val="00644ED6"/>
    <w:rsid w:val="006454BF"/>
    <w:rsid w:val="00657074"/>
    <w:rsid w:val="00665697"/>
    <w:rsid w:val="0067016F"/>
    <w:rsid w:val="00670B84"/>
    <w:rsid w:val="00675CA9"/>
    <w:rsid w:val="00676861"/>
    <w:rsid w:val="00676923"/>
    <w:rsid w:val="00677275"/>
    <w:rsid w:val="00677FDE"/>
    <w:rsid w:val="006858E5"/>
    <w:rsid w:val="0069181C"/>
    <w:rsid w:val="00696895"/>
    <w:rsid w:val="006973D6"/>
    <w:rsid w:val="006A1F7C"/>
    <w:rsid w:val="006A487C"/>
    <w:rsid w:val="006B0DB8"/>
    <w:rsid w:val="006B3202"/>
    <w:rsid w:val="006B78F6"/>
    <w:rsid w:val="006C28AF"/>
    <w:rsid w:val="006C6696"/>
    <w:rsid w:val="006D0447"/>
    <w:rsid w:val="006D2C6D"/>
    <w:rsid w:val="006D342B"/>
    <w:rsid w:val="006E3122"/>
    <w:rsid w:val="006E4F11"/>
    <w:rsid w:val="006F2216"/>
    <w:rsid w:val="006F278E"/>
    <w:rsid w:val="006F2CD3"/>
    <w:rsid w:val="006F32F2"/>
    <w:rsid w:val="006F4E11"/>
    <w:rsid w:val="006F5899"/>
    <w:rsid w:val="007048B7"/>
    <w:rsid w:val="00704F17"/>
    <w:rsid w:val="00706449"/>
    <w:rsid w:val="00711673"/>
    <w:rsid w:val="007150D4"/>
    <w:rsid w:val="00715A25"/>
    <w:rsid w:val="007166CF"/>
    <w:rsid w:val="00720135"/>
    <w:rsid w:val="00722349"/>
    <w:rsid w:val="00722963"/>
    <w:rsid w:val="00727FED"/>
    <w:rsid w:val="0073208B"/>
    <w:rsid w:val="00734182"/>
    <w:rsid w:val="0074265C"/>
    <w:rsid w:val="00742F57"/>
    <w:rsid w:val="0074466A"/>
    <w:rsid w:val="00753760"/>
    <w:rsid w:val="00754861"/>
    <w:rsid w:val="00756DA7"/>
    <w:rsid w:val="00761C0E"/>
    <w:rsid w:val="00764ECD"/>
    <w:rsid w:val="007659DC"/>
    <w:rsid w:val="007675B0"/>
    <w:rsid w:val="007705F6"/>
    <w:rsid w:val="00774F55"/>
    <w:rsid w:val="0077683F"/>
    <w:rsid w:val="0077694C"/>
    <w:rsid w:val="00777BBB"/>
    <w:rsid w:val="0078037E"/>
    <w:rsid w:val="0078132A"/>
    <w:rsid w:val="00782CE5"/>
    <w:rsid w:val="0078450A"/>
    <w:rsid w:val="00785D60"/>
    <w:rsid w:val="007863BB"/>
    <w:rsid w:val="00786F78"/>
    <w:rsid w:val="00794BEE"/>
    <w:rsid w:val="00794C90"/>
    <w:rsid w:val="00797607"/>
    <w:rsid w:val="007A353B"/>
    <w:rsid w:val="007A56AB"/>
    <w:rsid w:val="007A5F85"/>
    <w:rsid w:val="007A7251"/>
    <w:rsid w:val="007A7A33"/>
    <w:rsid w:val="007B6628"/>
    <w:rsid w:val="007C6C00"/>
    <w:rsid w:val="007C72F2"/>
    <w:rsid w:val="007D0DA5"/>
    <w:rsid w:val="007D1FD5"/>
    <w:rsid w:val="007D3F48"/>
    <w:rsid w:val="007D5842"/>
    <w:rsid w:val="007D5AB5"/>
    <w:rsid w:val="007D5F38"/>
    <w:rsid w:val="007D76D5"/>
    <w:rsid w:val="007E25FD"/>
    <w:rsid w:val="007E405D"/>
    <w:rsid w:val="007E4D5E"/>
    <w:rsid w:val="007E514F"/>
    <w:rsid w:val="007F0D00"/>
    <w:rsid w:val="007F0EB1"/>
    <w:rsid w:val="007F2835"/>
    <w:rsid w:val="007F4320"/>
    <w:rsid w:val="007F45C3"/>
    <w:rsid w:val="007F492B"/>
    <w:rsid w:val="007F4FB1"/>
    <w:rsid w:val="00800D26"/>
    <w:rsid w:val="00807B8C"/>
    <w:rsid w:val="00810F34"/>
    <w:rsid w:val="0081613B"/>
    <w:rsid w:val="00822550"/>
    <w:rsid w:val="00822B7F"/>
    <w:rsid w:val="00822FA0"/>
    <w:rsid w:val="008236B8"/>
    <w:rsid w:val="00824263"/>
    <w:rsid w:val="00824403"/>
    <w:rsid w:val="00824A50"/>
    <w:rsid w:val="00824CAB"/>
    <w:rsid w:val="00830876"/>
    <w:rsid w:val="0083679C"/>
    <w:rsid w:val="008419FF"/>
    <w:rsid w:val="00844E49"/>
    <w:rsid w:val="008478B2"/>
    <w:rsid w:val="00850376"/>
    <w:rsid w:val="008507E1"/>
    <w:rsid w:val="008530B5"/>
    <w:rsid w:val="00853CA1"/>
    <w:rsid w:val="00854F0C"/>
    <w:rsid w:val="00855134"/>
    <w:rsid w:val="00860EFF"/>
    <w:rsid w:val="008635C8"/>
    <w:rsid w:val="0086542A"/>
    <w:rsid w:val="008668A0"/>
    <w:rsid w:val="00871ECE"/>
    <w:rsid w:val="00872AA6"/>
    <w:rsid w:val="00873DDE"/>
    <w:rsid w:val="008744D4"/>
    <w:rsid w:val="00874DF7"/>
    <w:rsid w:val="00876AEB"/>
    <w:rsid w:val="0088165A"/>
    <w:rsid w:val="008834BA"/>
    <w:rsid w:val="008909A6"/>
    <w:rsid w:val="008A0C0C"/>
    <w:rsid w:val="008A1EFE"/>
    <w:rsid w:val="008A299A"/>
    <w:rsid w:val="008A3BBB"/>
    <w:rsid w:val="008A5221"/>
    <w:rsid w:val="008B519F"/>
    <w:rsid w:val="008C1C47"/>
    <w:rsid w:val="008C287F"/>
    <w:rsid w:val="008C38A6"/>
    <w:rsid w:val="008C6005"/>
    <w:rsid w:val="008C78B5"/>
    <w:rsid w:val="008E261D"/>
    <w:rsid w:val="008E59E4"/>
    <w:rsid w:val="008F1558"/>
    <w:rsid w:val="008F3FB0"/>
    <w:rsid w:val="00906375"/>
    <w:rsid w:val="00906C27"/>
    <w:rsid w:val="00910C90"/>
    <w:rsid w:val="00912A72"/>
    <w:rsid w:val="009142A5"/>
    <w:rsid w:val="009167D1"/>
    <w:rsid w:val="009169A6"/>
    <w:rsid w:val="00916CA0"/>
    <w:rsid w:val="00920479"/>
    <w:rsid w:val="00937F5B"/>
    <w:rsid w:val="00941AF3"/>
    <w:rsid w:val="0094524A"/>
    <w:rsid w:val="009456EC"/>
    <w:rsid w:val="00946F25"/>
    <w:rsid w:val="00951384"/>
    <w:rsid w:val="0095171D"/>
    <w:rsid w:val="00955400"/>
    <w:rsid w:val="00960279"/>
    <w:rsid w:val="009664A5"/>
    <w:rsid w:val="00971DD4"/>
    <w:rsid w:val="00972674"/>
    <w:rsid w:val="009747F8"/>
    <w:rsid w:val="009802C4"/>
    <w:rsid w:val="0098050A"/>
    <w:rsid w:val="00982166"/>
    <w:rsid w:val="00982480"/>
    <w:rsid w:val="009851CB"/>
    <w:rsid w:val="00990813"/>
    <w:rsid w:val="0099321E"/>
    <w:rsid w:val="009933DE"/>
    <w:rsid w:val="009964F7"/>
    <w:rsid w:val="009A4A68"/>
    <w:rsid w:val="009A69DE"/>
    <w:rsid w:val="009B2BC9"/>
    <w:rsid w:val="009B3F2C"/>
    <w:rsid w:val="009B7E02"/>
    <w:rsid w:val="009C1930"/>
    <w:rsid w:val="009C1BC0"/>
    <w:rsid w:val="009C2A6E"/>
    <w:rsid w:val="009C43D7"/>
    <w:rsid w:val="009C5AF3"/>
    <w:rsid w:val="009C6808"/>
    <w:rsid w:val="009D10C7"/>
    <w:rsid w:val="009D434E"/>
    <w:rsid w:val="009D6E5C"/>
    <w:rsid w:val="009D72FE"/>
    <w:rsid w:val="009E209F"/>
    <w:rsid w:val="009E42C5"/>
    <w:rsid w:val="009E439E"/>
    <w:rsid w:val="009E45DA"/>
    <w:rsid w:val="009E5392"/>
    <w:rsid w:val="009F5B8C"/>
    <w:rsid w:val="00A01412"/>
    <w:rsid w:val="00A06AAB"/>
    <w:rsid w:val="00A10782"/>
    <w:rsid w:val="00A10DFC"/>
    <w:rsid w:val="00A1330F"/>
    <w:rsid w:val="00A14318"/>
    <w:rsid w:val="00A151A5"/>
    <w:rsid w:val="00A157F2"/>
    <w:rsid w:val="00A165EB"/>
    <w:rsid w:val="00A25DA0"/>
    <w:rsid w:val="00A26648"/>
    <w:rsid w:val="00A33C9A"/>
    <w:rsid w:val="00A341D3"/>
    <w:rsid w:val="00A34765"/>
    <w:rsid w:val="00A34FAA"/>
    <w:rsid w:val="00A3746A"/>
    <w:rsid w:val="00A42D62"/>
    <w:rsid w:val="00A467D2"/>
    <w:rsid w:val="00A53876"/>
    <w:rsid w:val="00A540A9"/>
    <w:rsid w:val="00A60EFE"/>
    <w:rsid w:val="00A65C99"/>
    <w:rsid w:val="00A66EC1"/>
    <w:rsid w:val="00A7174A"/>
    <w:rsid w:val="00A75174"/>
    <w:rsid w:val="00A751B2"/>
    <w:rsid w:val="00A764D2"/>
    <w:rsid w:val="00A77048"/>
    <w:rsid w:val="00A977C1"/>
    <w:rsid w:val="00A97A30"/>
    <w:rsid w:val="00AA7656"/>
    <w:rsid w:val="00AB1F6F"/>
    <w:rsid w:val="00AB77E3"/>
    <w:rsid w:val="00AC0940"/>
    <w:rsid w:val="00AC199B"/>
    <w:rsid w:val="00AC5E6E"/>
    <w:rsid w:val="00AD5A1D"/>
    <w:rsid w:val="00AD6E0A"/>
    <w:rsid w:val="00AE0B10"/>
    <w:rsid w:val="00AE45A5"/>
    <w:rsid w:val="00AE5A32"/>
    <w:rsid w:val="00AF38DD"/>
    <w:rsid w:val="00AF4A8F"/>
    <w:rsid w:val="00AF59F2"/>
    <w:rsid w:val="00B033D4"/>
    <w:rsid w:val="00B038EB"/>
    <w:rsid w:val="00B0532B"/>
    <w:rsid w:val="00B07D42"/>
    <w:rsid w:val="00B108F2"/>
    <w:rsid w:val="00B20428"/>
    <w:rsid w:val="00B2298F"/>
    <w:rsid w:val="00B234E2"/>
    <w:rsid w:val="00B256AF"/>
    <w:rsid w:val="00B25BD9"/>
    <w:rsid w:val="00B320A1"/>
    <w:rsid w:val="00B51772"/>
    <w:rsid w:val="00B53F2E"/>
    <w:rsid w:val="00B54FA9"/>
    <w:rsid w:val="00B55F40"/>
    <w:rsid w:val="00B67431"/>
    <w:rsid w:val="00B80015"/>
    <w:rsid w:val="00B92EC1"/>
    <w:rsid w:val="00B94BFA"/>
    <w:rsid w:val="00B97692"/>
    <w:rsid w:val="00BA5547"/>
    <w:rsid w:val="00BA5CF1"/>
    <w:rsid w:val="00BB4E2C"/>
    <w:rsid w:val="00BB5A80"/>
    <w:rsid w:val="00BB5CA4"/>
    <w:rsid w:val="00BB7EE0"/>
    <w:rsid w:val="00BC05B1"/>
    <w:rsid w:val="00BC1AA6"/>
    <w:rsid w:val="00BC3916"/>
    <w:rsid w:val="00BC4FEB"/>
    <w:rsid w:val="00BC62A3"/>
    <w:rsid w:val="00BD085D"/>
    <w:rsid w:val="00BD0EAE"/>
    <w:rsid w:val="00BD13AE"/>
    <w:rsid w:val="00BD2DD2"/>
    <w:rsid w:val="00BD7205"/>
    <w:rsid w:val="00BE56DE"/>
    <w:rsid w:val="00BE5F1B"/>
    <w:rsid w:val="00BE638F"/>
    <w:rsid w:val="00BF4FB8"/>
    <w:rsid w:val="00C07F10"/>
    <w:rsid w:val="00C1160C"/>
    <w:rsid w:val="00C164C3"/>
    <w:rsid w:val="00C16D68"/>
    <w:rsid w:val="00C178F1"/>
    <w:rsid w:val="00C228C5"/>
    <w:rsid w:val="00C24383"/>
    <w:rsid w:val="00C243D3"/>
    <w:rsid w:val="00C248DF"/>
    <w:rsid w:val="00C2531C"/>
    <w:rsid w:val="00C30B3A"/>
    <w:rsid w:val="00C31680"/>
    <w:rsid w:val="00C33627"/>
    <w:rsid w:val="00C35498"/>
    <w:rsid w:val="00C37B0A"/>
    <w:rsid w:val="00C40357"/>
    <w:rsid w:val="00C5567C"/>
    <w:rsid w:val="00C6493D"/>
    <w:rsid w:val="00C656F5"/>
    <w:rsid w:val="00C702E4"/>
    <w:rsid w:val="00C7076C"/>
    <w:rsid w:val="00C70BFA"/>
    <w:rsid w:val="00C73922"/>
    <w:rsid w:val="00C759BE"/>
    <w:rsid w:val="00C77BFE"/>
    <w:rsid w:val="00C84619"/>
    <w:rsid w:val="00C848F2"/>
    <w:rsid w:val="00C866EF"/>
    <w:rsid w:val="00C93F6F"/>
    <w:rsid w:val="00C943BB"/>
    <w:rsid w:val="00CA2DE2"/>
    <w:rsid w:val="00CA41FE"/>
    <w:rsid w:val="00CA57DD"/>
    <w:rsid w:val="00CA6428"/>
    <w:rsid w:val="00CB2778"/>
    <w:rsid w:val="00CB2CEC"/>
    <w:rsid w:val="00CB6ACE"/>
    <w:rsid w:val="00CB7995"/>
    <w:rsid w:val="00CC4F58"/>
    <w:rsid w:val="00CD00E8"/>
    <w:rsid w:val="00CD5BE3"/>
    <w:rsid w:val="00CD76C6"/>
    <w:rsid w:val="00CE0425"/>
    <w:rsid w:val="00CE1235"/>
    <w:rsid w:val="00CE2D73"/>
    <w:rsid w:val="00CE31E4"/>
    <w:rsid w:val="00D03661"/>
    <w:rsid w:val="00D05CA4"/>
    <w:rsid w:val="00D11ACD"/>
    <w:rsid w:val="00D11D06"/>
    <w:rsid w:val="00D1577A"/>
    <w:rsid w:val="00D20F15"/>
    <w:rsid w:val="00D40158"/>
    <w:rsid w:val="00D45896"/>
    <w:rsid w:val="00D460DF"/>
    <w:rsid w:val="00D471EC"/>
    <w:rsid w:val="00D50B8A"/>
    <w:rsid w:val="00D515A0"/>
    <w:rsid w:val="00D5176B"/>
    <w:rsid w:val="00D55796"/>
    <w:rsid w:val="00D603A4"/>
    <w:rsid w:val="00D76138"/>
    <w:rsid w:val="00D76FDD"/>
    <w:rsid w:val="00D80B29"/>
    <w:rsid w:val="00D80D3E"/>
    <w:rsid w:val="00D8453D"/>
    <w:rsid w:val="00D87421"/>
    <w:rsid w:val="00D971B5"/>
    <w:rsid w:val="00DA216A"/>
    <w:rsid w:val="00DA288F"/>
    <w:rsid w:val="00DA37F9"/>
    <w:rsid w:val="00DA5D98"/>
    <w:rsid w:val="00DB3393"/>
    <w:rsid w:val="00DB5EDE"/>
    <w:rsid w:val="00DC16E4"/>
    <w:rsid w:val="00DC6324"/>
    <w:rsid w:val="00DD1017"/>
    <w:rsid w:val="00DD176B"/>
    <w:rsid w:val="00DD4C78"/>
    <w:rsid w:val="00DD57B5"/>
    <w:rsid w:val="00DE2B13"/>
    <w:rsid w:val="00DE5D88"/>
    <w:rsid w:val="00DF08FB"/>
    <w:rsid w:val="00DF6CA7"/>
    <w:rsid w:val="00E033AA"/>
    <w:rsid w:val="00E0367C"/>
    <w:rsid w:val="00E048D6"/>
    <w:rsid w:val="00E06BB4"/>
    <w:rsid w:val="00E07D50"/>
    <w:rsid w:val="00E20BBF"/>
    <w:rsid w:val="00E22591"/>
    <w:rsid w:val="00E25536"/>
    <w:rsid w:val="00E25A7D"/>
    <w:rsid w:val="00E26E16"/>
    <w:rsid w:val="00E3243E"/>
    <w:rsid w:val="00E347E8"/>
    <w:rsid w:val="00E37026"/>
    <w:rsid w:val="00E37930"/>
    <w:rsid w:val="00E44128"/>
    <w:rsid w:val="00E4427D"/>
    <w:rsid w:val="00E44850"/>
    <w:rsid w:val="00E50BB6"/>
    <w:rsid w:val="00E52CED"/>
    <w:rsid w:val="00E611C8"/>
    <w:rsid w:val="00E616A5"/>
    <w:rsid w:val="00E63404"/>
    <w:rsid w:val="00E634BD"/>
    <w:rsid w:val="00E72695"/>
    <w:rsid w:val="00E72696"/>
    <w:rsid w:val="00E726E4"/>
    <w:rsid w:val="00E75F39"/>
    <w:rsid w:val="00E76A52"/>
    <w:rsid w:val="00E826C7"/>
    <w:rsid w:val="00E83EA1"/>
    <w:rsid w:val="00E85E6E"/>
    <w:rsid w:val="00E8712E"/>
    <w:rsid w:val="00E969E5"/>
    <w:rsid w:val="00E9774B"/>
    <w:rsid w:val="00EA07EE"/>
    <w:rsid w:val="00EA36A4"/>
    <w:rsid w:val="00EA6475"/>
    <w:rsid w:val="00EA7571"/>
    <w:rsid w:val="00EB0032"/>
    <w:rsid w:val="00EB2926"/>
    <w:rsid w:val="00EB6A9C"/>
    <w:rsid w:val="00EC0B80"/>
    <w:rsid w:val="00EC2771"/>
    <w:rsid w:val="00EC5E98"/>
    <w:rsid w:val="00ED0357"/>
    <w:rsid w:val="00ED0659"/>
    <w:rsid w:val="00ED1E4E"/>
    <w:rsid w:val="00ED34C9"/>
    <w:rsid w:val="00ED7155"/>
    <w:rsid w:val="00EE121D"/>
    <w:rsid w:val="00EE1407"/>
    <w:rsid w:val="00EE6221"/>
    <w:rsid w:val="00EE6DA3"/>
    <w:rsid w:val="00EE7F8B"/>
    <w:rsid w:val="00EF3510"/>
    <w:rsid w:val="00F03BF2"/>
    <w:rsid w:val="00F05171"/>
    <w:rsid w:val="00F0680A"/>
    <w:rsid w:val="00F135E7"/>
    <w:rsid w:val="00F22E85"/>
    <w:rsid w:val="00F25218"/>
    <w:rsid w:val="00F259AE"/>
    <w:rsid w:val="00F31330"/>
    <w:rsid w:val="00F33E07"/>
    <w:rsid w:val="00F36BFE"/>
    <w:rsid w:val="00F408AF"/>
    <w:rsid w:val="00F409E5"/>
    <w:rsid w:val="00F60937"/>
    <w:rsid w:val="00F65E0D"/>
    <w:rsid w:val="00F709B0"/>
    <w:rsid w:val="00F82EC2"/>
    <w:rsid w:val="00F85C91"/>
    <w:rsid w:val="00F86A5F"/>
    <w:rsid w:val="00F870C6"/>
    <w:rsid w:val="00F908CC"/>
    <w:rsid w:val="00F9363F"/>
    <w:rsid w:val="00F96AA8"/>
    <w:rsid w:val="00FA172D"/>
    <w:rsid w:val="00FA7CD7"/>
    <w:rsid w:val="00FB0CB8"/>
    <w:rsid w:val="00FB14CA"/>
    <w:rsid w:val="00FB1752"/>
    <w:rsid w:val="00FB6FCD"/>
    <w:rsid w:val="00FC53BF"/>
    <w:rsid w:val="00FC58B5"/>
    <w:rsid w:val="00FC6702"/>
    <w:rsid w:val="00FD107B"/>
    <w:rsid w:val="00FE31D3"/>
    <w:rsid w:val="00FF0B0B"/>
    <w:rsid w:val="00FF0E82"/>
    <w:rsid w:val="00FF2C05"/>
    <w:rsid w:val="00FF3106"/>
    <w:rsid w:val="00FF4A45"/>
    <w:rsid w:val="00FF5FCA"/>
    <w:rsid w:val="010974DB"/>
    <w:rsid w:val="015B24AE"/>
    <w:rsid w:val="015B3670"/>
    <w:rsid w:val="01C221B4"/>
    <w:rsid w:val="01FA7B2F"/>
    <w:rsid w:val="02453AD2"/>
    <w:rsid w:val="024C0B1E"/>
    <w:rsid w:val="0279377C"/>
    <w:rsid w:val="028B3EDC"/>
    <w:rsid w:val="031B422C"/>
    <w:rsid w:val="03507DBB"/>
    <w:rsid w:val="03627E67"/>
    <w:rsid w:val="036B6473"/>
    <w:rsid w:val="03866869"/>
    <w:rsid w:val="038C7BC5"/>
    <w:rsid w:val="038E74B0"/>
    <w:rsid w:val="03CD4D6B"/>
    <w:rsid w:val="040B5ABD"/>
    <w:rsid w:val="0417338A"/>
    <w:rsid w:val="043645E4"/>
    <w:rsid w:val="04E108E2"/>
    <w:rsid w:val="0555612F"/>
    <w:rsid w:val="059D60FC"/>
    <w:rsid w:val="05D909DD"/>
    <w:rsid w:val="05FA2518"/>
    <w:rsid w:val="060E6A0E"/>
    <w:rsid w:val="06163EE9"/>
    <w:rsid w:val="06396B90"/>
    <w:rsid w:val="06822BF9"/>
    <w:rsid w:val="073143FB"/>
    <w:rsid w:val="07CC63DA"/>
    <w:rsid w:val="07E532BC"/>
    <w:rsid w:val="07E53700"/>
    <w:rsid w:val="083D3934"/>
    <w:rsid w:val="08471D7F"/>
    <w:rsid w:val="08662291"/>
    <w:rsid w:val="08A20FFF"/>
    <w:rsid w:val="08F279E2"/>
    <w:rsid w:val="09A844B1"/>
    <w:rsid w:val="09DE4B40"/>
    <w:rsid w:val="09F2600C"/>
    <w:rsid w:val="09FA0D58"/>
    <w:rsid w:val="0AC54E9D"/>
    <w:rsid w:val="0AD54BDA"/>
    <w:rsid w:val="0AF41B7F"/>
    <w:rsid w:val="0AF97CE0"/>
    <w:rsid w:val="0AFB6CAC"/>
    <w:rsid w:val="0B044218"/>
    <w:rsid w:val="0B220ABB"/>
    <w:rsid w:val="0B6948F1"/>
    <w:rsid w:val="0B6A3D17"/>
    <w:rsid w:val="0B7C46F6"/>
    <w:rsid w:val="0BA43058"/>
    <w:rsid w:val="0C246F78"/>
    <w:rsid w:val="0C43691D"/>
    <w:rsid w:val="0C961836"/>
    <w:rsid w:val="0C994113"/>
    <w:rsid w:val="0CA127FA"/>
    <w:rsid w:val="0CE757DF"/>
    <w:rsid w:val="0D066457"/>
    <w:rsid w:val="0D776FCF"/>
    <w:rsid w:val="0D92714F"/>
    <w:rsid w:val="0DAB17C3"/>
    <w:rsid w:val="0DF824BF"/>
    <w:rsid w:val="0DFD4814"/>
    <w:rsid w:val="0E7B438C"/>
    <w:rsid w:val="0E7C5E6C"/>
    <w:rsid w:val="0E993A07"/>
    <w:rsid w:val="0EBF4C6F"/>
    <w:rsid w:val="0EF54881"/>
    <w:rsid w:val="0F0A7732"/>
    <w:rsid w:val="0F6C4701"/>
    <w:rsid w:val="0F6E5BBE"/>
    <w:rsid w:val="0F6E6CE3"/>
    <w:rsid w:val="0F8B0053"/>
    <w:rsid w:val="0F900189"/>
    <w:rsid w:val="0FBE6EF9"/>
    <w:rsid w:val="0FE12F77"/>
    <w:rsid w:val="0FEB4CD3"/>
    <w:rsid w:val="100C1DE2"/>
    <w:rsid w:val="10343341"/>
    <w:rsid w:val="104F6C04"/>
    <w:rsid w:val="105F6B52"/>
    <w:rsid w:val="108F4F2F"/>
    <w:rsid w:val="1095067C"/>
    <w:rsid w:val="10C044CD"/>
    <w:rsid w:val="10F2385D"/>
    <w:rsid w:val="10FB6097"/>
    <w:rsid w:val="11055DB8"/>
    <w:rsid w:val="110D72FB"/>
    <w:rsid w:val="114804F6"/>
    <w:rsid w:val="11651119"/>
    <w:rsid w:val="11E63A8B"/>
    <w:rsid w:val="11E95516"/>
    <w:rsid w:val="11FC3526"/>
    <w:rsid w:val="1211563C"/>
    <w:rsid w:val="122120C1"/>
    <w:rsid w:val="124A1379"/>
    <w:rsid w:val="12911CD4"/>
    <w:rsid w:val="12CB3736"/>
    <w:rsid w:val="13071A9F"/>
    <w:rsid w:val="13315615"/>
    <w:rsid w:val="1360216B"/>
    <w:rsid w:val="13794E71"/>
    <w:rsid w:val="13BD73B8"/>
    <w:rsid w:val="13C12C62"/>
    <w:rsid w:val="13DD2DCA"/>
    <w:rsid w:val="143A1595"/>
    <w:rsid w:val="14537CB4"/>
    <w:rsid w:val="14D9641F"/>
    <w:rsid w:val="15456538"/>
    <w:rsid w:val="157C59CB"/>
    <w:rsid w:val="15A823E6"/>
    <w:rsid w:val="15B029A2"/>
    <w:rsid w:val="161D6D8C"/>
    <w:rsid w:val="1621753B"/>
    <w:rsid w:val="16450C97"/>
    <w:rsid w:val="166B719E"/>
    <w:rsid w:val="16B61174"/>
    <w:rsid w:val="171F7D5A"/>
    <w:rsid w:val="172A77E1"/>
    <w:rsid w:val="17363C9E"/>
    <w:rsid w:val="175A1BDB"/>
    <w:rsid w:val="176C3763"/>
    <w:rsid w:val="178D100E"/>
    <w:rsid w:val="17A9055F"/>
    <w:rsid w:val="17E07F69"/>
    <w:rsid w:val="17E36298"/>
    <w:rsid w:val="17E6409D"/>
    <w:rsid w:val="181A5BAE"/>
    <w:rsid w:val="18264D47"/>
    <w:rsid w:val="18367CF3"/>
    <w:rsid w:val="183B44F5"/>
    <w:rsid w:val="183C6BFE"/>
    <w:rsid w:val="1866660E"/>
    <w:rsid w:val="18B704AD"/>
    <w:rsid w:val="18BC20C5"/>
    <w:rsid w:val="19A212CA"/>
    <w:rsid w:val="19AC22AE"/>
    <w:rsid w:val="19FA02C4"/>
    <w:rsid w:val="1A4736EB"/>
    <w:rsid w:val="1A7257F3"/>
    <w:rsid w:val="1AAF5693"/>
    <w:rsid w:val="1AB63633"/>
    <w:rsid w:val="1AC30890"/>
    <w:rsid w:val="1AEE539A"/>
    <w:rsid w:val="1B5C0BB4"/>
    <w:rsid w:val="1BA96D6F"/>
    <w:rsid w:val="1BAB1248"/>
    <w:rsid w:val="1C1650FE"/>
    <w:rsid w:val="1C8F2306"/>
    <w:rsid w:val="1CB3716C"/>
    <w:rsid w:val="1CFC5C77"/>
    <w:rsid w:val="1D0E4A12"/>
    <w:rsid w:val="1D1C177C"/>
    <w:rsid w:val="1D2D47BA"/>
    <w:rsid w:val="1D4C41D3"/>
    <w:rsid w:val="1D6A39B8"/>
    <w:rsid w:val="1D7238A8"/>
    <w:rsid w:val="1DA90DF0"/>
    <w:rsid w:val="1DF85109"/>
    <w:rsid w:val="1E2665E5"/>
    <w:rsid w:val="1E32703C"/>
    <w:rsid w:val="1E51511F"/>
    <w:rsid w:val="1E6814BB"/>
    <w:rsid w:val="1F2C4194"/>
    <w:rsid w:val="1F7E5188"/>
    <w:rsid w:val="1F865800"/>
    <w:rsid w:val="1F98683A"/>
    <w:rsid w:val="1FB73F48"/>
    <w:rsid w:val="1FDF4738"/>
    <w:rsid w:val="1FEE30DD"/>
    <w:rsid w:val="1FF24262"/>
    <w:rsid w:val="1FFD7051"/>
    <w:rsid w:val="200A62DA"/>
    <w:rsid w:val="20BB50BF"/>
    <w:rsid w:val="20C06081"/>
    <w:rsid w:val="20E729DC"/>
    <w:rsid w:val="21203B40"/>
    <w:rsid w:val="21271D3F"/>
    <w:rsid w:val="214E5F70"/>
    <w:rsid w:val="21BA29BC"/>
    <w:rsid w:val="21DD349D"/>
    <w:rsid w:val="21F805E3"/>
    <w:rsid w:val="220C72E3"/>
    <w:rsid w:val="2210611E"/>
    <w:rsid w:val="223321D8"/>
    <w:rsid w:val="22803FAB"/>
    <w:rsid w:val="229C0237"/>
    <w:rsid w:val="22B86AA7"/>
    <w:rsid w:val="22BB4045"/>
    <w:rsid w:val="22DC6BE7"/>
    <w:rsid w:val="2305108D"/>
    <w:rsid w:val="230D4016"/>
    <w:rsid w:val="23524E4A"/>
    <w:rsid w:val="23737D0D"/>
    <w:rsid w:val="23B66F17"/>
    <w:rsid w:val="23E32EB5"/>
    <w:rsid w:val="24190041"/>
    <w:rsid w:val="241B5F4A"/>
    <w:rsid w:val="24217D31"/>
    <w:rsid w:val="24230ACA"/>
    <w:rsid w:val="243A0254"/>
    <w:rsid w:val="24D6667D"/>
    <w:rsid w:val="24E91E1B"/>
    <w:rsid w:val="24F4378B"/>
    <w:rsid w:val="2547624B"/>
    <w:rsid w:val="255701E0"/>
    <w:rsid w:val="25A11AD2"/>
    <w:rsid w:val="25EB70F0"/>
    <w:rsid w:val="26455201"/>
    <w:rsid w:val="26E744EE"/>
    <w:rsid w:val="27211512"/>
    <w:rsid w:val="27871C7F"/>
    <w:rsid w:val="278E4E0C"/>
    <w:rsid w:val="27DA6364"/>
    <w:rsid w:val="27FA2221"/>
    <w:rsid w:val="28323AAE"/>
    <w:rsid w:val="28454EB3"/>
    <w:rsid w:val="285751A8"/>
    <w:rsid w:val="28964742"/>
    <w:rsid w:val="28FE6A4D"/>
    <w:rsid w:val="290403BB"/>
    <w:rsid w:val="290B566C"/>
    <w:rsid w:val="29307DE5"/>
    <w:rsid w:val="29A42BF5"/>
    <w:rsid w:val="2A1A4034"/>
    <w:rsid w:val="2A1D6EA4"/>
    <w:rsid w:val="2A4C4081"/>
    <w:rsid w:val="2AD57FA6"/>
    <w:rsid w:val="2AE36C8E"/>
    <w:rsid w:val="2B0321ED"/>
    <w:rsid w:val="2B0C57D5"/>
    <w:rsid w:val="2B26566E"/>
    <w:rsid w:val="2B487BF7"/>
    <w:rsid w:val="2B4D0A99"/>
    <w:rsid w:val="2B70039F"/>
    <w:rsid w:val="2BB82262"/>
    <w:rsid w:val="2C2E5EF5"/>
    <w:rsid w:val="2C360390"/>
    <w:rsid w:val="2C4D5253"/>
    <w:rsid w:val="2C6F63F4"/>
    <w:rsid w:val="2CB947D7"/>
    <w:rsid w:val="2CDA4BE2"/>
    <w:rsid w:val="2CF57F33"/>
    <w:rsid w:val="2D3A4BC3"/>
    <w:rsid w:val="2D421FD1"/>
    <w:rsid w:val="2D9144DC"/>
    <w:rsid w:val="2DA7128F"/>
    <w:rsid w:val="2DB27902"/>
    <w:rsid w:val="2DD850F2"/>
    <w:rsid w:val="2DFD1A48"/>
    <w:rsid w:val="2E625FB7"/>
    <w:rsid w:val="2E90036C"/>
    <w:rsid w:val="2E961AD2"/>
    <w:rsid w:val="2F3A1131"/>
    <w:rsid w:val="2F415D00"/>
    <w:rsid w:val="2F503AF9"/>
    <w:rsid w:val="2F7B5CA8"/>
    <w:rsid w:val="2F8945C2"/>
    <w:rsid w:val="2F933087"/>
    <w:rsid w:val="2F98221C"/>
    <w:rsid w:val="2FCC1679"/>
    <w:rsid w:val="2FFF4E45"/>
    <w:rsid w:val="301A368A"/>
    <w:rsid w:val="3099237A"/>
    <w:rsid w:val="30B62F82"/>
    <w:rsid w:val="30C7526B"/>
    <w:rsid w:val="30CB06DF"/>
    <w:rsid w:val="30DA4C2E"/>
    <w:rsid w:val="311B481E"/>
    <w:rsid w:val="31220029"/>
    <w:rsid w:val="314B756C"/>
    <w:rsid w:val="315241B7"/>
    <w:rsid w:val="31DC33F5"/>
    <w:rsid w:val="32250E09"/>
    <w:rsid w:val="32F41158"/>
    <w:rsid w:val="33223552"/>
    <w:rsid w:val="332C5642"/>
    <w:rsid w:val="336B2834"/>
    <w:rsid w:val="337862E5"/>
    <w:rsid w:val="33CF7591"/>
    <w:rsid w:val="33DC61E7"/>
    <w:rsid w:val="33EF7B65"/>
    <w:rsid w:val="34140171"/>
    <w:rsid w:val="341C4444"/>
    <w:rsid w:val="34C13CB9"/>
    <w:rsid w:val="34C704B8"/>
    <w:rsid w:val="34C8267C"/>
    <w:rsid w:val="34CB752E"/>
    <w:rsid w:val="34CD0755"/>
    <w:rsid w:val="35444E33"/>
    <w:rsid w:val="35862459"/>
    <w:rsid w:val="358D1013"/>
    <w:rsid w:val="35915A33"/>
    <w:rsid w:val="359246E1"/>
    <w:rsid w:val="35BD3230"/>
    <w:rsid w:val="35C04B35"/>
    <w:rsid w:val="35CE1C93"/>
    <w:rsid w:val="35DC1206"/>
    <w:rsid w:val="3680532F"/>
    <w:rsid w:val="36B77DF8"/>
    <w:rsid w:val="36C04AEC"/>
    <w:rsid w:val="36D80657"/>
    <w:rsid w:val="371B0B34"/>
    <w:rsid w:val="37347C88"/>
    <w:rsid w:val="37B171CC"/>
    <w:rsid w:val="37E76C86"/>
    <w:rsid w:val="38314E4C"/>
    <w:rsid w:val="38C34F4E"/>
    <w:rsid w:val="39270607"/>
    <w:rsid w:val="396430B4"/>
    <w:rsid w:val="397825BC"/>
    <w:rsid w:val="39833969"/>
    <w:rsid w:val="39AF72A0"/>
    <w:rsid w:val="39CB0F9C"/>
    <w:rsid w:val="3A3A15C3"/>
    <w:rsid w:val="3A3C41C3"/>
    <w:rsid w:val="3A434A79"/>
    <w:rsid w:val="3A9A3131"/>
    <w:rsid w:val="3AA13714"/>
    <w:rsid w:val="3ABE77F6"/>
    <w:rsid w:val="3AF76FA1"/>
    <w:rsid w:val="3B2B3F7D"/>
    <w:rsid w:val="3B47009A"/>
    <w:rsid w:val="3B706765"/>
    <w:rsid w:val="3B9930A8"/>
    <w:rsid w:val="3BE9242F"/>
    <w:rsid w:val="3C235935"/>
    <w:rsid w:val="3C695F34"/>
    <w:rsid w:val="3C71049E"/>
    <w:rsid w:val="3CC12BF5"/>
    <w:rsid w:val="3D5A1015"/>
    <w:rsid w:val="3D5A6E74"/>
    <w:rsid w:val="3D8A75E1"/>
    <w:rsid w:val="3D9F20A5"/>
    <w:rsid w:val="3DA61753"/>
    <w:rsid w:val="3DCF7F42"/>
    <w:rsid w:val="3E0C2901"/>
    <w:rsid w:val="3E1C2564"/>
    <w:rsid w:val="3E2204A3"/>
    <w:rsid w:val="3E426526"/>
    <w:rsid w:val="3EA539A8"/>
    <w:rsid w:val="3ED42873"/>
    <w:rsid w:val="3EF116EF"/>
    <w:rsid w:val="3EF75AF1"/>
    <w:rsid w:val="3F0C1EAD"/>
    <w:rsid w:val="3F354F38"/>
    <w:rsid w:val="3F92514A"/>
    <w:rsid w:val="3F972E98"/>
    <w:rsid w:val="3FB9042D"/>
    <w:rsid w:val="3FD17E41"/>
    <w:rsid w:val="3FE46F9A"/>
    <w:rsid w:val="3FFC1870"/>
    <w:rsid w:val="401F61B5"/>
    <w:rsid w:val="403C070B"/>
    <w:rsid w:val="40B13FB6"/>
    <w:rsid w:val="40E647E3"/>
    <w:rsid w:val="40ED5CD0"/>
    <w:rsid w:val="41193E41"/>
    <w:rsid w:val="41597CC1"/>
    <w:rsid w:val="41672A63"/>
    <w:rsid w:val="41784B4A"/>
    <w:rsid w:val="418B74D9"/>
    <w:rsid w:val="41910187"/>
    <w:rsid w:val="41A01818"/>
    <w:rsid w:val="41A664D0"/>
    <w:rsid w:val="41AE5745"/>
    <w:rsid w:val="41B13BD3"/>
    <w:rsid w:val="41D8794F"/>
    <w:rsid w:val="41E22717"/>
    <w:rsid w:val="41EF728F"/>
    <w:rsid w:val="42355579"/>
    <w:rsid w:val="42522927"/>
    <w:rsid w:val="425D6528"/>
    <w:rsid w:val="42671377"/>
    <w:rsid w:val="430B6E49"/>
    <w:rsid w:val="4319029E"/>
    <w:rsid w:val="432F2483"/>
    <w:rsid w:val="44091A2D"/>
    <w:rsid w:val="44516F14"/>
    <w:rsid w:val="44937A8F"/>
    <w:rsid w:val="4548246E"/>
    <w:rsid w:val="455C09C9"/>
    <w:rsid w:val="456B102F"/>
    <w:rsid w:val="45D14648"/>
    <w:rsid w:val="460D0517"/>
    <w:rsid w:val="460E66C6"/>
    <w:rsid w:val="46205A1C"/>
    <w:rsid w:val="4653532C"/>
    <w:rsid w:val="467233BF"/>
    <w:rsid w:val="46D30980"/>
    <w:rsid w:val="47427C8E"/>
    <w:rsid w:val="474A0A85"/>
    <w:rsid w:val="477F456E"/>
    <w:rsid w:val="478668DE"/>
    <w:rsid w:val="479658D2"/>
    <w:rsid w:val="479762EE"/>
    <w:rsid w:val="47F949DF"/>
    <w:rsid w:val="48157B65"/>
    <w:rsid w:val="482A734A"/>
    <w:rsid w:val="48577A65"/>
    <w:rsid w:val="48884BAE"/>
    <w:rsid w:val="489C6C11"/>
    <w:rsid w:val="48A432F4"/>
    <w:rsid w:val="48EB40EF"/>
    <w:rsid w:val="491D55D9"/>
    <w:rsid w:val="492B467D"/>
    <w:rsid w:val="49466EFD"/>
    <w:rsid w:val="49B004AB"/>
    <w:rsid w:val="4A33138B"/>
    <w:rsid w:val="4AB76A28"/>
    <w:rsid w:val="4AC9763E"/>
    <w:rsid w:val="4AE056AB"/>
    <w:rsid w:val="4AE07264"/>
    <w:rsid w:val="4AEC5F2A"/>
    <w:rsid w:val="4B342EE1"/>
    <w:rsid w:val="4B384CC0"/>
    <w:rsid w:val="4B4E38C2"/>
    <w:rsid w:val="4B632A78"/>
    <w:rsid w:val="4BCF26BF"/>
    <w:rsid w:val="4BEA68D7"/>
    <w:rsid w:val="4C0B6E0C"/>
    <w:rsid w:val="4C1D38D4"/>
    <w:rsid w:val="4C4869E1"/>
    <w:rsid w:val="4C9F2990"/>
    <w:rsid w:val="4E1857AC"/>
    <w:rsid w:val="4E26261F"/>
    <w:rsid w:val="4E3A533C"/>
    <w:rsid w:val="4E403C3C"/>
    <w:rsid w:val="4E901F73"/>
    <w:rsid w:val="4EBB20BD"/>
    <w:rsid w:val="4F410CB6"/>
    <w:rsid w:val="4F5A2C1F"/>
    <w:rsid w:val="4FB46852"/>
    <w:rsid w:val="501B2419"/>
    <w:rsid w:val="50B85CA8"/>
    <w:rsid w:val="50D36AC6"/>
    <w:rsid w:val="51112461"/>
    <w:rsid w:val="513959C5"/>
    <w:rsid w:val="514364D8"/>
    <w:rsid w:val="514B137F"/>
    <w:rsid w:val="51791DFD"/>
    <w:rsid w:val="520165FA"/>
    <w:rsid w:val="520874A8"/>
    <w:rsid w:val="52317545"/>
    <w:rsid w:val="5270632C"/>
    <w:rsid w:val="5292324C"/>
    <w:rsid w:val="529309B8"/>
    <w:rsid w:val="529A2F5E"/>
    <w:rsid w:val="530C5A28"/>
    <w:rsid w:val="531D1179"/>
    <w:rsid w:val="533C7B83"/>
    <w:rsid w:val="5379396F"/>
    <w:rsid w:val="5384654E"/>
    <w:rsid w:val="538B3D78"/>
    <w:rsid w:val="53DA28A7"/>
    <w:rsid w:val="540909EB"/>
    <w:rsid w:val="54520A94"/>
    <w:rsid w:val="548A63EC"/>
    <w:rsid w:val="552044B5"/>
    <w:rsid w:val="554F676F"/>
    <w:rsid w:val="55736C72"/>
    <w:rsid w:val="55946BBA"/>
    <w:rsid w:val="5659756E"/>
    <w:rsid w:val="56B474E3"/>
    <w:rsid w:val="56C54260"/>
    <w:rsid w:val="56D04952"/>
    <w:rsid w:val="56D76B9C"/>
    <w:rsid w:val="5734537F"/>
    <w:rsid w:val="573E7DBA"/>
    <w:rsid w:val="57F12E07"/>
    <w:rsid w:val="582D3016"/>
    <w:rsid w:val="584F4DEB"/>
    <w:rsid w:val="58BD2CEA"/>
    <w:rsid w:val="59425378"/>
    <w:rsid w:val="596F6ED5"/>
    <w:rsid w:val="59953DB9"/>
    <w:rsid w:val="59B02A1A"/>
    <w:rsid w:val="5A0B51C0"/>
    <w:rsid w:val="5A160B96"/>
    <w:rsid w:val="5A1D22CC"/>
    <w:rsid w:val="5A476FBB"/>
    <w:rsid w:val="5A53303E"/>
    <w:rsid w:val="5AA82E6F"/>
    <w:rsid w:val="5AD7100F"/>
    <w:rsid w:val="5BA83EAD"/>
    <w:rsid w:val="5BCA24D5"/>
    <w:rsid w:val="5BFA3AB1"/>
    <w:rsid w:val="5C0E7B80"/>
    <w:rsid w:val="5C1169B9"/>
    <w:rsid w:val="5C152C9F"/>
    <w:rsid w:val="5C35113C"/>
    <w:rsid w:val="5C432CB0"/>
    <w:rsid w:val="5C655779"/>
    <w:rsid w:val="5C720A36"/>
    <w:rsid w:val="5D25153F"/>
    <w:rsid w:val="5D5340FF"/>
    <w:rsid w:val="5D69679E"/>
    <w:rsid w:val="5D9E6DA0"/>
    <w:rsid w:val="5DA04389"/>
    <w:rsid w:val="5DAD6F80"/>
    <w:rsid w:val="5DBD752C"/>
    <w:rsid w:val="5DD664E8"/>
    <w:rsid w:val="5DF02C60"/>
    <w:rsid w:val="5E344CEC"/>
    <w:rsid w:val="5E373A11"/>
    <w:rsid w:val="5E377FA2"/>
    <w:rsid w:val="5E3E24B7"/>
    <w:rsid w:val="5E536809"/>
    <w:rsid w:val="5E6926D0"/>
    <w:rsid w:val="5E7E290E"/>
    <w:rsid w:val="5E8E3B20"/>
    <w:rsid w:val="5ED11038"/>
    <w:rsid w:val="5F2146D0"/>
    <w:rsid w:val="5F2A2D28"/>
    <w:rsid w:val="5F2E6734"/>
    <w:rsid w:val="5F5D73F2"/>
    <w:rsid w:val="5F7B0AA0"/>
    <w:rsid w:val="5FB332D0"/>
    <w:rsid w:val="601B3CC5"/>
    <w:rsid w:val="60484B23"/>
    <w:rsid w:val="60532E8A"/>
    <w:rsid w:val="60891CC0"/>
    <w:rsid w:val="608D2023"/>
    <w:rsid w:val="60A46CB8"/>
    <w:rsid w:val="60DF4A4D"/>
    <w:rsid w:val="612E2EC1"/>
    <w:rsid w:val="61402FE4"/>
    <w:rsid w:val="615E0D34"/>
    <w:rsid w:val="616621EC"/>
    <w:rsid w:val="616F4AAB"/>
    <w:rsid w:val="617C3486"/>
    <w:rsid w:val="61912945"/>
    <w:rsid w:val="61B451D9"/>
    <w:rsid w:val="62417376"/>
    <w:rsid w:val="627945C1"/>
    <w:rsid w:val="62814117"/>
    <w:rsid w:val="62861D7E"/>
    <w:rsid w:val="62DE64EC"/>
    <w:rsid w:val="62F472F7"/>
    <w:rsid w:val="63600ACF"/>
    <w:rsid w:val="64234F0C"/>
    <w:rsid w:val="64331100"/>
    <w:rsid w:val="64626004"/>
    <w:rsid w:val="64AC197F"/>
    <w:rsid w:val="64D07655"/>
    <w:rsid w:val="64D40A87"/>
    <w:rsid w:val="64DC248E"/>
    <w:rsid w:val="65285B05"/>
    <w:rsid w:val="65A04BD9"/>
    <w:rsid w:val="65F220EE"/>
    <w:rsid w:val="661121FF"/>
    <w:rsid w:val="662A2677"/>
    <w:rsid w:val="6636500B"/>
    <w:rsid w:val="66A667CE"/>
    <w:rsid w:val="66C463B0"/>
    <w:rsid w:val="6736504A"/>
    <w:rsid w:val="673967DC"/>
    <w:rsid w:val="675B28A1"/>
    <w:rsid w:val="6780109A"/>
    <w:rsid w:val="67ED4339"/>
    <w:rsid w:val="683C52F1"/>
    <w:rsid w:val="684024A0"/>
    <w:rsid w:val="688050F9"/>
    <w:rsid w:val="68860761"/>
    <w:rsid w:val="68A41A7D"/>
    <w:rsid w:val="695733E8"/>
    <w:rsid w:val="696D49BA"/>
    <w:rsid w:val="6992655B"/>
    <w:rsid w:val="69A9695F"/>
    <w:rsid w:val="69AB7E77"/>
    <w:rsid w:val="6A2611E1"/>
    <w:rsid w:val="6A9A4D1F"/>
    <w:rsid w:val="6AA0237F"/>
    <w:rsid w:val="6AA758D5"/>
    <w:rsid w:val="6AC049E9"/>
    <w:rsid w:val="6AE363D6"/>
    <w:rsid w:val="6B2F6AFD"/>
    <w:rsid w:val="6B5E160E"/>
    <w:rsid w:val="6B8B392F"/>
    <w:rsid w:val="6B990F3A"/>
    <w:rsid w:val="6BA122B3"/>
    <w:rsid w:val="6BAA13E3"/>
    <w:rsid w:val="6BB15830"/>
    <w:rsid w:val="6BDE067F"/>
    <w:rsid w:val="6BE03B99"/>
    <w:rsid w:val="6BE22796"/>
    <w:rsid w:val="6C2770B7"/>
    <w:rsid w:val="6C677E00"/>
    <w:rsid w:val="6CA60509"/>
    <w:rsid w:val="6CF13463"/>
    <w:rsid w:val="6D1A4453"/>
    <w:rsid w:val="6D614100"/>
    <w:rsid w:val="6D7E4343"/>
    <w:rsid w:val="6E2305F9"/>
    <w:rsid w:val="6E3777F0"/>
    <w:rsid w:val="6E7708AC"/>
    <w:rsid w:val="6E8922D0"/>
    <w:rsid w:val="6E945C90"/>
    <w:rsid w:val="6EA51E92"/>
    <w:rsid w:val="6EE80F76"/>
    <w:rsid w:val="6EF5598B"/>
    <w:rsid w:val="6F071B08"/>
    <w:rsid w:val="6F1919BF"/>
    <w:rsid w:val="6F696F63"/>
    <w:rsid w:val="6FCD535A"/>
    <w:rsid w:val="6FF4257E"/>
    <w:rsid w:val="704F39D4"/>
    <w:rsid w:val="704F4B0A"/>
    <w:rsid w:val="70DC36D7"/>
    <w:rsid w:val="71705CDF"/>
    <w:rsid w:val="71876F14"/>
    <w:rsid w:val="71A67BCE"/>
    <w:rsid w:val="71C73E10"/>
    <w:rsid w:val="71CA593D"/>
    <w:rsid w:val="71F77214"/>
    <w:rsid w:val="71FB1ECF"/>
    <w:rsid w:val="727B3332"/>
    <w:rsid w:val="72D10D3A"/>
    <w:rsid w:val="72EB5238"/>
    <w:rsid w:val="73076B04"/>
    <w:rsid w:val="732038EF"/>
    <w:rsid w:val="73242065"/>
    <w:rsid w:val="733964B6"/>
    <w:rsid w:val="733D225B"/>
    <w:rsid w:val="737347B1"/>
    <w:rsid w:val="73CB4D0A"/>
    <w:rsid w:val="73E26124"/>
    <w:rsid w:val="73F06911"/>
    <w:rsid w:val="740206F2"/>
    <w:rsid w:val="74034146"/>
    <w:rsid w:val="740B2075"/>
    <w:rsid w:val="743209BA"/>
    <w:rsid w:val="743C27BF"/>
    <w:rsid w:val="74661C3E"/>
    <w:rsid w:val="746E2F8B"/>
    <w:rsid w:val="7483273D"/>
    <w:rsid w:val="74EC2130"/>
    <w:rsid w:val="751273E1"/>
    <w:rsid w:val="7566410C"/>
    <w:rsid w:val="75897114"/>
    <w:rsid w:val="759A507B"/>
    <w:rsid w:val="75A14432"/>
    <w:rsid w:val="75B704B4"/>
    <w:rsid w:val="75DC1388"/>
    <w:rsid w:val="76756488"/>
    <w:rsid w:val="76C9130A"/>
    <w:rsid w:val="76C92EA5"/>
    <w:rsid w:val="7729062D"/>
    <w:rsid w:val="77487E96"/>
    <w:rsid w:val="776D079C"/>
    <w:rsid w:val="77B52C72"/>
    <w:rsid w:val="77CF12BF"/>
    <w:rsid w:val="77FE3729"/>
    <w:rsid w:val="782A14F3"/>
    <w:rsid w:val="78CF2A42"/>
    <w:rsid w:val="78E933D4"/>
    <w:rsid w:val="78F571FD"/>
    <w:rsid w:val="79490AF8"/>
    <w:rsid w:val="797C2BF9"/>
    <w:rsid w:val="79FC3F51"/>
    <w:rsid w:val="79FC742D"/>
    <w:rsid w:val="7A324C7A"/>
    <w:rsid w:val="7A3A48A2"/>
    <w:rsid w:val="7AA5232E"/>
    <w:rsid w:val="7AB2474C"/>
    <w:rsid w:val="7ABF2D23"/>
    <w:rsid w:val="7B0B5FA9"/>
    <w:rsid w:val="7B304844"/>
    <w:rsid w:val="7B6F42DB"/>
    <w:rsid w:val="7B761B39"/>
    <w:rsid w:val="7BA8671F"/>
    <w:rsid w:val="7BD62DEB"/>
    <w:rsid w:val="7BD66D9F"/>
    <w:rsid w:val="7C012B17"/>
    <w:rsid w:val="7C4F5D1D"/>
    <w:rsid w:val="7C630EA1"/>
    <w:rsid w:val="7CB7092B"/>
    <w:rsid w:val="7CC25A84"/>
    <w:rsid w:val="7CC975D0"/>
    <w:rsid w:val="7CEF5999"/>
    <w:rsid w:val="7D0901AC"/>
    <w:rsid w:val="7D6A27F9"/>
    <w:rsid w:val="7D74675F"/>
    <w:rsid w:val="7DC44727"/>
    <w:rsid w:val="7DC46498"/>
    <w:rsid w:val="7DEC7DEC"/>
    <w:rsid w:val="7DFE516B"/>
    <w:rsid w:val="7E1E61D3"/>
    <w:rsid w:val="7E2E7118"/>
    <w:rsid w:val="7E7E6056"/>
    <w:rsid w:val="7EBE547D"/>
    <w:rsid w:val="7EE53C33"/>
    <w:rsid w:val="7EE54CF0"/>
    <w:rsid w:val="7F2024EC"/>
    <w:rsid w:val="7F696CC9"/>
    <w:rsid w:val="7FBC16F3"/>
    <w:rsid w:val="7FC73D94"/>
    <w:rsid w:val="7FED30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name="table of authorities" w:locked="1"/>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iPriority="99" w:semiHidden="0"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qFormat="1" w:unhideWhenUsed="0" w:uiPriority="0"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3"/>
    <w:qFormat/>
    <w:uiPriority w:val="99"/>
    <w:pPr>
      <w:keepLines/>
      <w:widowControl w:val="0"/>
      <w:numPr>
        <w:ilvl w:val="0"/>
        <w:numId w:val="1"/>
      </w:numPr>
      <w:tabs>
        <w:tab w:val="left" w:pos="239"/>
        <w:tab w:val="clear" w:pos="630"/>
      </w:tabs>
      <w:spacing w:beforeLines="150" w:afterLines="50"/>
      <w:jc w:val="both"/>
      <w:outlineLvl w:val="1"/>
    </w:pPr>
    <w:rPr>
      <w:rFonts w:ascii="宋体" w:hAnsi="Arial"/>
      <w:b/>
      <w:bCs/>
      <w:sz w:val="24"/>
      <w:szCs w:val="32"/>
    </w:rPr>
  </w:style>
  <w:style w:type="paragraph" w:styleId="5">
    <w:name w:val="heading 3"/>
    <w:basedOn w:val="1"/>
    <w:next w:val="6"/>
    <w:link w:val="42"/>
    <w:qFormat/>
    <w:uiPriority w:val="99"/>
    <w:pPr>
      <w:widowControl w:val="0"/>
      <w:spacing w:line="360" w:lineRule="auto"/>
      <w:jc w:val="both"/>
      <w:outlineLvl w:val="2"/>
    </w:pPr>
    <w:rPr>
      <w:rFonts w:ascii="宋体"/>
    </w:rPr>
  </w:style>
  <w:style w:type="paragraph" w:styleId="7">
    <w:name w:val="heading 4"/>
    <w:basedOn w:val="1"/>
    <w:next w:val="1"/>
    <w:link w:val="47"/>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8">
    <w:name w:val="heading 9"/>
    <w:basedOn w:val="1"/>
    <w:next w:val="1"/>
    <w:link w:val="48"/>
    <w:qFormat/>
    <w:uiPriority w:val="99"/>
    <w:pPr>
      <w:keepNext/>
      <w:keepLines/>
      <w:tabs>
        <w:tab w:val="left" w:pos="1584"/>
      </w:tabs>
      <w:overflowPunct w:val="0"/>
      <w:autoSpaceDE w:val="0"/>
      <w:autoSpaceDN w:val="0"/>
      <w:adjustRightInd w:val="0"/>
      <w:spacing w:before="240" w:after="64" w:line="320" w:lineRule="atLeast"/>
      <w:ind w:left="1559" w:hanging="1559"/>
      <w:textAlignment w:val="baseline"/>
      <w:outlineLvl w:val="8"/>
    </w:pPr>
    <w:rPr>
      <w:rFonts w:ascii="宋体" w:hAnsi="Calibri"/>
      <w:spacing w:val="10"/>
      <w:szCs w:val="22"/>
    </w:rPr>
  </w:style>
  <w:style w:type="character" w:default="1" w:styleId="35">
    <w:name w:val="Default Paragraph Font"/>
    <w:link w:val="36"/>
    <w:semiHidden/>
    <w:unhideWhenUsed/>
    <w:qFormat/>
    <w:uiPriority w:val="1"/>
    <w:rPr>
      <w:rFonts w:cs="Times New Roman"/>
      <w:sz w:val="24"/>
      <w:szCs w:val="24"/>
    </w:rPr>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List"/>
    <w:basedOn w:val="1"/>
    <w:qFormat/>
    <w:locked/>
    <w:uiPriority w:val="0"/>
    <w:pPr>
      <w:spacing w:before="312" w:beforeLines="100" w:line="360" w:lineRule="auto"/>
      <w:jc w:val="center"/>
    </w:pPr>
    <w:rPr>
      <w:rFonts w:ascii="宋体" w:hAnsi="宋体"/>
      <w:b/>
      <w:sz w:val="28"/>
      <w:szCs w:val="24"/>
    </w:rPr>
  </w:style>
  <w:style w:type="paragraph" w:styleId="6">
    <w:name w:val="Normal Indent"/>
    <w:basedOn w:val="1"/>
    <w:link w:val="61"/>
    <w:qFormat/>
    <w:uiPriority w:val="99"/>
    <w:pPr>
      <w:widowControl w:val="0"/>
      <w:tabs>
        <w:tab w:val="left" w:pos="720"/>
      </w:tabs>
      <w:autoSpaceDE w:val="0"/>
      <w:autoSpaceDN w:val="0"/>
      <w:adjustRightInd w:val="0"/>
      <w:snapToGrid w:val="0"/>
      <w:spacing w:line="360" w:lineRule="auto"/>
      <w:ind w:left="624" w:hanging="624"/>
      <w:jc w:val="both"/>
      <w:textAlignment w:val="baseline"/>
    </w:pPr>
    <w:rPr>
      <w:rFonts w:ascii="宋体"/>
      <w:color w:val="000000"/>
    </w:rPr>
  </w:style>
  <w:style w:type="paragraph" w:styleId="9">
    <w:name w:val="table of authorities"/>
    <w:basedOn w:val="1"/>
    <w:next w:val="1"/>
    <w:semiHidden/>
    <w:qFormat/>
    <w:locked/>
    <w:uiPriority w:val="0"/>
    <w:pPr>
      <w:ind w:left="420" w:leftChars="200"/>
    </w:pPr>
  </w:style>
  <w:style w:type="paragraph" w:styleId="10">
    <w:name w:val="caption"/>
    <w:basedOn w:val="1"/>
    <w:next w:val="1"/>
    <w:qFormat/>
    <w:uiPriority w:val="99"/>
    <w:rPr>
      <w:rFonts w:ascii="Arial" w:hAnsi="Arial" w:eastAsia="黑体" w:cs="Arial"/>
      <w:sz w:val="20"/>
    </w:rPr>
  </w:style>
  <w:style w:type="paragraph" w:styleId="11">
    <w:name w:val="Document Map"/>
    <w:basedOn w:val="1"/>
    <w:link w:val="51"/>
    <w:qFormat/>
    <w:uiPriority w:val="99"/>
    <w:rPr>
      <w:rFonts w:ascii="宋体"/>
      <w:sz w:val="18"/>
      <w:szCs w:val="18"/>
    </w:rPr>
  </w:style>
  <w:style w:type="paragraph" w:styleId="12">
    <w:name w:val="annotation text"/>
    <w:basedOn w:val="1"/>
    <w:link w:val="49"/>
    <w:semiHidden/>
    <w:qFormat/>
    <w:uiPriority w:val="99"/>
  </w:style>
  <w:style w:type="paragraph" w:styleId="13">
    <w:name w:val="Body Text 3"/>
    <w:basedOn w:val="1"/>
    <w:link w:val="52"/>
    <w:qFormat/>
    <w:uiPriority w:val="99"/>
    <w:pPr>
      <w:spacing w:after="120"/>
    </w:pPr>
    <w:rPr>
      <w:sz w:val="16"/>
      <w:szCs w:val="16"/>
    </w:rPr>
  </w:style>
  <w:style w:type="paragraph" w:styleId="14">
    <w:name w:val="Body Text"/>
    <w:basedOn w:val="1"/>
    <w:next w:val="1"/>
    <w:qFormat/>
    <w:locked/>
    <w:uiPriority w:val="1"/>
    <w:rPr>
      <w:rFonts w:ascii="宋体" w:hAnsi="宋体" w:cs="宋体"/>
      <w:szCs w:val="21"/>
      <w:lang w:val="zh-CN" w:bidi="zh-CN"/>
    </w:rPr>
  </w:style>
  <w:style w:type="paragraph" w:styleId="15">
    <w:name w:val="Body Text Indent"/>
    <w:basedOn w:val="1"/>
    <w:next w:val="16"/>
    <w:link w:val="53"/>
    <w:qFormat/>
    <w:uiPriority w:val="99"/>
    <w:pPr>
      <w:spacing w:after="120"/>
      <w:ind w:left="420" w:leftChars="200"/>
    </w:pPr>
  </w:style>
  <w:style w:type="paragraph" w:customStyle="1" w:styleId="16">
    <w:name w:val="Default"/>
    <w:qFormat/>
    <w:uiPriority w:val="99"/>
    <w:pPr>
      <w:widowControl w:val="0"/>
      <w:autoSpaceDE w:val="0"/>
      <w:autoSpaceDN w:val="0"/>
      <w:adjustRightInd w:val="0"/>
    </w:pPr>
    <w:rPr>
      <w:rFonts w:ascii="Arial" w:hAnsi="Arial" w:eastAsia="宋体" w:cs="Times New Roman"/>
      <w:color w:val="000000"/>
      <w:kern w:val="0"/>
      <w:sz w:val="24"/>
      <w:szCs w:val="24"/>
      <w:lang w:val="en-US" w:eastAsia="zh-CN" w:bidi="ar-SA"/>
    </w:rPr>
  </w:style>
  <w:style w:type="paragraph" w:styleId="17">
    <w:name w:val="Block Text"/>
    <w:basedOn w:val="1"/>
    <w:qFormat/>
    <w:locked/>
    <w:uiPriority w:val="0"/>
    <w:pPr>
      <w:spacing w:before="156" w:beforeLines="50" w:after="156" w:afterLines="50"/>
      <w:ind w:left="426" w:right="-11" w:hanging="426" w:hangingChars="203"/>
    </w:pPr>
    <w:rPr>
      <w:rFonts w:eastAsia="楷体_GB2312"/>
    </w:rPr>
  </w:style>
  <w:style w:type="paragraph" w:styleId="18">
    <w:name w:val="toc 3"/>
    <w:basedOn w:val="1"/>
    <w:next w:val="1"/>
    <w:qFormat/>
    <w:uiPriority w:val="0"/>
    <w:pPr>
      <w:tabs>
        <w:tab w:val="right" w:leader="dot" w:pos="9170"/>
      </w:tabs>
      <w:ind w:left="360"/>
      <w:jc w:val="left"/>
    </w:pPr>
    <w:rPr>
      <w:rFonts w:eastAsia="宋体"/>
      <w:color w:val="000000"/>
      <w:sz w:val="20"/>
    </w:rPr>
  </w:style>
  <w:style w:type="paragraph" w:styleId="19">
    <w:name w:val="Plain Text"/>
    <w:basedOn w:val="1"/>
    <w:next w:val="1"/>
    <w:link w:val="63"/>
    <w:qFormat/>
    <w:uiPriority w:val="99"/>
    <w:pPr>
      <w:widowControl w:val="0"/>
      <w:jc w:val="both"/>
    </w:pPr>
    <w:rPr>
      <w:rFonts w:ascii="宋体" w:hAnsi="Courier New"/>
      <w:kern w:val="2"/>
    </w:rPr>
  </w:style>
  <w:style w:type="paragraph" w:styleId="20">
    <w:name w:val="Date"/>
    <w:basedOn w:val="1"/>
    <w:next w:val="1"/>
    <w:link w:val="55"/>
    <w:qFormat/>
    <w:uiPriority w:val="99"/>
    <w:pPr>
      <w:widowControl w:val="0"/>
      <w:jc w:val="both"/>
    </w:pPr>
    <w:rPr>
      <w:kern w:val="2"/>
    </w:rPr>
  </w:style>
  <w:style w:type="paragraph" w:styleId="21">
    <w:name w:val="Body Text Indent 2"/>
    <w:basedOn w:val="1"/>
    <w:link w:val="56"/>
    <w:qFormat/>
    <w:uiPriority w:val="99"/>
    <w:pPr>
      <w:spacing w:after="120" w:line="480" w:lineRule="auto"/>
      <w:ind w:left="420" w:leftChars="200"/>
    </w:pPr>
  </w:style>
  <w:style w:type="paragraph" w:styleId="22">
    <w:name w:val="Balloon Text"/>
    <w:basedOn w:val="1"/>
    <w:link w:val="57"/>
    <w:semiHidden/>
    <w:qFormat/>
    <w:uiPriority w:val="99"/>
    <w:rPr>
      <w:sz w:val="18"/>
      <w:szCs w:val="18"/>
    </w:rPr>
  </w:style>
  <w:style w:type="paragraph" w:styleId="23">
    <w:name w:val="footer"/>
    <w:basedOn w:val="1"/>
    <w:next w:val="1"/>
    <w:link w:val="58"/>
    <w:qFormat/>
    <w:uiPriority w:val="99"/>
    <w:pPr>
      <w:tabs>
        <w:tab w:val="center" w:pos="4153"/>
        <w:tab w:val="right" w:pos="8306"/>
      </w:tabs>
      <w:snapToGrid w:val="0"/>
    </w:pPr>
    <w:rPr>
      <w:sz w:val="18"/>
      <w:szCs w:val="18"/>
    </w:rPr>
  </w:style>
  <w:style w:type="paragraph" w:styleId="24">
    <w:name w:val="header"/>
    <w:basedOn w:val="1"/>
    <w:link w:val="65"/>
    <w:qFormat/>
    <w:uiPriority w:val="99"/>
    <w:pPr>
      <w:pBdr>
        <w:bottom w:val="single" w:color="auto" w:sz="6" w:space="1"/>
      </w:pBdr>
      <w:tabs>
        <w:tab w:val="center" w:pos="4153"/>
        <w:tab w:val="right" w:pos="8306"/>
      </w:tabs>
      <w:snapToGrid w:val="0"/>
      <w:jc w:val="center"/>
    </w:pPr>
    <w:rPr>
      <w:sz w:val="18"/>
    </w:rPr>
  </w:style>
  <w:style w:type="paragraph" w:styleId="25">
    <w:name w:val="toc 1"/>
    <w:basedOn w:val="1"/>
    <w:next w:val="1"/>
    <w:semiHidden/>
    <w:qFormat/>
    <w:uiPriority w:val="99"/>
    <w:pPr>
      <w:tabs>
        <w:tab w:val="left" w:pos="720"/>
      </w:tabs>
      <w:spacing w:line="480" w:lineRule="exact"/>
      <w:jc w:val="center"/>
    </w:pPr>
    <w:rPr>
      <w:rFonts w:ascii="宋体"/>
      <w:b/>
      <w:bCs/>
      <w:sz w:val="28"/>
      <w:szCs w:val="28"/>
    </w:rPr>
  </w:style>
  <w:style w:type="paragraph" w:styleId="26">
    <w:name w:val="index heading"/>
    <w:basedOn w:val="1"/>
    <w:next w:val="27"/>
    <w:qFormat/>
    <w:uiPriority w:val="99"/>
    <w:pPr>
      <w:widowControl w:val="0"/>
      <w:jc w:val="both"/>
    </w:pPr>
    <w:rPr>
      <w:kern w:val="2"/>
      <w:szCs w:val="24"/>
    </w:rPr>
  </w:style>
  <w:style w:type="paragraph" w:styleId="27">
    <w:name w:val="index 1"/>
    <w:basedOn w:val="1"/>
    <w:next w:val="1"/>
    <w:semiHidden/>
    <w:qFormat/>
    <w:uiPriority w:val="99"/>
  </w:style>
  <w:style w:type="paragraph" w:styleId="28">
    <w:name w:val="toc 2"/>
    <w:basedOn w:val="1"/>
    <w:next w:val="1"/>
    <w:semiHidden/>
    <w:qFormat/>
    <w:uiPriority w:val="99"/>
    <w:pPr>
      <w:ind w:left="420" w:leftChars="200"/>
    </w:pPr>
  </w:style>
  <w:style w:type="paragraph" w:styleId="29">
    <w:name w:val="Body Text 2"/>
    <w:basedOn w:val="1"/>
    <w:unhideWhenUsed/>
    <w:qFormat/>
    <w:locked/>
    <w:uiPriority w:val="99"/>
    <w:pPr>
      <w:spacing w:line="480" w:lineRule="auto"/>
    </w:pPr>
  </w:style>
  <w:style w:type="paragraph" w:styleId="30">
    <w:name w:val="Normal (Web)"/>
    <w:basedOn w:val="1"/>
    <w:qFormat/>
    <w:uiPriority w:val="99"/>
    <w:pPr>
      <w:spacing w:beforeAutospacing="1" w:afterAutospacing="1"/>
    </w:pPr>
    <w:rPr>
      <w:rFonts w:ascii="宋体" w:hAnsi="宋体" w:cs="宋体"/>
      <w:sz w:val="24"/>
      <w:szCs w:val="24"/>
    </w:rPr>
  </w:style>
  <w:style w:type="paragraph" w:styleId="31">
    <w:name w:val="annotation subject"/>
    <w:basedOn w:val="12"/>
    <w:next w:val="12"/>
    <w:link w:val="50"/>
    <w:semiHidden/>
    <w:qFormat/>
    <w:uiPriority w:val="99"/>
    <w:rPr>
      <w:b/>
      <w:bCs/>
    </w:rPr>
  </w:style>
  <w:style w:type="paragraph" w:styleId="32">
    <w:name w:val="Body Text First Indent 2"/>
    <w:basedOn w:val="15"/>
    <w:qFormat/>
    <w:locked/>
    <w:uiPriority w:val="0"/>
    <w:pPr>
      <w:ind w:left="200" w:firstLine="200" w:firstLineChars="200"/>
      <w:jc w:val="both"/>
    </w:pPr>
    <w:rPr>
      <w:kern w:val="2"/>
    </w:rPr>
  </w:style>
  <w:style w:type="table" w:styleId="34">
    <w:name w:val="Table Grid"/>
    <w:basedOn w:val="33"/>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 Char Char1"/>
    <w:basedOn w:val="11"/>
    <w:link w:val="35"/>
    <w:qFormat/>
    <w:uiPriority w:val="0"/>
    <w:pPr>
      <w:shd w:val="clear" w:color="auto" w:fill="000080"/>
    </w:pPr>
    <w:rPr>
      <w:rFonts w:cs="Times New Roman"/>
      <w:sz w:val="24"/>
      <w:szCs w:val="24"/>
    </w:rPr>
  </w:style>
  <w:style w:type="character" w:styleId="37">
    <w:name w:val="Strong"/>
    <w:basedOn w:val="35"/>
    <w:qFormat/>
    <w:uiPriority w:val="0"/>
    <w:rPr>
      <w:b/>
    </w:rPr>
  </w:style>
  <w:style w:type="character" w:styleId="38">
    <w:name w:val="page number"/>
    <w:basedOn w:val="35"/>
    <w:qFormat/>
    <w:uiPriority w:val="99"/>
    <w:rPr>
      <w:rFonts w:cs="Times New Roman"/>
    </w:rPr>
  </w:style>
  <w:style w:type="character" w:styleId="39">
    <w:name w:val="Emphasis"/>
    <w:basedOn w:val="35"/>
    <w:qFormat/>
    <w:uiPriority w:val="99"/>
    <w:rPr>
      <w:rFonts w:cs="Times New Roman"/>
      <w:color w:val="CC0000"/>
    </w:rPr>
  </w:style>
  <w:style w:type="character" w:styleId="40">
    <w:name w:val="Hyperlink"/>
    <w:basedOn w:val="35"/>
    <w:qFormat/>
    <w:uiPriority w:val="99"/>
    <w:rPr>
      <w:rFonts w:cs="Times New Roman"/>
      <w:color w:val="0000FF"/>
      <w:u w:val="single"/>
    </w:rPr>
  </w:style>
  <w:style w:type="character" w:styleId="41">
    <w:name w:val="annotation reference"/>
    <w:basedOn w:val="35"/>
    <w:semiHidden/>
    <w:qFormat/>
    <w:uiPriority w:val="99"/>
    <w:rPr>
      <w:rFonts w:cs="Times New Roman"/>
      <w:sz w:val="21"/>
    </w:rPr>
  </w:style>
  <w:style w:type="character" w:customStyle="1" w:styleId="42">
    <w:name w:val="标题 3 Char"/>
    <w:basedOn w:val="35"/>
    <w:link w:val="5"/>
    <w:qFormat/>
    <w:locked/>
    <w:uiPriority w:val="99"/>
    <w:rPr>
      <w:rFonts w:ascii="宋体" w:eastAsia="宋体" w:cs="Times New Roman"/>
      <w:sz w:val="21"/>
      <w:lang w:val="en-US" w:eastAsia="zh-CN"/>
    </w:rPr>
  </w:style>
  <w:style w:type="character" w:customStyle="1" w:styleId="43">
    <w:name w:val="标题 2 Char"/>
    <w:basedOn w:val="35"/>
    <w:link w:val="4"/>
    <w:qFormat/>
    <w:locked/>
    <w:uiPriority w:val="99"/>
    <w:rPr>
      <w:rFonts w:ascii="宋体" w:hAnsi="Arial" w:eastAsia="宋体" w:cs="Times New Roman"/>
      <w:b/>
      <w:sz w:val="32"/>
      <w:lang w:val="en-US" w:eastAsia="zh-CN"/>
    </w:rPr>
  </w:style>
  <w:style w:type="paragraph" w:customStyle="1" w:styleId="44">
    <w:name w:val="表格文字"/>
    <w:basedOn w:val="1"/>
    <w:qFormat/>
    <w:uiPriority w:val="99"/>
    <w:pPr>
      <w:widowControl w:val="0"/>
      <w:spacing w:before="25" w:after="25"/>
    </w:pPr>
    <w:rPr>
      <w:bCs/>
      <w:spacing w:val="10"/>
      <w:sz w:val="24"/>
    </w:rPr>
  </w:style>
  <w:style w:type="character" w:customStyle="1" w:styleId="45">
    <w:name w:val="标题 1 Char"/>
    <w:basedOn w:val="35"/>
    <w:link w:val="3"/>
    <w:qFormat/>
    <w:locked/>
    <w:uiPriority w:val="99"/>
    <w:rPr>
      <w:rFonts w:eastAsia="宋体" w:cs="Times New Roman"/>
      <w:b/>
      <w:kern w:val="44"/>
      <w:sz w:val="44"/>
      <w:lang w:val="en-US" w:eastAsia="zh-CN"/>
    </w:rPr>
  </w:style>
  <w:style w:type="paragraph" w:customStyle="1" w:styleId="46">
    <w:name w:val="Char Char Char"/>
    <w:basedOn w:val="1"/>
    <w:qFormat/>
    <w:uiPriority w:val="99"/>
    <w:pPr>
      <w:widowControl w:val="0"/>
      <w:jc w:val="both"/>
    </w:pPr>
    <w:rPr>
      <w:rFonts w:ascii="Tahoma" w:hAnsi="Tahoma"/>
      <w:kern w:val="2"/>
      <w:sz w:val="24"/>
    </w:rPr>
  </w:style>
  <w:style w:type="character" w:customStyle="1" w:styleId="47">
    <w:name w:val="标题 4 Char"/>
    <w:basedOn w:val="35"/>
    <w:link w:val="7"/>
    <w:semiHidden/>
    <w:qFormat/>
    <w:locked/>
    <w:uiPriority w:val="99"/>
    <w:rPr>
      <w:rFonts w:ascii="Cambria" w:hAnsi="Cambria" w:eastAsia="宋体" w:cs="Times New Roman"/>
      <w:b/>
      <w:bCs/>
      <w:kern w:val="0"/>
      <w:sz w:val="28"/>
      <w:szCs w:val="28"/>
    </w:rPr>
  </w:style>
  <w:style w:type="character" w:customStyle="1" w:styleId="48">
    <w:name w:val="标题 9 Char"/>
    <w:basedOn w:val="35"/>
    <w:link w:val="8"/>
    <w:semiHidden/>
    <w:qFormat/>
    <w:locked/>
    <w:uiPriority w:val="99"/>
    <w:rPr>
      <w:rFonts w:ascii="Cambria" w:hAnsi="Cambria" w:eastAsia="宋体" w:cs="Times New Roman"/>
      <w:kern w:val="0"/>
      <w:sz w:val="21"/>
      <w:szCs w:val="21"/>
    </w:rPr>
  </w:style>
  <w:style w:type="character" w:customStyle="1" w:styleId="49">
    <w:name w:val="批注文字 Char"/>
    <w:basedOn w:val="35"/>
    <w:link w:val="12"/>
    <w:semiHidden/>
    <w:qFormat/>
    <w:locked/>
    <w:uiPriority w:val="99"/>
    <w:rPr>
      <w:rFonts w:cs="Times New Roman"/>
      <w:kern w:val="0"/>
      <w:sz w:val="20"/>
      <w:szCs w:val="20"/>
    </w:rPr>
  </w:style>
  <w:style w:type="character" w:customStyle="1" w:styleId="50">
    <w:name w:val="批注主题 Char"/>
    <w:basedOn w:val="49"/>
    <w:link w:val="31"/>
    <w:semiHidden/>
    <w:qFormat/>
    <w:locked/>
    <w:uiPriority w:val="99"/>
    <w:rPr>
      <w:rFonts w:cs="Times New Roman"/>
      <w:b/>
      <w:bCs/>
      <w:kern w:val="0"/>
      <w:sz w:val="20"/>
      <w:szCs w:val="20"/>
    </w:rPr>
  </w:style>
  <w:style w:type="character" w:customStyle="1" w:styleId="51">
    <w:name w:val="文档结构图 Char"/>
    <w:basedOn w:val="35"/>
    <w:link w:val="11"/>
    <w:qFormat/>
    <w:locked/>
    <w:uiPriority w:val="99"/>
    <w:rPr>
      <w:rFonts w:ascii="宋体" w:cs="Times New Roman"/>
      <w:sz w:val="18"/>
    </w:rPr>
  </w:style>
  <w:style w:type="character" w:customStyle="1" w:styleId="52">
    <w:name w:val="正文文本 3 Char"/>
    <w:basedOn w:val="35"/>
    <w:link w:val="13"/>
    <w:qFormat/>
    <w:locked/>
    <w:uiPriority w:val="99"/>
    <w:rPr>
      <w:rFonts w:eastAsia="宋体" w:cs="Times New Roman"/>
      <w:sz w:val="16"/>
      <w:lang w:val="en-US" w:eastAsia="zh-CN"/>
    </w:rPr>
  </w:style>
  <w:style w:type="character" w:customStyle="1" w:styleId="53">
    <w:name w:val="正文文本缩进 Char"/>
    <w:basedOn w:val="35"/>
    <w:link w:val="15"/>
    <w:semiHidden/>
    <w:qFormat/>
    <w:locked/>
    <w:uiPriority w:val="99"/>
    <w:rPr>
      <w:rFonts w:cs="Times New Roman"/>
      <w:kern w:val="0"/>
      <w:sz w:val="20"/>
      <w:szCs w:val="20"/>
    </w:rPr>
  </w:style>
  <w:style w:type="character" w:customStyle="1" w:styleId="54">
    <w:name w:val="Plain Text Char"/>
    <w:basedOn w:val="35"/>
    <w:qFormat/>
    <w:locked/>
    <w:uiPriority w:val="99"/>
    <w:rPr>
      <w:rFonts w:ascii="宋体" w:hAnsi="Courier New" w:eastAsia="宋体" w:cs="Times New Roman"/>
      <w:kern w:val="0"/>
      <w:sz w:val="21"/>
    </w:rPr>
  </w:style>
  <w:style w:type="character" w:customStyle="1" w:styleId="55">
    <w:name w:val="日期 Char"/>
    <w:basedOn w:val="35"/>
    <w:link w:val="20"/>
    <w:semiHidden/>
    <w:qFormat/>
    <w:locked/>
    <w:uiPriority w:val="99"/>
    <w:rPr>
      <w:rFonts w:cs="Times New Roman"/>
      <w:kern w:val="0"/>
      <w:sz w:val="20"/>
      <w:szCs w:val="20"/>
    </w:rPr>
  </w:style>
  <w:style w:type="character" w:customStyle="1" w:styleId="56">
    <w:name w:val="正文文本缩进 2 Char"/>
    <w:basedOn w:val="35"/>
    <w:link w:val="21"/>
    <w:semiHidden/>
    <w:qFormat/>
    <w:locked/>
    <w:uiPriority w:val="99"/>
    <w:rPr>
      <w:rFonts w:cs="Times New Roman"/>
      <w:kern w:val="0"/>
      <w:sz w:val="20"/>
      <w:szCs w:val="20"/>
    </w:rPr>
  </w:style>
  <w:style w:type="character" w:customStyle="1" w:styleId="57">
    <w:name w:val="批注框文本 Char"/>
    <w:basedOn w:val="35"/>
    <w:link w:val="22"/>
    <w:semiHidden/>
    <w:qFormat/>
    <w:locked/>
    <w:uiPriority w:val="99"/>
    <w:rPr>
      <w:rFonts w:cs="Times New Roman"/>
      <w:kern w:val="0"/>
      <w:sz w:val="2"/>
    </w:rPr>
  </w:style>
  <w:style w:type="character" w:customStyle="1" w:styleId="58">
    <w:name w:val="页脚 Char"/>
    <w:basedOn w:val="35"/>
    <w:link w:val="23"/>
    <w:qFormat/>
    <w:locked/>
    <w:uiPriority w:val="99"/>
    <w:rPr>
      <w:rFonts w:eastAsia="宋体" w:cs="Times New Roman"/>
      <w:sz w:val="18"/>
      <w:lang w:val="en-US" w:eastAsia="zh-CN"/>
    </w:rPr>
  </w:style>
  <w:style w:type="character" w:customStyle="1" w:styleId="59">
    <w:name w:val="Header Char"/>
    <w:basedOn w:val="35"/>
    <w:qFormat/>
    <w:locked/>
    <w:uiPriority w:val="99"/>
    <w:rPr>
      <w:rFonts w:cs="Times New Roman"/>
      <w:sz w:val="18"/>
    </w:rPr>
  </w:style>
  <w:style w:type="character" w:customStyle="1" w:styleId="60">
    <w:name w:val="Normal Indent Char"/>
    <w:qFormat/>
    <w:locked/>
    <w:uiPriority w:val="99"/>
    <w:rPr>
      <w:rFonts w:ascii="Times New Roman" w:hAnsi="Times New Roman" w:eastAsia="宋体"/>
      <w:kern w:val="0"/>
      <w:sz w:val="20"/>
    </w:rPr>
  </w:style>
  <w:style w:type="character" w:customStyle="1" w:styleId="61">
    <w:name w:val="正文缩进 Char"/>
    <w:link w:val="6"/>
    <w:qFormat/>
    <w:locked/>
    <w:uiPriority w:val="99"/>
    <w:rPr>
      <w:rFonts w:ascii="宋体" w:eastAsia="宋体"/>
      <w:snapToGrid w:val="0"/>
      <w:color w:val="000000"/>
      <w:sz w:val="21"/>
      <w:lang w:val="en-US" w:eastAsia="zh-CN"/>
    </w:rPr>
  </w:style>
  <w:style w:type="character" w:customStyle="1" w:styleId="62">
    <w:name w:val="font01"/>
    <w:qFormat/>
    <w:uiPriority w:val="99"/>
    <w:rPr>
      <w:rFonts w:ascii="宋体" w:hAnsi="宋体" w:eastAsia="宋体"/>
      <w:color w:val="000000"/>
      <w:sz w:val="24"/>
      <w:u w:val="none"/>
    </w:rPr>
  </w:style>
  <w:style w:type="character" w:customStyle="1" w:styleId="63">
    <w:name w:val="纯文本 Char"/>
    <w:link w:val="19"/>
    <w:qFormat/>
    <w:locked/>
    <w:uiPriority w:val="99"/>
    <w:rPr>
      <w:rFonts w:ascii="宋体" w:hAnsi="Courier New" w:eastAsia="宋体"/>
      <w:kern w:val="2"/>
      <w:sz w:val="21"/>
      <w:lang w:val="en-US" w:eastAsia="zh-CN"/>
    </w:rPr>
  </w:style>
  <w:style w:type="character" w:customStyle="1" w:styleId="64">
    <w:name w:val="style81"/>
    <w:qFormat/>
    <w:uiPriority w:val="99"/>
    <w:rPr>
      <w:sz w:val="21"/>
    </w:rPr>
  </w:style>
  <w:style w:type="character" w:customStyle="1" w:styleId="65">
    <w:name w:val="页眉 Char"/>
    <w:link w:val="24"/>
    <w:qFormat/>
    <w:locked/>
    <w:uiPriority w:val="99"/>
    <w:rPr>
      <w:rFonts w:eastAsia="宋体"/>
      <w:sz w:val="18"/>
      <w:lang w:val="en-US" w:eastAsia="zh-CN"/>
    </w:rPr>
  </w:style>
  <w:style w:type="paragraph" w:customStyle="1" w:styleId="66">
    <w:name w:val="_Style 10"/>
    <w:basedOn w:val="1"/>
    <w:qFormat/>
    <w:uiPriority w:val="99"/>
    <w:pPr>
      <w:spacing w:after="160" w:line="240" w:lineRule="exact"/>
    </w:pPr>
    <w:rPr>
      <w:rFonts w:ascii="Verdana" w:hAnsi="Verdana"/>
      <w:lang w:eastAsia="en-US"/>
    </w:rPr>
  </w:style>
  <w:style w:type="paragraph" w:customStyle="1" w:styleId="67">
    <w:name w:val="0段落文字"/>
    <w:basedOn w:val="1"/>
    <w:qFormat/>
    <w:uiPriority w:val="99"/>
    <w:pPr>
      <w:spacing w:line="360" w:lineRule="auto"/>
      <w:ind w:firstLine="200" w:firstLineChars="200"/>
    </w:pPr>
    <w:rPr>
      <w:sz w:val="24"/>
      <w:szCs w:val="21"/>
    </w:rPr>
  </w:style>
  <w:style w:type="paragraph" w:customStyle="1" w:styleId="68">
    <w:name w:val="_Style 3"/>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69">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70">
    <w:name w:val="_正文段落"/>
    <w:basedOn w:val="1"/>
    <w:qFormat/>
    <w:uiPriority w:val="99"/>
    <w:pPr>
      <w:spacing w:line="360" w:lineRule="auto"/>
      <w:ind w:firstLine="480" w:firstLineChars="200"/>
    </w:pPr>
    <w:rPr>
      <w:rFonts w:ascii="宋体" w:hAnsi="宋体"/>
      <w:sz w:val="24"/>
    </w:rPr>
  </w:style>
  <w:style w:type="paragraph" w:customStyle="1" w:styleId="71">
    <w:name w:val="列出段落1"/>
    <w:basedOn w:val="1"/>
    <w:qFormat/>
    <w:uiPriority w:val="99"/>
    <w:pPr>
      <w:widowControl w:val="0"/>
      <w:ind w:firstLine="420" w:firstLineChars="200"/>
      <w:jc w:val="both"/>
    </w:pPr>
    <w:rPr>
      <w:rFonts w:ascii="Calibri" w:hAnsi="Calibri"/>
      <w:kern w:val="2"/>
      <w:szCs w:val="22"/>
    </w:rPr>
  </w:style>
  <w:style w:type="paragraph" w:customStyle="1" w:styleId="72">
    <w:name w:val="Char1"/>
    <w:basedOn w:val="1"/>
    <w:qFormat/>
    <w:uiPriority w:val="99"/>
    <w:pPr>
      <w:spacing w:after="160" w:line="240" w:lineRule="exact"/>
    </w:pPr>
    <w:rPr>
      <w:rFonts w:ascii="Verdana" w:hAnsi="Verdana"/>
      <w:lang w:eastAsia="en-US"/>
    </w:rPr>
  </w:style>
  <w:style w:type="paragraph" w:customStyle="1" w:styleId="73">
    <w:name w:val="题注5"/>
    <w:basedOn w:val="1"/>
    <w:next w:val="10"/>
    <w:qFormat/>
    <w:uiPriority w:val="99"/>
    <w:pPr>
      <w:widowControl w:val="0"/>
      <w:jc w:val="center"/>
    </w:pPr>
    <w:rPr>
      <w:b/>
      <w:color w:val="000000"/>
      <w:kern w:val="2"/>
      <w:sz w:val="24"/>
      <w:szCs w:val="21"/>
    </w:rPr>
  </w:style>
  <w:style w:type="paragraph" w:customStyle="1" w:styleId="74">
    <w:name w:val="列出段落2"/>
    <w:basedOn w:val="1"/>
    <w:qFormat/>
    <w:uiPriority w:val="99"/>
    <w:pPr>
      <w:widowControl w:val="0"/>
      <w:ind w:firstLine="420" w:firstLineChars="200"/>
      <w:jc w:val="both"/>
    </w:pPr>
    <w:rPr>
      <w:rFonts w:ascii="Calibri" w:hAnsi="Calibri"/>
      <w:kern w:val="2"/>
      <w:szCs w:val="22"/>
    </w:rPr>
  </w:style>
  <w:style w:type="paragraph" w:customStyle="1" w:styleId="75">
    <w:name w:val="文档正文"/>
    <w:basedOn w:val="1"/>
    <w:qFormat/>
    <w:uiPriority w:val="99"/>
    <w:pPr>
      <w:widowControl w:val="0"/>
      <w:adjustRightInd w:val="0"/>
      <w:spacing w:line="480" w:lineRule="atLeast"/>
      <w:ind w:firstLine="567"/>
      <w:jc w:val="both"/>
      <w:textAlignment w:val="baseline"/>
    </w:pPr>
    <w:rPr>
      <w:rFonts w:ascii="??_GB2312" w:eastAsia="Times New Roman"/>
      <w:sz w:val="24"/>
    </w:rPr>
  </w:style>
  <w:style w:type="paragraph" w:customStyle="1" w:styleId="76">
    <w:name w:val="注释级别 21"/>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77">
    <w:name w:val="正文缩进2格"/>
    <w:basedOn w:val="1"/>
    <w:qFormat/>
    <w:uiPriority w:val="99"/>
    <w:pPr>
      <w:spacing w:line="600" w:lineRule="exact"/>
      <w:ind w:firstLine="639" w:firstLineChars="206"/>
    </w:pPr>
    <w:rPr>
      <w:rFonts w:ascii="??_GB2312" w:hAnsi="宋体" w:eastAsia="Times New Roman"/>
      <w:sz w:val="31"/>
      <w:szCs w:val="28"/>
    </w:rPr>
  </w:style>
  <w:style w:type="character" w:customStyle="1" w:styleId="78">
    <w:name w:val="Char Char11"/>
    <w:basedOn w:val="35"/>
    <w:qFormat/>
    <w:uiPriority w:val="0"/>
    <w:rPr>
      <w:rFonts w:ascii="Verdana" w:hAnsi="Verdana"/>
      <w:lang w:eastAsia="en-US"/>
    </w:rPr>
  </w:style>
  <w:style w:type="paragraph" w:customStyle="1" w:styleId="79">
    <w:name w:val="Table Paragraph"/>
    <w:basedOn w:val="1"/>
    <w:qFormat/>
    <w:uiPriority w:val="1"/>
    <w:rPr>
      <w:rFonts w:ascii="宋体" w:hAnsi="宋体" w:cs="宋体"/>
      <w:lang w:val="zh-CN" w:bidi="zh-CN"/>
    </w:rPr>
  </w:style>
  <w:style w:type="paragraph" w:customStyle="1" w:styleId="80">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普通(网站)_0"/>
    <w:basedOn w:val="80"/>
    <w:unhideWhenUsed/>
    <w:qFormat/>
    <w:uiPriority w:val="99"/>
    <w:rPr>
      <w:rFonts w:ascii="Times New Roman" w:hAnsi="Times New Roman"/>
      <w:sz w:val="24"/>
      <w:szCs w:val="24"/>
    </w:rPr>
  </w:style>
  <w:style w:type="paragraph" w:styleId="82">
    <w:name w:val="List Paragraph"/>
    <w:basedOn w:val="1"/>
    <w:qFormat/>
    <w:uiPriority w:val="1"/>
    <w:pPr>
      <w:spacing w:before="1"/>
      <w:ind w:left="440" w:firstLine="480"/>
    </w:pPr>
    <w:rPr>
      <w:rFonts w:ascii="宋体" w:hAnsi="宋体" w:cs="宋体"/>
      <w:lang w:val="zh-CN" w:bidi="zh-CN"/>
    </w:rPr>
  </w:style>
  <w:style w:type="character" w:customStyle="1" w:styleId="83">
    <w:name w:val="font21"/>
    <w:basedOn w:val="35"/>
    <w:qFormat/>
    <w:uiPriority w:val="0"/>
    <w:rPr>
      <w:rFonts w:hint="eastAsia" w:ascii="宋体" w:hAnsi="宋体" w:eastAsia="宋体" w:cs="宋体"/>
      <w:color w:val="FF0000"/>
      <w:sz w:val="20"/>
      <w:szCs w:val="20"/>
      <w:u w:val="none"/>
    </w:rPr>
  </w:style>
  <w:style w:type="character" w:customStyle="1" w:styleId="84">
    <w:name w:val="font11"/>
    <w:basedOn w:val="35"/>
    <w:qFormat/>
    <w:uiPriority w:val="0"/>
    <w:rPr>
      <w:rFonts w:hint="eastAsia" w:ascii="宋体" w:hAnsi="宋体" w:eastAsia="宋体" w:cs="宋体"/>
      <w:color w:val="000000"/>
      <w:sz w:val="22"/>
      <w:szCs w:val="22"/>
      <w:u w:val="none"/>
    </w:rPr>
  </w:style>
  <w:style w:type="paragraph" w:customStyle="1" w:styleId="85">
    <w:name w:val="样式1"/>
    <w:basedOn w:val="1"/>
    <w:qFormat/>
    <w:uiPriority w:val="0"/>
  </w:style>
  <w:style w:type="paragraph" w:customStyle="1" w:styleId="86">
    <w:name w:val="正文_1_0"/>
    <w:basedOn w:val="87"/>
    <w:qFormat/>
    <w:uiPriority w:val="0"/>
    <w:rPr>
      <w:rFonts w:ascii="Calibri" w:hAnsi="Calibri"/>
      <w:szCs w:val="21"/>
    </w:rPr>
  </w:style>
  <w:style w:type="paragraph" w:customStyle="1" w:styleId="8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标题 3_0_0"/>
    <w:basedOn w:val="87"/>
    <w:next w:val="87"/>
    <w:qFormat/>
    <w:uiPriority w:val="0"/>
    <w:pPr>
      <w:tabs>
        <w:tab w:val="left" w:pos="851"/>
      </w:tabs>
      <w:autoSpaceDE w:val="0"/>
      <w:autoSpaceDN w:val="0"/>
      <w:adjustRightInd w:val="0"/>
      <w:snapToGrid w:val="0"/>
      <w:spacing w:line="360" w:lineRule="auto"/>
      <w:outlineLvl w:val="2"/>
    </w:pPr>
    <w:rPr>
      <w:rFonts w:ascii="宋体" w:hAnsi="Calibri" w:eastAsia="宋体"/>
    </w:rPr>
  </w:style>
  <w:style w:type="paragraph" w:customStyle="1" w:styleId="89">
    <w:name w:val="正文_0"/>
    <w:qFormat/>
    <w:uiPriority w:val="0"/>
    <w:pPr>
      <w:widowControl w:val="0"/>
      <w:spacing w:after="160" w:line="259" w:lineRule="auto"/>
      <w:jc w:val="both"/>
    </w:pPr>
    <w:rPr>
      <w:rFonts w:ascii="Times New Roman" w:hAnsi="Times New Roman" w:eastAsia="宋体" w:cs="Times New Roman"/>
      <w:kern w:val="2"/>
      <w:sz w:val="21"/>
      <w:szCs w:val="22"/>
      <w:lang w:val="en-US" w:eastAsia="zh-CN" w:bidi="ar-SA"/>
    </w:rPr>
  </w:style>
  <w:style w:type="character" w:customStyle="1" w:styleId="90">
    <w:name w:val="10"/>
    <w:basedOn w:val="35"/>
    <w:qFormat/>
    <w:uiPriority w:val="0"/>
    <w:rPr>
      <w:rFonts w:hint="default" w:ascii="Times New Roman" w:hAnsi="Times New Roman" w:cs="Times New Roman"/>
      <w:lang w:bidi="mn-Mong-CN"/>
    </w:rPr>
  </w:style>
  <w:style w:type="paragraph" w:customStyle="1" w:styleId="91">
    <w:name w:val="索引 11"/>
    <w:basedOn w:val="1"/>
    <w:next w:val="1"/>
    <w:qFormat/>
    <w:uiPriority w:val="0"/>
    <w:pPr>
      <w:spacing w:line="360" w:lineRule="auto"/>
    </w:pPr>
    <w:rPr>
      <w:rFonts w:ascii="仿宋_GB2312" w:eastAsia="仿宋_GB2312"/>
      <w:sz w:val="24"/>
      <w:szCs w:val="20"/>
    </w:rPr>
  </w:style>
  <w:style w:type="paragraph" w:customStyle="1" w:styleId="92">
    <w:name w:val="纯文本1"/>
    <w:basedOn w:val="1"/>
    <w:qFormat/>
    <w:uiPriority w:val="0"/>
    <w:rPr>
      <w:rFonts w:ascii="宋体" w:hAnsi="Courier New"/>
      <w:kern w:val="0"/>
      <w:sz w:val="20"/>
      <w:szCs w:val="20"/>
    </w:rPr>
  </w:style>
  <w:style w:type="paragraph" w:customStyle="1" w:styleId="93">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94">
    <w:name w:val="表格"/>
    <w:basedOn w:val="1"/>
    <w:qFormat/>
    <w:uiPriority w:val="0"/>
    <w:pPr>
      <w:ind w:firstLine="0" w:firstLineChars="0"/>
    </w:pPr>
    <w:rPr>
      <w:rFonts w:ascii="Times New Roman" w:hAnsi="Times New Roman" w:cs="Times New Roman"/>
      <w:sz w:val="24"/>
      <w:szCs w:val="24"/>
    </w:rPr>
  </w:style>
  <w:style w:type="character" w:customStyle="1" w:styleId="95">
    <w:name w:val="font41"/>
    <w:qFormat/>
    <w:uiPriority w:val="0"/>
    <w:rPr>
      <w:rFonts w:hint="default" w:ascii="Arial" w:hAnsi="Arial" w:cs="Arial"/>
      <w:color w:val="000000"/>
      <w:sz w:val="22"/>
      <w:szCs w:val="22"/>
      <w:u w:val="none"/>
    </w:rPr>
  </w:style>
  <w:style w:type="paragraph" w:customStyle="1" w:styleId="96">
    <w:name w:val="项目1"/>
    <w:basedOn w:val="1"/>
    <w:qFormat/>
    <w:uiPriority w:val="99"/>
    <w:pPr>
      <w:adjustRightInd/>
      <w:spacing w:line="240" w:lineRule="auto"/>
      <w:textAlignment w:val="auto"/>
    </w:pPr>
    <w:rPr>
      <w:rFonts w:ascii="Calibri" w:hAnsi="Calibri" w:eastAsia="宋体" w:cs="Times New Roman"/>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1</Pages>
  <Words>4920</Words>
  <Characters>28044</Characters>
  <Lines>233</Lines>
  <Paragraphs>65</Paragraphs>
  <TotalTime>19</TotalTime>
  <ScaleCrop>false</ScaleCrop>
  <LinksUpToDate>false</LinksUpToDate>
  <CharactersWithSpaces>32899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2017-09-05T02:33:00Z</dcterms:created>
  <dc:creator>gzsw</dc:creator>
  <cp:lastModifiedBy>赵胤然妈妈</cp:lastModifiedBy>
  <cp:lastPrinted>2021-09-14T16:08:00Z</cp:lastPrinted>
  <dcterms:modified xsi:type="dcterms:W3CDTF">2021-09-30T07:26:37Z</dcterms:modified>
  <dc:title>0封面</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6CB321A979424D798E3A205D6FAA0E1A</vt:lpwstr>
  </property>
</Properties>
</file>