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ascii="宋体" w:hAnsi="宋体" w:cs="宋体"/>
          <w:b/>
          <w:bCs/>
          <w:sz w:val="44"/>
          <w:szCs w:val="44"/>
        </w:rPr>
      </w:pPr>
    </w:p>
    <w:p>
      <w:pPr>
        <w:pStyle w:val="4"/>
        <w:rPr>
          <w:rFonts w:ascii="宋体" w:hAnsi="宋体" w:cs="宋体"/>
          <w:sz w:val="44"/>
          <w:szCs w:val="44"/>
        </w:rPr>
      </w:pPr>
    </w:p>
    <w:p/>
    <w:p>
      <w:pPr>
        <w:spacing w:line="1000" w:lineRule="exact"/>
        <w:ind w:right="-319" w:rightChars="-152"/>
        <w:jc w:val="center"/>
        <w:rPr>
          <w:rFonts w:hint="eastAsia" w:ascii="宋体" w:hAnsi="宋体" w:cs="宋体"/>
          <w:b/>
          <w:bCs/>
          <w:sz w:val="40"/>
          <w:szCs w:val="40"/>
          <w:lang w:eastAsia="zh-CN"/>
        </w:rPr>
      </w:pPr>
      <w:r>
        <w:rPr>
          <w:rFonts w:hint="eastAsia" w:ascii="宋体" w:hAnsi="宋体" w:cs="宋体"/>
          <w:b/>
          <w:bCs/>
          <w:sz w:val="40"/>
          <w:szCs w:val="40"/>
          <w:lang w:eastAsia="zh-CN"/>
        </w:rPr>
        <w:t>克拉玛依市克拉玛依区人民政府昆仑路街道派出所服装采购项目</w:t>
      </w:r>
    </w:p>
    <w:p>
      <w:pPr>
        <w:spacing w:line="1000" w:lineRule="exact"/>
        <w:ind w:right="-319" w:rightChars="-152"/>
        <w:jc w:val="center"/>
        <w:rPr>
          <w:rFonts w:hint="eastAsia" w:ascii="宋体" w:hAnsi="宋体" w:eastAsia="宋体" w:cs="宋体"/>
          <w:b/>
          <w:bCs/>
          <w:sz w:val="40"/>
          <w:szCs w:val="40"/>
          <w:lang w:eastAsia="zh-CN"/>
        </w:rPr>
      </w:pPr>
      <w:r>
        <w:rPr>
          <w:rFonts w:hint="eastAsia" w:ascii="宋体" w:hAnsi="宋体" w:cs="宋体"/>
          <w:b/>
          <w:bCs/>
          <w:sz w:val="40"/>
          <w:szCs w:val="40"/>
          <w:lang w:eastAsia="zh-CN"/>
        </w:rPr>
        <w:t>竞争性磋商文件</w:t>
      </w:r>
    </w:p>
    <w:p>
      <w:pPr>
        <w:spacing w:line="360" w:lineRule="auto"/>
        <w:rPr>
          <w:rFonts w:ascii="宋体" w:hAnsi="宋体" w:cs="宋体"/>
          <w:b/>
          <w:sz w:val="30"/>
          <w:szCs w:val="30"/>
        </w:rPr>
      </w:pPr>
    </w:p>
    <w:p>
      <w:pPr>
        <w:spacing w:line="660" w:lineRule="exact"/>
        <w:jc w:val="center"/>
        <w:rPr>
          <w:rFonts w:ascii="宋体" w:hAnsi="宋体" w:cs="宋体"/>
          <w:sz w:val="24"/>
        </w:rPr>
      </w:pPr>
      <w:r>
        <w:rPr>
          <w:rFonts w:hint="eastAsia" w:ascii="宋体" w:hAnsi="宋体"/>
          <w:b/>
          <w:sz w:val="28"/>
          <w:szCs w:val="28"/>
        </w:rPr>
        <w:t>（文件编号：</w:t>
      </w:r>
      <w:r>
        <w:rPr>
          <w:rFonts w:hint="eastAsia" w:ascii="宋体" w:hAnsi="宋体"/>
          <w:b/>
          <w:sz w:val="28"/>
          <w:szCs w:val="28"/>
          <w:lang w:eastAsia="zh-CN"/>
        </w:rPr>
        <w:t>JKJL[ZC]2021-59</w:t>
      </w:r>
      <w:r>
        <w:rPr>
          <w:rFonts w:hint="eastAsia" w:ascii="宋体" w:hAnsi="宋体"/>
          <w:b/>
          <w:sz w:val="28"/>
          <w:szCs w:val="28"/>
        </w:rPr>
        <w:t>）</w:t>
      </w:r>
    </w:p>
    <w:p>
      <w:pPr>
        <w:pStyle w:val="2"/>
        <w:rPr>
          <w:rFonts w:ascii="宋体" w:hAnsi="宋体" w:cs="宋体"/>
        </w:rPr>
      </w:pPr>
    </w:p>
    <w:p>
      <w:pPr>
        <w:pStyle w:val="2"/>
        <w:rPr>
          <w:rFonts w:ascii="宋体" w:hAnsi="宋体" w:cs="宋体"/>
        </w:rPr>
      </w:pPr>
    </w:p>
    <w:p>
      <w:pPr>
        <w:pStyle w:val="4"/>
      </w:pPr>
    </w:p>
    <w:p/>
    <w:p>
      <w:pPr>
        <w:pStyle w:val="2"/>
      </w:pPr>
    </w:p>
    <w:p/>
    <w:p>
      <w:pPr>
        <w:pStyle w:val="2"/>
        <w:rPr>
          <w:rFonts w:ascii="宋体" w:hAnsi="宋体" w:cs="宋体"/>
        </w:rPr>
      </w:pPr>
    </w:p>
    <w:p>
      <w:pPr>
        <w:spacing w:line="360" w:lineRule="auto"/>
        <w:ind w:firstLine="562" w:firstLineChars="200"/>
        <w:rPr>
          <w:rFonts w:hint="eastAsia" w:ascii="宋体" w:hAnsi="宋体" w:eastAsia="宋体" w:cs="宋体"/>
          <w:b/>
          <w:sz w:val="28"/>
          <w:szCs w:val="28"/>
          <w:lang w:eastAsia="zh-CN"/>
        </w:rPr>
      </w:pPr>
      <w:r>
        <w:rPr>
          <w:rFonts w:hint="eastAsia" w:ascii="宋体" w:hAnsi="宋体" w:cs="宋体"/>
          <w:b/>
          <w:sz w:val="28"/>
          <w:szCs w:val="28"/>
        </w:rPr>
        <w:t>采  购  人：</w:t>
      </w:r>
      <w:r>
        <w:rPr>
          <w:rFonts w:hint="eastAsia" w:ascii="宋体" w:hAnsi="宋体" w:cs="宋体"/>
          <w:b/>
          <w:sz w:val="28"/>
          <w:szCs w:val="28"/>
          <w:lang w:eastAsia="zh-CN"/>
        </w:rPr>
        <w:t>克拉玛依市克拉玛依区人民政府昆仑路街道办事处</w:t>
      </w:r>
    </w:p>
    <w:p>
      <w:pPr>
        <w:spacing w:line="360" w:lineRule="auto"/>
        <w:ind w:firstLine="562" w:firstLineChars="200"/>
        <w:rPr>
          <w:rFonts w:ascii="宋体" w:hAnsi="宋体" w:cs="宋体"/>
          <w:b/>
          <w:sz w:val="28"/>
          <w:szCs w:val="28"/>
        </w:rPr>
      </w:pPr>
      <w:r>
        <w:rPr>
          <w:rFonts w:hint="eastAsia" w:ascii="宋体" w:hAnsi="宋体" w:cs="宋体"/>
          <w:b/>
          <w:sz w:val="28"/>
          <w:szCs w:val="28"/>
        </w:rPr>
        <w:t>采购代理机构：克拉玛依市金科工程监理有限责任公司</w:t>
      </w:r>
    </w:p>
    <w:p>
      <w:pPr>
        <w:spacing w:line="360" w:lineRule="auto"/>
        <w:ind w:firstLine="562" w:firstLineChars="200"/>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ascii="宋体" w:hAnsi="宋体" w:cs="宋体"/>
          <w:b/>
          <w:sz w:val="28"/>
          <w:szCs w:val="28"/>
          <w:lang w:eastAsia="zh-CN"/>
        </w:rPr>
        <w:t>赵容萱</w:t>
      </w:r>
    </w:p>
    <w:p>
      <w:pPr>
        <w:spacing w:line="360" w:lineRule="auto"/>
        <w:ind w:firstLine="562" w:firstLineChars="200"/>
        <w:rPr>
          <w:rFonts w:hint="default" w:ascii="宋体" w:hAnsi="宋体" w:eastAsia="宋体" w:cs="宋体"/>
          <w:b/>
          <w:sz w:val="28"/>
          <w:szCs w:val="28"/>
          <w:lang w:val="en-US" w:eastAsia="zh-CN"/>
        </w:rPr>
      </w:pPr>
      <w:r>
        <w:rPr>
          <w:rFonts w:hint="eastAsia" w:ascii="宋体" w:hAnsi="宋体" w:cs="宋体"/>
          <w:b/>
          <w:sz w:val="28"/>
          <w:szCs w:val="28"/>
        </w:rPr>
        <w:t>联系电话：</w:t>
      </w:r>
      <w:r>
        <w:rPr>
          <w:rFonts w:hint="eastAsia" w:ascii="宋体" w:hAnsi="宋体" w:cs="宋体"/>
          <w:b/>
          <w:sz w:val="28"/>
          <w:szCs w:val="28"/>
          <w:lang w:val="en-US" w:eastAsia="zh-CN"/>
        </w:rPr>
        <w:t>15809905032</w:t>
      </w:r>
    </w:p>
    <w:p>
      <w:pPr>
        <w:pStyle w:val="2"/>
        <w:rPr>
          <w:rFonts w:ascii="宋体" w:hAnsi="宋体" w:cs="宋体"/>
          <w:b/>
          <w:sz w:val="28"/>
          <w:szCs w:val="28"/>
        </w:rPr>
      </w:pPr>
    </w:p>
    <w:p>
      <w:pPr>
        <w:spacing w:line="360" w:lineRule="auto"/>
        <w:ind w:firstLine="562" w:firstLineChars="200"/>
        <w:jc w:val="center"/>
        <w:rPr>
          <w:rFonts w:ascii="宋体" w:hAnsi="宋体" w:cs="宋体"/>
        </w:rPr>
      </w:pPr>
      <w:r>
        <w:rPr>
          <w:rFonts w:hint="eastAsia" w:ascii="宋体" w:hAnsi="宋体" w:cs="宋体"/>
          <w:b/>
          <w:sz w:val="28"/>
          <w:szCs w:val="28"/>
        </w:rPr>
        <w:t>2021年</w:t>
      </w:r>
      <w:r>
        <w:rPr>
          <w:rFonts w:hint="eastAsia" w:ascii="宋体" w:hAnsi="宋体" w:cs="宋体"/>
          <w:b/>
          <w:sz w:val="28"/>
          <w:szCs w:val="28"/>
          <w:lang w:val="en-US" w:eastAsia="zh-CN"/>
        </w:rPr>
        <w:t>10</w:t>
      </w:r>
      <w:r>
        <w:rPr>
          <w:rFonts w:hint="eastAsia" w:ascii="宋体" w:hAnsi="宋体" w:cs="宋体"/>
          <w:b/>
          <w:sz w:val="28"/>
          <w:szCs w:val="28"/>
        </w:rPr>
        <w:t>月</w:t>
      </w:r>
    </w:p>
    <w:p>
      <w:pPr>
        <w:pageBreakBefore/>
        <w:spacing w:line="500" w:lineRule="exact"/>
        <w:jc w:val="center"/>
        <w:rPr>
          <w:rFonts w:hint="eastAsia" w:ascii="宋体" w:hAnsi="宋体" w:cs="宋体"/>
          <w:b/>
          <w:bCs/>
          <w:sz w:val="32"/>
          <w:szCs w:val="32"/>
        </w:rPr>
        <w:sectPr>
          <w:headerReference r:id="rId3" w:type="default"/>
          <w:footerReference r:id="rId4" w:type="default"/>
          <w:pgSz w:w="11906" w:h="16838"/>
          <w:pgMar w:top="1440" w:right="1486" w:bottom="1440" w:left="1600" w:header="851" w:footer="992" w:gutter="0"/>
          <w:pgNumType w:fmt="numberInDash"/>
          <w:cols w:space="425" w:num="1"/>
          <w:docGrid w:type="lines" w:linePitch="312" w:charSpace="0"/>
        </w:sectPr>
      </w:pPr>
    </w:p>
    <w:p>
      <w:pPr>
        <w:pageBreakBefore/>
        <w:spacing w:line="500" w:lineRule="exact"/>
        <w:jc w:val="center"/>
        <w:rPr>
          <w:rFonts w:ascii="宋体" w:hAnsi="宋体" w:cs="宋体"/>
          <w:b/>
          <w:bCs/>
          <w:sz w:val="32"/>
          <w:szCs w:val="32"/>
        </w:rPr>
      </w:pPr>
      <w:r>
        <w:rPr>
          <w:rFonts w:hint="eastAsia" w:ascii="宋体" w:hAnsi="宋体" w:cs="宋体"/>
          <w:b/>
          <w:bCs/>
          <w:sz w:val="32"/>
          <w:szCs w:val="32"/>
        </w:rPr>
        <w:t>总  目  录</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cs="宋体"/>
          <w:b/>
          <w:kern w:val="2"/>
          <w:sz w:val="24"/>
          <w:szCs w:val="24"/>
        </w:rPr>
        <w:t>第一章 竞争性磋商</w:t>
      </w:r>
      <w:r>
        <w:rPr>
          <w:rFonts w:hint="eastAsia" w:ascii="宋体" w:hAnsi="宋体" w:cs="宋体"/>
          <w:b/>
          <w:kern w:val="2"/>
          <w:sz w:val="24"/>
          <w:szCs w:val="24"/>
          <w:lang w:eastAsia="zh-CN"/>
        </w:rPr>
        <w:t>采购</w:t>
      </w:r>
      <w:r>
        <w:rPr>
          <w:rFonts w:hint="eastAsia" w:ascii="宋体" w:hAnsi="宋体" w:cs="宋体"/>
          <w:b/>
          <w:kern w:val="2"/>
          <w:sz w:val="24"/>
          <w:szCs w:val="24"/>
        </w:rPr>
        <w:t>公告</w:t>
      </w:r>
      <w:r>
        <w:rPr>
          <w:rFonts w:hint="eastAsia" w:ascii="宋体" w:hAnsi="宋体" w:cs="宋体"/>
          <w:b/>
          <w:kern w:val="2"/>
          <w:sz w:val="24"/>
          <w:szCs w:val="24"/>
        </w:rPr>
        <w:tab/>
      </w:r>
      <w:r>
        <w:rPr>
          <w:rFonts w:hint="eastAsia" w:ascii="宋体" w:hAnsi="宋体" w:cs="宋体"/>
          <w:b/>
          <w:kern w:val="2"/>
          <w:sz w:val="24"/>
          <w:szCs w:val="24"/>
          <w:lang w:val="en-US" w:eastAsia="zh-CN"/>
        </w:rPr>
        <w:t>1</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cs="宋体"/>
          <w:b/>
          <w:kern w:val="2"/>
          <w:sz w:val="24"/>
          <w:szCs w:val="24"/>
        </w:rPr>
        <w:t>第二章 供应商须知</w:t>
      </w:r>
      <w:r>
        <w:rPr>
          <w:rFonts w:hint="eastAsia" w:ascii="宋体" w:hAnsi="宋体" w:cs="宋体"/>
          <w:b/>
          <w:kern w:val="2"/>
          <w:sz w:val="24"/>
          <w:szCs w:val="24"/>
        </w:rPr>
        <w:tab/>
      </w:r>
      <w:r>
        <w:rPr>
          <w:rFonts w:hint="eastAsia" w:ascii="宋体" w:hAnsi="宋体" w:cs="宋体"/>
          <w:b/>
          <w:kern w:val="2"/>
          <w:sz w:val="24"/>
          <w:szCs w:val="24"/>
          <w:lang w:val="en-US" w:eastAsia="zh-CN"/>
        </w:rPr>
        <w:t>3</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cs="宋体"/>
          <w:b/>
          <w:kern w:val="2"/>
          <w:sz w:val="24"/>
          <w:szCs w:val="24"/>
        </w:rPr>
        <w:t>第三章 项目采购需求</w:t>
      </w:r>
      <w:r>
        <w:rPr>
          <w:rFonts w:hint="eastAsia" w:ascii="宋体" w:hAnsi="宋体" w:cs="宋体"/>
          <w:b/>
          <w:kern w:val="2"/>
          <w:sz w:val="24"/>
          <w:szCs w:val="24"/>
        </w:rPr>
        <w:tab/>
      </w:r>
      <w:r>
        <w:rPr>
          <w:rFonts w:hint="eastAsia" w:ascii="宋体" w:hAnsi="宋体" w:cs="宋体"/>
          <w:b/>
          <w:kern w:val="2"/>
          <w:sz w:val="24"/>
          <w:szCs w:val="24"/>
        </w:rPr>
        <w:t>2</w:t>
      </w:r>
      <w:r>
        <w:rPr>
          <w:rFonts w:hint="eastAsia" w:ascii="宋体" w:hAnsi="宋体" w:cs="宋体"/>
          <w:b/>
          <w:kern w:val="2"/>
          <w:sz w:val="24"/>
          <w:szCs w:val="24"/>
          <w:lang w:val="en-US" w:eastAsia="zh-CN"/>
        </w:rPr>
        <w:t>0</w:t>
      </w:r>
    </w:p>
    <w:p>
      <w:pPr>
        <w:pStyle w:val="35"/>
        <w:tabs>
          <w:tab w:val="right" w:leader="dot" w:pos="9185"/>
        </w:tabs>
        <w:spacing w:line="600" w:lineRule="auto"/>
        <w:rPr>
          <w:rFonts w:ascii="宋体" w:hAnsi="宋体" w:cs="宋体"/>
          <w:b/>
          <w:kern w:val="2"/>
          <w:sz w:val="24"/>
          <w:szCs w:val="24"/>
        </w:rPr>
      </w:pPr>
      <w:r>
        <w:rPr>
          <w:rFonts w:hint="eastAsia" w:ascii="宋体" w:hAnsi="宋体" w:cs="宋体"/>
          <w:b/>
          <w:bCs/>
          <w:sz w:val="24"/>
          <w:szCs w:val="24"/>
        </w:rPr>
        <w:t>第四章 合同</w:t>
      </w:r>
      <w:r>
        <w:rPr>
          <w:rFonts w:hint="eastAsia" w:ascii="宋体" w:hAnsi="宋体" w:cs="宋体"/>
          <w:b/>
          <w:bCs/>
          <w:sz w:val="24"/>
          <w:szCs w:val="24"/>
          <w:lang w:eastAsia="zh-CN"/>
        </w:rPr>
        <w:t>主要条款</w:t>
      </w:r>
      <w:r>
        <w:rPr>
          <w:rFonts w:hint="eastAsia" w:ascii="宋体" w:hAnsi="宋体" w:cs="宋体"/>
          <w:b/>
          <w:kern w:val="2"/>
          <w:sz w:val="24"/>
          <w:szCs w:val="24"/>
        </w:rPr>
        <w:tab/>
      </w:r>
      <w:r>
        <w:rPr>
          <w:rFonts w:hint="eastAsia" w:ascii="宋体" w:hAnsi="宋体" w:cs="宋体"/>
          <w:b/>
          <w:kern w:val="2"/>
          <w:sz w:val="24"/>
          <w:szCs w:val="24"/>
        </w:rPr>
        <w:t>26</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cs="宋体"/>
          <w:b/>
          <w:kern w:val="2"/>
          <w:sz w:val="24"/>
          <w:szCs w:val="24"/>
        </w:rPr>
        <w:t>第五章 响应文件格式</w:t>
      </w:r>
      <w:r>
        <w:rPr>
          <w:rFonts w:hint="eastAsia" w:ascii="宋体" w:hAnsi="宋体" w:cs="宋体"/>
          <w:b/>
          <w:kern w:val="2"/>
          <w:sz w:val="24"/>
          <w:szCs w:val="24"/>
        </w:rPr>
        <w:tab/>
      </w:r>
      <w:r>
        <w:rPr>
          <w:rFonts w:hint="eastAsia" w:ascii="宋体" w:hAnsi="宋体" w:cs="宋体"/>
          <w:b/>
          <w:kern w:val="2"/>
          <w:sz w:val="24"/>
          <w:szCs w:val="24"/>
        </w:rPr>
        <w:t>3</w:t>
      </w:r>
      <w:r>
        <w:rPr>
          <w:rFonts w:hint="eastAsia" w:ascii="宋体" w:hAnsi="宋体" w:cs="宋体"/>
          <w:b/>
          <w:kern w:val="2"/>
          <w:sz w:val="24"/>
          <w:szCs w:val="24"/>
          <w:lang w:val="en-US" w:eastAsia="zh-CN"/>
        </w:rPr>
        <w:t>2</w:t>
      </w:r>
    </w:p>
    <w:p>
      <w:pPr>
        <w:pStyle w:val="35"/>
        <w:tabs>
          <w:tab w:val="right" w:leader="dot" w:pos="9185"/>
        </w:tabs>
        <w:spacing w:line="600" w:lineRule="auto"/>
        <w:rPr>
          <w:rFonts w:hint="eastAsia" w:ascii="宋体" w:hAnsi="宋体" w:eastAsia="宋体" w:cs="宋体"/>
          <w:b/>
          <w:kern w:val="2"/>
          <w:sz w:val="24"/>
          <w:szCs w:val="24"/>
          <w:lang w:eastAsia="zh-CN"/>
        </w:rPr>
      </w:pPr>
      <w:r>
        <w:rPr>
          <w:rFonts w:hint="eastAsia" w:ascii="宋体" w:hAnsi="宋体" w:cs="宋体"/>
          <w:b/>
          <w:kern w:val="2"/>
          <w:sz w:val="24"/>
          <w:szCs w:val="24"/>
        </w:rPr>
        <w:t>第六章 评标标准（综合评分法）</w:t>
      </w:r>
      <w:r>
        <w:rPr>
          <w:rFonts w:hint="eastAsia" w:ascii="宋体" w:hAnsi="宋体" w:cs="宋体"/>
          <w:b/>
          <w:kern w:val="2"/>
          <w:sz w:val="24"/>
          <w:szCs w:val="24"/>
        </w:rPr>
        <w:tab/>
      </w:r>
      <w:r>
        <w:rPr>
          <w:rFonts w:hint="eastAsia" w:ascii="宋体" w:hAnsi="宋体" w:cs="宋体"/>
          <w:b/>
          <w:kern w:val="2"/>
          <w:sz w:val="24"/>
          <w:szCs w:val="24"/>
        </w:rPr>
        <w:t>4</w:t>
      </w:r>
      <w:r>
        <w:rPr>
          <w:rFonts w:hint="eastAsia" w:ascii="宋体" w:hAnsi="宋体" w:cs="宋体"/>
          <w:b/>
          <w:kern w:val="2"/>
          <w:sz w:val="24"/>
          <w:szCs w:val="24"/>
          <w:lang w:val="en-US" w:eastAsia="zh-CN"/>
        </w:rPr>
        <w:t>9</w:t>
      </w: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tabs>
          <w:tab w:val="left" w:pos="1230"/>
          <w:tab w:val="left" w:pos="1275"/>
        </w:tabs>
        <w:spacing w:line="360" w:lineRule="auto"/>
        <w:jc w:val="center"/>
        <w:rPr>
          <w:rFonts w:hint="eastAsia" w:ascii="宋体" w:hAnsi="宋体" w:cs="宋体"/>
          <w:b/>
          <w:bCs/>
          <w:sz w:val="32"/>
          <w:szCs w:val="32"/>
        </w:rPr>
        <w:sectPr>
          <w:footerReference r:id="rId5" w:type="default"/>
          <w:pgSz w:w="11906" w:h="16838"/>
          <w:pgMar w:top="1440" w:right="1486" w:bottom="1440" w:left="1600" w:header="851" w:footer="992" w:gutter="0"/>
          <w:pgNumType w:fmt="numberInDash" w:start="1"/>
          <w:cols w:space="425" w:num="1"/>
          <w:docGrid w:type="lines" w:linePitch="312" w:charSpace="0"/>
        </w:sectPr>
      </w:pPr>
    </w:p>
    <w:p>
      <w:pPr>
        <w:tabs>
          <w:tab w:val="left" w:pos="1230"/>
          <w:tab w:val="left" w:pos="1275"/>
        </w:tabs>
        <w:spacing w:line="360" w:lineRule="auto"/>
        <w:jc w:val="center"/>
        <w:rPr>
          <w:rFonts w:ascii="宋体" w:hAnsi="宋体" w:cs="宋体"/>
          <w:b/>
          <w:bCs/>
          <w:sz w:val="32"/>
          <w:szCs w:val="32"/>
        </w:rPr>
      </w:pPr>
      <w:r>
        <w:rPr>
          <w:rFonts w:hint="eastAsia" w:ascii="宋体" w:hAnsi="宋体" w:cs="宋体"/>
          <w:b/>
          <w:bCs/>
          <w:sz w:val="32"/>
          <w:szCs w:val="32"/>
        </w:rPr>
        <w:t xml:space="preserve">第一章 </w:t>
      </w:r>
      <w:r>
        <w:rPr>
          <w:rFonts w:hint="eastAsia" w:ascii="宋体" w:hAnsi="宋体" w:cs="宋体"/>
          <w:b/>
          <w:bCs/>
          <w:sz w:val="32"/>
          <w:szCs w:val="32"/>
          <w:lang w:eastAsia="zh-CN"/>
        </w:rPr>
        <w:t>竞争性磋商采购</w:t>
      </w:r>
      <w:r>
        <w:rPr>
          <w:rFonts w:hint="eastAsia" w:ascii="宋体" w:hAnsi="宋体" w:cs="宋体"/>
          <w:b/>
          <w:bCs/>
          <w:sz w:val="32"/>
          <w:szCs w:val="32"/>
        </w:rPr>
        <w:t>公告</w:t>
      </w:r>
    </w:p>
    <w:p>
      <w:pPr>
        <w:pBdr>
          <w:top w:val="single" w:color="auto" w:sz="4" w:space="1"/>
          <w:left w:val="single" w:color="auto" w:sz="4" w:space="4"/>
          <w:bottom w:val="single" w:color="auto" w:sz="4" w:space="1"/>
          <w:right w:val="single" w:color="auto" w:sz="4" w:space="4"/>
        </w:pBdr>
        <w:spacing w:line="420" w:lineRule="exact"/>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420" w:lineRule="exact"/>
        <w:ind w:firstLine="480" w:firstLineChars="200"/>
        <w:rPr>
          <w:rFonts w:ascii="宋体" w:hAnsi="宋体" w:cs="宋体"/>
          <w:sz w:val="24"/>
        </w:rPr>
      </w:pPr>
      <w:r>
        <w:rPr>
          <w:rFonts w:hint="eastAsia" w:ascii="宋体" w:hAnsi="宋体" w:cs="宋体"/>
          <w:sz w:val="24"/>
          <w:u w:val="single"/>
          <w:lang w:eastAsia="zh-CN"/>
        </w:rPr>
        <w:t>克拉玛依市克拉玛依区人民政府昆仑路街道派出所服装采购项目</w:t>
      </w:r>
      <w:r>
        <w:rPr>
          <w:rFonts w:hint="eastAsia" w:ascii="宋体" w:hAnsi="宋体" w:cs="宋体"/>
          <w:sz w:val="24"/>
        </w:rPr>
        <w:t>的潜在供应商应在（</w:t>
      </w:r>
      <w:r>
        <w:rPr>
          <w:rFonts w:hint="eastAsia" w:ascii="宋体" w:hAnsi="宋体" w:cs="宋体"/>
          <w:sz w:val="24"/>
          <w:u w:val="single"/>
        </w:rPr>
        <w:t>新疆政府采购网</w:t>
      </w:r>
      <w:r>
        <w:rPr>
          <w:rFonts w:hint="eastAsia" w:ascii="宋体" w:hAnsi="宋体" w:cs="宋体"/>
          <w:sz w:val="24"/>
        </w:rPr>
        <w:t>）获取</w:t>
      </w:r>
      <w:r>
        <w:rPr>
          <w:rFonts w:hint="eastAsia" w:ascii="宋体" w:hAnsi="宋体" w:cs="宋体"/>
          <w:sz w:val="24"/>
          <w:lang w:eastAsia="zh-CN"/>
        </w:rPr>
        <w:t>磋商文件</w:t>
      </w:r>
      <w:r>
        <w:rPr>
          <w:rFonts w:hint="eastAsia" w:ascii="宋体" w:hAnsi="宋体" w:cs="宋体"/>
          <w:sz w:val="24"/>
        </w:rPr>
        <w:t>，并于2021年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eastAsia="zh-CN"/>
        </w:rPr>
        <w:t>11点00分</w:t>
      </w:r>
      <w:r>
        <w:rPr>
          <w:rFonts w:hint="eastAsia" w:ascii="宋体" w:hAnsi="宋体" w:cs="宋体"/>
          <w:sz w:val="24"/>
        </w:rPr>
        <w:t>（北京时间）前递交</w:t>
      </w:r>
      <w:r>
        <w:rPr>
          <w:rFonts w:hint="eastAsia" w:ascii="宋体" w:hAnsi="宋体" w:cs="宋体"/>
          <w:sz w:val="24"/>
          <w:lang w:eastAsia="zh-CN"/>
        </w:rPr>
        <w:t>响应文件</w:t>
      </w:r>
      <w:r>
        <w:rPr>
          <w:rFonts w:hint="eastAsia" w:ascii="宋体" w:hAnsi="宋体" w:cs="宋体"/>
          <w:sz w:val="24"/>
        </w:rPr>
        <w:t>。</w:t>
      </w:r>
    </w:p>
    <w:p>
      <w:pPr>
        <w:spacing w:line="420" w:lineRule="exact"/>
        <w:rPr>
          <w:rFonts w:ascii="宋体" w:hAnsi="宋体" w:cs="宋体"/>
          <w:kern w:val="0"/>
          <w:sz w:val="24"/>
        </w:rPr>
      </w:pPr>
      <w:bookmarkStart w:id="0" w:name="_Toc28359002"/>
      <w:bookmarkStart w:id="1" w:name="_Toc28359079"/>
      <w:bookmarkStart w:id="2" w:name="_Toc35393621"/>
      <w:bookmarkStart w:id="3" w:name="_Toc35393790"/>
      <w:bookmarkStart w:id="4" w:name="_Hlk24379207"/>
      <w:r>
        <w:rPr>
          <w:rFonts w:hint="eastAsia" w:ascii="宋体" w:hAnsi="宋体" w:cs="宋体"/>
          <w:kern w:val="0"/>
          <w:sz w:val="24"/>
        </w:rPr>
        <w:t>一、项目基本情况</w:t>
      </w:r>
      <w:bookmarkEnd w:id="0"/>
      <w:bookmarkEnd w:id="1"/>
      <w:bookmarkEnd w:id="2"/>
      <w:bookmarkEnd w:id="3"/>
    </w:p>
    <w:p>
      <w:pPr>
        <w:spacing w:line="420" w:lineRule="exact"/>
        <w:ind w:firstLine="480" w:firstLineChars="200"/>
        <w:rPr>
          <w:rFonts w:hint="eastAsia" w:ascii="宋体" w:hAnsi="宋体" w:eastAsia="宋体" w:cs="宋体"/>
          <w:kern w:val="0"/>
          <w:sz w:val="24"/>
          <w:lang w:val="en-US" w:eastAsia="zh-CN"/>
        </w:rPr>
      </w:pPr>
      <w:r>
        <w:rPr>
          <w:rFonts w:hint="eastAsia" w:ascii="宋体" w:hAnsi="宋体" w:cs="宋体"/>
          <w:kern w:val="0"/>
          <w:sz w:val="24"/>
        </w:rPr>
        <w:t>项目编号：</w:t>
      </w:r>
      <w:r>
        <w:rPr>
          <w:rFonts w:hint="eastAsia" w:ascii="宋体" w:hAnsi="宋体" w:cs="宋体"/>
          <w:kern w:val="0"/>
          <w:sz w:val="24"/>
          <w:lang w:eastAsia="zh-CN"/>
        </w:rPr>
        <w:t>JKJL[ZC]2021-59</w:t>
      </w:r>
    </w:p>
    <w:p>
      <w:pPr>
        <w:spacing w:line="420" w:lineRule="exact"/>
        <w:ind w:left="479" w:leftChars="228"/>
        <w:rPr>
          <w:rFonts w:hint="eastAsia" w:ascii="宋体" w:hAnsi="宋体" w:eastAsia="宋体" w:cs="宋体"/>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克拉玛依市克拉玛依区人民政府昆仑路街道派出所服装采购项目</w:t>
      </w:r>
    </w:p>
    <w:bookmarkEnd w:id="4"/>
    <w:p>
      <w:pPr>
        <w:pStyle w:val="19"/>
        <w:spacing w:before="75" w:beforeAutospacing="0" w:after="75" w:afterAutospacing="0" w:line="420" w:lineRule="exact"/>
        <w:ind w:firstLine="480" w:firstLineChars="200"/>
        <w:rPr>
          <w:rStyle w:val="26"/>
          <w:rFonts w:cs="宋体"/>
          <w:b w:val="0"/>
          <w:bCs/>
          <w:color w:val="auto"/>
          <w:sz w:val="24"/>
          <w:szCs w:val="24"/>
        </w:rPr>
      </w:pPr>
      <w:r>
        <w:rPr>
          <w:rStyle w:val="26"/>
          <w:rFonts w:hint="eastAsia" w:cs="宋体"/>
          <w:b w:val="0"/>
          <w:bCs/>
          <w:color w:val="auto"/>
          <w:sz w:val="24"/>
          <w:szCs w:val="24"/>
        </w:rPr>
        <w:t>采购方式：竞争性磋商</w:t>
      </w:r>
    </w:p>
    <w:p>
      <w:pPr>
        <w:spacing w:line="420" w:lineRule="exact"/>
        <w:ind w:firstLine="480" w:firstLineChars="200"/>
        <w:rPr>
          <w:rFonts w:ascii="宋体" w:hAnsi="宋体" w:cs="宋体"/>
          <w:kern w:val="0"/>
          <w:sz w:val="24"/>
        </w:rPr>
      </w:pPr>
      <w:r>
        <w:rPr>
          <w:rFonts w:hint="eastAsia" w:ascii="宋体" w:hAnsi="宋体" w:cs="宋体"/>
          <w:kern w:val="0"/>
          <w:sz w:val="24"/>
        </w:rPr>
        <w:t>预算金额：</w:t>
      </w:r>
      <w:r>
        <w:rPr>
          <w:rFonts w:hint="eastAsia" w:ascii="宋体" w:hAnsi="宋体" w:cs="宋体"/>
          <w:kern w:val="0"/>
          <w:sz w:val="24"/>
          <w:lang w:val="en-US" w:eastAsia="zh-CN"/>
        </w:rPr>
        <w:t>103.5422万元</w:t>
      </w:r>
    </w:p>
    <w:p>
      <w:pPr>
        <w:spacing w:line="420" w:lineRule="exact"/>
        <w:ind w:firstLine="480" w:firstLineChars="200"/>
        <w:rPr>
          <w:rFonts w:ascii="宋体" w:hAnsi="宋体" w:cs="宋体"/>
          <w:kern w:val="0"/>
          <w:sz w:val="24"/>
        </w:rPr>
      </w:pPr>
      <w:r>
        <w:rPr>
          <w:rFonts w:hint="eastAsia" w:ascii="宋体" w:hAnsi="宋体" w:cs="宋体"/>
          <w:kern w:val="0"/>
          <w:sz w:val="24"/>
        </w:rPr>
        <w:t>最高限价：</w:t>
      </w:r>
      <w:r>
        <w:rPr>
          <w:rFonts w:hint="eastAsia" w:ascii="宋体" w:hAnsi="宋体" w:cs="宋体"/>
          <w:kern w:val="0"/>
          <w:sz w:val="24"/>
          <w:lang w:val="en-US" w:eastAsia="zh-CN"/>
        </w:rPr>
        <w:t>103.5422万元</w:t>
      </w:r>
    </w:p>
    <w:p>
      <w:pPr>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采购需求：详见</w:t>
      </w:r>
      <w:r>
        <w:rPr>
          <w:rFonts w:hint="eastAsia" w:ascii="宋体" w:hAnsi="宋体" w:cs="宋体"/>
          <w:kern w:val="0"/>
          <w:sz w:val="24"/>
          <w:lang w:eastAsia="zh-CN"/>
        </w:rPr>
        <w:t>磋商文件</w:t>
      </w:r>
    </w:p>
    <w:p>
      <w:pPr>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合同履行期限：详见</w:t>
      </w:r>
      <w:r>
        <w:rPr>
          <w:rFonts w:hint="eastAsia" w:ascii="宋体" w:hAnsi="宋体" w:cs="宋体"/>
          <w:kern w:val="0"/>
          <w:sz w:val="24"/>
          <w:lang w:eastAsia="zh-CN"/>
        </w:rPr>
        <w:t>磋商文件</w:t>
      </w:r>
    </w:p>
    <w:p>
      <w:pPr>
        <w:spacing w:line="420" w:lineRule="exact"/>
        <w:ind w:firstLine="480" w:firstLineChars="200"/>
        <w:rPr>
          <w:rFonts w:ascii="宋体" w:hAnsi="宋体" w:cs="宋体"/>
          <w:kern w:val="0"/>
          <w:sz w:val="24"/>
        </w:rPr>
      </w:pPr>
      <w:r>
        <w:rPr>
          <w:rFonts w:hint="eastAsia" w:ascii="宋体" w:hAnsi="宋体" w:cs="宋体"/>
          <w:kern w:val="0"/>
          <w:sz w:val="24"/>
        </w:rPr>
        <w:t>本项目（是/否）接受联合体投标：否</w:t>
      </w:r>
    </w:p>
    <w:p>
      <w:pPr>
        <w:spacing w:line="420" w:lineRule="exact"/>
        <w:rPr>
          <w:rFonts w:ascii="宋体" w:hAnsi="宋体" w:cs="宋体"/>
          <w:kern w:val="0"/>
          <w:sz w:val="24"/>
        </w:rPr>
      </w:pPr>
      <w:bookmarkStart w:id="5" w:name="_Toc35393622"/>
      <w:bookmarkStart w:id="6" w:name="_Toc28359003"/>
      <w:bookmarkStart w:id="7" w:name="_Toc28359080"/>
      <w:bookmarkStart w:id="8" w:name="_Toc35393791"/>
      <w:r>
        <w:rPr>
          <w:rFonts w:hint="eastAsia" w:ascii="宋体" w:hAnsi="宋体" w:cs="宋体"/>
          <w:kern w:val="0"/>
          <w:sz w:val="24"/>
        </w:rPr>
        <w:t>二、申请人的资格要求：</w:t>
      </w:r>
      <w:bookmarkEnd w:id="5"/>
      <w:bookmarkEnd w:id="6"/>
      <w:bookmarkEnd w:id="7"/>
      <w:bookmarkEnd w:id="8"/>
    </w:p>
    <w:p>
      <w:pPr>
        <w:spacing w:line="420" w:lineRule="exact"/>
        <w:ind w:firstLine="480" w:firstLineChars="200"/>
        <w:rPr>
          <w:rFonts w:ascii="宋体" w:hAnsi="宋体" w:cs="宋体"/>
          <w:bCs/>
          <w:kern w:val="0"/>
          <w:sz w:val="24"/>
          <w:szCs w:val="22"/>
        </w:rPr>
      </w:pPr>
      <w:bookmarkStart w:id="9" w:name="_Toc28359004"/>
      <w:bookmarkStart w:id="10" w:name="_Toc28359081"/>
      <w:r>
        <w:rPr>
          <w:rFonts w:hint="eastAsia" w:ascii="宋体" w:hAnsi="宋体" w:cs="宋体"/>
          <w:bCs/>
          <w:kern w:val="0"/>
          <w:sz w:val="24"/>
          <w:szCs w:val="22"/>
        </w:rPr>
        <w:t>1.满足《中华人民共和国政府采购法》第二十二条规定；</w:t>
      </w:r>
    </w:p>
    <w:p>
      <w:pPr>
        <w:spacing w:line="420" w:lineRule="exact"/>
        <w:ind w:firstLine="480" w:firstLineChars="200"/>
        <w:rPr>
          <w:rFonts w:ascii="宋体" w:hAnsi="宋体" w:cs="宋体"/>
          <w:bCs/>
          <w:kern w:val="0"/>
          <w:sz w:val="24"/>
          <w:szCs w:val="22"/>
        </w:rPr>
      </w:pPr>
      <w:r>
        <w:rPr>
          <w:rFonts w:hint="eastAsia" w:ascii="宋体" w:hAnsi="宋体" w:cs="宋体"/>
          <w:bCs/>
          <w:kern w:val="0"/>
          <w:sz w:val="24"/>
          <w:szCs w:val="22"/>
        </w:rPr>
        <w:t>2.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w:t>
      </w:r>
    </w:p>
    <w:p>
      <w:pPr>
        <w:spacing w:line="420" w:lineRule="exact"/>
        <w:ind w:firstLine="480" w:firstLineChars="200"/>
        <w:rPr>
          <w:rFonts w:ascii="宋体" w:hAnsi="宋体" w:cs="宋体"/>
          <w:bCs/>
          <w:kern w:val="0"/>
          <w:sz w:val="24"/>
          <w:szCs w:val="22"/>
        </w:rPr>
      </w:pPr>
      <w:r>
        <w:rPr>
          <w:rFonts w:hint="eastAsia" w:ascii="宋体" w:hAnsi="宋体" w:cs="宋体"/>
          <w:bCs/>
          <w:kern w:val="0"/>
          <w:sz w:val="24"/>
          <w:szCs w:val="22"/>
        </w:rPr>
        <w:t>3.本项目的特定资格要求：</w:t>
      </w:r>
      <w:r>
        <w:rPr>
          <w:rFonts w:hint="eastAsia" w:ascii="宋体" w:hAnsi="宋体" w:cs="宋体"/>
          <w:sz w:val="24"/>
        </w:rPr>
        <w:t xml:space="preserve">无 </w:t>
      </w:r>
    </w:p>
    <w:p>
      <w:pPr>
        <w:spacing w:line="420" w:lineRule="exact"/>
        <w:rPr>
          <w:rFonts w:hint="eastAsia" w:ascii="宋体" w:hAnsi="宋体" w:eastAsia="宋体" w:cs="宋体"/>
          <w:kern w:val="0"/>
          <w:sz w:val="24"/>
          <w:lang w:eastAsia="zh-CN"/>
        </w:rPr>
      </w:pPr>
      <w:bookmarkStart w:id="11" w:name="_Toc35393792"/>
      <w:bookmarkStart w:id="12" w:name="_Toc35393623"/>
      <w:r>
        <w:rPr>
          <w:rFonts w:hint="eastAsia" w:ascii="宋体" w:hAnsi="宋体" w:cs="宋体"/>
          <w:kern w:val="0"/>
          <w:sz w:val="24"/>
        </w:rPr>
        <w:t>三、获取</w:t>
      </w:r>
      <w:bookmarkEnd w:id="9"/>
      <w:bookmarkEnd w:id="10"/>
      <w:bookmarkEnd w:id="11"/>
      <w:bookmarkEnd w:id="12"/>
      <w:r>
        <w:rPr>
          <w:rFonts w:hint="eastAsia" w:ascii="宋体" w:hAnsi="宋体" w:cs="宋体"/>
          <w:kern w:val="0"/>
          <w:sz w:val="24"/>
          <w:lang w:eastAsia="zh-CN"/>
        </w:rPr>
        <w:t>磋商文件</w:t>
      </w:r>
    </w:p>
    <w:p>
      <w:pPr>
        <w:spacing w:line="420" w:lineRule="exact"/>
        <w:ind w:firstLine="480" w:firstLineChars="200"/>
        <w:rPr>
          <w:rFonts w:ascii="宋体" w:hAnsi="宋体" w:cs="宋体"/>
          <w:kern w:val="0"/>
          <w:sz w:val="24"/>
        </w:rPr>
      </w:pPr>
      <w:r>
        <w:rPr>
          <w:rFonts w:hint="eastAsia" w:ascii="宋体" w:hAnsi="宋体" w:cs="宋体"/>
          <w:kern w:val="0"/>
          <w:sz w:val="24"/>
        </w:rPr>
        <w:t>时间：2021年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8</w:t>
      </w:r>
      <w:r>
        <w:rPr>
          <w:rFonts w:hint="eastAsia" w:ascii="宋体" w:hAnsi="宋体" w:cs="宋体"/>
          <w:kern w:val="0"/>
          <w:sz w:val="24"/>
        </w:rPr>
        <w:t>日至2021年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18</w:t>
      </w:r>
      <w:r>
        <w:rPr>
          <w:rFonts w:hint="eastAsia" w:ascii="宋体" w:hAnsi="宋体" w:cs="宋体"/>
          <w:kern w:val="0"/>
          <w:sz w:val="24"/>
        </w:rPr>
        <w:t>日，每天上午10点至13点，下午16点至19点。</w:t>
      </w:r>
    </w:p>
    <w:p>
      <w:pPr>
        <w:spacing w:line="420" w:lineRule="exact"/>
        <w:ind w:firstLine="480" w:firstLineChars="200"/>
        <w:rPr>
          <w:rFonts w:ascii="宋体" w:hAnsi="宋体" w:cs="宋体"/>
          <w:kern w:val="0"/>
          <w:sz w:val="24"/>
        </w:rPr>
      </w:pPr>
      <w:r>
        <w:rPr>
          <w:rFonts w:hint="eastAsia" w:ascii="宋体" w:hAnsi="宋体" w:cs="宋体"/>
          <w:kern w:val="0"/>
          <w:sz w:val="24"/>
        </w:rPr>
        <w:t>地点：新疆政府采购网</w:t>
      </w:r>
    </w:p>
    <w:p>
      <w:pPr>
        <w:spacing w:line="420" w:lineRule="exact"/>
        <w:ind w:firstLine="480" w:firstLineChars="200"/>
        <w:rPr>
          <w:rFonts w:ascii="宋体" w:hAnsi="宋体" w:cs="宋体"/>
          <w:kern w:val="0"/>
          <w:sz w:val="24"/>
        </w:rPr>
      </w:pPr>
      <w:r>
        <w:rPr>
          <w:rFonts w:hint="eastAsia" w:ascii="宋体" w:hAnsi="宋体" w:cs="宋体"/>
          <w:kern w:val="0"/>
          <w:sz w:val="24"/>
        </w:rPr>
        <w:t>方式：线上获取</w:t>
      </w:r>
    </w:p>
    <w:p>
      <w:pPr>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售价：300元/份</w:t>
      </w:r>
    </w:p>
    <w:p>
      <w:pPr>
        <w:spacing w:line="420" w:lineRule="exact"/>
        <w:rPr>
          <w:rStyle w:val="26"/>
          <w:rFonts w:ascii="宋体" w:hAnsi="宋体" w:cs="宋体"/>
          <w:b w:val="0"/>
          <w:bCs/>
          <w:kern w:val="0"/>
          <w:sz w:val="24"/>
          <w:szCs w:val="22"/>
        </w:rPr>
      </w:pPr>
      <w:bookmarkStart w:id="13" w:name="_Toc28359082"/>
      <w:bookmarkStart w:id="14" w:name="_Toc35393793"/>
      <w:bookmarkStart w:id="15" w:name="_Toc35393624"/>
      <w:bookmarkStart w:id="16" w:name="_Toc28359005"/>
      <w:r>
        <w:rPr>
          <w:rStyle w:val="26"/>
          <w:rFonts w:hint="eastAsia" w:ascii="宋体" w:hAnsi="宋体" w:cs="宋体"/>
          <w:b w:val="0"/>
          <w:bCs/>
          <w:kern w:val="0"/>
          <w:sz w:val="24"/>
          <w:szCs w:val="22"/>
        </w:rPr>
        <w:t>四、</w:t>
      </w:r>
      <w:bookmarkEnd w:id="13"/>
      <w:bookmarkEnd w:id="14"/>
      <w:bookmarkEnd w:id="15"/>
      <w:bookmarkEnd w:id="16"/>
      <w:r>
        <w:rPr>
          <w:rStyle w:val="26"/>
          <w:rFonts w:hint="eastAsia" w:ascii="宋体" w:hAnsi="宋体" w:cs="宋体"/>
          <w:b w:val="0"/>
          <w:bCs/>
          <w:kern w:val="0"/>
          <w:sz w:val="24"/>
          <w:szCs w:val="22"/>
        </w:rPr>
        <w:t>响应文件提交</w:t>
      </w:r>
    </w:p>
    <w:p>
      <w:pPr>
        <w:spacing w:line="420" w:lineRule="exact"/>
        <w:ind w:firstLine="480" w:firstLineChars="200"/>
        <w:rPr>
          <w:rStyle w:val="26"/>
          <w:rFonts w:hint="eastAsia" w:ascii="宋体" w:hAnsi="宋体" w:eastAsia="宋体" w:cs="宋体"/>
          <w:b w:val="0"/>
          <w:bCs/>
          <w:kern w:val="0"/>
          <w:sz w:val="24"/>
          <w:szCs w:val="22"/>
          <w:lang w:eastAsia="zh-CN"/>
        </w:rPr>
      </w:pPr>
      <w:bookmarkStart w:id="17" w:name="_Toc28359084"/>
      <w:bookmarkStart w:id="18" w:name="_Toc28359007"/>
      <w:bookmarkStart w:id="19" w:name="_Toc35393794"/>
      <w:bookmarkStart w:id="20" w:name="_Toc35393625"/>
      <w:r>
        <w:rPr>
          <w:rStyle w:val="26"/>
          <w:rFonts w:hint="eastAsia" w:ascii="宋体" w:hAnsi="宋体" w:cs="宋体"/>
          <w:b w:val="0"/>
          <w:bCs/>
          <w:kern w:val="0"/>
          <w:sz w:val="24"/>
          <w:szCs w:val="22"/>
        </w:rPr>
        <w:t>截止时间：2021年</w:t>
      </w:r>
      <w:r>
        <w:rPr>
          <w:rStyle w:val="26"/>
          <w:rFonts w:hint="eastAsia" w:ascii="宋体" w:hAnsi="宋体" w:cs="宋体"/>
          <w:b w:val="0"/>
          <w:bCs/>
          <w:kern w:val="0"/>
          <w:sz w:val="24"/>
          <w:szCs w:val="22"/>
          <w:lang w:val="en-US" w:eastAsia="zh-CN"/>
        </w:rPr>
        <w:t>10</w:t>
      </w:r>
      <w:r>
        <w:rPr>
          <w:rStyle w:val="26"/>
          <w:rFonts w:hint="eastAsia" w:ascii="宋体" w:hAnsi="宋体" w:cs="宋体"/>
          <w:b w:val="0"/>
          <w:bCs/>
          <w:kern w:val="0"/>
          <w:sz w:val="24"/>
          <w:szCs w:val="22"/>
        </w:rPr>
        <w:t>月</w:t>
      </w:r>
      <w:r>
        <w:rPr>
          <w:rStyle w:val="26"/>
          <w:rFonts w:hint="eastAsia" w:ascii="宋体" w:hAnsi="宋体" w:cs="宋体"/>
          <w:b w:val="0"/>
          <w:bCs/>
          <w:kern w:val="0"/>
          <w:sz w:val="24"/>
          <w:szCs w:val="22"/>
          <w:lang w:val="en-US" w:eastAsia="zh-CN"/>
        </w:rPr>
        <w:t>19</w:t>
      </w:r>
      <w:r>
        <w:rPr>
          <w:rStyle w:val="26"/>
          <w:rFonts w:hint="eastAsia" w:ascii="宋体" w:hAnsi="宋体" w:cs="宋体"/>
          <w:b w:val="0"/>
          <w:bCs/>
          <w:kern w:val="0"/>
          <w:sz w:val="24"/>
          <w:szCs w:val="22"/>
        </w:rPr>
        <w:t>日</w:t>
      </w:r>
      <w:r>
        <w:rPr>
          <w:rStyle w:val="26"/>
          <w:rFonts w:hint="eastAsia" w:ascii="宋体" w:hAnsi="宋体" w:cs="宋体"/>
          <w:b w:val="0"/>
          <w:bCs/>
          <w:kern w:val="0"/>
          <w:sz w:val="24"/>
          <w:szCs w:val="22"/>
          <w:lang w:eastAsia="zh-CN"/>
        </w:rPr>
        <w:t>11点00分</w:t>
      </w:r>
    </w:p>
    <w:p>
      <w:pPr>
        <w:spacing w:line="420" w:lineRule="exact"/>
        <w:ind w:firstLine="480" w:firstLineChars="200"/>
        <w:rPr>
          <w:rStyle w:val="26"/>
          <w:rFonts w:ascii="宋体" w:hAnsi="宋体" w:cs="宋体"/>
          <w:b w:val="0"/>
          <w:bCs/>
          <w:kern w:val="0"/>
          <w:sz w:val="24"/>
          <w:szCs w:val="22"/>
        </w:rPr>
      </w:pPr>
      <w:r>
        <w:rPr>
          <w:rStyle w:val="26"/>
          <w:rFonts w:hint="eastAsia" w:ascii="宋体" w:hAnsi="宋体" w:cs="宋体"/>
          <w:b w:val="0"/>
          <w:bCs/>
          <w:kern w:val="0"/>
          <w:sz w:val="24"/>
          <w:szCs w:val="22"/>
        </w:rPr>
        <w:t>地点：克拉玛依市金科工程监理有限责任公司（克拉玛依市石化工业园团结路12号）</w:t>
      </w:r>
    </w:p>
    <w:p>
      <w:pPr>
        <w:spacing w:line="420" w:lineRule="exact"/>
        <w:rPr>
          <w:rStyle w:val="26"/>
          <w:rFonts w:ascii="宋体" w:hAnsi="宋体" w:cs="宋体"/>
          <w:b w:val="0"/>
          <w:bCs/>
          <w:kern w:val="0"/>
          <w:sz w:val="24"/>
          <w:szCs w:val="22"/>
        </w:rPr>
      </w:pPr>
      <w:bookmarkStart w:id="21" w:name="_Toc35393633"/>
      <w:bookmarkStart w:id="22" w:name="_Toc35393802"/>
      <w:bookmarkStart w:id="23" w:name="_Toc28359016"/>
      <w:bookmarkStart w:id="24" w:name="_Toc28359093"/>
      <w:r>
        <w:rPr>
          <w:rStyle w:val="26"/>
          <w:rFonts w:hint="eastAsia" w:ascii="宋体" w:hAnsi="宋体" w:cs="宋体"/>
          <w:b w:val="0"/>
          <w:bCs/>
          <w:kern w:val="0"/>
          <w:sz w:val="24"/>
          <w:szCs w:val="22"/>
        </w:rPr>
        <w:t>五、开启</w:t>
      </w:r>
      <w:bookmarkEnd w:id="21"/>
      <w:bookmarkEnd w:id="22"/>
      <w:bookmarkEnd w:id="23"/>
      <w:bookmarkEnd w:id="24"/>
    </w:p>
    <w:p>
      <w:pPr>
        <w:spacing w:line="420" w:lineRule="exact"/>
        <w:ind w:firstLine="480" w:firstLineChars="200"/>
        <w:rPr>
          <w:rStyle w:val="26"/>
          <w:rFonts w:hint="eastAsia" w:ascii="宋体" w:hAnsi="宋体" w:eastAsia="宋体" w:cs="宋体"/>
          <w:b w:val="0"/>
          <w:bCs/>
          <w:kern w:val="0"/>
          <w:sz w:val="24"/>
          <w:szCs w:val="22"/>
          <w:lang w:eastAsia="zh-CN"/>
        </w:rPr>
      </w:pPr>
      <w:r>
        <w:rPr>
          <w:rStyle w:val="26"/>
          <w:rFonts w:hint="eastAsia" w:ascii="宋体" w:hAnsi="宋体" w:cs="宋体"/>
          <w:b w:val="0"/>
          <w:bCs/>
          <w:kern w:val="0"/>
          <w:sz w:val="24"/>
          <w:szCs w:val="22"/>
        </w:rPr>
        <w:t>时间：2021年</w:t>
      </w:r>
      <w:r>
        <w:rPr>
          <w:rStyle w:val="26"/>
          <w:rFonts w:hint="eastAsia" w:ascii="宋体" w:hAnsi="宋体" w:cs="宋体"/>
          <w:b w:val="0"/>
          <w:bCs/>
          <w:kern w:val="0"/>
          <w:sz w:val="24"/>
          <w:szCs w:val="22"/>
          <w:lang w:val="en-US" w:eastAsia="zh-CN"/>
        </w:rPr>
        <w:t>10</w:t>
      </w:r>
      <w:r>
        <w:rPr>
          <w:rStyle w:val="26"/>
          <w:rFonts w:hint="eastAsia" w:ascii="宋体" w:hAnsi="宋体" w:cs="宋体"/>
          <w:b w:val="0"/>
          <w:bCs/>
          <w:kern w:val="0"/>
          <w:sz w:val="24"/>
          <w:szCs w:val="22"/>
        </w:rPr>
        <w:t>月</w:t>
      </w:r>
      <w:r>
        <w:rPr>
          <w:rStyle w:val="26"/>
          <w:rFonts w:hint="eastAsia" w:ascii="宋体" w:hAnsi="宋体" w:cs="宋体"/>
          <w:b w:val="0"/>
          <w:bCs/>
          <w:kern w:val="0"/>
          <w:sz w:val="24"/>
          <w:szCs w:val="22"/>
          <w:lang w:val="en-US" w:eastAsia="zh-CN"/>
        </w:rPr>
        <w:t>19</w:t>
      </w:r>
      <w:r>
        <w:rPr>
          <w:rStyle w:val="26"/>
          <w:rFonts w:hint="eastAsia" w:ascii="宋体" w:hAnsi="宋体" w:cs="宋体"/>
          <w:b w:val="0"/>
          <w:bCs/>
          <w:kern w:val="0"/>
          <w:sz w:val="24"/>
          <w:szCs w:val="22"/>
        </w:rPr>
        <w:t>日</w:t>
      </w:r>
      <w:r>
        <w:rPr>
          <w:rStyle w:val="26"/>
          <w:rFonts w:hint="eastAsia" w:ascii="宋体" w:hAnsi="宋体" w:cs="宋体"/>
          <w:b w:val="0"/>
          <w:bCs/>
          <w:kern w:val="0"/>
          <w:sz w:val="24"/>
          <w:szCs w:val="22"/>
          <w:lang w:eastAsia="zh-CN"/>
        </w:rPr>
        <w:t>11点00分</w:t>
      </w:r>
    </w:p>
    <w:p>
      <w:pPr>
        <w:spacing w:line="420" w:lineRule="exact"/>
        <w:ind w:firstLine="480" w:firstLineChars="200"/>
        <w:rPr>
          <w:rStyle w:val="26"/>
          <w:rFonts w:ascii="宋体" w:hAnsi="宋体" w:cs="宋体"/>
          <w:b w:val="0"/>
          <w:bCs/>
          <w:kern w:val="0"/>
          <w:sz w:val="24"/>
          <w:szCs w:val="22"/>
        </w:rPr>
      </w:pPr>
      <w:r>
        <w:rPr>
          <w:rStyle w:val="26"/>
          <w:rFonts w:hint="eastAsia" w:ascii="宋体" w:hAnsi="宋体" w:cs="宋体"/>
          <w:b w:val="0"/>
          <w:bCs/>
          <w:kern w:val="0"/>
          <w:sz w:val="24"/>
          <w:szCs w:val="22"/>
        </w:rPr>
        <w:t>地点：克拉玛依市金科工程监理有限责任公司（克拉玛依市石化工业园团结路12号）</w:t>
      </w:r>
    </w:p>
    <w:p>
      <w:pPr>
        <w:spacing w:line="420" w:lineRule="exact"/>
        <w:rPr>
          <w:rStyle w:val="26"/>
          <w:rFonts w:ascii="宋体" w:hAnsi="宋体" w:cs="宋体"/>
          <w:b w:val="0"/>
          <w:bCs/>
          <w:kern w:val="0"/>
          <w:sz w:val="24"/>
          <w:szCs w:val="22"/>
        </w:rPr>
      </w:pPr>
      <w:r>
        <w:rPr>
          <w:rStyle w:val="26"/>
          <w:rFonts w:hint="eastAsia" w:ascii="宋体" w:hAnsi="宋体" w:cs="宋体"/>
          <w:b w:val="0"/>
          <w:bCs/>
          <w:kern w:val="0"/>
          <w:sz w:val="24"/>
          <w:szCs w:val="22"/>
        </w:rPr>
        <w:t>六、公告期限</w:t>
      </w:r>
      <w:bookmarkEnd w:id="17"/>
      <w:bookmarkEnd w:id="18"/>
      <w:bookmarkEnd w:id="19"/>
      <w:bookmarkEnd w:id="20"/>
    </w:p>
    <w:p>
      <w:pPr>
        <w:spacing w:line="420" w:lineRule="exact"/>
        <w:ind w:firstLine="480" w:firstLineChars="200"/>
        <w:rPr>
          <w:rStyle w:val="26"/>
          <w:rFonts w:ascii="宋体" w:hAnsi="宋体" w:cs="宋体"/>
          <w:b w:val="0"/>
          <w:bCs/>
          <w:kern w:val="0"/>
          <w:sz w:val="24"/>
          <w:szCs w:val="22"/>
        </w:rPr>
      </w:pPr>
      <w:r>
        <w:rPr>
          <w:rStyle w:val="26"/>
          <w:rFonts w:hint="eastAsia" w:ascii="宋体" w:hAnsi="宋体" w:cs="宋体"/>
          <w:b w:val="0"/>
          <w:bCs/>
          <w:kern w:val="0"/>
          <w:sz w:val="24"/>
          <w:szCs w:val="22"/>
        </w:rPr>
        <w:t>自本公告发布之日起</w:t>
      </w:r>
      <w:r>
        <w:rPr>
          <w:rStyle w:val="26"/>
          <w:rFonts w:hint="eastAsia" w:ascii="宋体" w:hAnsi="宋体" w:cs="宋体"/>
          <w:b w:val="0"/>
          <w:bCs/>
          <w:kern w:val="0"/>
          <w:sz w:val="24"/>
          <w:szCs w:val="22"/>
          <w:lang w:val="en-US" w:eastAsia="zh-CN"/>
        </w:rPr>
        <w:t>5</w:t>
      </w:r>
      <w:r>
        <w:rPr>
          <w:rStyle w:val="26"/>
          <w:rFonts w:hint="eastAsia" w:ascii="宋体" w:hAnsi="宋体" w:cs="宋体"/>
          <w:b w:val="0"/>
          <w:bCs/>
          <w:kern w:val="0"/>
          <w:sz w:val="24"/>
          <w:szCs w:val="22"/>
        </w:rPr>
        <w:t>个工作日。</w:t>
      </w:r>
    </w:p>
    <w:p>
      <w:pPr>
        <w:spacing w:line="420" w:lineRule="exact"/>
        <w:rPr>
          <w:rFonts w:ascii="宋体" w:hAnsi="宋体" w:cs="宋体"/>
          <w:kern w:val="0"/>
          <w:sz w:val="24"/>
        </w:rPr>
      </w:pPr>
      <w:bookmarkStart w:id="25" w:name="_Toc35393795"/>
      <w:bookmarkStart w:id="26" w:name="_Toc35393626"/>
      <w:r>
        <w:rPr>
          <w:rFonts w:hint="eastAsia" w:ascii="宋体" w:hAnsi="宋体" w:cs="宋体"/>
          <w:kern w:val="0"/>
          <w:sz w:val="24"/>
        </w:rPr>
        <w:t>七、其他补充事宜</w:t>
      </w:r>
      <w:bookmarkEnd w:id="25"/>
      <w:bookmarkEnd w:id="26"/>
    </w:p>
    <w:p>
      <w:pPr>
        <w:pStyle w:val="19"/>
        <w:spacing w:before="75" w:beforeAutospacing="0" w:after="75" w:afterAutospacing="0" w:line="420" w:lineRule="exact"/>
        <w:ind w:firstLine="480" w:firstLineChars="200"/>
        <w:rPr>
          <w:rFonts w:cs="宋体"/>
          <w:color w:val="auto"/>
          <w:sz w:val="24"/>
          <w:szCs w:val="24"/>
        </w:rPr>
      </w:pPr>
      <w:bookmarkStart w:id="27" w:name="_Toc28359008"/>
      <w:bookmarkStart w:id="28" w:name="_Toc35393627"/>
      <w:bookmarkStart w:id="29" w:name="_Toc35393796"/>
      <w:bookmarkStart w:id="30" w:name="_Toc28359085"/>
      <w:r>
        <w:rPr>
          <w:rFonts w:hint="eastAsia" w:cs="宋体"/>
          <w:color w:val="auto"/>
          <w:sz w:val="24"/>
          <w:szCs w:val="24"/>
        </w:rPr>
        <w:t>1、报名：</w:t>
      </w:r>
      <w:r>
        <w:rPr>
          <w:rStyle w:val="26"/>
          <w:rFonts w:hint="eastAsia" w:cs="宋体"/>
          <w:b w:val="0"/>
          <w:color w:val="auto"/>
          <w:sz w:val="24"/>
        </w:rPr>
        <w:t>填写《供应商参加政府采购项目</w:t>
      </w:r>
      <w:r>
        <w:rPr>
          <w:rStyle w:val="26"/>
          <w:rFonts w:hint="eastAsia" w:cs="宋体"/>
          <w:b w:val="0"/>
          <w:color w:val="auto"/>
          <w:sz w:val="24"/>
          <w:lang w:eastAsia="zh-CN"/>
        </w:rPr>
        <w:t>申请</w:t>
      </w:r>
      <w:r>
        <w:rPr>
          <w:rStyle w:val="26"/>
          <w:rFonts w:hint="eastAsia" w:cs="宋体"/>
          <w:b w:val="0"/>
          <w:color w:val="auto"/>
          <w:sz w:val="24"/>
        </w:rPr>
        <w:t>表》、《诚信承诺书》，将《供应商参加政府采购项目</w:t>
      </w:r>
      <w:r>
        <w:rPr>
          <w:rStyle w:val="26"/>
          <w:rFonts w:hint="eastAsia" w:cs="宋体"/>
          <w:b w:val="0"/>
          <w:color w:val="auto"/>
          <w:sz w:val="24"/>
          <w:lang w:eastAsia="zh-CN"/>
        </w:rPr>
        <w:t>申请</w:t>
      </w:r>
      <w:r>
        <w:rPr>
          <w:rStyle w:val="26"/>
          <w:rFonts w:hint="eastAsia" w:cs="宋体"/>
          <w:b w:val="0"/>
          <w:color w:val="auto"/>
          <w:sz w:val="24"/>
        </w:rPr>
        <w:t>表》、《诚信承诺书》及文件费交纳凭证扫描件一同发送到邮箱：</w:t>
      </w:r>
      <w:r>
        <w:rPr>
          <w:rStyle w:val="26"/>
          <w:rFonts w:hint="eastAsia" w:cs="宋体"/>
          <w:b w:val="0"/>
          <w:color w:val="auto"/>
          <w:sz w:val="24"/>
          <w:lang w:val="en-US" w:eastAsia="zh-CN"/>
        </w:rPr>
        <w:t>1225783619</w:t>
      </w:r>
      <w:r>
        <w:rPr>
          <w:rStyle w:val="26"/>
          <w:rFonts w:hint="eastAsia" w:cs="宋体"/>
          <w:b w:val="0"/>
          <w:color w:val="auto"/>
          <w:sz w:val="24"/>
        </w:rPr>
        <w:t>@qq.com，邮件名称必须为：项目名称+编号+供应商，未提交报名表及文件费交纳凭证的供应商不得参加投标。(报名表必须填写完整并加盖公章；不接受现场报名)。</w:t>
      </w:r>
    </w:p>
    <w:p>
      <w:pPr>
        <w:pStyle w:val="19"/>
        <w:spacing w:before="75" w:beforeAutospacing="0" w:after="75" w:afterAutospacing="0" w:line="420" w:lineRule="exact"/>
        <w:rPr>
          <w:rFonts w:cs="宋体"/>
          <w:color w:val="auto"/>
          <w:sz w:val="24"/>
          <w:szCs w:val="24"/>
        </w:rPr>
      </w:pPr>
      <w:r>
        <w:rPr>
          <w:rFonts w:hint="eastAsia" w:cs="宋体"/>
          <w:color w:val="auto"/>
          <w:sz w:val="24"/>
          <w:szCs w:val="24"/>
        </w:rPr>
        <w:t xml:space="preserve">   2、其他：参加现场交易活动的所有人员须自行全程佩戴口罩，配合进行体温检测和身份登记，符合疫情防控要求方可参加现场交易活动。</w:t>
      </w:r>
    </w:p>
    <w:p>
      <w:pPr>
        <w:spacing w:line="420" w:lineRule="exact"/>
        <w:rPr>
          <w:rFonts w:ascii="宋体" w:hAnsi="宋体" w:cs="宋体"/>
          <w:kern w:val="0"/>
          <w:sz w:val="24"/>
        </w:rPr>
      </w:pPr>
      <w:r>
        <w:rPr>
          <w:rFonts w:hint="eastAsia" w:ascii="宋体" w:hAnsi="宋体" w:cs="宋体"/>
          <w:kern w:val="0"/>
          <w:sz w:val="24"/>
        </w:rPr>
        <w:t>八、凡对本次采购提出询问，请按以下方式联系。</w:t>
      </w:r>
      <w:bookmarkEnd w:id="27"/>
      <w:bookmarkEnd w:id="28"/>
      <w:bookmarkEnd w:id="29"/>
      <w:bookmarkEnd w:id="30"/>
    </w:p>
    <w:p>
      <w:pPr>
        <w:spacing w:line="420" w:lineRule="exact"/>
        <w:ind w:firstLine="480" w:firstLineChars="200"/>
        <w:rPr>
          <w:rFonts w:ascii="宋体" w:hAnsi="宋体" w:cs="宋体"/>
          <w:kern w:val="0"/>
          <w:sz w:val="24"/>
        </w:rPr>
      </w:pPr>
      <w:r>
        <w:rPr>
          <w:rFonts w:hint="eastAsia" w:ascii="宋体" w:hAnsi="宋体" w:cs="宋体"/>
          <w:kern w:val="0"/>
          <w:sz w:val="24"/>
        </w:rPr>
        <w:t>1.采购人信息</w:t>
      </w:r>
    </w:p>
    <w:p>
      <w:pPr>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名   称：</w:t>
      </w:r>
      <w:r>
        <w:rPr>
          <w:rFonts w:hint="eastAsia"/>
          <w:sz w:val="24"/>
          <w:u w:val="none"/>
          <w:lang w:eastAsia="zh-CN"/>
        </w:rPr>
        <w:t>克拉玛依市克拉玛依区人民政府昆仑路街道办事处</w:t>
      </w:r>
    </w:p>
    <w:p>
      <w:pPr>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地   址：</w:t>
      </w:r>
      <w:r>
        <w:rPr>
          <w:rFonts w:hint="eastAsia" w:ascii="宋体" w:hAnsi="宋体" w:cs="宋体"/>
          <w:kern w:val="0"/>
          <w:sz w:val="24"/>
          <w:lang w:eastAsia="zh-CN"/>
        </w:rPr>
        <w:t>克拉玛依市克拉玛依区红枫路58号</w:t>
      </w:r>
    </w:p>
    <w:p>
      <w:pPr>
        <w:spacing w:line="420" w:lineRule="exact"/>
        <w:ind w:firstLine="480" w:firstLineChars="200"/>
        <w:rPr>
          <w:rFonts w:ascii="宋体" w:hAnsi="宋体" w:cs="宋体"/>
          <w:kern w:val="0"/>
          <w:sz w:val="24"/>
        </w:rPr>
      </w:pPr>
      <w:bookmarkStart w:id="31" w:name="_Toc28359009"/>
      <w:bookmarkStart w:id="32" w:name="_Toc28359086"/>
      <w:r>
        <w:rPr>
          <w:rFonts w:hint="eastAsia" w:ascii="宋体" w:hAnsi="宋体" w:cs="宋体"/>
          <w:kern w:val="0"/>
          <w:sz w:val="24"/>
        </w:rPr>
        <w:t>2.采购代理机构信息</w:t>
      </w:r>
      <w:bookmarkEnd w:id="31"/>
      <w:bookmarkEnd w:id="32"/>
    </w:p>
    <w:p>
      <w:pPr>
        <w:spacing w:line="420" w:lineRule="exact"/>
        <w:ind w:firstLine="480" w:firstLineChars="200"/>
        <w:rPr>
          <w:rFonts w:ascii="宋体" w:hAnsi="宋体" w:cs="宋体"/>
          <w:kern w:val="0"/>
          <w:sz w:val="24"/>
        </w:rPr>
      </w:pPr>
      <w:r>
        <w:rPr>
          <w:rFonts w:hint="eastAsia" w:ascii="宋体" w:hAnsi="宋体" w:cs="宋体"/>
          <w:kern w:val="0"/>
          <w:sz w:val="24"/>
        </w:rPr>
        <w:t>名   称：</w:t>
      </w:r>
      <w:r>
        <w:rPr>
          <w:rFonts w:hint="eastAsia" w:ascii="宋体" w:hAnsi="宋体" w:cs="宋体"/>
          <w:kern w:val="0"/>
          <w:sz w:val="24"/>
          <w:u w:val="none"/>
        </w:rPr>
        <w:t>克拉玛依市金科工程监理有限责任公司</w:t>
      </w:r>
    </w:p>
    <w:p>
      <w:pPr>
        <w:spacing w:line="420" w:lineRule="exact"/>
        <w:ind w:firstLine="480" w:firstLineChars="200"/>
        <w:rPr>
          <w:rFonts w:ascii="宋体" w:hAnsi="宋体" w:cs="宋体"/>
          <w:kern w:val="0"/>
          <w:sz w:val="24"/>
        </w:rPr>
      </w:pPr>
      <w:r>
        <w:rPr>
          <w:rFonts w:hint="eastAsia" w:ascii="宋体" w:hAnsi="宋体" w:cs="宋体"/>
          <w:kern w:val="0"/>
          <w:sz w:val="24"/>
        </w:rPr>
        <w:t>地　 址：</w:t>
      </w:r>
      <w:r>
        <w:rPr>
          <w:rFonts w:hint="eastAsia" w:ascii="宋体" w:hAnsi="宋体" w:cs="宋体"/>
          <w:kern w:val="0"/>
          <w:sz w:val="24"/>
          <w:u w:val="none"/>
        </w:rPr>
        <w:t>克拉玛依市石化工业园团结路12号</w:t>
      </w:r>
    </w:p>
    <w:p>
      <w:pPr>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联系方式：</w:t>
      </w:r>
      <w:bookmarkStart w:id="33" w:name="_Toc28359010"/>
      <w:bookmarkStart w:id="34" w:name="_Toc28359087"/>
      <w:r>
        <w:rPr>
          <w:rFonts w:hint="eastAsia" w:ascii="宋体" w:hAnsi="宋体" w:cs="宋体"/>
          <w:kern w:val="0"/>
          <w:sz w:val="24"/>
        </w:rPr>
        <w:t>13999508739</w:t>
      </w:r>
      <w:r>
        <w:rPr>
          <w:rFonts w:hint="eastAsia" w:ascii="宋体" w:hAnsi="宋体" w:cs="宋体"/>
          <w:kern w:val="0"/>
          <w:sz w:val="24"/>
          <w:lang w:eastAsia="zh-CN"/>
        </w:rPr>
        <w:t>（座机）</w:t>
      </w:r>
    </w:p>
    <w:p>
      <w:pPr>
        <w:spacing w:line="420" w:lineRule="exact"/>
        <w:ind w:firstLine="480" w:firstLineChars="200"/>
        <w:rPr>
          <w:rFonts w:ascii="宋体" w:hAnsi="宋体" w:cs="宋体"/>
          <w:kern w:val="0"/>
          <w:sz w:val="24"/>
        </w:rPr>
      </w:pPr>
      <w:r>
        <w:rPr>
          <w:rFonts w:hint="eastAsia" w:ascii="宋体" w:hAnsi="宋体" w:cs="宋体"/>
          <w:kern w:val="0"/>
          <w:sz w:val="24"/>
        </w:rPr>
        <w:t>3.项目联系方式</w:t>
      </w:r>
      <w:bookmarkEnd w:id="33"/>
      <w:bookmarkEnd w:id="34"/>
    </w:p>
    <w:p>
      <w:pPr>
        <w:spacing w:line="420" w:lineRule="exact"/>
        <w:ind w:firstLine="480" w:firstLineChars="200"/>
        <w:rPr>
          <w:rFonts w:ascii="宋体" w:hAnsi="宋体" w:cs="宋体"/>
          <w:kern w:val="0"/>
          <w:sz w:val="24"/>
        </w:rPr>
      </w:pPr>
      <w:r>
        <w:rPr>
          <w:rFonts w:hint="eastAsia" w:ascii="宋体" w:hAnsi="宋体" w:cs="宋体"/>
          <w:kern w:val="0"/>
          <w:sz w:val="24"/>
        </w:rPr>
        <w:t>项目联系人：</w:t>
      </w:r>
      <w:r>
        <w:rPr>
          <w:rFonts w:hint="eastAsia" w:ascii="宋体" w:hAnsi="宋体" w:cs="宋体"/>
          <w:kern w:val="0"/>
          <w:sz w:val="24"/>
          <w:lang w:eastAsia="zh-CN"/>
        </w:rPr>
        <w:t>赵容萱</w:t>
      </w:r>
      <w:r>
        <w:rPr>
          <w:rFonts w:hint="eastAsia" w:ascii="宋体" w:hAnsi="宋体" w:cs="宋体"/>
          <w:kern w:val="0"/>
          <w:sz w:val="24"/>
        </w:rPr>
        <w:t xml:space="preserve"> </w:t>
      </w:r>
    </w:p>
    <w:p>
      <w:pPr>
        <w:spacing w:line="42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rPr>
        <w:t>电　 话：</w:t>
      </w:r>
      <w:r>
        <w:rPr>
          <w:rFonts w:hint="eastAsia" w:ascii="宋体" w:hAnsi="宋体" w:cs="宋体"/>
          <w:kern w:val="0"/>
          <w:sz w:val="24"/>
          <w:lang w:val="en-US" w:eastAsia="zh-CN"/>
        </w:rPr>
        <w:t>15809905032</w:t>
      </w:r>
    </w:p>
    <w:p>
      <w:pPr>
        <w:spacing w:line="420" w:lineRule="exact"/>
        <w:ind w:firstLine="480" w:firstLineChars="200"/>
        <w:rPr>
          <w:rFonts w:ascii="宋体" w:hAnsi="宋体" w:cs="宋体"/>
          <w:b/>
          <w:bCs/>
          <w:sz w:val="30"/>
          <w:szCs w:val="30"/>
        </w:rPr>
      </w:pPr>
      <w:r>
        <w:rPr>
          <w:rFonts w:hint="eastAsia" w:ascii="宋体" w:hAnsi="宋体" w:cs="宋体"/>
          <w:kern w:val="0"/>
          <w:sz w:val="24"/>
        </w:rPr>
        <w:t xml:space="preserve"> </w:t>
      </w:r>
      <w:bookmarkStart w:id="35" w:name="_Toc17277_WPSOffice_Level1"/>
    </w:p>
    <w:p>
      <w:pPr>
        <w:jc w:val="center"/>
        <w:rPr>
          <w:rFonts w:ascii="宋体" w:hAnsi="宋体" w:cs="宋体"/>
          <w:b/>
          <w:bCs/>
          <w:sz w:val="30"/>
          <w:szCs w:val="30"/>
        </w:rPr>
      </w:pPr>
    </w:p>
    <w:p>
      <w:pPr>
        <w:pStyle w:val="21"/>
      </w:pPr>
    </w:p>
    <w:p>
      <w:pPr>
        <w:jc w:val="center"/>
        <w:rPr>
          <w:rFonts w:ascii="宋体" w:hAnsi="宋体" w:cs="宋体"/>
          <w:b/>
          <w:bCs/>
          <w:sz w:val="30"/>
          <w:szCs w:val="30"/>
        </w:rPr>
      </w:pPr>
    </w:p>
    <w:p>
      <w:pPr>
        <w:rPr>
          <w:rFonts w:ascii="宋体" w:hAnsi="宋体" w:cs="宋体"/>
          <w:b/>
          <w:bCs/>
          <w:sz w:val="30"/>
          <w:szCs w:val="30"/>
        </w:rPr>
      </w:pPr>
    </w:p>
    <w:p>
      <w:pPr>
        <w:spacing w:line="400" w:lineRule="exact"/>
        <w:jc w:val="center"/>
        <w:rPr>
          <w:rFonts w:ascii="宋体" w:hAnsi="宋体" w:cs="宋体"/>
          <w:b/>
          <w:bCs/>
          <w:sz w:val="30"/>
          <w:szCs w:val="30"/>
        </w:rPr>
      </w:pPr>
      <w:r>
        <w:rPr>
          <w:rFonts w:hint="eastAsia" w:ascii="宋体" w:hAnsi="宋体" w:cs="宋体"/>
          <w:b/>
          <w:bCs/>
          <w:sz w:val="30"/>
          <w:szCs w:val="30"/>
        </w:rPr>
        <w:t>第二章 供应商须知</w:t>
      </w:r>
      <w:bookmarkEnd w:id="35"/>
    </w:p>
    <w:p>
      <w:pPr>
        <w:spacing w:line="400" w:lineRule="exact"/>
        <w:jc w:val="center"/>
        <w:rPr>
          <w:rFonts w:ascii="宋体" w:hAnsi="宋体" w:cs="宋体"/>
          <w:b/>
          <w:sz w:val="28"/>
          <w:szCs w:val="28"/>
        </w:rPr>
      </w:pPr>
      <w:bookmarkStart w:id="36" w:name="_Toc19876_WPSOffice_Level1"/>
      <w:r>
        <w:rPr>
          <w:rFonts w:hint="eastAsia" w:ascii="宋体" w:hAnsi="宋体" w:cs="宋体"/>
          <w:b/>
          <w:sz w:val="28"/>
          <w:szCs w:val="28"/>
        </w:rPr>
        <w:t>前附表</w:t>
      </w:r>
      <w:bookmarkEnd w:id="36"/>
    </w:p>
    <w:tbl>
      <w:tblPr>
        <w:tblStyle w:val="2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项号</w:t>
            </w:r>
          </w:p>
        </w:tc>
        <w:tc>
          <w:tcPr>
            <w:tcW w:w="8237"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237" w:type="dxa"/>
            <w:vAlign w:val="center"/>
          </w:tcPr>
          <w:p>
            <w:pPr>
              <w:pStyle w:val="9"/>
              <w:spacing w:line="320" w:lineRule="exact"/>
              <w:rPr>
                <w:rFonts w:hint="eastAsia" w:asciiTheme="majorEastAsia" w:hAnsiTheme="majorEastAsia" w:eastAsiaTheme="minorEastAsia" w:cstheme="majorEastAsia"/>
                <w:bCs/>
                <w:w w:val="95"/>
                <w:sz w:val="28"/>
                <w:szCs w:val="28"/>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克拉玛依市克拉玛依区人民政府昆仑路街道派出所服装采购项目</w:t>
            </w:r>
          </w:p>
          <w:p>
            <w:pPr>
              <w:pStyle w:val="9"/>
              <w:spacing w:line="32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磋商文件编号：</w:t>
            </w:r>
            <w:r>
              <w:rPr>
                <w:rFonts w:hint="eastAsia" w:asciiTheme="minorEastAsia" w:hAnsiTheme="minorEastAsia" w:eastAsiaTheme="minorEastAsia" w:cstheme="minorEastAsia"/>
                <w:sz w:val="24"/>
                <w:szCs w:val="24"/>
                <w:lang w:eastAsia="zh-CN"/>
              </w:rPr>
              <w:t>JKJL[ZC]2021-59</w:t>
            </w: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237" w:type="dxa"/>
            <w:vAlign w:val="center"/>
          </w:tcPr>
          <w:p>
            <w:pPr>
              <w:pStyle w:val="9"/>
              <w:spacing w:line="320" w:lineRule="exact"/>
              <w:rPr>
                <w:rFonts w:hint="eastAsia" w:hAnsi="宋体" w:eastAsia="宋体" w:cs="宋体"/>
                <w:bCs/>
                <w:sz w:val="24"/>
                <w:szCs w:val="24"/>
                <w:lang w:eastAsia="zh-CN"/>
              </w:rPr>
            </w:pPr>
            <w:r>
              <w:rPr>
                <w:rFonts w:hint="eastAsia" w:hAnsi="宋体" w:cs="宋体"/>
                <w:bCs/>
                <w:sz w:val="24"/>
                <w:szCs w:val="24"/>
              </w:rPr>
              <w:t>采购人：</w:t>
            </w:r>
            <w:r>
              <w:rPr>
                <w:rFonts w:hint="eastAsia" w:hAnsi="宋体" w:cs="宋体"/>
                <w:bCs/>
                <w:sz w:val="24"/>
                <w:szCs w:val="24"/>
                <w:lang w:eastAsia="zh-CN"/>
              </w:rPr>
              <w:t>克拉玛依市克拉玛依区人民政府昆仑路街道办事处</w:t>
            </w:r>
          </w:p>
          <w:p>
            <w:pPr>
              <w:pStyle w:val="9"/>
              <w:spacing w:line="320" w:lineRule="exact"/>
              <w:rPr>
                <w:rFonts w:hint="eastAsia" w:eastAsia="宋体" w:asciiTheme="minorEastAsia" w:hAnsiTheme="minorEastAsia" w:cstheme="minorEastAsia"/>
                <w:sz w:val="24"/>
                <w:lang w:eastAsia="zh-CN"/>
              </w:rPr>
            </w:pPr>
            <w:r>
              <w:rPr>
                <w:rFonts w:hint="eastAsia" w:hAnsi="宋体" w:cs="宋体"/>
                <w:bCs/>
                <w:sz w:val="24"/>
                <w:szCs w:val="24"/>
              </w:rPr>
              <w:t>地  址：</w:t>
            </w:r>
            <w:r>
              <w:rPr>
                <w:rFonts w:hint="eastAsia" w:hAnsi="宋体" w:cs="宋体"/>
                <w:bCs/>
                <w:sz w:val="24"/>
                <w:szCs w:val="24"/>
                <w:lang w:eastAsia="zh-CN"/>
              </w:rPr>
              <w:t>克拉玛依市克拉玛依区红枫路58号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237" w:type="dxa"/>
            <w:vAlign w:val="center"/>
          </w:tcPr>
          <w:p>
            <w:pPr>
              <w:pStyle w:val="9"/>
              <w:spacing w:line="320" w:lineRule="exact"/>
              <w:rPr>
                <w:rFonts w:hAnsi="宋体" w:cs="宋体"/>
                <w:bCs/>
                <w:sz w:val="24"/>
                <w:szCs w:val="24"/>
              </w:rPr>
            </w:pPr>
            <w:r>
              <w:rPr>
                <w:rFonts w:hint="eastAsia" w:hAnsi="宋体" w:cs="宋体"/>
                <w:bCs/>
                <w:sz w:val="24"/>
                <w:szCs w:val="24"/>
              </w:rPr>
              <w:t>采购代理机构：</w:t>
            </w:r>
            <w:r>
              <w:rPr>
                <w:rFonts w:hint="eastAsia" w:hAnsi="宋体" w:cs="宋体"/>
                <w:bCs/>
                <w:sz w:val="24"/>
                <w:szCs w:val="24"/>
                <w:lang w:val="zh-CN"/>
              </w:rPr>
              <w:t>克拉玛依市金科工程监理有限责任公司</w:t>
            </w:r>
          </w:p>
          <w:p>
            <w:pPr>
              <w:pStyle w:val="9"/>
              <w:spacing w:line="320" w:lineRule="exact"/>
              <w:rPr>
                <w:rFonts w:hAnsi="宋体" w:cs="宋体"/>
                <w:bCs/>
                <w:sz w:val="24"/>
                <w:szCs w:val="24"/>
              </w:rPr>
            </w:pPr>
            <w:r>
              <w:rPr>
                <w:rFonts w:hint="eastAsia" w:hAnsi="宋体" w:cs="宋体"/>
                <w:bCs/>
                <w:sz w:val="24"/>
                <w:szCs w:val="24"/>
              </w:rPr>
              <w:t xml:space="preserve">地址：克拉玛依市石化工业园团结路12号    </w:t>
            </w:r>
          </w:p>
          <w:p>
            <w:pPr>
              <w:pStyle w:val="9"/>
              <w:spacing w:line="320" w:lineRule="exact"/>
              <w:rPr>
                <w:rFonts w:hint="default" w:hAnsi="宋体" w:eastAsia="宋体" w:cs="宋体"/>
                <w:bCs/>
                <w:sz w:val="24"/>
                <w:szCs w:val="24"/>
                <w:lang w:val="en-US" w:eastAsia="zh-CN"/>
              </w:rPr>
            </w:pPr>
            <w:r>
              <w:rPr>
                <w:rFonts w:hint="eastAsia" w:hAnsi="宋体" w:cs="宋体"/>
                <w:bCs/>
                <w:sz w:val="24"/>
                <w:szCs w:val="24"/>
              </w:rPr>
              <w:t>联系人：</w:t>
            </w:r>
            <w:r>
              <w:rPr>
                <w:rFonts w:hint="eastAsia" w:hAnsi="宋体" w:cs="宋体"/>
                <w:bCs/>
                <w:kern w:val="0"/>
                <w:sz w:val="24"/>
                <w:szCs w:val="24"/>
                <w:lang w:eastAsia="zh-CN"/>
              </w:rPr>
              <w:t>赵容萱</w:t>
            </w:r>
            <w:r>
              <w:rPr>
                <w:rFonts w:hint="eastAsia" w:hAnsi="宋体" w:cs="宋体"/>
                <w:bCs/>
                <w:sz w:val="24"/>
                <w:szCs w:val="24"/>
              </w:rPr>
              <w:t xml:space="preserve">                       联系电话：</w:t>
            </w:r>
            <w:r>
              <w:rPr>
                <w:rFonts w:hint="eastAsia" w:hAnsi="宋体" w:cs="宋体"/>
                <w:bCs/>
                <w:sz w:val="24"/>
                <w:szCs w:val="24"/>
                <w:lang w:val="en-US" w:eastAsia="zh-CN"/>
              </w:rPr>
              <w:t>15809905032</w:t>
            </w:r>
          </w:p>
          <w:p>
            <w:pPr>
              <w:pStyle w:val="9"/>
              <w:spacing w:line="320" w:lineRule="exact"/>
              <w:rPr>
                <w:rFonts w:hAnsi="宋体" w:cs="宋体"/>
                <w:bCs/>
                <w:sz w:val="24"/>
                <w:szCs w:val="24"/>
              </w:rPr>
            </w:pPr>
            <w:r>
              <w:rPr>
                <w:rFonts w:hint="eastAsia" w:hAnsi="宋体" w:cs="宋体"/>
                <w:bCs/>
                <w:sz w:val="24"/>
                <w:szCs w:val="24"/>
              </w:rPr>
              <w:t>开户行：中国工商银行股份有限公司克拉玛依石化支行</w:t>
            </w:r>
          </w:p>
          <w:p>
            <w:pPr>
              <w:pStyle w:val="19"/>
              <w:spacing w:before="75" w:beforeAutospacing="0" w:after="75" w:afterAutospacing="0" w:line="320" w:lineRule="exact"/>
              <w:rPr>
                <w:rFonts w:asciiTheme="minorEastAsia" w:hAnsiTheme="minorEastAsia" w:eastAsiaTheme="minorEastAsia" w:cstheme="minorEastAsia"/>
                <w:bCs/>
                <w:color w:val="auto"/>
                <w:sz w:val="24"/>
                <w:szCs w:val="24"/>
              </w:rPr>
            </w:pPr>
            <w:r>
              <w:rPr>
                <w:rFonts w:hint="eastAsia" w:cs="宋体"/>
                <w:bCs/>
                <w:color w:val="auto"/>
                <w:sz w:val="24"/>
                <w:szCs w:val="24"/>
              </w:rPr>
              <w:t>银行账号：3003021509024510885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237" w:type="dxa"/>
            <w:vAlign w:val="center"/>
          </w:tcPr>
          <w:p>
            <w:pPr>
              <w:pStyle w:val="19"/>
              <w:spacing w:before="75" w:beforeAutospacing="0" w:after="75" w:afterAutospacing="0" w:line="320" w:lineRule="exact"/>
              <w:rPr>
                <w:rFonts w:asciiTheme="minorEastAsia" w:hAnsiTheme="minorEastAsia" w:eastAsiaTheme="minorEastAsia" w:cstheme="minorEastAsia"/>
                <w:color w:val="auto"/>
                <w:sz w:val="24"/>
                <w:szCs w:val="24"/>
              </w:rPr>
            </w:pPr>
            <w:r>
              <w:rPr>
                <w:rStyle w:val="26"/>
                <w:rFonts w:hint="eastAsia" w:cs="宋体"/>
                <w:b w:val="0"/>
                <w:bCs/>
                <w:color w:val="auto"/>
                <w:sz w:val="24"/>
                <w:szCs w:val="24"/>
              </w:rPr>
              <w:t>响应文件有效期：递交响应文件截止之日起90天（日历日）。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237" w:type="dxa"/>
            <w:vAlign w:val="center"/>
          </w:tcPr>
          <w:p>
            <w:pPr>
              <w:pStyle w:val="19"/>
              <w:spacing w:before="75" w:beforeAutospacing="0" w:after="75" w:afterAutospacing="0" w:line="320" w:lineRule="exact"/>
              <w:rPr>
                <w:rFonts w:asciiTheme="minorEastAsia" w:hAnsiTheme="minorEastAsia" w:eastAsiaTheme="minorEastAsia" w:cstheme="minorEastAsia"/>
                <w:color w:val="auto"/>
                <w:sz w:val="24"/>
                <w:szCs w:val="24"/>
              </w:rPr>
            </w:pPr>
            <w:r>
              <w:rPr>
                <w:rStyle w:val="26"/>
                <w:rFonts w:hint="eastAsia" w:cs="宋体"/>
                <w:b w:val="0"/>
                <w:bCs/>
                <w:color w:val="auto"/>
                <w:sz w:val="24"/>
                <w:szCs w:val="24"/>
              </w:rPr>
              <w:t>响应文件的份数：</w:t>
            </w:r>
            <w:r>
              <w:rPr>
                <w:rFonts w:hint="eastAsia" w:cs="宋体"/>
                <w:b/>
                <w:color w:val="auto"/>
                <w:sz w:val="24"/>
                <w:szCs w:val="24"/>
              </w:rPr>
              <w:t>一式</w:t>
            </w:r>
            <w:r>
              <w:rPr>
                <w:rFonts w:hint="eastAsia" w:cs="宋体"/>
                <w:b/>
                <w:color w:val="auto"/>
                <w:sz w:val="24"/>
                <w:szCs w:val="24"/>
                <w:u w:val="single"/>
              </w:rPr>
              <w:t>肆</w:t>
            </w:r>
            <w:r>
              <w:rPr>
                <w:rFonts w:hint="eastAsia" w:cs="宋体"/>
                <w:b/>
                <w:color w:val="auto"/>
                <w:sz w:val="24"/>
                <w:szCs w:val="24"/>
              </w:rPr>
              <w:t>份，其中正本</w:t>
            </w:r>
            <w:r>
              <w:rPr>
                <w:rFonts w:hint="eastAsia" w:cs="宋体"/>
                <w:b/>
                <w:color w:val="auto"/>
                <w:sz w:val="24"/>
                <w:szCs w:val="24"/>
                <w:u w:val="single"/>
              </w:rPr>
              <w:t>壹</w:t>
            </w:r>
            <w:r>
              <w:rPr>
                <w:rFonts w:hint="eastAsia" w:cs="宋体"/>
                <w:b/>
                <w:color w:val="auto"/>
                <w:sz w:val="24"/>
                <w:szCs w:val="24"/>
              </w:rPr>
              <w:t>份，副本</w:t>
            </w:r>
            <w:r>
              <w:rPr>
                <w:rFonts w:hint="eastAsia" w:cs="宋体"/>
                <w:b/>
                <w:color w:val="auto"/>
                <w:sz w:val="24"/>
                <w:szCs w:val="24"/>
                <w:u w:val="single"/>
              </w:rPr>
              <w:t>叁</w:t>
            </w:r>
            <w:r>
              <w:rPr>
                <w:rFonts w:hint="eastAsia" w:cs="宋体"/>
                <w:b/>
                <w:color w:val="auto"/>
                <w:sz w:val="24"/>
                <w:szCs w:val="24"/>
              </w:rPr>
              <w:t>份</w:t>
            </w:r>
            <w:r>
              <w:rPr>
                <w:rFonts w:hint="eastAsia" w:cs="宋体"/>
                <w:b/>
                <w:color w:val="auto"/>
                <w:kern w:val="2"/>
                <w:sz w:val="24"/>
                <w:szCs w:val="24"/>
              </w:rPr>
              <w:t>（不加密光盘或U盘一式壹份）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237" w:type="dxa"/>
            <w:vAlign w:val="center"/>
          </w:tcPr>
          <w:p>
            <w:pPr>
              <w:pStyle w:val="5"/>
              <w:spacing w:line="320" w:lineRule="exact"/>
              <w:ind w:firstLine="0"/>
              <w:jc w:val="both"/>
              <w:rPr>
                <w:rFonts w:ascii="宋体" w:hAnsi="宋体" w:cs="宋体"/>
                <w:sz w:val="24"/>
                <w:szCs w:val="24"/>
              </w:rPr>
            </w:pPr>
            <w:r>
              <w:rPr>
                <w:rFonts w:hint="eastAsia" w:ascii="宋体" w:hAnsi="宋体" w:cs="宋体"/>
                <w:sz w:val="24"/>
                <w:szCs w:val="24"/>
              </w:rPr>
              <w:t>采购人不统一组织各供应商实地考察，各供应商自行对采购项目进行考察。供应商如有疑问，于2021年</w:t>
            </w:r>
            <w:r>
              <w:rPr>
                <w:rFonts w:hint="eastAsia" w:ascii="宋体" w:hAnsi="宋体" w:cs="宋体"/>
                <w:sz w:val="24"/>
                <w:szCs w:val="24"/>
                <w:lang w:val="en-US" w:eastAsia="zh-CN"/>
              </w:rPr>
              <w:t>10</w:t>
            </w:r>
            <w:r>
              <w:rPr>
                <w:rFonts w:hint="eastAsia" w:ascii="宋体" w:hAnsi="宋体" w:cs="宋体"/>
                <w:sz w:val="24"/>
                <w:szCs w:val="24"/>
              </w:rPr>
              <w:t>月1</w:t>
            </w:r>
            <w:r>
              <w:rPr>
                <w:rFonts w:hint="eastAsia" w:ascii="宋体" w:hAnsi="宋体" w:cs="宋体"/>
                <w:sz w:val="24"/>
                <w:szCs w:val="24"/>
                <w:lang w:val="en-US" w:eastAsia="zh-CN"/>
              </w:rPr>
              <w:t>4</w:t>
            </w:r>
            <w:r>
              <w:rPr>
                <w:rFonts w:hint="eastAsia" w:ascii="宋体" w:hAnsi="宋体" w:cs="宋体"/>
                <w:sz w:val="24"/>
                <w:szCs w:val="24"/>
              </w:rPr>
              <w:t>日19:00前将有关疑问以书面形式（必须加盖供应商公章）送达至</w:t>
            </w:r>
            <w:r>
              <w:rPr>
                <w:rFonts w:hint="eastAsia" w:ascii="宋体" w:hAnsi="宋体" w:cs="宋体"/>
                <w:bCs/>
                <w:sz w:val="24"/>
                <w:szCs w:val="24"/>
                <w:lang w:val="zh-CN"/>
              </w:rPr>
              <w:t>克拉玛依市金科工程监理有限责任公司</w:t>
            </w:r>
            <w:r>
              <w:rPr>
                <w:rFonts w:hint="eastAsia" w:ascii="宋体" w:hAnsi="宋体" w:cs="宋体"/>
                <w:sz w:val="24"/>
                <w:szCs w:val="24"/>
              </w:rPr>
              <w:t>（同时将疑问电子版发至</w:t>
            </w:r>
            <w:r>
              <w:rPr>
                <w:rFonts w:hint="eastAsia" w:ascii="宋体" w:hAnsi="宋体" w:cs="宋体"/>
                <w:sz w:val="24"/>
                <w:szCs w:val="24"/>
                <w:lang w:val="en-US" w:eastAsia="zh-CN"/>
              </w:rPr>
              <w:t>1225783619</w:t>
            </w:r>
            <w:r>
              <w:rPr>
                <w:rFonts w:hint="eastAsia" w:ascii="宋体" w:hAnsi="宋体" w:cs="宋体"/>
                <w:sz w:val="24"/>
                <w:szCs w:val="24"/>
              </w:rPr>
              <w:t>@qq.com），采购人将对所提疑问以书面形式发至领取磋商文件的每位供应商，超过此时间所提疑问采购人或采购代理机构均不予答复。</w:t>
            </w:r>
          </w:p>
          <w:p>
            <w:pPr>
              <w:spacing w:line="320" w:lineRule="exact"/>
              <w:rPr>
                <w:rFonts w:ascii="宋体" w:hAnsi="宋体" w:cs="宋体"/>
                <w:sz w:val="24"/>
              </w:rPr>
            </w:pPr>
            <w:r>
              <w:rPr>
                <w:rFonts w:hint="eastAsia" w:ascii="宋体" w:hAnsi="宋体" w:cs="宋体"/>
                <w:sz w:val="24"/>
              </w:rPr>
              <w:t>书面提问截止时间：2021年</w:t>
            </w:r>
            <w:r>
              <w:rPr>
                <w:rFonts w:hint="eastAsia" w:ascii="宋体" w:hAnsi="宋体" w:cs="宋体"/>
                <w:sz w:val="24"/>
                <w:lang w:val="en-US" w:eastAsia="zh-CN"/>
              </w:rPr>
              <w:t>10</w:t>
            </w:r>
            <w:r>
              <w:rPr>
                <w:rFonts w:hint="eastAsia" w:ascii="宋体" w:hAnsi="宋体" w:cs="宋体"/>
                <w:sz w:val="24"/>
              </w:rPr>
              <w:t>月1</w:t>
            </w:r>
            <w:r>
              <w:rPr>
                <w:rFonts w:hint="eastAsia" w:ascii="宋体" w:hAnsi="宋体" w:cs="宋体"/>
                <w:sz w:val="24"/>
                <w:lang w:val="en-US" w:eastAsia="zh-CN"/>
              </w:rPr>
              <w:t>4</w:t>
            </w:r>
            <w:r>
              <w:rPr>
                <w:rFonts w:hint="eastAsia" w:ascii="宋体" w:hAnsi="宋体" w:cs="宋体"/>
                <w:sz w:val="24"/>
              </w:rPr>
              <w:t>日19:00</w:t>
            </w:r>
          </w:p>
          <w:p>
            <w:pPr>
              <w:pStyle w:val="19"/>
              <w:spacing w:before="75" w:beforeAutospacing="0" w:after="75" w:afterAutospacing="0" w:line="320" w:lineRule="exact"/>
              <w:rPr>
                <w:rFonts w:asciiTheme="minorEastAsia" w:hAnsiTheme="minorEastAsia" w:eastAsiaTheme="minorEastAsia" w:cstheme="minorEastAsia"/>
                <w:color w:val="auto"/>
                <w:sz w:val="24"/>
              </w:rPr>
            </w:pPr>
            <w:r>
              <w:rPr>
                <w:rFonts w:hint="eastAsia" w:cs="宋体"/>
                <w:color w:val="auto"/>
                <w:sz w:val="24"/>
                <w:szCs w:val="24"/>
              </w:rPr>
              <w:t>电话：</w:t>
            </w:r>
            <w:r>
              <w:rPr>
                <w:rFonts w:hint="eastAsia" w:cs="宋体"/>
                <w:bCs/>
                <w:color w:val="auto"/>
                <w:sz w:val="24"/>
                <w:szCs w:val="24"/>
                <w:lang w:eastAsia="zh-CN"/>
              </w:rPr>
              <w:t>15809905032</w:t>
            </w:r>
            <w:r>
              <w:rPr>
                <w:rFonts w:hint="eastAsia" w:cs="宋体"/>
                <w:color w:val="auto"/>
                <w:sz w:val="24"/>
                <w:szCs w:val="24"/>
              </w:rPr>
              <w:t xml:space="preserve">     联系人：</w:t>
            </w:r>
            <w:r>
              <w:rPr>
                <w:rFonts w:hint="eastAsia" w:cs="宋体"/>
                <w:bCs/>
                <w:color w:val="auto"/>
                <w:sz w:val="24"/>
                <w:szCs w:val="24"/>
                <w:lang w:eastAsia="zh-CN"/>
              </w:rPr>
              <w:t>赵容萱</w:t>
            </w:r>
            <w:r>
              <w:rPr>
                <w:rFonts w:hint="eastAsia" w:cs="宋体"/>
                <w:bCs/>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237" w:type="dxa"/>
            <w:vAlign w:val="center"/>
          </w:tcPr>
          <w:p>
            <w:pPr>
              <w:pStyle w:val="19"/>
              <w:spacing w:before="75" w:beforeAutospacing="0" w:after="75" w:afterAutospacing="0" w:line="320" w:lineRule="exact"/>
              <w:rPr>
                <w:rStyle w:val="26"/>
                <w:rFonts w:cs="宋体"/>
                <w:b w:val="0"/>
                <w:bCs/>
                <w:color w:val="auto"/>
                <w:sz w:val="24"/>
                <w:szCs w:val="24"/>
              </w:rPr>
            </w:pPr>
            <w:r>
              <w:rPr>
                <w:rStyle w:val="26"/>
                <w:rFonts w:hint="eastAsia" w:cs="宋体"/>
                <w:b w:val="0"/>
                <w:bCs/>
                <w:color w:val="auto"/>
                <w:sz w:val="24"/>
                <w:szCs w:val="24"/>
              </w:rPr>
              <w:t>递交响应文件截止时间：2021年</w:t>
            </w:r>
            <w:r>
              <w:rPr>
                <w:rStyle w:val="26"/>
                <w:rFonts w:hint="eastAsia" w:cs="宋体"/>
                <w:b w:val="0"/>
                <w:bCs/>
                <w:color w:val="auto"/>
                <w:sz w:val="24"/>
                <w:szCs w:val="24"/>
                <w:lang w:val="en-US" w:eastAsia="zh-CN"/>
              </w:rPr>
              <w:t>10</w:t>
            </w:r>
            <w:r>
              <w:rPr>
                <w:rStyle w:val="26"/>
                <w:rFonts w:hint="eastAsia" w:cs="宋体"/>
                <w:b w:val="0"/>
                <w:bCs/>
                <w:color w:val="auto"/>
                <w:sz w:val="24"/>
                <w:szCs w:val="24"/>
              </w:rPr>
              <w:t>月</w:t>
            </w:r>
            <w:r>
              <w:rPr>
                <w:rStyle w:val="26"/>
                <w:rFonts w:hint="eastAsia" w:cs="宋体"/>
                <w:b w:val="0"/>
                <w:bCs/>
                <w:color w:val="auto"/>
                <w:sz w:val="24"/>
                <w:szCs w:val="24"/>
                <w:lang w:val="en-US" w:eastAsia="zh-CN"/>
              </w:rPr>
              <w:t>19</w:t>
            </w:r>
            <w:r>
              <w:rPr>
                <w:rStyle w:val="26"/>
                <w:rFonts w:hint="eastAsia" w:cs="宋体"/>
                <w:b w:val="0"/>
                <w:bCs/>
                <w:color w:val="auto"/>
                <w:sz w:val="24"/>
                <w:szCs w:val="24"/>
              </w:rPr>
              <w:t>日1</w:t>
            </w:r>
            <w:r>
              <w:rPr>
                <w:rStyle w:val="26"/>
                <w:rFonts w:hint="eastAsia" w:cs="宋体"/>
                <w:b w:val="0"/>
                <w:bCs/>
                <w:color w:val="auto"/>
                <w:sz w:val="24"/>
                <w:szCs w:val="24"/>
                <w:lang w:val="en-US" w:eastAsia="zh-CN"/>
              </w:rPr>
              <w:t>1</w:t>
            </w:r>
            <w:r>
              <w:rPr>
                <w:rStyle w:val="26"/>
                <w:rFonts w:hint="eastAsia" w:cs="宋体"/>
                <w:b w:val="0"/>
                <w:bCs/>
                <w:color w:val="auto"/>
                <w:sz w:val="24"/>
                <w:szCs w:val="24"/>
              </w:rPr>
              <w:t>:00</w:t>
            </w:r>
          </w:p>
          <w:p>
            <w:pPr>
              <w:pStyle w:val="19"/>
              <w:spacing w:before="75" w:beforeAutospacing="0" w:after="75" w:afterAutospacing="0" w:line="320" w:lineRule="exact"/>
              <w:rPr>
                <w:rFonts w:asciiTheme="minorEastAsia" w:hAnsiTheme="minorEastAsia" w:eastAsiaTheme="minorEastAsia" w:cstheme="minorEastAsia"/>
                <w:color w:val="auto"/>
                <w:sz w:val="24"/>
                <w:szCs w:val="24"/>
              </w:rPr>
            </w:pPr>
            <w:r>
              <w:rPr>
                <w:rStyle w:val="26"/>
                <w:rFonts w:hint="eastAsia" w:cs="宋体"/>
                <w:b w:val="0"/>
                <w:bCs/>
                <w:color w:val="auto"/>
                <w:sz w:val="24"/>
                <w:szCs w:val="24"/>
              </w:rPr>
              <w:t>递交响应文件地点：克拉玛依市金科工程监理有限责任公司（克拉玛依市石化工业园团结路12号）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43" w:type="dxa"/>
            <w:vAlign w:val="center"/>
          </w:tcPr>
          <w:p>
            <w:pPr>
              <w:pStyle w:val="9"/>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237" w:type="dxa"/>
            <w:vAlign w:val="center"/>
          </w:tcPr>
          <w:p>
            <w:pPr>
              <w:pStyle w:val="19"/>
              <w:spacing w:before="75" w:beforeAutospacing="0" w:after="75" w:afterAutospacing="0" w:line="320" w:lineRule="exact"/>
              <w:rPr>
                <w:rStyle w:val="26"/>
                <w:rFonts w:cs="宋体"/>
                <w:b w:val="0"/>
                <w:bCs/>
                <w:color w:val="auto"/>
                <w:sz w:val="24"/>
                <w:szCs w:val="24"/>
              </w:rPr>
            </w:pPr>
            <w:r>
              <w:rPr>
                <w:rStyle w:val="26"/>
                <w:rFonts w:hint="eastAsia" w:cs="宋体"/>
                <w:b w:val="0"/>
                <w:bCs/>
                <w:color w:val="auto"/>
                <w:sz w:val="24"/>
                <w:szCs w:val="24"/>
              </w:rPr>
              <w:t>开标时间：2021年</w:t>
            </w:r>
            <w:r>
              <w:rPr>
                <w:rStyle w:val="26"/>
                <w:rFonts w:hint="eastAsia" w:cs="宋体"/>
                <w:b w:val="0"/>
                <w:bCs/>
                <w:color w:val="auto"/>
                <w:sz w:val="24"/>
                <w:szCs w:val="24"/>
                <w:lang w:val="en-US" w:eastAsia="zh-CN"/>
              </w:rPr>
              <w:t>10</w:t>
            </w:r>
            <w:r>
              <w:rPr>
                <w:rStyle w:val="26"/>
                <w:rFonts w:hint="eastAsia" w:cs="宋体"/>
                <w:b w:val="0"/>
                <w:bCs/>
                <w:color w:val="auto"/>
                <w:sz w:val="24"/>
                <w:szCs w:val="24"/>
              </w:rPr>
              <w:t>月</w:t>
            </w:r>
            <w:r>
              <w:rPr>
                <w:rStyle w:val="26"/>
                <w:rFonts w:hint="eastAsia" w:cs="宋体"/>
                <w:b w:val="0"/>
                <w:bCs/>
                <w:color w:val="auto"/>
                <w:sz w:val="24"/>
                <w:szCs w:val="24"/>
                <w:lang w:val="en-US" w:eastAsia="zh-CN"/>
              </w:rPr>
              <w:t>19</w:t>
            </w:r>
            <w:r>
              <w:rPr>
                <w:rStyle w:val="26"/>
                <w:rFonts w:hint="eastAsia" w:cs="宋体"/>
                <w:b w:val="0"/>
                <w:bCs/>
                <w:color w:val="auto"/>
                <w:sz w:val="24"/>
                <w:szCs w:val="24"/>
              </w:rPr>
              <w:t>日1</w:t>
            </w:r>
            <w:r>
              <w:rPr>
                <w:rStyle w:val="26"/>
                <w:rFonts w:hint="eastAsia" w:cs="宋体"/>
                <w:b w:val="0"/>
                <w:bCs/>
                <w:color w:val="auto"/>
                <w:sz w:val="24"/>
                <w:szCs w:val="24"/>
                <w:lang w:val="en-US" w:eastAsia="zh-CN"/>
              </w:rPr>
              <w:t>1</w:t>
            </w:r>
            <w:r>
              <w:rPr>
                <w:rStyle w:val="26"/>
                <w:rFonts w:hint="eastAsia" w:cs="宋体"/>
                <w:b w:val="0"/>
                <w:bCs/>
                <w:color w:val="auto"/>
                <w:sz w:val="24"/>
                <w:szCs w:val="24"/>
              </w:rPr>
              <w:t>：00</w:t>
            </w:r>
          </w:p>
          <w:p>
            <w:pPr>
              <w:pStyle w:val="19"/>
              <w:spacing w:before="75" w:beforeAutospacing="0" w:after="75" w:afterAutospacing="0" w:line="320" w:lineRule="exact"/>
              <w:rPr>
                <w:rFonts w:asciiTheme="minorEastAsia" w:hAnsiTheme="minorEastAsia" w:eastAsiaTheme="minorEastAsia" w:cstheme="minorEastAsia"/>
                <w:color w:val="auto"/>
                <w:sz w:val="24"/>
                <w:szCs w:val="24"/>
              </w:rPr>
            </w:pPr>
            <w:r>
              <w:rPr>
                <w:rStyle w:val="26"/>
                <w:rFonts w:hint="eastAsia" w:cs="宋体"/>
                <w:b w:val="0"/>
                <w:bCs/>
                <w:color w:val="auto"/>
                <w:sz w:val="24"/>
                <w:szCs w:val="24"/>
              </w:rPr>
              <w:t>开标地点：克拉玛依市金科工程监理有限责任公司（克拉玛依市石化工业园团结路12号）评标室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43" w:type="dxa"/>
            <w:vAlign w:val="center"/>
          </w:tcPr>
          <w:p>
            <w:pPr>
              <w:pStyle w:val="9"/>
              <w:spacing w:line="320" w:lineRule="exact"/>
              <w:jc w:val="center"/>
              <w:rPr>
                <w:rFonts w:ascii="仿宋_GB2312" w:hAnsi="宋体" w:eastAsia="仿宋_GB2312"/>
                <w:sz w:val="24"/>
                <w:szCs w:val="24"/>
              </w:rPr>
            </w:pPr>
            <w:r>
              <w:rPr>
                <w:rFonts w:hint="eastAsia" w:ascii="仿宋_GB2312" w:hAnsi="宋体" w:eastAsia="仿宋_GB2312"/>
                <w:sz w:val="24"/>
                <w:szCs w:val="24"/>
              </w:rPr>
              <w:t>9</w:t>
            </w:r>
          </w:p>
        </w:tc>
        <w:tc>
          <w:tcPr>
            <w:tcW w:w="8237" w:type="dxa"/>
            <w:vAlign w:val="center"/>
          </w:tcPr>
          <w:p>
            <w:pPr>
              <w:pStyle w:val="9"/>
              <w:spacing w:line="320" w:lineRule="exact"/>
              <w:rPr>
                <w:rFonts w:ascii="黑体" w:hAnsi="宋体" w:eastAsia="黑体"/>
                <w:b/>
                <w:bCs/>
                <w:sz w:val="24"/>
                <w:szCs w:val="24"/>
              </w:rPr>
            </w:pPr>
            <w:r>
              <w:rPr>
                <w:rFonts w:hint="eastAsia" w:asciiTheme="minorEastAsia" w:hAnsiTheme="minorEastAsia" w:eastAsiaTheme="minorEastAsia" w:cstheme="minorEastAsia"/>
                <w:b/>
                <w:bCs/>
                <w:sz w:val="24"/>
                <w:szCs w:val="24"/>
              </w:rPr>
              <w:t>采购项目预算：</w:t>
            </w:r>
            <w:r>
              <w:rPr>
                <w:rFonts w:hint="eastAsia" w:hAnsi="宋体" w:cs="宋体"/>
                <w:b/>
                <w:bCs/>
                <w:sz w:val="24"/>
                <w:szCs w:val="24"/>
              </w:rPr>
              <w:t>¥</w:t>
            </w:r>
            <w:r>
              <w:rPr>
                <w:rFonts w:hint="eastAsia" w:hAnsi="宋体" w:cs="宋体"/>
                <w:b/>
                <w:bCs/>
                <w:sz w:val="24"/>
                <w:szCs w:val="24"/>
                <w:lang w:val="en-US" w:eastAsia="zh-CN"/>
              </w:rPr>
              <w:t>103.5422万元</w:t>
            </w:r>
            <w:r>
              <w:rPr>
                <w:rFonts w:hint="eastAsia" w:hAnsi="宋体" w:cs="宋体"/>
                <w:b/>
                <w:bCs/>
                <w:sz w:val="24"/>
                <w:szCs w:val="24"/>
              </w:rPr>
              <w:t>（大写：人民币</w:t>
            </w:r>
            <w:r>
              <w:rPr>
                <w:rFonts w:hint="eastAsia" w:hAnsi="宋体" w:cs="宋体"/>
                <w:b/>
                <w:bCs/>
                <w:sz w:val="24"/>
                <w:szCs w:val="24"/>
                <w:lang w:eastAsia="zh-CN"/>
              </w:rPr>
              <w:t>壹佰零叁万伍仟肆佰贰拾贰元整</w:t>
            </w:r>
            <w:r>
              <w:rPr>
                <w:rFonts w:hint="eastAsia" w:hAnsi="宋体" w:cs="宋体"/>
                <w:b/>
                <w:bCs/>
                <w:sz w:val="24"/>
                <w:szCs w:val="24"/>
              </w:rPr>
              <w:t>），各供应商的商务报价如超过采购预算，则该供应商的响应文件作无效响应处理。</w:t>
            </w:r>
          </w:p>
        </w:tc>
      </w:tr>
    </w:tbl>
    <w:p>
      <w:pPr>
        <w:spacing w:line="360" w:lineRule="auto"/>
        <w:jc w:val="center"/>
        <w:rPr>
          <w:rFonts w:asciiTheme="minorEastAsia" w:hAnsiTheme="minorEastAsia" w:eastAsiaTheme="minorEastAsia" w:cstheme="minorEastAsia"/>
          <w:sz w:val="28"/>
          <w:szCs w:val="28"/>
        </w:rPr>
      </w:pPr>
      <w:bookmarkStart w:id="37" w:name="_Toc14014_WPSOffice_Level1"/>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A</w:t>
      </w:r>
      <w:bookmarkStart w:id="38" w:name="_Toc154996576"/>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说明</w:t>
      </w:r>
    </w:p>
    <w:p>
      <w:pPr>
        <w:pStyle w:val="9"/>
        <w:spacing w:line="360" w:lineRule="auto"/>
        <w:outlineLvl w:val="1"/>
        <w:rPr>
          <w:rFonts w:asciiTheme="minorEastAsia" w:hAnsiTheme="minorEastAsia" w:eastAsiaTheme="minorEastAsia" w:cstheme="minorEastAsia"/>
          <w:sz w:val="24"/>
        </w:rPr>
      </w:pPr>
      <w:bookmarkStart w:id="39" w:name="_Toc233274811"/>
      <w:bookmarkStart w:id="40" w:name="_Toc246216180"/>
      <w:bookmarkStart w:id="41" w:name="_Toc243906311"/>
      <w:bookmarkStart w:id="42" w:name="_Toc243907571"/>
      <w:r>
        <w:rPr>
          <w:rFonts w:hint="eastAsia" w:asciiTheme="minorEastAsia" w:hAnsiTheme="minorEastAsia" w:eastAsiaTheme="minorEastAsia" w:cstheme="minorEastAsia"/>
          <w:sz w:val="24"/>
        </w:rPr>
        <w:t>1、适用范围</w:t>
      </w:r>
      <w:bookmarkEnd w:id="39"/>
      <w:bookmarkEnd w:id="40"/>
      <w:bookmarkEnd w:id="41"/>
      <w:bookmarkEnd w:id="42"/>
      <w:r>
        <w:rPr>
          <w:rFonts w:hint="eastAsia" w:asciiTheme="minorEastAsia" w:hAnsiTheme="minorEastAsia" w:eastAsiaTheme="minorEastAsia" w:cstheme="minorEastAsia"/>
          <w:sz w:val="24"/>
        </w:rPr>
        <w:t>及磋商依据</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适用范围</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本磋商文件仅适用</w:t>
      </w:r>
      <w:r>
        <w:rPr>
          <w:rFonts w:hint="eastAsia" w:asciiTheme="minorEastAsia" w:hAnsiTheme="minorEastAsia" w:eastAsiaTheme="minorEastAsia" w:cstheme="minorEastAsia"/>
          <w:sz w:val="24"/>
          <w:szCs w:val="24"/>
          <w:lang w:eastAsia="zh-CN"/>
        </w:rPr>
        <w:t>克拉玛依市克拉玛依区人民政府昆仑路街道派出所服装采购项目</w:t>
      </w:r>
      <w:r>
        <w:rPr>
          <w:rFonts w:hint="eastAsia" w:asciiTheme="minorEastAsia" w:hAnsiTheme="minorEastAsia" w:eastAsiaTheme="minorEastAsia" w:cstheme="minorEastAsia"/>
          <w:sz w:val="24"/>
        </w:rPr>
        <w:t>。</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1.2磋商依据</w:t>
      </w:r>
    </w:p>
    <w:p>
      <w:pPr>
        <w:widowControl/>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根据《中华人民共和国政府采购法》、《中华人民共和国政府采购实施条例》、《财政部关于印发〈政府采购竞争性磋商采购方式管理暂行办法〉的通知》（财库〔2014〕214号）及有关法律、法规。</w:t>
      </w:r>
    </w:p>
    <w:p>
      <w:pPr>
        <w:pStyle w:val="9"/>
        <w:spacing w:line="360" w:lineRule="auto"/>
        <w:outlineLvl w:val="1"/>
        <w:rPr>
          <w:rFonts w:asciiTheme="minorEastAsia" w:hAnsiTheme="minorEastAsia" w:eastAsiaTheme="minorEastAsia" w:cstheme="minorEastAsia"/>
          <w:sz w:val="24"/>
        </w:rPr>
      </w:pPr>
      <w:bookmarkStart w:id="43" w:name="_Toc243907572"/>
      <w:bookmarkStart w:id="44" w:name="_Toc243906312"/>
      <w:bookmarkStart w:id="45" w:name="_Toc246216181"/>
      <w:bookmarkStart w:id="46" w:name="_Toc233274812"/>
      <w:r>
        <w:rPr>
          <w:rFonts w:hint="eastAsia" w:asciiTheme="minorEastAsia" w:hAnsiTheme="minorEastAsia" w:eastAsiaTheme="minorEastAsia" w:cstheme="minorEastAsia"/>
          <w:sz w:val="24"/>
        </w:rPr>
        <w:t>2、定义</w:t>
      </w:r>
      <w:bookmarkEnd w:id="43"/>
      <w:bookmarkEnd w:id="44"/>
      <w:bookmarkEnd w:id="45"/>
      <w:bookmarkEnd w:id="46"/>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”系指由采购人向供应商发出的本采购项目的全部文件（包括修改文件、补充文件、答疑纪要、各种通知和附件等）。</w:t>
      </w:r>
    </w:p>
    <w:p>
      <w:pPr>
        <w:pStyle w:val="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“响应文件”系指供应商根据磋商文件提交的所有文件。</w:t>
      </w:r>
    </w:p>
    <w:p>
      <w:pPr>
        <w:pStyle w:val="19"/>
        <w:spacing w:before="75" w:beforeAutospacing="0" w:after="75" w:afterAutospacing="0" w:line="360" w:lineRule="auto"/>
        <w:rPr>
          <w:rStyle w:val="26"/>
          <w:rFonts w:cs="宋体"/>
          <w:color w:val="auto"/>
          <w:sz w:val="24"/>
          <w:szCs w:val="24"/>
        </w:rPr>
      </w:pPr>
      <w:bookmarkStart w:id="47" w:name="_Toc243907573"/>
      <w:bookmarkStart w:id="48" w:name="_Toc243906313"/>
      <w:bookmarkStart w:id="49" w:name="_Toc233274813"/>
      <w:bookmarkStart w:id="50" w:name="_Toc246216182"/>
      <w:r>
        <w:rPr>
          <w:rStyle w:val="26"/>
          <w:rFonts w:hint="eastAsia" w:cs="宋体"/>
          <w:color w:val="auto"/>
          <w:sz w:val="24"/>
          <w:szCs w:val="24"/>
        </w:rPr>
        <w:t>3、采购范围</w:t>
      </w:r>
      <w:bookmarkEnd w:id="47"/>
      <w:bookmarkEnd w:id="48"/>
      <w:bookmarkEnd w:id="49"/>
      <w:bookmarkEnd w:id="50"/>
    </w:p>
    <w:p>
      <w:pPr>
        <w:adjustRightInd w:val="0"/>
        <w:snapToGrid w:val="0"/>
        <w:spacing w:line="360" w:lineRule="auto"/>
        <w:ind w:firstLine="482" w:firstLineChars="200"/>
        <w:rPr>
          <w:rFonts w:ascii="宋体" w:hAnsi="宋体" w:cs="宋体"/>
          <w:color w:val="auto"/>
          <w:sz w:val="24"/>
        </w:rPr>
      </w:pPr>
      <w:bookmarkStart w:id="51" w:name="_Toc233274814"/>
      <w:bookmarkStart w:id="52" w:name="_Toc243906314"/>
      <w:bookmarkStart w:id="53" w:name="_Toc246216183"/>
      <w:bookmarkStart w:id="54" w:name="_Toc243907574"/>
      <w:r>
        <w:rPr>
          <w:rFonts w:hint="eastAsia" w:ascii="宋体" w:hAnsi="宋体" w:cs="宋体"/>
          <w:b/>
          <w:bCs/>
          <w:color w:val="auto"/>
          <w:sz w:val="24"/>
        </w:rPr>
        <w:t>3.1采购范围：</w:t>
      </w:r>
      <w:r>
        <w:rPr>
          <w:rFonts w:hint="eastAsia" w:ascii="宋体" w:hAnsi="宋体" w:cs="宋体"/>
          <w:color w:val="auto"/>
          <w:sz w:val="24"/>
        </w:rPr>
        <w:t>完成</w:t>
      </w:r>
      <w:r>
        <w:rPr>
          <w:rFonts w:hint="eastAsia" w:ascii="宋体" w:hAnsi="宋体" w:cs="宋体"/>
          <w:color w:val="auto"/>
          <w:kern w:val="0"/>
          <w:sz w:val="24"/>
          <w:lang w:eastAsia="zh-CN"/>
        </w:rPr>
        <w:t>克拉玛依市克拉玛依区人民政府昆仑路街道派出所服装采购项目</w:t>
      </w:r>
      <w:r>
        <w:rPr>
          <w:rFonts w:hint="eastAsia" w:ascii="宋体" w:hAnsi="宋体" w:cs="宋体"/>
          <w:color w:val="auto"/>
          <w:sz w:val="24"/>
        </w:rPr>
        <w:t>应承担的所有工作，以及合同条款、 技术规范及标准、项目采购需求、</w:t>
      </w:r>
      <w:r>
        <w:rPr>
          <w:rFonts w:hint="eastAsia" w:ascii="宋体" w:hAnsi="宋体" w:cs="宋体"/>
          <w:color w:val="auto"/>
          <w:sz w:val="24"/>
          <w:lang w:eastAsia="zh-CN"/>
        </w:rPr>
        <w:t>磋商文件</w:t>
      </w:r>
      <w:r>
        <w:rPr>
          <w:rFonts w:hint="eastAsia" w:ascii="宋体" w:hAnsi="宋体" w:cs="宋体"/>
          <w:color w:val="auto"/>
          <w:sz w:val="24"/>
        </w:rPr>
        <w:t>约定的全部内容并配合采购人完成与此服务相关的全部工作。</w:t>
      </w:r>
    </w:p>
    <w:p>
      <w:pPr>
        <w:adjustRightInd w:val="0"/>
        <w:snapToGrid w:val="0"/>
        <w:spacing w:line="360" w:lineRule="auto"/>
        <w:ind w:firstLine="482" w:firstLineChars="200"/>
        <w:rPr>
          <w:rFonts w:ascii="宋体" w:hAnsi="宋体" w:cs="宋体"/>
          <w:sz w:val="24"/>
        </w:rPr>
      </w:pPr>
      <w:r>
        <w:rPr>
          <w:rFonts w:hint="eastAsia" w:ascii="宋体" w:hAnsi="宋体" w:cs="宋体"/>
          <w:b/>
          <w:bCs/>
          <w:color w:val="auto"/>
          <w:sz w:val="24"/>
        </w:rPr>
        <w:t>3.2</w:t>
      </w:r>
      <w:r>
        <w:rPr>
          <w:rFonts w:hint="eastAsia" w:ascii="宋体" w:hAnsi="宋体" w:cs="宋体"/>
          <w:b/>
          <w:bCs/>
          <w:color w:val="auto"/>
          <w:sz w:val="24"/>
          <w:lang w:eastAsia="zh-CN"/>
        </w:rPr>
        <w:t>交货期</w:t>
      </w:r>
      <w:r>
        <w:rPr>
          <w:rFonts w:hint="eastAsia" w:ascii="宋体" w:hAnsi="宋体" w:cs="宋体"/>
          <w:b/>
          <w:bCs/>
          <w:color w:val="auto"/>
          <w:sz w:val="24"/>
        </w:rPr>
        <w:t>：</w:t>
      </w:r>
      <w:r>
        <w:rPr>
          <w:rFonts w:hint="eastAsia" w:ascii="宋体" w:hAnsi="宋体" w:cs="宋体"/>
          <w:b w:val="0"/>
          <w:bCs w:val="0"/>
          <w:color w:val="auto"/>
          <w:sz w:val="24"/>
          <w:lang w:val="en-US" w:eastAsia="zh-CN"/>
        </w:rPr>
        <w:t>自</w:t>
      </w:r>
      <w:r>
        <w:rPr>
          <w:rFonts w:hint="eastAsia" w:ascii="宋体" w:hAnsi="宋体" w:cs="宋体"/>
          <w:b w:val="0"/>
          <w:bCs w:val="0"/>
          <w:color w:val="auto"/>
          <w:sz w:val="24"/>
        </w:rPr>
        <w:t>采购合同签订后30日内交货并完成试穿调换</w:t>
      </w:r>
      <w:r>
        <w:rPr>
          <w:rFonts w:hint="eastAsia" w:ascii="宋体" w:hAnsi="宋体" w:cs="宋体"/>
          <w:b w:val="0"/>
          <w:bCs w:val="0"/>
          <w:color w:val="auto"/>
          <w:sz w:val="24"/>
          <w:lang w:eastAsia="zh-CN"/>
        </w:rPr>
        <w:t>，交货地点以采购人通知为准</w:t>
      </w:r>
      <w:r>
        <w:rPr>
          <w:rFonts w:hint="eastAsia" w:ascii="宋体" w:hAnsi="宋体" w:cs="宋体"/>
          <w:b w:val="0"/>
          <w:bCs w:val="0"/>
          <w:color w:val="auto"/>
          <w:sz w:val="24"/>
        </w:rPr>
        <w:t>。</w:t>
      </w:r>
    </w:p>
    <w:p>
      <w:pPr>
        <w:pStyle w:val="9"/>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w:t>
      </w:r>
      <w:bookmarkEnd w:id="51"/>
      <w:bookmarkEnd w:id="52"/>
      <w:bookmarkEnd w:id="53"/>
      <w:bookmarkEnd w:id="54"/>
      <w:r>
        <w:rPr>
          <w:rFonts w:hint="eastAsia" w:asciiTheme="minorEastAsia" w:hAnsiTheme="minorEastAsia" w:eastAsiaTheme="minorEastAsia" w:cstheme="minorEastAsia"/>
          <w:b/>
          <w:bCs/>
          <w:sz w:val="24"/>
          <w:szCs w:val="24"/>
        </w:rPr>
        <w:t>合格供应商资格要求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4.1详见第一章“竞争性磋商</w:t>
      </w:r>
      <w:r>
        <w:rPr>
          <w:rFonts w:hint="eastAsia" w:asciiTheme="minorEastAsia" w:hAnsiTheme="minorEastAsia" w:eastAsiaTheme="minorEastAsia" w:cstheme="minorEastAsia"/>
          <w:sz w:val="24"/>
          <w:lang w:eastAsia="zh-CN"/>
        </w:rPr>
        <w:t>采购</w:t>
      </w:r>
      <w:r>
        <w:rPr>
          <w:rFonts w:hint="eastAsia" w:asciiTheme="minorEastAsia" w:hAnsiTheme="minorEastAsia" w:eastAsiaTheme="minorEastAsia" w:cstheme="minorEastAsia"/>
          <w:sz w:val="24"/>
        </w:rPr>
        <w:t>公告”中的供应商资格要求。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4.2采购有关规定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4.2.1供应商负责人为同一人或者存在直接控股、管理关系的不同供应商，不得参加同一合同项下的政府采购活动。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4.2.2为采购项目提供整体设计、规范编制或者项目管理、监理、检测等服务的供应商，不得再参加该采购项目的其他采购活动。</w:t>
      </w:r>
    </w:p>
    <w:p>
      <w:pPr>
        <w:pStyle w:val="36"/>
        <w:spacing w:line="360" w:lineRule="auto"/>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b/>
          <w:bCs/>
          <w:sz w:val="24"/>
        </w:rPr>
        <w:t>5、</w:t>
      </w:r>
      <w:r>
        <w:rPr>
          <w:rFonts w:hint="eastAsia" w:asciiTheme="minorEastAsia" w:hAnsiTheme="minorEastAsia" w:eastAsiaTheme="minorEastAsia" w:cstheme="minorEastAsia"/>
          <w:b/>
          <w:bCs/>
          <w:kern w:val="2"/>
          <w:sz w:val="24"/>
          <w:szCs w:val="24"/>
        </w:rPr>
        <w:t>回避。</w:t>
      </w:r>
      <w:r>
        <w:rPr>
          <w:rFonts w:hint="eastAsia" w:asciiTheme="minorEastAsia" w:hAnsiTheme="minorEastAsia" w:eastAsiaTheme="minorEastAsia" w:cstheme="minorEastAsia"/>
          <w:kern w:val="2"/>
          <w:sz w:val="24"/>
          <w:szCs w:val="24"/>
        </w:rPr>
        <w:t>政府采购活动中，采购人员及相关人员与供应商有下列利害关系之一的，应当回避：</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5.1参加采购活动前3年内与供应商存在劳动关系；</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5.2参加采购活动前3年内担任供应商的董事、监事；</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5.3参加采购活动前3年内是供应商的控股股东或者实际控制人；</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5.4与供应商的法定代表人或者负责人有夫妻、直系血亲、三代以内旁系血亲或者近姻亲关系；</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5.5与供应商有其他可能影响政府采购活动公平、公正进行的关系。</w:t>
      </w:r>
    </w:p>
    <w:p>
      <w:pPr>
        <w:pStyle w:val="36"/>
        <w:spacing w:line="360" w:lineRule="auto"/>
        <w:ind w:left="1" w:firstLine="480" w:firstLineChars="200"/>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36"/>
        <w:spacing w:line="360" w:lineRule="auto"/>
        <w:ind w:left="1"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kern w:val="2"/>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9"/>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6、参与磋商费用</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6.1供应商应承担所有与磋商准备和磋商有关的全部费用，不论磋商结果如何，采购人和采购代理机构无义务和责任承担供应商所发生的一切费用。</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6.2供应商在磋商准备、实地考察和磋商的全过程中，如果发生人身伤亡、财物或其它任何损失，不论何种原因所造成，均由供应商自行承担全部责任和损失。</w:t>
      </w:r>
    </w:p>
    <w:p>
      <w:pPr>
        <w:pStyle w:val="9"/>
        <w:spacing w:line="360" w:lineRule="auto"/>
        <w:outlineLvl w:val="1"/>
        <w:rPr>
          <w:rFonts w:asciiTheme="minorEastAsia" w:hAnsiTheme="minorEastAsia" w:eastAsiaTheme="minorEastAsia" w:cstheme="minorEastAsia"/>
          <w:sz w:val="24"/>
        </w:rPr>
      </w:pPr>
      <w:bookmarkStart w:id="55" w:name="_Toc233274816"/>
      <w:bookmarkStart w:id="56" w:name="_Toc245897276"/>
      <w:bookmarkStart w:id="57" w:name="_Toc243907576"/>
      <w:bookmarkStart w:id="58" w:name="_Toc243906316"/>
      <w:r>
        <w:rPr>
          <w:rFonts w:hint="eastAsia" w:asciiTheme="minorEastAsia" w:hAnsiTheme="minorEastAsia" w:eastAsiaTheme="minorEastAsia" w:cstheme="minorEastAsia"/>
          <w:sz w:val="24"/>
        </w:rPr>
        <w:t>7、法律适用</w:t>
      </w:r>
      <w:bookmarkEnd w:id="55"/>
      <w:bookmarkEnd w:id="56"/>
      <w:bookmarkEnd w:id="57"/>
      <w:bookmarkEnd w:id="58"/>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本次磋商活动及由本次磋商产生的合同受中国法律制约和保护。</w:t>
      </w:r>
    </w:p>
    <w:p>
      <w:pPr>
        <w:pStyle w:val="9"/>
        <w:spacing w:line="360" w:lineRule="auto"/>
        <w:outlineLvl w:val="1"/>
        <w:rPr>
          <w:rFonts w:asciiTheme="minorEastAsia" w:hAnsiTheme="minorEastAsia" w:eastAsiaTheme="minorEastAsia" w:cstheme="minorEastAsia"/>
          <w:sz w:val="24"/>
        </w:rPr>
      </w:pPr>
      <w:bookmarkStart w:id="59" w:name="_Toc233274817"/>
      <w:bookmarkStart w:id="60" w:name="_Toc245897277"/>
      <w:bookmarkStart w:id="61" w:name="_Toc243907577"/>
      <w:bookmarkStart w:id="62" w:name="_Toc243906317"/>
      <w:r>
        <w:rPr>
          <w:rFonts w:hint="eastAsia" w:asciiTheme="minorEastAsia" w:hAnsiTheme="minorEastAsia" w:eastAsiaTheme="minorEastAsia" w:cstheme="minorEastAsia"/>
          <w:sz w:val="24"/>
        </w:rPr>
        <w:t>8、磋商文件的约束力</w:t>
      </w:r>
      <w:bookmarkEnd w:id="59"/>
      <w:bookmarkEnd w:id="60"/>
      <w:bookmarkEnd w:id="61"/>
      <w:bookmarkEnd w:id="62"/>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供应商若成交，即被认为接受了本磋商文件中的所有条件和规定。是采购人与成交供应商签订合同的依据且是合同的组成部分。</w:t>
      </w:r>
      <w:bookmarkEnd w:id="38"/>
    </w:p>
    <w:p>
      <w:pPr>
        <w:pStyle w:val="9"/>
        <w:spacing w:line="360" w:lineRule="auto"/>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B 磋商文件</w:t>
      </w:r>
    </w:p>
    <w:p>
      <w:pPr>
        <w:pStyle w:val="9"/>
        <w:spacing w:line="360" w:lineRule="auto"/>
        <w:outlineLvl w:val="1"/>
        <w:rPr>
          <w:rFonts w:asciiTheme="minorEastAsia" w:hAnsiTheme="minorEastAsia" w:eastAsiaTheme="minorEastAsia" w:cstheme="minorEastAsia"/>
          <w:sz w:val="24"/>
        </w:rPr>
      </w:pPr>
      <w:bookmarkStart w:id="63" w:name="_Toc243906319"/>
      <w:bookmarkStart w:id="64" w:name="_Toc243907579"/>
      <w:bookmarkStart w:id="65" w:name="_Toc246216188"/>
      <w:bookmarkStart w:id="66" w:name="_Toc233274819"/>
      <w:r>
        <w:rPr>
          <w:rFonts w:hint="eastAsia" w:asciiTheme="minorEastAsia" w:hAnsiTheme="minorEastAsia" w:eastAsiaTheme="minorEastAsia" w:cstheme="minorEastAsia"/>
          <w:sz w:val="24"/>
        </w:rPr>
        <w:t>9、磋商文件的组成</w:t>
      </w:r>
      <w:bookmarkEnd w:id="63"/>
      <w:bookmarkEnd w:id="64"/>
      <w:bookmarkEnd w:id="65"/>
      <w:bookmarkEnd w:id="66"/>
    </w:p>
    <w:p>
      <w:pPr>
        <w:spacing w:line="360" w:lineRule="auto"/>
        <w:ind w:firstLine="481"/>
        <w:rPr>
          <w:rFonts w:asciiTheme="minorEastAsia" w:hAnsiTheme="minorEastAsia" w:eastAsiaTheme="minorEastAsia" w:cstheme="minorEastAsia"/>
        </w:rPr>
      </w:pPr>
      <w:r>
        <w:rPr>
          <w:rFonts w:hint="eastAsia" w:asciiTheme="minorEastAsia" w:hAnsiTheme="minorEastAsia" w:eastAsiaTheme="minorEastAsia" w:cstheme="minorEastAsia"/>
          <w:sz w:val="24"/>
        </w:rPr>
        <w:t>9.1 本磋商文件是对</w:t>
      </w:r>
      <w:r>
        <w:rPr>
          <w:rFonts w:hint="eastAsia" w:asciiTheme="minorEastAsia" w:hAnsiTheme="minorEastAsia" w:eastAsiaTheme="minorEastAsia" w:cstheme="minorEastAsia"/>
          <w:sz w:val="24"/>
          <w:lang w:eastAsia="zh-CN"/>
        </w:rPr>
        <w:t>克拉玛依市克拉玛依区人民政府昆仑路街道派出所服装采购项目</w:t>
      </w:r>
      <w:r>
        <w:rPr>
          <w:rFonts w:hint="eastAsia" w:asciiTheme="minorEastAsia" w:hAnsiTheme="minorEastAsia" w:eastAsiaTheme="minorEastAsia" w:cstheme="minorEastAsia"/>
          <w:sz w:val="24"/>
        </w:rPr>
        <w:t>磋商程序、合同条款进行说明。磋商文件包括下列内容：</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第一章  竞争性磋商</w:t>
      </w:r>
      <w:r>
        <w:rPr>
          <w:rFonts w:hint="eastAsia" w:asciiTheme="minorEastAsia" w:hAnsiTheme="minorEastAsia" w:eastAsiaTheme="minorEastAsia" w:cstheme="minorEastAsia"/>
          <w:sz w:val="24"/>
          <w:lang w:eastAsia="zh-CN"/>
        </w:rPr>
        <w:t>采购</w:t>
      </w:r>
      <w:r>
        <w:rPr>
          <w:rFonts w:hint="eastAsia" w:asciiTheme="minorEastAsia" w:hAnsiTheme="minorEastAsia" w:eastAsiaTheme="minorEastAsia" w:cstheme="minorEastAsia"/>
          <w:sz w:val="24"/>
        </w:rPr>
        <w:t>公告</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第二章  供应商须知</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第三章  项目采购需求</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第四章  合同条款（主要内容）</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第五章  响应文件格式</w:t>
      </w:r>
    </w:p>
    <w:p>
      <w:pPr>
        <w:pStyle w:val="9"/>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第六章  评标标准（综合评分法）</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磋商文件以中文编印，以中文文本为准。</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9.3 除非有特殊要求，磋商文件不单独提供采购项目使用地的自然环境、气候条件、劳动力及公用设施等情况，供应商被视为熟悉上述条件或若成交履行合同有关的一切情况。</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9.4采购人向供应商提供的有关数据和资料，是采购人现有的能被供应商利用的资料，供应商对此做出的推论、理解和结论自行负责。</w:t>
      </w:r>
    </w:p>
    <w:p>
      <w:pPr>
        <w:pStyle w:val="9"/>
        <w:spacing w:line="360" w:lineRule="auto"/>
        <w:rPr>
          <w:rFonts w:asciiTheme="minorEastAsia" w:hAnsiTheme="minorEastAsia" w:eastAsiaTheme="minorEastAsia" w:cstheme="minorEastAsia"/>
          <w:b/>
          <w:bCs/>
          <w:sz w:val="24"/>
        </w:rPr>
      </w:pPr>
      <w:bookmarkStart w:id="67" w:name="_Toc243906321"/>
      <w:bookmarkStart w:id="68" w:name="_Toc245897281"/>
      <w:bookmarkStart w:id="69" w:name="_Toc243907581"/>
      <w:bookmarkStart w:id="70" w:name="_Toc233274821"/>
      <w:r>
        <w:rPr>
          <w:rFonts w:hint="eastAsia" w:asciiTheme="minorEastAsia" w:hAnsiTheme="minorEastAsia" w:eastAsiaTheme="minorEastAsia" w:cstheme="minorEastAsia"/>
          <w:b/>
          <w:bCs/>
          <w:sz w:val="24"/>
        </w:rPr>
        <w:t>10、</w:t>
      </w:r>
      <w:bookmarkEnd w:id="67"/>
      <w:bookmarkEnd w:id="68"/>
      <w:bookmarkEnd w:id="69"/>
      <w:bookmarkEnd w:id="70"/>
      <w:r>
        <w:rPr>
          <w:rFonts w:hint="eastAsia" w:asciiTheme="minorEastAsia" w:hAnsiTheme="minorEastAsia" w:eastAsiaTheme="minorEastAsia" w:cstheme="minorEastAsia"/>
          <w:b/>
          <w:bCs/>
          <w:sz w:val="24"/>
        </w:rPr>
        <w:t>磋商文件的澄清或修改</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磋商文件的澄清或修改将以发布澄清或变更公告为准（同采购公告发布网站），所有供应商应关注网站及时查看，采购人不再进行书面或其他形式通知，未看变更或澄清公告并由此导致的一切后果均由投标供应商自负。</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10.3磋商文件有多次澄清或修改时，以最后发出的澄清或修改公告为准。</w:t>
      </w:r>
    </w:p>
    <w:p>
      <w:pPr>
        <w:pStyle w:val="9"/>
        <w:spacing w:line="360" w:lineRule="auto"/>
        <w:jc w:val="center"/>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8"/>
          <w:szCs w:val="28"/>
        </w:rPr>
        <w:t>C 响应文件的编写与递交</w:t>
      </w:r>
    </w:p>
    <w:p>
      <w:pPr>
        <w:pStyle w:val="9"/>
        <w:spacing w:line="360" w:lineRule="auto"/>
        <w:rPr>
          <w:rFonts w:asciiTheme="minorEastAsia" w:hAnsiTheme="minorEastAsia" w:eastAsiaTheme="minorEastAsia" w:cstheme="minorEastAsia"/>
          <w:b/>
          <w:bCs/>
          <w:sz w:val="24"/>
        </w:rPr>
      </w:pPr>
      <w:bookmarkStart w:id="71" w:name="_Toc424059486"/>
      <w:bookmarkStart w:id="72" w:name="_Toc424211816"/>
      <w:bookmarkStart w:id="73" w:name="_Toc460703962"/>
      <w:r>
        <w:rPr>
          <w:rFonts w:hint="eastAsia" w:asciiTheme="minorEastAsia" w:hAnsiTheme="minorEastAsia" w:eastAsiaTheme="minorEastAsia" w:cstheme="minorEastAsia"/>
          <w:b/>
          <w:bCs/>
          <w:sz w:val="24"/>
        </w:rPr>
        <w:t>11、响应文件的组成</w:t>
      </w:r>
      <w:bookmarkEnd w:id="71"/>
      <w:bookmarkEnd w:id="72"/>
      <w:bookmarkEnd w:id="73"/>
    </w:p>
    <w:p>
      <w:pPr>
        <w:pStyle w:val="9"/>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供应商必须严格按下列内容和顺序自编目录并标注响应文件页码后装订成册，响应文件应包括以下部分（缺少任何一项证明文件，供应商将承担其响应文件无效的风险）：</w:t>
      </w:r>
    </w:p>
    <w:p>
      <w:pPr>
        <w:pStyle w:val="9"/>
        <w:spacing w:line="360" w:lineRule="auto"/>
        <w:ind w:firstLine="480" w:firstLineChars="200"/>
        <w:rPr>
          <w:rFonts w:asciiTheme="minorEastAsia" w:hAnsiTheme="minorEastAsia" w:eastAsiaTheme="minorEastAsia" w:cstheme="minorEastAsia"/>
          <w:b w:val="0"/>
          <w:bCs w:val="0"/>
          <w:sz w:val="24"/>
        </w:rPr>
      </w:pPr>
      <w:bookmarkStart w:id="74" w:name="_Toc239822608"/>
      <w:bookmarkStart w:id="75" w:name="_Toc239649300"/>
      <w:bookmarkStart w:id="76" w:name="_Toc239650588"/>
      <w:bookmarkStart w:id="77" w:name="_Toc239648854"/>
      <w:bookmarkStart w:id="78" w:name="_Toc239651307"/>
      <w:bookmarkStart w:id="79" w:name="_Toc239648588"/>
      <w:bookmarkStart w:id="80" w:name="_Toc239822493"/>
      <w:bookmarkStart w:id="81" w:name="_Toc239649752"/>
      <w:bookmarkStart w:id="82" w:name="_Toc239649376"/>
      <w:r>
        <w:rPr>
          <w:rFonts w:hint="eastAsia" w:asciiTheme="minorEastAsia" w:hAnsiTheme="minorEastAsia" w:eastAsiaTheme="minorEastAsia" w:cstheme="minorEastAsia"/>
          <w:b w:val="0"/>
          <w:bCs w:val="0"/>
          <w:sz w:val="24"/>
        </w:rPr>
        <w:t>1、商务文件：</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（1）响应函（详见格式1）；</w:t>
      </w:r>
    </w:p>
    <w:p>
      <w:pPr>
        <w:spacing w:line="360" w:lineRule="auto"/>
        <w:ind w:firstLine="480" w:firstLineChars="200"/>
        <w:rPr>
          <w:rFonts w:hint="eastAsia" w:asciiTheme="minorEastAsia" w:hAnsiTheme="minorEastAsia" w:eastAsiaTheme="minorEastAsia" w:cstheme="minorEastAsia"/>
          <w:b/>
          <w:bCs/>
          <w:sz w:val="24"/>
          <w:szCs w:val="21"/>
        </w:rPr>
      </w:pPr>
      <w:r>
        <w:rPr>
          <w:rFonts w:hint="eastAsia" w:asciiTheme="minorEastAsia" w:hAnsiTheme="minorEastAsia" w:eastAsiaTheme="minorEastAsia" w:cstheme="minorEastAsia"/>
          <w:sz w:val="24"/>
          <w:szCs w:val="21"/>
        </w:rPr>
        <w:t>（2）商务报价一览表（首次）（详见格式2；</w:t>
      </w:r>
      <w:r>
        <w:rPr>
          <w:rFonts w:hint="eastAsia" w:asciiTheme="minorEastAsia" w:hAnsiTheme="minorEastAsia" w:eastAsiaTheme="minorEastAsia" w:cstheme="minorEastAsia"/>
          <w:b/>
          <w:bCs/>
          <w:sz w:val="24"/>
          <w:szCs w:val="21"/>
        </w:rPr>
        <w:t>供应商须按本商务报价一览表格式制作“最后报价表”，并加盖单位公章后自行带至磋商现场，经磋商后由各供应商填写最后报价。</w:t>
      </w:r>
    </w:p>
    <w:p>
      <w:pPr>
        <w:tabs>
          <w:tab w:val="left" w:pos="360"/>
          <w:tab w:val="left" w:pos="1800"/>
        </w:tabs>
        <w:spacing w:line="360" w:lineRule="auto"/>
        <w:ind w:firstLine="480" w:firstLineChars="200"/>
        <w:jc w:val="left"/>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3</w:t>
      </w: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eastAsia="zh-CN"/>
        </w:rPr>
        <w:t>报价明细表</w:t>
      </w:r>
      <w:r>
        <w:rPr>
          <w:rFonts w:hint="eastAsia" w:asciiTheme="minorEastAsia" w:hAnsiTheme="minorEastAsia" w:eastAsiaTheme="minorEastAsia" w:cstheme="minorEastAsia"/>
          <w:sz w:val="24"/>
          <w:szCs w:val="21"/>
        </w:rPr>
        <w:t>（详见格式3）；</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4</w:t>
      </w:r>
      <w:r>
        <w:rPr>
          <w:rFonts w:hint="eastAsia" w:asciiTheme="minorEastAsia" w:hAnsiTheme="minorEastAsia" w:eastAsiaTheme="minorEastAsia" w:cstheme="minorEastAsia"/>
          <w:sz w:val="24"/>
          <w:szCs w:val="21"/>
        </w:rPr>
        <w:t>）中小企业声明函（详见格式</w:t>
      </w:r>
      <w:r>
        <w:rPr>
          <w:rFonts w:hint="eastAsia" w:asciiTheme="minorEastAsia" w:hAnsiTheme="minorEastAsia" w:eastAsiaTheme="minorEastAsia" w:cstheme="minorEastAsia"/>
          <w:sz w:val="24"/>
          <w:szCs w:val="21"/>
          <w:lang w:val="en-US" w:eastAsia="zh-CN"/>
        </w:rPr>
        <w:t>4</w:t>
      </w:r>
      <w:r>
        <w:rPr>
          <w:rFonts w:hint="eastAsia" w:asciiTheme="minorEastAsia" w:hAnsiTheme="minorEastAsia" w:eastAsiaTheme="minorEastAsia" w:cstheme="minorEastAsia"/>
          <w:sz w:val="24"/>
          <w:szCs w:val="21"/>
        </w:rPr>
        <w:t>）；</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5</w:t>
      </w:r>
      <w:r>
        <w:rPr>
          <w:rFonts w:hint="eastAsia" w:asciiTheme="minorEastAsia" w:hAnsiTheme="minorEastAsia" w:eastAsiaTheme="minorEastAsia" w:cstheme="minorEastAsia"/>
          <w:sz w:val="24"/>
          <w:szCs w:val="21"/>
        </w:rPr>
        <w:t>）法定代表人资格证明书（详见格式</w:t>
      </w:r>
      <w:r>
        <w:rPr>
          <w:rFonts w:hint="eastAsia" w:asciiTheme="minorEastAsia" w:hAnsiTheme="minorEastAsia" w:eastAsiaTheme="minorEastAsia" w:cstheme="minorEastAsia"/>
          <w:sz w:val="24"/>
          <w:szCs w:val="21"/>
          <w:lang w:val="en-US" w:eastAsia="zh-CN"/>
        </w:rPr>
        <w:t>5</w:t>
      </w:r>
      <w:r>
        <w:rPr>
          <w:rFonts w:hint="eastAsia" w:asciiTheme="minorEastAsia" w:hAnsiTheme="minorEastAsia" w:eastAsiaTheme="minorEastAsia" w:cstheme="minorEastAsia"/>
          <w:sz w:val="24"/>
          <w:szCs w:val="21"/>
        </w:rPr>
        <w:t>）；</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6</w:t>
      </w:r>
      <w:r>
        <w:rPr>
          <w:rFonts w:hint="eastAsia" w:asciiTheme="minorEastAsia" w:hAnsiTheme="minorEastAsia" w:eastAsiaTheme="minorEastAsia" w:cstheme="minorEastAsia"/>
          <w:sz w:val="24"/>
          <w:szCs w:val="21"/>
        </w:rPr>
        <w:t>）法定代表人授权书（详见格式</w:t>
      </w:r>
      <w:r>
        <w:rPr>
          <w:rFonts w:hint="eastAsia" w:asciiTheme="minorEastAsia" w:hAnsiTheme="minorEastAsia" w:eastAsiaTheme="minorEastAsia" w:cstheme="minorEastAsia"/>
          <w:sz w:val="24"/>
          <w:szCs w:val="21"/>
          <w:lang w:val="en-US" w:eastAsia="zh-CN"/>
        </w:rPr>
        <w:t>6</w:t>
      </w:r>
      <w:r>
        <w:rPr>
          <w:rFonts w:hint="eastAsia" w:asciiTheme="minorEastAsia" w:hAnsiTheme="minorEastAsia" w:eastAsiaTheme="minorEastAsia" w:cstheme="minorEastAsia"/>
          <w:sz w:val="24"/>
          <w:szCs w:val="21"/>
        </w:rPr>
        <w:t>）；</w:t>
      </w:r>
    </w:p>
    <w:p>
      <w:pPr>
        <w:spacing w:line="360" w:lineRule="auto"/>
        <w:ind w:firstLine="480" w:firstLineChars="200"/>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7</w:t>
      </w:r>
      <w:r>
        <w:rPr>
          <w:rFonts w:hint="eastAsia" w:asciiTheme="minorEastAsia" w:hAnsiTheme="minorEastAsia" w:eastAsiaTheme="minorEastAsia" w:cstheme="minorEastAsia"/>
          <w:sz w:val="24"/>
          <w:szCs w:val="21"/>
        </w:rPr>
        <w:t>）有效期内的三证合一企业营业执照（复印件）</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8</w:t>
      </w:r>
      <w:r>
        <w:rPr>
          <w:rFonts w:hint="eastAsia" w:asciiTheme="minorEastAsia" w:hAnsiTheme="minorEastAsia" w:eastAsiaTheme="minorEastAsia" w:cstheme="minorEastAsia"/>
          <w:sz w:val="24"/>
          <w:szCs w:val="21"/>
        </w:rPr>
        <w:t>）供应商根据政府采购公告中资格要求提供相应的证明材料；</w:t>
      </w:r>
    </w:p>
    <w:p>
      <w:pPr>
        <w:spacing w:line="360" w:lineRule="auto"/>
        <w:ind w:firstLine="480" w:firstLineChars="200"/>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sz w:val="24"/>
          <w:szCs w:val="21"/>
        </w:rPr>
        <w:t>（</w:t>
      </w:r>
      <w:r>
        <w:rPr>
          <w:rFonts w:hint="eastAsia" w:asciiTheme="minorEastAsia" w:hAnsiTheme="minorEastAsia" w:eastAsiaTheme="minorEastAsia" w:cstheme="minorEastAsia"/>
          <w:sz w:val="24"/>
          <w:szCs w:val="21"/>
          <w:lang w:val="en-US" w:eastAsia="zh-CN"/>
        </w:rPr>
        <w:t>9</w:t>
      </w:r>
      <w:r>
        <w:rPr>
          <w:rFonts w:hint="eastAsia" w:asciiTheme="minorEastAsia" w:hAnsiTheme="minorEastAsia" w:eastAsiaTheme="minorEastAsia" w:cstheme="minorEastAsia"/>
          <w:sz w:val="24"/>
          <w:szCs w:val="21"/>
        </w:rPr>
        <w:t>）供应商资格声明（详见格式</w:t>
      </w:r>
      <w:r>
        <w:rPr>
          <w:rFonts w:hint="eastAsia" w:asciiTheme="minorEastAsia" w:hAnsiTheme="minorEastAsia" w:eastAsiaTheme="minorEastAsia" w:cstheme="minorEastAsia"/>
          <w:sz w:val="24"/>
          <w:szCs w:val="21"/>
          <w:lang w:val="en-US" w:eastAsia="zh-CN"/>
        </w:rPr>
        <w:t>7</w:t>
      </w:r>
      <w:r>
        <w:rPr>
          <w:rFonts w:hint="eastAsia" w:asciiTheme="minorEastAsia" w:hAnsiTheme="minorEastAsia" w:eastAsiaTheme="minorEastAsia" w:cstheme="minorEastAsia"/>
          <w:sz w:val="24"/>
          <w:szCs w:val="21"/>
        </w:rPr>
        <w:t>）；</w:t>
      </w:r>
    </w:p>
    <w:p>
      <w:pPr>
        <w:spacing w:line="360" w:lineRule="auto"/>
        <w:ind w:firstLine="480" w:firstLineChars="200"/>
        <w:rPr>
          <w:rFonts w:asciiTheme="minorEastAsia" w:hAnsiTheme="minorEastAsia" w:eastAsiaTheme="minorEastAsia" w:cstheme="minorEastAsia"/>
          <w:b w:val="0"/>
          <w:bCs w:val="0"/>
          <w:sz w:val="24"/>
          <w:szCs w:val="21"/>
        </w:rPr>
      </w:pPr>
      <w:r>
        <w:rPr>
          <w:rFonts w:hint="eastAsia" w:asciiTheme="minorEastAsia" w:hAnsiTheme="minorEastAsia" w:eastAsiaTheme="minorEastAsia" w:cstheme="minorEastAsia"/>
          <w:b w:val="0"/>
          <w:bCs w:val="0"/>
          <w:sz w:val="24"/>
          <w:szCs w:val="21"/>
        </w:rPr>
        <w:t>2、技术文件：</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（1）项目管理、服务及其它人员情况表（详见格式</w:t>
      </w:r>
      <w:r>
        <w:rPr>
          <w:rFonts w:hint="eastAsia" w:asciiTheme="minorEastAsia" w:hAnsiTheme="minorEastAsia" w:eastAsiaTheme="minorEastAsia" w:cstheme="minorEastAsia"/>
          <w:sz w:val="24"/>
          <w:szCs w:val="21"/>
          <w:lang w:val="en-US" w:eastAsia="zh-CN"/>
        </w:rPr>
        <w:t>8</w:t>
      </w:r>
      <w:r>
        <w:rPr>
          <w:rFonts w:hint="eastAsia" w:asciiTheme="minorEastAsia" w:hAnsiTheme="minorEastAsia" w:eastAsiaTheme="minorEastAsia" w:cstheme="minorEastAsia"/>
          <w:sz w:val="24"/>
          <w:szCs w:val="21"/>
        </w:rPr>
        <w:t>）,根据采购人提供的项目服务内容、标准和本项目实际情况拟配置人员的具体情况；</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（2）拟投入本项目设备设施清单（详见格式</w:t>
      </w:r>
      <w:r>
        <w:rPr>
          <w:rFonts w:hint="eastAsia" w:asciiTheme="minorEastAsia" w:hAnsiTheme="minorEastAsia" w:eastAsiaTheme="minorEastAsia" w:cstheme="minorEastAsia"/>
          <w:sz w:val="24"/>
          <w:szCs w:val="21"/>
          <w:lang w:val="en-US" w:eastAsia="zh-CN"/>
        </w:rPr>
        <w:t>9</w:t>
      </w:r>
      <w:r>
        <w:rPr>
          <w:rFonts w:hint="eastAsia" w:asciiTheme="minorEastAsia" w:hAnsiTheme="minorEastAsia" w:eastAsiaTheme="minorEastAsia" w:cstheme="minorEastAsia"/>
          <w:sz w:val="24"/>
          <w:szCs w:val="21"/>
        </w:rPr>
        <w:t>）</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（3）近三年（2018年1月1日至今）类似项目业绩表（详见格式</w:t>
      </w:r>
      <w:r>
        <w:rPr>
          <w:rFonts w:hint="eastAsia" w:asciiTheme="minorEastAsia" w:hAnsiTheme="minorEastAsia" w:eastAsiaTheme="minorEastAsia" w:cstheme="minorEastAsia"/>
          <w:sz w:val="24"/>
          <w:szCs w:val="21"/>
          <w:lang w:val="en-US" w:eastAsia="zh-CN"/>
        </w:rPr>
        <w:t>10</w:t>
      </w:r>
      <w:r>
        <w:rPr>
          <w:rFonts w:hint="eastAsia" w:asciiTheme="minorEastAsia" w:hAnsiTheme="minorEastAsia" w:eastAsiaTheme="minorEastAsia" w:cstheme="minorEastAsia"/>
          <w:sz w:val="24"/>
          <w:szCs w:val="21"/>
        </w:rPr>
        <w:t>）；</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（4）商务条款响应偏离表（详见格式1</w:t>
      </w:r>
      <w:r>
        <w:rPr>
          <w:rFonts w:hint="eastAsia" w:asciiTheme="minorEastAsia" w:hAnsiTheme="minorEastAsia" w:eastAsiaTheme="minorEastAsia" w:cstheme="minorEastAsia"/>
          <w:sz w:val="24"/>
          <w:szCs w:val="21"/>
          <w:lang w:val="en-US" w:eastAsia="zh-CN"/>
        </w:rPr>
        <w:t>1</w:t>
      </w:r>
      <w:r>
        <w:rPr>
          <w:rFonts w:hint="eastAsia" w:asciiTheme="minorEastAsia" w:hAnsiTheme="minorEastAsia" w:eastAsiaTheme="minorEastAsia" w:cstheme="minorEastAsia"/>
          <w:sz w:val="24"/>
          <w:szCs w:val="21"/>
        </w:rPr>
        <w:t>）；</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（5）服务方案（详见格式1</w:t>
      </w:r>
      <w:r>
        <w:rPr>
          <w:rFonts w:hint="eastAsia" w:asciiTheme="minorEastAsia" w:hAnsiTheme="minorEastAsia" w:eastAsiaTheme="minorEastAsia" w:cstheme="minorEastAsia"/>
          <w:sz w:val="24"/>
          <w:szCs w:val="21"/>
          <w:lang w:val="en-US" w:eastAsia="zh-CN"/>
        </w:rPr>
        <w:t>2</w:t>
      </w:r>
      <w:r>
        <w:rPr>
          <w:rFonts w:hint="eastAsia" w:asciiTheme="minorEastAsia" w:hAnsiTheme="minorEastAsia" w:eastAsiaTheme="minorEastAsia" w:cstheme="minorEastAsia"/>
          <w:sz w:val="24"/>
          <w:szCs w:val="21"/>
        </w:rPr>
        <w:t>）；</w:t>
      </w:r>
    </w:p>
    <w:p>
      <w:pPr>
        <w:spacing w:line="360" w:lineRule="auto"/>
        <w:ind w:left="42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（7）服务质量保证承诺（详见格式1</w:t>
      </w:r>
      <w:r>
        <w:rPr>
          <w:rFonts w:hint="eastAsia" w:asciiTheme="minorEastAsia" w:hAnsiTheme="minorEastAsia" w:eastAsiaTheme="minorEastAsia" w:cstheme="minorEastAsia"/>
          <w:sz w:val="24"/>
          <w:szCs w:val="21"/>
          <w:lang w:val="en-US" w:eastAsia="zh-CN"/>
        </w:rPr>
        <w:t>3</w:t>
      </w:r>
      <w:r>
        <w:rPr>
          <w:rFonts w:hint="eastAsia" w:asciiTheme="minorEastAsia" w:hAnsiTheme="minorEastAsia" w:eastAsiaTheme="minorEastAsia" w:cstheme="minorEastAsia"/>
          <w:sz w:val="24"/>
          <w:szCs w:val="21"/>
        </w:rPr>
        <w:t>）；</w:t>
      </w:r>
    </w:p>
    <w:p>
      <w:pPr>
        <w:spacing w:line="360" w:lineRule="auto"/>
        <w:ind w:left="42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（8）资格性/符合性自查表（详见格式1</w:t>
      </w:r>
      <w:r>
        <w:rPr>
          <w:rFonts w:hint="eastAsia" w:asciiTheme="minorEastAsia" w:hAnsiTheme="minorEastAsia" w:eastAsiaTheme="minorEastAsia" w:cstheme="minorEastAsia"/>
          <w:sz w:val="24"/>
          <w:szCs w:val="21"/>
          <w:lang w:val="en-US" w:eastAsia="zh-CN"/>
        </w:rPr>
        <w:t>4</w:t>
      </w:r>
      <w:r>
        <w:rPr>
          <w:rFonts w:hint="eastAsia" w:asciiTheme="minorEastAsia" w:hAnsiTheme="minorEastAsia" w:eastAsiaTheme="minorEastAsia" w:cstheme="minorEastAsia"/>
          <w:sz w:val="24"/>
          <w:szCs w:val="21"/>
        </w:rPr>
        <w:t>）；</w:t>
      </w:r>
    </w:p>
    <w:p>
      <w:pPr>
        <w:spacing w:line="360" w:lineRule="auto"/>
        <w:ind w:left="42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（9）体现企业组织能力、管理水平、技术力量、设备配备的相关证明资料；</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（10）提供上一年度的财务报表/财务报告（新成立的公司提供说明）；</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（11）上一年度依法缴纳税收和社会保障资金的良好记录的证明材料（附复印件）；</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（12）其它与本项目有关的能证明企业实力的各项证明资料。</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（13）磋商文件要求提供的其它材料以及供应商认为需要提交的材料。</w:t>
      </w:r>
    </w:p>
    <w:p>
      <w:pPr>
        <w:pStyle w:val="9"/>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特别说明：</w:t>
      </w:r>
    </w:p>
    <w:p>
      <w:pPr>
        <w:pStyle w:val="9"/>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①上述各种证件、证书复印件须加盖供应商公章。如未按要求加盖供应商公章者，可能导致其响应文件无效。</w:t>
      </w:r>
    </w:p>
    <w:p>
      <w:pPr>
        <w:spacing w:line="360" w:lineRule="auto"/>
        <w:ind w:firstLine="482" w:firstLineChars="200"/>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②供应商应如实提供资料，并保证真实可靠，不得弄虚作假。如供应商隐瞒事实真相、弄虚作假，一经查实，取消该供应商的磋商资格，若成交的，取消其成交资格。</w:t>
      </w:r>
    </w:p>
    <w:p>
      <w:pPr>
        <w:spacing w:line="360" w:lineRule="auto"/>
        <w:rPr>
          <w:rFonts w:asciiTheme="minorEastAsia" w:hAnsiTheme="minorEastAsia" w:eastAsiaTheme="minorEastAsia" w:cstheme="minorEastAsia"/>
          <w:b/>
          <w:bCs/>
          <w:sz w:val="24"/>
          <w:szCs w:val="21"/>
        </w:rPr>
      </w:pPr>
      <w:bookmarkStart w:id="83" w:name="_Toc424211817"/>
      <w:bookmarkStart w:id="84" w:name="_Toc424059487"/>
      <w:bookmarkStart w:id="85" w:name="_Toc460703963"/>
      <w:r>
        <w:rPr>
          <w:rFonts w:hint="eastAsia" w:asciiTheme="minorEastAsia" w:hAnsiTheme="minorEastAsia" w:eastAsiaTheme="minorEastAsia" w:cstheme="minorEastAsia"/>
          <w:b/>
          <w:bCs/>
          <w:sz w:val="24"/>
          <w:szCs w:val="21"/>
        </w:rPr>
        <w:t>12、响应文件格式</w:t>
      </w:r>
      <w:bookmarkEnd w:id="74"/>
      <w:bookmarkEnd w:id="75"/>
      <w:bookmarkEnd w:id="76"/>
      <w:bookmarkEnd w:id="77"/>
      <w:bookmarkEnd w:id="78"/>
      <w:bookmarkEnd w:id="79"/>
      <w:bookmarkEnd w:id="80"/>
      <w:bookmarkEnd w:id="81"/>
      <w:bookmarkEnd w:id="82"/>
      <w:bookmarkEnd w:id="83"/>
      <w:bookmarkEnd w:id="84"/>
      <w:bookmarkEnd w:id="85"/>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供应商应按本章“11、响应文件的组成”中的要求提供响应文件，文件格式可参考第五</w:t>
      </w:r>
      <w:r>
        <w:rPr>
          <w:rFonts w:hint="eastAsia" w:asciiTheme="minorEastAsia" w:hAnsiTheme="minorEastAsia" w:eastAsiaTheme="minorEastAsia" w:cstheme="minorEastAsia"/>
          <w:sz w:val="24"/>
          <w:szCs w:val="21"/>
          <w:lang w:eastAsia="zh-CN"/>
        </w:rPr>
        <w:t>章</w:t>
      </w:r>
      <w:r>
        <w:rPr>
          <w:rFonts w:hint="eastAsia" w:asciiTheme="minorEastAsia" w:hAnsiTheme="minorEastAsia" w:eastAsiaTheme="minorEastAsia" w:cstheme="minorEastAsia"/>
          <w:sz w:val="24"/>
          <w:szCs w:val="21"/>
        </w:rPr>
        <w:t>“响应文件格式”。若表格的栏目设计不够，供应商可按照同一格式自制表格填写；未提出的格式，供应商应自行拟定格式佐证响应。</w:t>
      </w:r>
    </w:p>
    <w:p>
      <w:pPr>
        <w:pStyle w:val="9"/>
        <w:spacing w:line="360" w:lineRule="auto"/>
        <w:outlineLvl w:val="1"/>
        <w:rPr>
          <w:rFonts w:asciiTheme="minorEastAsia" w:hAnsiTheme="minorEastAsia" w:eastAsiaTheme="minorEastAsia" w:cstheme="minorEastAsia"/>
          <w:b/>
          <w:bCs/>
          <w:sz w:val="24"/>
        </w:rPr>
      </w:pPr>
      <w:bookmarkStart w:id="86" w:name="_Toc239648589"/>
      <w:bookmarkStart w:id="87" w:name="_Toc239822494"/>
      <w:bookmarkStart w:id="88" w:name="_Toc239650589"/>
      <w:bookmarkStart w:id="89" w:name="_Toc239649753"/>
      <w:bookmarkStart w:id="90" w:name="_Toc239649301"/>
      <w:bookmarkStart w:id="91" w:name="_Toc460703964"/>
      <w:bookmarkStart w:id="92" w:name="_Toc424211818"/>
      <w:bookmarkStart w:id="93" w:name="_Toc239822609"/>
      <w:bookmarkStart w:id="94" w:name="_Toc239649377"/>
      <w:bookmarkStart w:id="95" w:name="_Toc239651308"/>
      <w:bookmarkStart w:id="96" w:name="_Toc239648855"/>
      <w:bookmarkStart w:id="97" w:name="_Toc424059488"/>
      <w:r>
        <w:rPr>
          <w:rFonts w:hint="eastAsia" w:asciiTheme="minorEastAsia" w:hAnsiTheme="minorEastAsia" w:eastAsiaTheme="minorEastAsia" w:cstheme="minorEastAsia"/>
          <w:b/>
          <w:bCs/>
          <w:sz w:val="24"/>
        </w:rPr>
        <w:t>13、响应文件的语言及计量单位</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 除在磋商文件的项目采购需求中另有规定外，计量单位应使用中华人民共和国法定计量单位（国际单位制和国家选定的其它计量单位）。如供应商采用其它计量单位，需事先得到采购人的同意。</w:t>
      </w:r>
    </w:p>
    <w:p>
      <w:pPr>
        <w:pStyle w:val="9"/>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14、知识产权</w:t>
      </w:r>
    </w:p>
    <w:p>
      <w:pPr>
        <w:pStyle w:val="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14.2 采购人享有本项目实施过程中产生的知识成果及知识产权。</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rPr>
        <w:t xml:space="preserve">14.4 供应商如采用其所不拥有的知识产权，则在其商务报价中必须包括合法获取该知识产权的相关费用。 </w:t>
      </w:r>
    </w:p>
    <w:p>
      <w:pPr>
        <w:spacing w:line="360" w:lineRule="auto"/>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15、竞争性磋商报价</w:t>
      </w:r>
      <w:bookmarkEnd w:id="86"/>
      <w:bookmarkEnd w:id="87"/>
      <w:bookmarkEnd w:id="88"/>
      <w:bookmarkEnd w:id="89"/>
      <w:bookmarkEnd w:id="90"/>
      <w:bookmarkEnd w:id="91"/>
      <w:bookmarkEnd w:id="92"/>
      <w:bookmarkEnd w:id="93"/>
      <w:bookmarkEnd w:id="94"/>
      <w:bookmarkEnd w:id="95"/>
      <w:bookmarkEnd w:id="96"/>
      <w:bookmarkEnd w:id="97"/>
    </w:p>
    <w:p>
      <w:pPr>
        <w:spacing w:line="360" w:lineRule="auto"/>
        <w:ind w:firstLine="480" w:firstLineChars="200"/>
        <w:rPr>
          <w:rFonts w:asciiTheme="minorEastAsia" w:hAnsiTheme="minorEastAsia" w:eastAsiaTheme="minorEastAsia" w:cstheme="minorEastAsia"/>
          <w:sz w:val="24"/>
          <w:szCs w:val="21"/>
        </w:rPr>
      </w:pPr>
      <w:bookmarkStart w:id="98" w:name="_Toc239822497"/>
      <w:bookmarkStart w:id="99" w:name="_Toc239649380"/>
      <w:bookmarkStart w:id="100" w:name="_Toc239648858"/>
      <w:bookmarkStart w:id="101" w:name="_Toc239822612"/>
      <w:bookmarkStart w:id="102" w:name="_Toc239648592"/>
      <w:bookmarkStart w:id="103" w:name="_Toc239649304"/>
      <w:bookmarkStart w:id="104" w:name="_Toc239649756"/>
      <w:bookmarkStart w:id="105" w:name="_Toc239651311"/>
      <w:bookmarkStart w:id="106" w:name="_Toc239650592"/>
      <w:r>
        <w:rPr>
          <w:rFonts w:hint="eastAsia" w:asciiTheme="minorEastAsia" w:hAnsiTheme="minorEastAsia" w:eastAsiaTheme="minorEastAsia" w:cstheme="minorEastAsia"/>
          <w:sz w:val="24"/>
          <w:szCs w:val="21"/>
        </w:rPr>
        <w:t>本次磋商报价采用两轮报价。第一次报价为响应文件书面报价；第二次报价在磋商时供应商可根据磋商情况给予让利优惠，也可以保持不变。</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15.1供应商的商务报价应是为</w:t>
      </w:r>
      <w:r>
        <w:rPr>
          <w:rFonts w:hint="eastAsia" w:ascii="宋体" w:hAnsi="宋体" w:cs="宋体"/>
          <w:sz w:val="24"/>
        </w:rPr>
        <w:t>完成</w:t>
      </w:r>
      <w:r>
        <w:rPr>
          <w:rFonts w:hint="eastAsia" w:ascii="宋体" w:hAnsi="宋体" w:cs="宋体"/>
          <w:kern w:val="0"/>
          <w:sz w:val="24"/>
          <w:lang w:eastAsia="zh-CN"/>
        </w:rPr>
        <w:t>克拉玛依市克拉玛依区人民政府昆仑路街道派出所服装采购项目</w:t>
      </w:r>
      <w:r>
        <w:rPr>
          <w:rFonts w:hint="eastAsia" w:ascii="宋体" w:hAnsi="宋体" w:cs="宋体"/>
          <w:sz w:val="24"/>
        </w:rPr>
        <w:t>应承担的所有工作，以及合同条款、 技术规范及标准、项目采购需求、</w:t>
      </w:r>
      <w:r>
        <w:rPr>
          <w:rFonts w:hint="eastAsia" w:ascii="宋体" w:hAnsi="宋体" w:cs="宋体"/>
          <w:sz w:val="24"/>
          <w:lang w:eastAsia="zh-CN"/>
        </w:rPr>
        <w:t>磋商文件</w:t>
      </w:r>
      <w:r>
        <w:rPr>
          <w:rFonts w:hint="eastAsia" w:ascii="宋体" w:hAnsi="宋体" w:cs="宋体"/>
          <w:sz w:val="24"/>
        </w:rPr>
        <w:t>约定的全部内容并配合采购人完成与此服务相关的全部工作的</w:t>
      </w:r>
      <w:r>
        <w:rPr>
          <w:rFonts w:hint="eastAsia" w:asciiTheme="minorEastAsia" w:hAnsiTheme="minorEastAsia" w:eastAsiaTheme="minorEastAsia" w:cstheme="minorEastAsia"/>
          <w:sz w:val="24"/>
          <w:szCs w:val="21"/>
        </w:rPr>
        <w:t>所有费用的总和。</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15.2任何因供应商忽视或误解采购范围、技术规范及标准、项目采购需求、合同条款和项目现场情况，若成交，采购人将不予批准由此而产生的索赔或服务期限延长申请。</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15.3商务报价中不得包含合同条款、技术规范及标准、项目采购需求、本</w:t>
      </w:r>
      <w:r>
        <w:rPr>
          <w:rFonts w:hint="eastAsia" w:asciiTheme="minorEastAsia" w:hAnsiTheme="minorEastAsia" w:eastAsiaTheme="minorEastAsia" w:cstheme="minorEastAsia"/>
          <w:sz w:val="24"/>
          <w:szCs w:val="21"/>
          <w:lang w:eastAsia="zh-CN"/>
        </w:rPr>
        <w:t>磋商文件</w:t>
      </w:r>
      <w:r>
        <w:rPr>
          <w:rFonts w:hint="eastAsia" w:asciiTheme="minorEastAsia" w:hAnsiTheme="minorEastAsia" w:eastAsiaTheme="minorEastAsia" w:cstheme="minorEastAsia"/>
          <w:sz w:val="24"/>
          <w:szCs w:val="21"/>
        </w:rPr>
        <w:t>要求以外的其他内容。</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15.4商务报价总价应包括的内容和计价因素</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（1）报价包含的内容： 配合采购人完成与此服务相关的全部工作及采购需求约定的全部内容涉及的费用。</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（2）供应商根据对本</w:t>
      </w:r>
      <w:r>
        <w:rPr>
          <w:rFonts w:hint="eastAsia" w:asciiTheme="minorEastAsia" w:hAnsiTheme="minorEastAsia" w:eastAsiaTheme="minorEastAsia" w:cstheme="minorEastAsia"/>
          <w:sz w:val="24"/>
          <w:szCs w:val="21"/>
          <w:lang w:eastAsia="zh-CN"/>
        </w:rPr>
        <w:t>磋商文件</w:t>
      </w:r>
      <w:r>
        <w:rPr>
          <w:rFonts w:hint="eastAsia" w:asciiTheme="minorEastAsia" w:hAnsiTheme="minorEastAsia" w:eastAsiaTheme="minorEastAsia" w:cstheme="minorEastAsia"/>
          <w:sz w:val="24"/>
          <w:szCs w:val="21"/>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（3）供应商认为需包含的其它费用。</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15.5供应商应按照</w:t>
      </w:r>
      <w:r>
        <w:rPr>
          <w:rFonts w:hint="eastAsia" w:asciiTheme="minorEastAsia" w:hAnsiTheme="minorEastAsia" w:eastAsiaTheme="minorEastAsia" w:cstheme="minorEastAsia"/>
          <w:sz w:val="24"/>
          <w:szCs w:val="21"/>
          <w:lang w:eastAsia="zh-CN"/>
        </w:rPr>
        <w:t>磋商文件</w:t>
      </w:r>
      <w:r>
        <w:rPr>
          <w:rFonts w:hint="eastAsia" w:asciiTheme="minorEastAsia" w:hAnsiTheme="minorEastAsia" w:eastAsiaTheme="minorEastAsia" w:cstheme="minorEastAsia"/>
          <w:sz w:val="24"/>
          <w:szCs w:val="21"/>
        </w:rPr>
        <w:t>所附的格式完整地填写商务报价一览表。供应商应对采购范围内的全部内容进行报价。</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15.6供应商若成交，不得以任何理由在合同执行期间予以价格调整。任何包含价格调整的要求将被认为是非响应而予以拒绝。</w:t>
      </w:r>
    </w:p>
    <w:p>
      <w:pPr>
        <w:pStyle w:val="9"/>
        <w:spacing w:line="360" w:lineRule="auto"/>
        <w:outlineLvl w:val="1"/>
        <w:rPr>
          <w:rFonts w:asciiTheme="minorEastAsia" w:hAnsiTheme="minorEastAsia" w:eastAsiaTheme="minorEastAsia" w:cstheme="minorEastAsia"/>
          <w:b/>
          <w:bCs/>
          <w:sz w:val="24"/>
        </w:rPr>
      </w:pPr>
      <w:bookmarkStart w:id="107" w:name="_Toc245897288"/>
      <w:r>
        <w:rPr>
          <w:rFonts w:hint="eastAsia" w:asciiTheme="minorEastAsia" w:hAnsiTheme="minorEastAsia" w:eastAsiaTheme="minorEastAsia" w:cstheme="minorEastAsia"/>
          <w:b/>
          <w:bCs/>
          <w:sz w:val="24"/>
        </w:rPr>
        <w:t>16、商务报价货币</w:t>
      </w:r>
      <w:bookmarkEnd w:id="107"/>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商务报价一览表、设备、材料清单及价格明细表和响应文件中的所有报价一律使用人民币（RMB）填报。</w:t>
      </w:r>
    </w:p>
    <w:p>
      <w:pPr>
        <w:spacing w:line="360" w:lineRule="auto"/>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17、供应商</w:t>
      </w:r>
      <w:bookmarkStart w:id="108" w:name="_Toc424211819"/>
      <w:bookmarkStart w:id="109" w:name="_Toc424059489"/>
      <w:bookmarkStart w:id="110" w:name="_Toc460703965"/>
      <w:r>
        <w:rPr>
          <w:rFonts w:hint="eastAsia" w:asciiTheme="minorEastAsia" w:hAnsiTheme="minorEastAsia" w:eastAsiaTheme="minorEastAsia" w:cstheme="minorEastAsia"/>
          <w:b/>
          <w:bCs/>
          <w:sz w:val="24"/>
          <w:szCs w:val="21"/>
        </w:rPr>
        <w:t>响应文件的编写与密封</w:t>
      </w:r>
      <w:bookmarkEnd w:id="98"/>
      <w:bookmarkEnd w:id="99"/>
      <w:bookmarkEnd w:id="100"/>
      <w:bookmarkEnd w:id="101"/>
      <w:bookmarkEnd w:id="102"/>
      <w:bookmarkEnd w:id="103"/>
      <w:bookmarkEnd w:id="104"/>
      <w:bookmarkEnd w:id="105"/>
      <w:bookmarkEnd w:id="106"/>
      <w:bookmarkEnd w:id="108"/>
      <w:bookmarkEnd w:id="109"/>
      <w:bookmarkEnd w:id="110"/>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17.1供应商应按本磋商文件所规定的格式、内容等编制响应文件，响应文件须在封面清楚标明“正本”或“副本”字样，“副本”可用“正本”的完整复印件装订，“正本”和“副本”之间如有差异，以正本为准。每本磋商文件装订方式应为左侧胶装。</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17.2响应文件应由供应商法定代表人或经其正式授权的代理人在“磋商文件”要求签章的地方签字并加盖公章，并在每本响应文件封面标明正本（或副本）、项目名称及编号、供应商名称、时间（封面格式见“第五章”）。</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17.3响应文件应按以下方法密封：</w:t>
      </w:r>
      <w:r>
        <w:rPr>
          <w:rFonts w:hint="eastAsia" w:asciiTheme="minorEastAsia" w:hAnsiTheme="minorEastAsia" w:eastAsiaTheme="minorEastAsia" w:cstheme="minorEastAsia"/>
          <w:b/>
          <w:bCs/>
          <w:sz w:val="24"/>
          <w:szCs w:val="21"/>
        </w:rPr>
        <w:t>供应商应将响应文件正本、所有副本分别密封在不透明袋内（电子文档和正本密封在一起），并在密封袋上标明项目名称及编号、供应商名称、时间。封口处均应贴密封条，并加盖供应商公章。</w:t>
      </w:r>
    </w:p>
    <w:p>
      <w:pPr>
        <w:spacing w:line="360" w:lineRule="auto"/>
        <w:ind w:left="42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b/>
          <w:bCs/>
          <w:sz w:val="24"/>
          <w:szCs w:val="21"/>
        </w:rPr>
        <w:t>不按照以上要求编写与密封的响应文件将被拒绝</w:t>
      </w:r>
      <w:r>
        <w:rPr>
          <w:rFonts w:hint="eastAsia" w:asciiTheme="minorEastAsia" w:hAnsiTheme="minorEastAsia" w:eastAsiaTheme="minorEastAsia" w:cstheme="minorEastAsia"/>
          <w:sz w:val="24"/>
          <w:szCs w:val="21"/>
        </w:rPr>
        <w:t>。</w:t>
      </w:r>
    </w:p>
    <w:p>
      <w:pPr>
        <w:spacing w:line="360" w:lineRule="auto"/>
        <w:rPr>
          <w:rFonts w:asciiTheme="minorEastAsia" w:hAnsiTheme="minorEastAsia" w:eastAsiaTheme="minorEastAsia" w:cstheme="minorEastAsia"/>
          <w:b/>
          <w:bCs/>
          <w:sz w:val="24"/>
          <w:szCs w:val="21"/>
        </w:rPr>
      </w:pPr>
      <w:bookmarkStart w:id="111" w:name="_Toc239649381"/>
      <w:bookmarkStart w:id="112" w:name="_Toc239649757"/>
      <w:bookmarkStart w:id="113" w:name="_Toc460703966"/>
      <w:bookmarkStart w:id="114" w:name="_Toc239822613"/>
      <w:bookmarkStart w:id="115" w:name="_Toc239822498"/>
      <w:bookmarkStart w:id="116" w:name="_Toc424059490"/>
      <w:bookmarkStart w:id="117" w:name="_Toc239649305"/>
      <w:bookmarkStart w:id="118" w:name="_Toc239651312"/>
      <w:bookmarkStart w:id="119" w:name="_Toc424211820"/>
      <w:bookmarkStart w:id="120" w:name="_Toc239648593"/>
      <w:bookmarkStart w:id="121" w:name="_Toc239648859"/>
      <w:bookmarkStart w:id="122" w:name="_Toc239650593"/>
      <w:r>
        <w:rPr>
          <w:rFonts w:hint="eastAsia" w:asciiTheme="minorEastAsia" w:hAnsiTheme="minorEastAsia" w:eastAsiaTheme="minorEastAsia" w:cstheme="minorEastAsia"/>
          <w:b/>
          <w:bCs/>
          <w:sz w:val="24"/>
          <w:szCs w:val="21"/>
        </w:rPr>
        <w:t>18、响应文件的递交</w:t>
      </w:r>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18.1各供应商应在本磋商文件“第一章 竞争性磋商公告”规定的响应文件递交截止时间前，将响应文件送达磋商地点。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1"/>
        </w:rPr>
        <w:t>18.2递交截止时间后递交的响应文件，采购人或委托采购代理机构将依法拒绝接收。</w:t>
      </w:r>
      <w:bookmarkStart w:id="123" w:name="_Toc243906324"/>
      <w:bookmarkStart w:id="124" w:name="_Toc245897284"/>
      <w:bookmarkStart w:id="125" w:name="_Toc243907584"/>
      <w:bookmarkStart w:id="126" w:name="_Toc233274824"/>
      <w:bookmarkStart w:id="127" w:name="_Toc154996580"/>
    </w:p>
    <w:bookmarkEnd w:id="123"/>
    <w:bookmarkEnd w:id="124"/>
    <w:bookmarkEnd w:id="125"/>
    <w:bookmarkEnd w:id="126"/>
    <w:p>
      <w:pPr>
        <w:pStyle w:val="9"/>
        <w:spacing w:line="360" w:lineRule="auto"/>
        <w:outlineLvl w:val="1"/>
        <w:rPr>
          <w:rFonts w:asciiTheme="minorEastAsia" w:hAnsiTheme="minorEastAsia" w:eastAsiaTheme="minorEastAsia" w:cstheme="minorEastAsia"/>
          <w:b/>
          <w:bCs/>
          <w:sz w:val="24"/>
        </w:rPr>
      </w:pPr>
      <w:bookmarkStart w:id="128" w:name="_Toc243906330"/>
      <w:bookmarkStart w:id="129" w:name="_Toc233274831"/>
      <w:bookmarkStart w:id="130" w:name="_Toc245897291"/>
      <w:bookmarkStart w:id="131" w:name="_Toc243907591"/>
      <w:r>
        <w:rPr>
          <w:rFonts w:hint="eastAsia" w:asciiTheme="minorEastAsia" w:hAnsiTheme="minorEastAsia" w:eastAsiaTheme="minorEastAsia" w:cstheme="minorEastAsia"/>
          <w:b/>
          <w:bCs/>
          <w:sz w:val="24"/>
        </w:rPr>
        <w:t>19、响应文件有效期</w:t>
      </w:r>
      <w:bookmarkEnd w:id="128"/>
      <w:bookmarkEnd w:id="129"/>
      <w:bookmarkEnd w:id="130"/>
      <w:bookmarkEnd w:id="131"/>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w:t>
      </w:r>
      <w:r>
        <w:rPr>
          <w:rFonts w:hint="eastAsia" w:asciiTheme="minorEastAsia" w:hAnsiTheme="minorEastAsia" w:eastAsiaTheme="minorEastAsia" w:cstheme="minorEastAsia"/>
          <w:bCs/>
          <w:sz w:val="24"/>
        </w:rPr>
        <w:t>响应文件有</w:t>
      </w:r>
      <w:r>
        <w:rPr>
          <w:rFonts w:hint="eastAsia" w:asciiTheme="minorEastAsia" w:hAnsiTheme="minorEastAsia" w:eastAsiaTheme="minorEastAsia" w:cstheme="minorEastAsia"/>
          <w:sz w:val="24"/>
        </w:rPr>
        <w:t>效期为递交响应文件截止之日起90天（日历日）。供应商的响应文件有效期比规定的有效期短的，将被视为非响应而予以拒绝。</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9"/>
        <w:spacing w:line="360" w:lineRule="auto"/>
        <w:outlineLvl w:val="1"/>
        <w:rPr>
          <w:rFonts w:asciiTheme="minorEastAsia" w:hAnsiTheme="minorEastAsia" w:eastAsiaTheme="minorEastAsia" w:cstheme="minorEastAsia"/>
          <w:b/>
          <w:bCs/>
          <w:sz w:val="24"/>
        </w:rPr>
      </w:pPr>
      <w:bookmarkStart w:id="132" w:name="_Toc243906337"/>
      <w:bookmarkStart w:id="133" w:name="_Toc243907598"/>
      <w:bookmarkStart w:id="134" w:name="_Toc233274838"/>
      <w:bookmarkStart w:id="135" w:name="_Toc245897298"/>
      <w:r>
        <w:rPr>
          <w:rFonts w:hint="eastAsia" w:asciiTheme="minorEastAsia" w:hAnsiTheme="minorEastAsia" w:eastAsiaTheme="minorEastAsia" w:cstheme="minorEastAsia"/>
          <w:b/>
          <w:bCs/>
          <w:sz w:val="24"/>
        </w:rPr>
        <w:t>20、响应文件的修改和撤回</w:t>
      </w:r>
      <w:bookmarkEnd w:id="132"/>
      <w:bookmarkEnd w:id="133"/>
      <w:bookmarkEnd w:id="134"/>
      <w:bookmarkEnd w:id="135"/>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 供应商在提交响应文件后可在截止时间前对其响应文件进行修改或撤回，但采购人须在截止时间之前收到该修改或撤回的书面通知，该通知须有法定代表人或经有效授权的委托代理人签字或盖章。</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 供应商对响应文件修改的书面材料或撤回的通知应按第17条规定进行编写、密封、标记和递交，并注明“修改响应文件”或“撤回响应文件”字样。</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20.3截止时间之后，供应商不得对响应文件做任何修改。</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20.4 供应商不得在截止时间起至响应文件有效期期满前撤回响应文件。</w:t>
      </w:r>
    </w:p>
    <w:bookmarkEnd w:id="127"/>
    <w:p>
      <w:pPr>
        <w:spacing w:line="360" w:lineRule="auto"/>
        <w:jc w:val="center"/>
        <w:outlineLvl w:val="1"/>
        <w:rPr>
          <w:rFonts w:asciiTheme="minorEastAsia" w:hAnsiTheme="minorEastAsia" w:eastAsiaTheme="minorEastAsia" w:cstheme="minorEastAsia"/>
          <w:b/>
          <w:bCs/>
          <w:sz w:val="28"/>
          <w:szCs w:val="28"/>
        </w:rPr>
      </w:pPr>
      <w:bookmarkStart w:id="136" w:name="_Toc246216209"/>
      <w:bookmarkStart w:id="137" w:name="_Toc243907600"/>
      <w:bookmarkStart w:id="138" w:name="_Toc243906339"/>
      <w:bookmarkStart w:id="139" w:name="_Toc233274840"/>
      <w:r>
        <w:rPr>
          <w:rFonts w:hint="eastAsia" w:asciiTheme="minorEastAsia" w:hAnsiTheme="minorEastAsia" w:eastAsiaTheme="minorEastAsia" w:cstheme="minorEastAsia"/>
          <w:b/>
          <w:bCs/>
          <w:sz w:val="28"/>
          <w:szCs w:val="28"/>
        </w:rPr>
        <w:t>D 磋商、评审、</w:t>
      </w:r>
      <w:bookmarkEnd w:id="136"/>
      <w:bookmarkEnd w:id="137"/>
      <w:bookmarkEnd w:id="138"/>
      <w:bookmarkEnd w:id="139"/>
      <w:r>
        <w:rPr>
          <w:rFonts w:hint="eastAsia" w:asciiTheme="minorEastAsia" w:hAnsiTheme="minorEastAsia" w:eastAsiaTheme="minorEastAsia" w:cstheme="minorEastAsia"/>
          <w:b/>
          <w:bCs/>
          <w:sz w:val="28"/>
          <w:szCs w:val="28"/>
        </w:rPr>
        <w:t>确定成交供应商</w:t>
      </w:r>
    </w:p>
    <w:p>
      <w:pPr>
        <w:spacing w:line="360" w:lineRule="auto"/>
        <w:outlineLvl w:val="1"/>
        <w:rPr>
          <w:rFonts w:asciiTheme="minorEastAsia" w:hAnsiTheme="minorEastAsia" w:eastAsiaTheme="minorEastAsia" w:cstheme="minorEastAsia"/>
          <w:b/>
          <w:bCs/>
          <w:sz w:val="24"/>
          <w:szCs w:val="20"/>
        </w:rPr>
      </w:pPr>
      <w:r>
        <w:rPr>
          <w:rFonts w:hint="eastAsia" w:asciiTheme="minorEastAsia" w:hAnsiTheme="minorEastAsia" w:eastAsiaTheme="minorEastAsia" w:cstheme="minorEastAsia"/>
          <w:b/>
          <w:bCs/>
          <w:sz w:val="24"/>
          <w:szCs w:val="20"/>
        </w:rPr>
        <w:t>21、磋商会议</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21.1采购人在本供应商须知前附表第8项规定的时间和地点组织磋商会议。</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21.2供应商应委派代表参加磋商会议。</w:t>
      </w:r>
      <w:r>
        <w:rPr>
          <w:rFonts w:hint="eastAsia" w:asciiTheme="minorEastAsia" w:hAnsiTheme="minorEastAsia" w:eastAsiaTheme="minorEastAsia" w:cstheme="minorEastAsia"/>
          <w:bCs/>
          <w:sz w:val="24"/>
          <w:szCs w:val="20"/>
        </w:rPr>
        <w:t>参加磋商会议的代表应持有法定代表人身份证原件或法定代表人授权委托书及委托代理人身份证原件。</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21.3磋商会议由采购代理机构组织并主持。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21.4在磋商过程中，工作人员如发现响应文件组成部分不齐全，由磋商小组认定其有效性。磋商小组认定的无效响应文件将不进入磋商、评审阶段。</w:t>
      </w:r>
    </w:p>
    <w:p>
      <w:pPr>
        <w:spacing w:line="360" w:lineRule="auto"/>
        <w:outlineLvl w:val="1"/>
        <w:rPr>
          <w:rFonts w:asciiTheme="minorEastAsia" w:hAnsiTheme="minorEastAsia" w:eastAsiaTheme="minorEastAsia" w:cstheme="minorEastAsia"/>
          <w:b/>
          <w:bCs/>
          <w:sz w:val="24"/>
          <w:szCs w:val="20"/>
        </w:rPr>
      </w:pPr>
      <w:bookmarkStart w:id="140" w:name="_Toc233274842"/>
      <w:bookmarkStart w:id="141" w:name="_Toc245897302"/>
      <w:bookmarkStart w:id="142" w:name="_Toc243906341"/>
      <w:bookmarkStart w:id="143" w:name="_Toc243907602"/>
      <w:r>
        <w:rPr>
          <w:rFonts w:hint="eastAsia" w:asciiTheme="minorEastAsia" w:hAnsiTheme="minorEastAsia" w:eastAsiaTheme="minorEastAsia" w:cstheme="minorEastAsia"/>
          <w:b/>
          <w:bCs/>
          <w:sz w:val="24"/>
          <w:szCs w:val="20"/>
        </w:rPr>
        <w:t>22、磋商小组</w:t>
      </w:r>
      <w:bookmarkEnd w:id="140"/>
      <w:bookmarkEnd w:id="141"/>
      <w:bookmarkEnd w:id="142"/>
      <w:bookmarkEnd w:id="143"/>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22.1采购人根据本项目的特点，依照《中华人民共和国政府采购法》、《政府采购竞争性磋商采购方式管理暂行办法》的有关规定组建磋商小组，成员人数为3人（含）以上单数，包括技术、经济（金融）、法律等相关专业专家。</w:t>
      </w:r>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22.2磋商小组将在磋商文件规定的时间和地点集中与单一供应商分别进行磋商。并给予所有参加磋商的供应商平等的磋商机会。</w:t>
      </w:r>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参加磋商的供应商代表应签名报到证明其出席，如未按时签到，将被视为供应商自动放弃竞争性磋商权利。</w:t>
      </w:r>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22.3磋商过程中，磋商小组成员不得与供应商私下交换意见，并在磋商工作结束后，不得将磋商情况进行泄露。</w:t>
      </w:r>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22.4回避</w:t>
      </w:r>
    </w:p>
    <w:p>
      <w:pPr>
        <w:widowControl/>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评审专家不得参加与自己有利害关系的政府采购项目的评审活动。对与自己有利害关系的评审项目，如受到邀请，应主动提出回避。财政部门、采购人或采购代理机构也可要求该评审专家回避</w:t>
      </w:r>
    </w:p>
    <w:p>
      <w:pPr>
        <w:widowControl/>
        <w:spacing w:line="360" w:lineRule="auto"/>
        <w:rPr>
          <w:rFonts w:asciiTheme="minorEastAsia" w:hAnsiTheme="minorEastAsia" w:eastAsiaTheme="minorEastAsia" w:cstheme="minorEastAsia"/>
          <w:b/>
          <w:bCs/>
          <w:sz w:val="24"/>
          <w:szCs w:val="20"/>
        </w:rPr>
      </w:pPr>
      <w:r>
        <w:rPr>
          <w:rFonts w:hint="eastAsia" w:asciiTheme="minorEastAsia" w:hAnsiTheme="minorEastAsia" w:eastAsiaTheme="minorEastAsia" w:cstheme="minorEastAsia"/>
          <w:b/>
          <w:bCs/>
          <w:sz w:val="24"/>
          <w:szCs w:val="20"/>
        </w:rPr>
        <w:t>23、磋商程序</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磋商小组将依照以下程序进行磋商评审，首先对响应文件进行资格性和符合性的初步审查：</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23.1资格性检查</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磋商小组依据法律法规和磋商文件的规定,对响应文件中的资格证明文件是否齐全、以及证件有效性进行审查,以确定供应商是否具合格供应商资格：</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23.1.1供应商资料（包括供应商单位基本情况表、企业情况简介等）；</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23.1.2供应商的营业执照副本、组织机构代码证副本、税务登记证副本、基本户开户许可证、授权委托书、行业资质证书；</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23.1.3参与磋商的供应商以他人的名义参加磋商、串通、以行贿手段谋取成交或者以其他弄虚作假方式参加磋商的，该参与磋商的供应商的响应文件将作无效响应文件处理。</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23.2符合性检查</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依据磋商文件的规定，从响应文件的有效性、完整性和对磋商文件的响应程度进行审查，以确定是否对磋商文件的实质性要求作出响应。符合性审查的内容包括：</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23.2.1响应文件内容是否齐全；</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23.2.2是否按照要求提交磋商保证金；</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23.2.3是否按照磋商文件的要求密封、签署、盖章；</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23.2.4响应文件是否有采购人不能接收的条件；</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23.2.5其他法律、法规及本</w:t>
      </w:r>
      <w:r>
        <w:rPr>
          <w:rFonts w:hint="eastAsia" w:asciiTheme="minorEastAsia" w:hAnsiTheme="minorEastAsia" w:eastAsiaTheme="minorEastAsia" w:cstheme="minorEastAsia"/>
          <w:sz w:val="24"/>
          <w:szCs w:val="20"/>
          <w:lang w:eastAsia="zh-CN"/>
        </w:rPr>
        <w:t>磋商文件</w:t>
      </w:r>
      <w:r>
        <w:rPr>
          <w:rFonts w:hint="eastAsia" w:asciiTheme="minorEastAsia" w:hAnsiTheme="minorEastAsia" w:eastAsiaTheme="minorEastAsia" w:cstheme="minorEastAsia"/>
          <w:sz w:val="24"/>
          <w:szCs w:val="20"/>
        </w:rPr>
        <w:t>规定的属响应无效的情形。</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23.3磋商过程和评标准则</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rPr>
        <w:t>23.3.1</w:t>
      </w:r>
      <w:r>
        <w:rPr>
          <w:rFonts w:hint="eastAsia" w:asciiTheme="minorEastAsia" w:hAnsiTheme="minorEastAsia" w:eastAsiaTheme="minorEastAsia" w:cstheme="minorEastAsia"/>
          <w:sz w:val="24"/>
          <w:szCs w:val="20"/>
          <w:lang w:val="zh-CN"/>
        </w:rPr>
        <w:t>在</w:t>
      </w:r>
      <w:r>
        <w:rPr>
          <w:rFonts w:hint="eastAsia" w:asciiTheme="minorEastAsia" w:hAnsiTheme="minorEastAsia" w:eastAsiaTheme="minorEastAsia" w:cstheme="minorEastAsia"/>
          <w:sz w:val="24"/>
          <w:szCs w:val="20"/>
        </w:rPr>
        <w:t>磋商</w:t>
      </w:r>
      <w:r>
        <w:rPr>
          <w:rFonts w:hint="eastAsia" w:asciiTheme="minorEastAsia" w:hAnsiTheme="minorEastAsia" w:eastAsiaTheme="minorEastAsia" w:cstheme="minorEastAsia"/>
          <w:sz w:val="24"/>
          <w:szCs w:val="20"/>
          <w:lang w:val="zh-CN"/>
        </w:rPr>
        <w:t>开始前，按</w:t>
      </w:r>
      <w:r>
        <w:rPr>
          <w:rFonts w:hint="eastAsia" w:asciiTheme="minorEastAsia" w:hAnsiTheme="minorEastAsia" w:eastAsiaTheme="minorEastAsia" w:cstheme="minorEastAsia"/>
          <w:sz w:val="24"/>
          <w:szCs w:val="20"/>
        </w:rPr>
        <w:t>签到的逆向顺序确定</w:t>
      </w:r>
      <w:r>
        <w:rPr>
          <w:rFonts w:hint="eastAsia" w:asciiTheme="minorEastAsia" w:hAnsiTheme="minorEastAsia" w:eastAsiaTheme="minorEastAsia" w:cstheme="minorEastAsia"/>
          <w:sz w:val="24"/>
          <w:szCs w:val="20"/>
          <w:lang w:val="zh-CN"/>
        </w:rPr>
        <w:t>谈判顺序。</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rPr>
        <w:t>23.3.2</w:t>
      </w:r>
      <w:r>
        <w:rPr>
          <w:rFonts w:hint="eastAsia" w:asciiTheme="minorEastAsia" w:hAnsiTheme="minorEastAsia" w:eastAsiaTheme="minorEastAsia" w:cstheme="minorEastAsia"/>
          <w:sz w:val="24"/>
          <w:szCs w:val="20"/>
          <w:lang w:val="zh-CN"/>
        </w:rPr>
        <w:t>谈判过程将按照如下步骤进行：</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第一轮次：评审及应答阶段。</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一，磋商小组从本项目技术方案、实施方案的可行性、先进性、安全性、实用性等方面对用户需求的满意程度（含类似项目业绩，开发、集成人员资质，实施本项目的资金能力、技术能力、履约能力和用户信誉等方面的从业表现，及伴随服务等方面）进行评审。</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第二，磋商小组对技术方案与实施方案是否满足用户方要求进行评审。</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第三，磋商小组根据评审、评议情况，要求谈判供应商就商务、技术、服务等偏离情况做出进一步解释和承诺。</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第四，重复上述过程，直至磋商双方均认为准确、完全表达了自身的谈判意向。经此过程后，对于仍不能满足用户需求的供应商将被淘汰，未被淘汰的被认定为候选供应商。</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第二轮次：评定成交阶段</w:t>
      </w:r>
    </w:p>
    <w:p>
      <w:pPr>
        <w:spacing w:line="360" w:lineRule="auto"/>
        <w:ind w:firstLine="480" w:firstLineChars="200"/>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在第一轮次的基础上，供应商进行二次报价（提供书面报价，并由法定授权人签字或供应商盖章），磋商小组按</w:t>
      </w:r>
      <w:r>
        <w:rPr>
          <w:rFonts w:hint="eastAsia" w:asciiTheme="minorEastAsia" w:hAnsiTheme="minorEastAsia" w:eastAsiaTheme="minorEastAsia" w:cstheme="minorEastAsia"/>
          <w:sz w:val="24"/>
          <w:szCs w:val="20"/>
        </w:rPr>
        <w:t>服务需求完善，综合评标，评委打分汇总总分最高的供应商</w:t>
      </w:r>
      <w:r>
        <w:rPr>
          <w:rFonts w:hint="eastAsia" w:asciiTheme="minorEastAsia" w:hAnsiTheme="minorEastAsia" w:eastAsiaTheme="minorEastAsia" w:cstheme="minorEastAsia"/>
          <w:sz w:val="24"/>
          <w:szCs w:val="20"/>
          <w:lang w:val="zh-CN"/>
        </w:rPr>
        <w:t>进行排名，推荐成交候选人第一名为中标人。</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lang w:val="zh-CN"/>
        </w:rPr>
        <w:t>注：</w:t>
      </w:r>
      <w:r>
        <w:rPr>
          <w:rFonts w:hint="eastAsia" w:asciiTheme="minorEastAsia" w:hAnsiTheme="minorEastAsia" w:eastAsiaTheme="minorEastAsia" w:cstheme="minorEastAsia"/>
          <w:sz w:val="24"/>
          <w:szCs w:val="20"/>
        </w:rPr>
        <w:t>本次采购并不一定以最低价中标；</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23.4评标标准</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23.4.1本项目评审严格按照磋商文件的要求和条件进行。</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23.4.2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23.4.3本项目评审采用综合评分法，严格按照磋商文件的要求和条件进行。</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23.4.4</w:t>
      </w:r>
      <w:r>
        <w:rPr>
          <w:rFonts w:hint="eastAsia" w:asciiTheme="minorEastAsia" w:hAnsiTheme="minorEastAsia" w:eastAsiaTheme="minorEastAsia" w:cstheme="minorEastAsia"/>
          <w:b/>
          <w:bCs/>
          <w:sz w:val="24"/>
          <w:szCs w:val="20"/>
        </w:rPr>
        <w:t>评审分值：总分值为100分，其中价格分值为</w:t>
      </w:r>
      <w:r>
        <w:rPr>
          <w:rFonts w:hint="eastAsia" w:asciiTheme="minorEastAsia" w:hAnsiTheme="minorEastAsia" w:eastAsiaTheme="minorEastAsia" w:cstheme="minorEastAsia"/>
          <w:b/>
          <w:bCs/>
          <w:sz w:val="24"/>
          <w:szCs w:val="20"/>
          <w:lang w:val="en-US" w:eastAsia="zh-CN"/>
        </w:rPr>
        <w:t>3</w:t>
      </w:r>
      <w:r>
        <w:rPr>
          <w:rFonts w:hint="eastAsia" w:asciiTheme="minorEastAsia" w:hAnsiTheme="minorEastAsia" w:eastAsiaTheme="minorEastAsia" w:cstheme="minorEastAsia"/>
          <w:b/>
          <w:bCs/>
          <w:sz w:val="24"/>
          <w:szCs w:val="20"/>
        </w:rPr>
        <w:t>0分，其余部分分值为</w:t>
      </w:r>
      <w:r>
        <w:rPr>
          <w:rFonts w:hint="eastAsia" w:asciiTheme="minorEastAsia" w:hAnsiTheme="minorEastAsia" w:eastAsiaTheme="minorEastAsia" w:cstheme="minorEastAsia"/>
          <w:b/>
          <w:bCs/>
          <w:sz w:val="24"/>
          <w:szCs w:val="20"/>
          <w:lang w:val="en-US" w:eastAsia="zh-CN"/>
        </w:rPr>
        <w:t>7</w:t>
      </w:r>
      <w:r>
        <w:rPr>
          <w:rFonts w:hint="eastAsia" w:asciiTheme="minorEastAsia" w:hAnsiTheme="minorEastAsia" w:eastAsiaTheme="minorEastAsia" w:cstheme="minorEastAsia"/>
          <w:b/>
          <w:bCs/>
          <w:sz w:val="24"/>
          <w:szCs w:val="20"/>
        </w:rPr>
        <w:t>0分，具体评审评分内容详见本磋商文件“第六章 评标标准（综合评分法）”。</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23.4.5评分计算结果保留两位小数，第三位小数四舍五入。</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23.4.6磋商小组复核。磋商小组评分汇总结束后，磋商小组应当进行评审复核，对拟推荐为成交候选供应商的、报价最低的、供应商资格审查未通过的、供应商响应文件作无效处理的重点复核。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23.5推荐成交候选供应商</w:t>
      </w:r>
    </w:p>
    <w:p>
      <w:pPr>
        <w:spacing w:line="360" w:lineRule="auto"/>
        <w:ind w:firstLine="480" w:firstLineChars="200"/>
        <w:rPr>
          <w:rFonts w:eastAsiaTheme="minorEastAsia"/>
        </w:rPr>
      </w:pPr>
      <w:r>
        <w:rPr>
          <w:rFonts w:hint="eastAsia" w:asciiTheme="minorEastAsia" w:hAnsiTheme="minorEastAsia" w:eastAsiaTheme="minorEastAsia" w:cstheme="minorEastAsia"/>
          <w:sz w:val="24"/>
          <w:szCs w:val="20"/>
        </w:rPr>
        <w:t>23.5.1各供应商的评审得分由高至低排序，评审得分排列前3名的供应商被推荐为成交候选供应商。评审得分相同的，按照最后报价由低到高的顺序推荐。评审得分且最后报价相同的，按照技术指标优劣顺序推荐。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rPr>
          <w:rFonts w:asciiTheme="minorEastAsia" w:hAnsiTheme="minorEastAsia" w:eastAsiaTheme="minorEastAsia" w:cstheme="minorEastAsia"/>
          <w:sz w:val="24"/>
          <w:szCs w:val="20"/>
        </w:rPr>
      </w:pPr>
      <w:bookmarkStart w:id="144" w:name="_Toc245897305"/>
      <w:bookmarkStart w:id="145" w:name="_Toc224623557"/>
      <w:bookmarkStart w:id="146" w:name="_Toc243907606"/>
      <w:bookmarkStart w:id="147" w:name="_Toc224624628"/>
      <w:bookmarkStart w:id="148" w:name="_Toc224622928"/>
      <w:bookmarkStart w:id="149" w:name="_Toc224620150"/>
      <w:bookmarkStart w:id="150" w:name="_Toc224620071"/>
      <w:bookmarkStart w:id="151" w:name="_Toc224624767"/>
      <w:bookmarkStart w:id="152" w:name="_Toc224624488"/>
      <w:bookmarkStart w:id="153" w:name="_Toc224623663"/>
      <w:bookmarkStart w:id="154" w:name="_Toc224623451"/>
      <w:bookmarkStart w:id="155" w:name="_Toc243906345"/>
      <w:r>
        <w:rPr>
          <w:rFonts w:hint="eastAsia" w:asciiTheme="minorEastAsia" w:hAnsiTheme="minorEastAsia" w:eastAsiaTheme="minorEastAsia" w:cstheme="minorEastAsia"/>
          <w:sz w:val="24"/>
          <w:szCs w:val="20"/>
        </w:rPr>
        <w:t>24、商务报价错误的修正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24.1如果发现商务报价存在计算或表达上错误，则按下列原则进行修正：</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24.1.1用数字表示的数额与用文字表示的数额不一致时，以文字数额为准；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24.1.2单价与工程量的乘积与总价之间不一致时，以单价为准。若单价有明显小数点错位，应以总价为准，并修改单价。</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24.2磋商小组将按第24.1条原则修正商务报价，并要求供应商进行确认。确认后的报价和文件将对供应商具有约束力。并以修正后的报价作为评审的依据。</w:t>
      </w:r>
    </w:p>
    <w:bookmarkEnd w:id="144"/>
    <w:bookmarkEnd w:id="145"/>
    <w:bookmarkEnd w:id="146"/>
    <w:bookmarkEnd w:id="147"/>
    <w:bookmarkEnd w:id="148"/>
    <w:bookmarkEnd w:id="149"/>
    <w:bookmarkEnd w:id="150"/>
    <w:bookmarkEnd w:id="151"/>
    <w:bookmarkEnd w:id="152"/>
    <w:bookmarkEnd w:id="153"/>
    <w:bookmarkEnd w:id="154"/>
    <w:bookmarkEnd w:id="155"/>
    <w:p>
      <w:pPr>
        <w:spacing w:line="360" w:lineRule="auto"/>
        <w:outlineLvl w:val="1"/>
        <w:rPr>
          <w:rFonts w:asciiTheme="minorEastAsia" w:hAnsiTheme="minorEastAsia" w:eastAsiaTheme="minorEastAsia" w:cstheme="minorEastAsia"/>
          <w:b/>
          <w:bCs/>
        </w:rPr>
      </w:pPr>
      <w:bookmarkStart w:id="156" w:name="_Toc243906346"/>
      <w:bookmarkStart w:id="157" w:name="_Toc233274845"/>
      <w:bookmarkStart w:id="158" w:name="_Toc245897306"/>
      <w:bookmarkStart w:id="159" w:name="_Toc243907607"/>
      <w:r>
        <w:rPr>
          <w:rFonts w:hint="eastAsia" w:asciiTheme="minorEastAsia" w:hAnsiTheme="minorEastAsia" w:eastAsiaTheme="minorEastAsia" w:cstheme="minorEastAsia"/>
          <w:b/>
          <w:bCs/>
          <w:sz w:val="24"/>
        </w:rPr>
        <w:t>25、响应文件的澄清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为有助于对响应文件的审查、评价和比较，磋商小组在评审过程中有权随时请供应商对其响应文件进行澄清，有关澄清的要求和答复应以书面形式提交，供应商对澄清问题的书面答复应有法定代表或委托代理人签字或盖章，但不得寻求、提供或允许对最后报价或响应文件中的其他实质性内容做任何更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供应商法定代表或委托代理人在评审过程中应保证随时接受磋商小组质询。若供应商法定代表或委托代理人因故不能接受质询，其响应文件仍有效，但应视为供应商已默认磋商小组对缺席的质询所作出的结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 磋商小组允许供应商通过澄清答复修正其最后报价中不构成重大偏离的、微小的、非正规的、不一致的或不规范的地方，但这些修正不能影响任何供应商的相关名次排列。</w:t>
      </w:r>
    </w:p>
    <w:p>
      <w:pPr>
        <w:spacing w:line="360" w:lineRule="auto"/>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25.4如果供应商在响应文件中未对磋商文件、技术规格及标准、项目采购需求、合同主要内容等提出偏离意见或澄清，将视同供应商同意上述文件的全部条款和要求。</w:t>
      </w:r>
    </w:p>
    <w:p>
      <w:pPr>
        <w:widowControl/>
        <w:spacing w:line="360" w:lineRule="auto"/>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26、重大偏离</w:t>
      </w:r>
      <w:bookmarkEnd w:id="156"/>
      <w:bookmarkEnd w:id="157"/>
      <w:bookmarkEnd w:id="158"/>
      <w:bookmarkEnd w:id="159"/>
      <w:r>
        <w:rPr>
          <w:rFonts w:hint="eastAsia" w:asciiTheme="minorEastAsia" w:hAnsiTheme="minorEastAsia" w:eastAsiaTheme="minorEastAsia" w:cstheme="minorEastAsia"/>
          <w:b/>
          <w:sz w:val="24"/>
          <w:szCs w:val="20"/>
        </w:rPr>
        <w:t>与</w:t>
      </w:r>
      <w:r>
        <w:rPr>
          <w:rFonts w:hint="eastAsia" w:ascii="宋体" w:hAnsi="宋体" w:cs="宋体"/>
          <w:b/>
          <w:sz w:val="24"/>
        </w:rPr>
        <w:t>细微偏差修正</w:t>
      </w:r>
    </w:p>
    <w:p>
      <w:pPr>
        <w:widowControl/>
        <w:spacing w:line="360" w:lineRule="auto"/>
        <w:ind w:left="-84" w:leftChars="-40" w:firstLine="600" w:firstLineChars="250"/>
        <w:rPr>
          <w:rFonts w:asciiTheme="minorEastAsia" w:hAnsiTheme="minorEastAsia" w:eastAsiaTheme="minorEastAsia" w:cstheme="minorEastAsia"/>
          <w:bCs/>
          <w:sz w:val="24"/>
          <w:szCs w:val="20"/>
        </w:rPr>
      </w:pPr>
      <w:bookmarkStart w:id="160" w:name="_Toc243906347"/>
      <w:bookmarkStart w:id="161" w:name="_Toc233274846"/>
      <w:bookmarkStart w:id="162" w:name="_Toc245897307"/>
      <w:bookmarkStart w:id="163" w:name="_Toc243907608"/>
      <w:r>
        <w:rPr>
          <w:rFonts w:hint="eastAsia" w:asciiTheme="minorEastAsia" w:hAnsiTheme="minorEastAsia" w:eastAsiaTheme="minorEastAsia" w:cstheme="minorEastAsia"/>
          <w:bCs/>
          <w:sz w:val="24"/>
          <w:szCs w:val="20"/>
        </w:rPr>
        <w:t>26.1重大偏离是指实质上影响合同的</w:t>
      </w:r>
      <w:r>
        <w:rPr>
          <w:rFonts w:hint="eastAsia" w:asciiTheme="minorEastAsia" w:hAnsiTheme="minorEastAsia" w:eastAsiaTheme="minorEastAsia" w:cstheme="minorEastAsia"/>
          <w:bCs/>
          <w:sz w:val="24"/>
          <w:szCs w:val="20"/>
          <w:lang w:val="en-US" w:eastAsia="zh-CN"/>
        </w:rPr>
        <w:t>服务</w:t>
      </w:r>
      <w:r>
        <w:rPr>
          <w:rFonts w:hint="eastAsia" w:asciiTheme="minorEastAsia" w:hAnsiTheme="minorEastAsia" w:eastAsiaTheme="minorEastAsia" w:cstheme="minorEastAsia"/>
          <w:bCs/>
          <w:sz w:val="24"/>
          <w:szCs w:val="20"/>
        </w:rPr>
        <w:t>范围、质量和性能、</w:t>
      </w:r>
      <w:r>
        <w:rPr>
          <w:rFonts w:hint="eastAsia" w:asciiTheme="minorEastAsia" w:hAnsiTheme="minorEastAsia" w:eastAsiaTheme="minorEastAsia" w:cstheme="minorEastAsia"/>
          <w:bCs/>
          <w:sz w:val="24"/>
          <w:szCs w:val="20"/>
          <w:lang w:val="en-US" w:eastAsia="zh-CN"/>
        </w:rPr>
        <w:t>服务</w:t>
      </w:r>
      <w:r>
        <w:rPr>
          <w:rFonts w:hint="eastAsia" w:asciiTheme="minorEastAsia" w:hAnsiTheme="minorEastAsia" w:eastAsiaTheme="minorEastAsia" w:cstheme="minorEastAsia"/>
          <w:bCs/>
          <w:sz w:val="24"/>
          <w:szCs w:val="20"/>
        </w:rPr>
        <w:t>期等，或者实质上不满足磋商文件的要求，而且限制了采购人的权力或减轻了供应商的义务。纠正或承认这些偏离将会对其他实质上响应要求的供应商合理的竞争地位产生不公正的影响。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ascii="宋体" w:hAnsi="宋体" w:cs="宋体"/>
          <w:sz w:val="24"/>
        </w:rPr>
      </w:pPr>
      <w:r>
        <w:rPr>
          <w:rFonts w:hint="eastAsia" w:asciiTheme="minorEastAsia" w:hAnsiTheme="minorEastAsia" w:eastAsiaTheme="minorEastAsia" w:cstheme="minorEastAsia"/>
          <w:bCs/>
          <w:sz w:val="24"/>
          <w:szCs w:val="20"/>
        </w:rPr>
        <w:t>26.2</w:t>
      </w:r>
      <w:r>
        <w:rPr>
          <w:rFonts w:hint="eastAsia" w:ascii="宋体" w:hAnsi="宋体" w:cs="宋体"/>
          <w:bCs/>
          <w:sz w:val="24"/>
        </w:rPr>
        <w:t>细微</w:t>
      </w:r>
      <w:r>
        <w:rPr>
          <w:rFonts w:hint="eastAsia" w:ascii="宋体" w:hAnsi="宋体" w:cs="宋体"/>
          <w:sz w:val="24"/>
        </w:rPr>
        <w:t>偏差是指经磋商小组确认的符合性响应文件虽然实质上响应磋商文件要求，但个别地方存在遗漏或者提供了不完整的技术信息及数据，并且修正这些遗漏或者不完整不会更改响应文件的实质性内容。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asciiTheme="minorEastAsia" w:hAnsiTheme="minorEastAsia" w:eastAsiaTheme="minorEastAsia" w:cstheme="minorEastAsia"/>
          <w:b/>
          <w:sz w:val="24"/>
          <w:szCs w:val="20"/>
        </w:rPr>
      </w:pPr>
      <w:r>
        <w:rPr>
          <w:rFonts w:hint="eastAsia" w:ascii="宋体" w:hAnsi="宋体" w:cs="宋体"/>
          <w:sz w:val="24"/>
        </w:rPr>
        <w:t>26.3经磋商小组确认存在细微偏差的响应文件，磋商小组可以于评标结果宣布之前要求供应商对响应文件中存在的细微偏差进行修正，若供应商拒绝修正，其响应文件将被拒绝。</w:t>
      </w:r>
    </w:p>
    <w:bookmarkEnd w:id="160"/>
    <w:bookmarkEnd w:id="161"/>
    <w:bookmarkEnd w:id="162"/>
    <w:bookmarkEnd w:id="163"/>
    <w:p>
      <w:pPr>
        <w:spacing w:line="360" w:lineRule="auto"/>
        <w:outlineLvl w:val="1"/>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27、无效响应文件</w:t>
      </w:r>
    </w:p>
    <w:p>
      <w:pPr>
        <w:spacing w:line="360" w:lineRule="auto"/>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rPr>
        <w:t>响应文件有下列情形之一的，由磋商小组评审后按无效响应文件处理：</w:t>
      </w:r>
    </w:p>
    <w:p>
      <w:pPr>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27.1</w:t>
      </w:r>
      <w:r>
        <w:rPr>
          <w:rFonts w:hint="eastAsia" w:asciiTheme="minorEastAsia" w:hAnsiTheme="minorEastAsia" w:eastAsiaTheme="minorEastAsia" w:cstheme="minorEastAsia"/>
          <w:bCs/>
          <w:kern w:val="0"/>
          <w:sz w:val="24"/>
        </w:rPr>
        <w:t>供应商的商务报价高于采购项目预算；</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27.2响应文件附有采购人不能接受条件的；</w:t>
      </w:r>
    </w:p>
    <w:p>
      <w:pPr>
        <w:widowControl/>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27.3出现重大偏离的；</w:t>
      </w:r>
    </w:p>
    <w:p>
      <w:pPr>
        <w:widowControl/>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27.4对磋商文件提出的实质性要求和条件未能实质性响应；</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27.5《中华人民共和国政府采购法》、《中华人民共和国政府采购实施条例》、《政府采购竞争性磋商采购方式管理暂行办法》及相关法律法规及磋商文件明确规定</w:t>
      </w:r>
      <w:r>
        <w:rPr>
          <w:rFonts w:hint="eastAsia" w:asciiTheme="minorEastAsia" w:hAnsiTheme="minorEastAsia" w:eastAsiaTheme="minorEastAsia" w:cstheme="minorEastAsia"/>
          <w:sz w:val="24"/>
          <w:szCs w:val="20"/>
        </w:rPr>
        <w:t>可以作无效响应的其他情形。</w:t>
      </w:r>
    </w:p>
    <w:p>
      <w:pPr>
        <w:spacing w:line="360" w:lineRule="auto"/>
        <w:outlineLvl w:val="1"/>
        <w:rPr>
          <w:rFonts w:asciiTheme="minorEastAsia" w:hAnsiTheme="minorEastAsia" w:eastAsiaTheme="minorEastAsia" w:cstheme="minorEastAsia"/>
          <w:b/>
          <w:bCs/>
          <w:sz w:val="24"/>
          <w:szCs w:val="20"/>
        </w:rPr>
      </w:pPr>
      <w:bookmarkStart w:id="164" w:name="_Toc243907610"/>
      <w:bookmarkStart w:id="165" w:name="_Toc243906349"/>
      <w:bookmarkStart w:id="166" w:name="_Toc233274848"/>
      <w:bookmarkStart w:id="167" w:name="_Toc245897309"/>
      <w:r>
        <w:rPr>
          <w:rFonts w:hint="eastAsia" w:asciiTheme="minorEastAsia" w:hAnsiTheme="minorEastAsia" w:eastAsiaTheme="minorEastAsia" w:cstheme="minorEastAsia"/>
          <w:b/>
          <w:bCs/>
          <w:sz w:val="24"/>
          <w:szCs w:val="20"/>
        </w:rPr>
        <w:t>28、成交通知</w:t>
      </w:r>
      <w:bookmarkEnd w:id="164"/>
      <w:bookmarkEnd w:id="165"/>
      <w:bookmarkEnd w:id="166"/>
      <w:bookmarkEnd w:id="167"/>
      <w:r>
        <w:rPr>
          <w:rFonts w:hint="eastAsia" w:asciiTheme="minorEastAsia" w:hAnsiTheme="minorEastAsia" w:eastAsiaTheme="minorEastAsia" w:cstheme="minorEastAsia"/>
          <w:b/>
          <w:bCs/>
          <w:sz w:val="24"/>
          <w:szCs w:val="20"/>
        </w:rPr>
        <w:t>书</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28.1采购人确定成交供应商后，及时通知采购代理机构，采购代理机构将按程序公示成交结果，同时向成交供应商发出成交通知书，成交通知书一经发出即发生法律效力。</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28.2《成交通知书》将是合同的组成部分。</w:t>
      </w:r>
    </w:p>
    <w:p>
      <w:pPr>
        <w:spacing w:line="360" w:lineRule="auto"/>
        <w:outlineLvl w:val="1"/>
        <w:rPr>
          <w:rFonts w:asciiTheme="minorEastAsia" w:hAnsiTheme="minorEastAsia" w:eastAsiaTheme="minorEastAsia" w:cstheme="minorEastAsia"/>
          <w:b/>
          <w:bCs/>
          <w:sz w:val="24"/>
          <w:szCs w:val="20"/>
        </w:rPr>
      </w:pPr>
      <w:bookmarkStart w:id="168" w:name="_Toc243906350"/>
      <w:bookmarkStart w:id="169" w:name="_Toc233274849"/>
      <w:bookmarkStart w:id="170" w:name="_Toc243907611"/>
      <w:bookmarkStart w:id="171" w:name="_Toc245897310"/>
      <w:r>
        <w:rPr>
          <w:rFonts w:hint="eastAsia" w:asciiTheme="minorEastAsia" w:hAnsiTheme="minorEastAsia" w:eastAsiaTheme="minorEastAsia" w:cstheme="minorEastAsia"/>
          <w:b/>
          <w:bCs/>
          <w:sz w:val="24"/>
          <w:szCs w:val="20"/>
        </w:rPr>
        <w:t>29、纪律与保密事项</w:t>
      </w:r>
      <w:bookmarkEnd w:id="168"/>
      <w:bookmarkEnd w:id="169"/>
      <w:bookmarkEnd w:id="170"/>
      <w:bookmarkEnd w:id="171"/>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29.1凡参与磋商工作的有关人员均应自觉接受有关主管部门的监督，不得向他人透露可能影响公平竞争的有关磋商的其他情况。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29.3供应商不得与采购人串通磋商，不得向采购人或者磋商小组成员行贿谋取成交，不得以他人名义参与磋商或者以其它任何方式弄虚作假骗取参与磋商。供应商不得以任何方式干扰、影响评审工作</w:t>
      </w:r>
      <w:r>
        <w:rPr>
          <w:rFonts w:hint="eastAsia" w:asciiTheme="minorEastAsia" w:hAnsiTheme="minorEastAsia" w:eastAsiaTheme="minorEastAsia" w:cstheme="minorEastAsia"/>
          <w:b/>
          <w:bCs/>
          <w:sz w:val="24"/>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29.5 磋商之日起直至授予成交供应商合同为止，凡属于对响应文件的审查、澄清、评价、比较有关的资料和成交候选人的推荐情况及与评审有关的其他任何情况均严格保密。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29.6从磋商之日起至授予合同期间，供应商试图向磋商小组、采购代理机构施加任何影响或对采购人的比较及授予合同的决定进行影响，都可能导致其响应文件被拒绝。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rPr>
        <w:t>29.8成交供应商确定后，采购人不对未成交供应商就评审过程以及未能成交原因作出任何解释，未成交供应商不得向磋商小组或其他有关人员询问评审过程的情况和索取评审过程的资料。</w:t>
      </w:r>
    </w:p>
    <w:p>
      <w:pPr>
        <w:pStyle w:val="9"/>
        <w:spacing w:line="360" w:lineRule="auto"/>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E 授予合同</w:t>
      </w:r>
    </w:p>
    <w:p>
      <w:pPr>
        <w:pStyle w:val="9"/>
        <w:spacing w:line="360" w:lineRule="auto"/>
        <w:outlineLvl w:val="1"/>
        <w:rPr>
          <w:rFonts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30、授予合同标准</w:t>
      </w:r>
    </w:p>
    <w:p>
      <w:pPr>
        <w:pStyle w:val="9"/>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本采购项目的采购合同将授予按磋商文件第23.5条所确定成交供应商。</w:t>
      </w:r>
    </w:p>
    <w:p>
      <w:pPr>
        <w:pStyle w:val="9"/>
        <w:spacing w:line="360" w:lineRule="auto"/>
        <w:outlineLvl w:val="1"/>
        <w:rPr>
          <w:rFonts w:asciiTheme="minorEastAsia" w:hAnsiTheme="minorEastAsia" w:eastAsiaTheme="minorEastAsia" w:cstheme="minorEastAsia"/>
          <w:b/>
          <w:bCs/>
          <w:sz w:val="24"/>
        </w:rPr>
      </w:pPr>
      <w:bookmarkStart w:id="172" w:name="_Toc245897317"/>
      <w:bookmarkStart w:id="173" w:name="_Toc233274855"/>
      <w:bookmarkStart w:id="174" w:name="_Toc243906357"/>
      <w:bookmarkStart w:id="175" w:name="_Toc243907620"/>
      <w:r>
        <w:rPr>
          <w:rFonts w:hint="eastAsia" w:asciiTheme="minorEastAsia" w:hAnsiTheme="minorEastAsia" w:eastAsiaTheme="minorEastAsia" w:cstheme="minorEastAsia"/>
          <w:b/>
          <w:bCs/>
          <w:sz w:val="24"/>
        </w:rPr>
        <w:t>31、签订合同</w:t>
      </w:r>
      <w:bookmarkEnd w:id="172"/>
      <w:bookmarkEnd w:id="173"/>
      <w:bookmarkEnd w:id="174"/>
      <w:bookmarkEnd w:id="175"/>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31.2 成交通知书、成交供应商的响应文件及其澄清文件、技术规范及标准、项目采购需求、本磋商文件（含修改文件或补充文件）及答疑纪要等，均为签订合同的依据。</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31.3采购人如不按磋商文件第30条规定与成交供应商签订合同，或者采购人、成交供应商签订背离合同实质性内容的协议，由监督管理部门责令其改正。</w:t>
      </w:r>
    </w:p>
    <w:p>
      <w:pPr>
        <w:pStyle w:val="9"/>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31.4成交供应商如不按磋商文件第31.1条规定与采购人签订合同，则按违约处理，采购人将有权取消成交供应商资格，给采购人造成损失的，还应当予以赔偿，同时依法承担相应的法律责任。</w:t>
      </w:r>
    </w:p>
    <w:p>
      <w:pPr>
        <w:spacing w:line="360" w:lineRule="auto"/>
        <w:ind w:firstLine="48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sz w:val="24"/>
        </w:rPr>
        <w:t>31.5成交供应商</w:t>
      </w:r>
      <w:r>
        <w:rPr>
          <w:rFonts w:hint="eastAsia" w:asciiTheme="minorEastAsia" w:hAnsiTheme="minorEastAsia" w:eastAsiaTheme="minorEastAsia" w:cstheme="minorEastAsia"/>
          <w:bCs/>
          <w:sz w:val="24"/>
          <w:szCs w:val="20"/>
        </w:rPr>
        <w:t>因不可抗力或者自身原因不能履行政府采购合同的，采购人可以按照评审报告推荐的成交候选人名单排序，确定下一候选人为成交供应商，也可以重新开展政府采购活动。</w:t>
      </w:r>
    </w:p>
    <w:p>
      <w:pPr>
        <w:spacing w:line="360" w:lineRule="auto"/>
        <w:outlineLvl w:val="1"/>
        <w:rPr>
          <w:rFonts w:asciiTheme="minorEastAsia" w:hAnsiTheme="minorEastAsia" w:eastAsiaTheme="minorEastAsia" w:cstheme="minorEastAsia"/>
          <w:b/>
          <w:bCs/>
        </w:rPr>
      </w:pPr>
      <w:bookmarkStart w:id="176" w:name="_Toc243907621"/>
      <w:bookmarkStart w:id="177" w:name="_Toc245897318"/>
      <w:r>
        <w:rPr>
          <w:rFonts w:hint="eastAsia" w:asciiTheme="minorEastAsia" w:hAnsiTheme="minorEastAsia" w:eastAsiaTheme="minorEastAsia" w:cstheme="minorEastAsia"/>
          <w:b/>
          <w:bCs/>
          <w:sz w:val="24"/>
        </w:rPr>
        <w:t>32、合同的签订准则</w:t>
      </w:r>
      <w:bookmarkEnd w:id="176"/>
      <w:bookmarkEnd w:id="177"/>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32.1合同签订必须由采购人、成交供应商双方法定代表或其委托代理人签署并加盖法人公章后方能生效。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32.2合同转包（实质性要求）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成交供应商转包的，视同拒绝履行政府采购合同义务，将依法追究法律责任。</w:t>
      </w:r>
    </w:p>
    <w:p>
      <w:pPr>
        <w:spacing w:line="360" w:lineRule="auto"/>
        <w:rPr>
          <w:rFonts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33、验收</w:t>
      </w:r>
    </w:p>
    <w:p>
      <w:pPr>
        <w:spacing w:line="360" w:lineRule="auto"/>
        <w:ind w:firstLine="360" w:firstLineChars="150"/>
        <w:jc w:val="left"/>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sz w:val="24"/>
        </w:rPr>
        <w:t>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F 质疑、投诉</w:t>
      </w:r>
    </w:p>
    <w:p>
      <w:pPr>
        <w:numPr>
          <w:ilvl w:val="0"/>
          <w:numId w:val="1"/>
        </w:numPr>
        <w:spacing w:line="4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质疑</w:t>
      </w:r>
    </w:p>
    <w:p>
      <w:pPr>
        <w:widowControl/>
        <w:spacing w:line="360" w:lineRule="auto"/>
        <w:ind w:firstLine="480" w:firstLineChars="200"/>
        <w:jc w:val="left"/>
      </w:pPr>
      <w:r>
        <w:rPr>
          <w:rFonts w:hint="eastAsia" w:asciiTheme="minorEastAsia" w:hAnsiTheme="minorEastAsia" w:eastAsiaTheme="minorEastAsia" w:cstheme="minorEastAsia"/>
          <w:sz w:val="24"/>
        </w:rPr>
        <w:t>34.1</w:t>
      </w:r>
      <w:r>
        <w:rPr>
          <w:rFonts w:ascii="Arial" w:hAnsi="Arial" w:cs="Arial"/>
          <w:kern w:val="0"/>
          <w:sz w:val="24"/>
        </w:rPr>
        <w:t>供应商对政府采购活动事项有疑问的，可以向采购人提出询问，采购人应当及时作出答复，但答复的内容不得涉及商业秘密。</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34.1 供应商认为磋商文件、采购过程和成交、成交结果使自己的权益受到损害的，可以在知道或者应知其权益受到损害之日起七个工作日内，以书面形式将质疑文件原件和必要的证明材料送达采购代理机构。</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34.2供应商认为磋商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34.3上述应知其权益受到损害之日，是指：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（1）对可以质疑的</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提出质疑的，为收到</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之日或者</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 xml:space="preserve">公告期限届满之日；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sz w:val="24"/>
        </w:rPr>
        <w:t>对采购过程提出质疑的，为各采购程序环节结束之日</w:t>
      </w:r>
      <w:r>
        <w:rPr>
          <w:rFonts w:hint="eastAsia" w:asciiTheme="minorEastAsia" w:hAnsiTheme="minorEastAsia" w:eastAsiaTheme="minorEastAsia" w:cstheme="minorEastAsia"/>
          <w:sz w:val="24"/>
        </w:rPr>
        <w:t>；</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sz w:val="24"/>
        </w:rPr>
        <w:t>对中标或者成交结果提出质疑的，为中标或者成交结果公告期限届满之日</w:t>
      </w:r>
      <w:r>
        <w:rPr>
          <w:rFonts w:hint="eastAsia" w:asciiTheme="minorEastAsia" w:hAnsiTheme="minorEastAsia" w:eastAsiaTheme="minorEastAsia" w:cstheme="minorEastAsia"/>
          <w:sz w:val="24"/>
        </w:rPr>
        <w:t>。</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34.4质疑供应商在法定质疑期内应当一次性提出针对同一采购环节提出质疑。</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34.5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（1）供应商的姓名或者名称、地址、邮编、联系人及联系电话（包括座机、手机、传真号码等）；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（2）质疑项目的名称、项目编号、包号、采购公告发布时间、递交响应文件或响应文件截止时间；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（3）具体、明确的质疑事项和与质疑事项相关的请求；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（5）必要的法律依据； </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（6）提起质疑的日期；</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（8）供应商委托代理质疑的，应当提交授权委托书，并载明代理人的姓名或者名称、代理事项、 具体权限、期限和相关事项。</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34.6质疑供应商是指直接参加本项目采购活动的供应商，未参加政府采购活动的供应商或在采购活动中自身权益未受到损害的供应商所提出的质疑不予受理。</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34.7采购人、采购代理机构在收到供应商的书面质疑后将及时组织调查核实，在七个工作日内作出答复，并以书面形式通知质疑供应商和其他有关供应商，但答复的内容不得涉及商业秘密。</w:t>
      </w:r>
    </w:p>
    <w:p>
      <w:pPr>
        <w:spacing w:line="4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35、投诉</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35.1质疑供应商对采购人、采购代理机构的答复不满意或者采购人、采购代理机构未在规定的时间内作出答复的，可以在答复期满后十五个工作日内向同级政府采购监督管理部门投诉。</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35.2供应商投诉的事项不得超出已质疑事项的范围，但基于质疑答复内容提出的投诉事项除外。</w:t>
      </w:r>
    </w:p>
    <w:p>
      <w:pPr>
        <w:spacing w:line="4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36、诚实信用</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36.1供应商不得虚假质疑和恶意质疑，并对质疑内容的真实性承担责任。</w:t>
      </w:r>
    </w:p>
    <w:p>
      <w:pPr>
        <w:spacing w:line="440" w:lineRule="exact"/>
        <w:ind w:firstLine="480" w:firstLineChars="200"/>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 w:val="24"/>
        </w:rPr>
        <w:t>36.2 供应商不得虚假承诺，否则，按照提供虚假材料谋取成交。</w:t>
      </w:r>
    </w:p>
    <w:p>
      <w:pPr>
        <w:snapToGrid w:val="0"/>
        <w:spacing w:line="360" w:lineRule="auto"/>
        <w:jc w:val="cente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G 义务、工作纪律</w:t>
      </w:r>
    </w:p>
    <w:p>
      <w:pPr>
        <w:tabs>
          <w:tab w:val="left" w:pos="7665"/>
        </w:tabs>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37、磋商小组在政府采购活动中承担以下义务：</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w:t>
      </w:r>
      <w:r>
        <w:rPr>
          <w:sz w:val="24"/>
        </w:rPr>
        <w:t>政府采购评审专家应当遵守评审工作纪律，不得泄露评审文件、评审情况和评审中获悉的商业秘密</w:t>
      </w:r>
      <w:r>
        <w:rPr>
          <w:rFonts w:hint="eastAsia" w:asciiTheme="minorEastAsia" w:hAnsiTheme="minorEastAsia" w:eastAsiaTheme="minorEastAsia" w:cstheme="minorEastAsia"/>
          <w:sz w:val="24"/>
        </w:rPr>
        <w:t>；</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w:t>
      </w:r>
      <w:r>
        <w:rPr>
          <w:rFonts w:hint="eastAsia" w:eastAsiaTheme="minorEastAsia"/>
          <w:sz w:val="24"/>
        </w:rPr>
        <w:t>磋商小组</w:t>
      </w:r>
      <w:r>
        <w:rPr>
          <w:sz w:val="24"/>
        </w:rPr>
        <w:t>、竞争性谈判小组或者询价小组成员应当按照客观、公正、审慎的原则，根据</w:t>
      </w:r>
      <w:r>
        <w:rPr>
          <w:rFonts w:hint="eastAsia"/>
          <w:sz w:val="24"/>
          <w:lang w:eastAsia="zh-CN"/>
        </w:rPr>
        <w:t>磋商文件</w:t>
      </w:r>
      <w:r>
        <w:rPr>
          <w:sz w:val="24"/>
        </w:rPr>
        <w:t>规定的评审程序、评审方法和评审标准进行独立评审。</w:t>
      </w:r>
      <w:r>
        <w:rPr>
          <w:rFonts w:hint="eastAsia"/>
          <w:sz w:val="24"/>
          <w:lang w:eastAsia="zh-CN"/>
        </w:rPr>
        <w:t>磋商文件</w:t>
      </w:r>
      <w:r>
        <w:rPr>
          <w:sz w:val="24"/>
        </w:rPr>
        <w:t>内容违反国家有关强制性规定的，</w:t>
      </w:r>
      <w:r>
        <w:rPr>
          <w:rFonts w:hint="eastAsia"/>
          <w:sz w:val="24"/>
        </w:rPr>
        <w:t>磋商小组</w:t>
      </w:r>
      <w:r>
        <w:rPr>
          <w:sz w:val="24"/>
        </w:rPr>
        <w:t>、竞争性谈判小组或者询价小组应当停止评审并向采购人或者采购代理机构说明情况</w:t>
      </w:r>
      <w:r>
        <w:rPr>
          <w:rFonts w:hint="eastAsia" w:asciiTheme="minorEastAsia" w:hAnsiTheme="minorEastAsia" w:eastAsiaTheme="minorEastAsia" w:cstheme="minorEastAsia"/>
          <w:sz w:val="24"/>
        </w:rPr>
        <w:t>；</w:t>
      </w:r>
    </w:p>
    <w:p>
      <w:pPr>
        <w:spacing w:line="360" w:lineRule="auto"/>
        <w:ind w:firstLine="480" w:firstLineChars="200"/>
        <w:rPr>
          <w:rFonts w:eastAsiaTheme="minorEastAsia"/>
        </w:rPr>
      </w:pPr>
      <w:r>
        <w:rPr>
          <w:rFonts w:hint="eastAsia" w:asciiTheme="minorEastAsia" w:hAnsiTheme="minorEastAsia" w:eastAsiaTheme="minorEastAsia" w:cstheme="minorEastAsia"/>
          <w:sz w:val="24"/>
        </w:rPr>
        <w:t>（三）</w:t>
      </w:r>
      <w:r>
        <w:rPr>
          <w:rFonts w:hint="eastAsia" w:eastAsiaTheme="minorEastAsia"/>
          <w:sz w:val="24"/>
        </w:rPr>
        <w:t>磋商小组</w:t>
      </w:r>
      <w:r>
        <w:rPr>
          <w:sz w:val="24"/>
        </w:rPr>
        <w:t>、竞争性谈判小组或者询价小组成员应当在评审报告上签字，对自己的评审意见承担法律责任。对评审报告有异议的，应当在评审报告上签署不同意见，并说明理由，否则视为同意评审报告。</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（六）及时向财政、监察等部门举报在评审过程中受到非法干预的情况；</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（七）配合答复处理供应商的询问、质疑和投诉等事项；</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（八）法律、法规和规章规定的其他义务。</w:t>
      </w:r>
    </w:p>
    <w:p>
      <w:pPr>
        <w:tabs>
          <w:tab w:val="left" w:pos="7665"/>
        </w:tabs>
        <w:spacing w:line="336"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38、评审专家在政府采购活动中应当遵守以下工作纪律</w:t>
      </w:r>
      <w:r>
        <w:rPr>
          <w:rFonts w:hint="eastAsia" w:asciiTheme="minorEastAsia" w:hAnsiTheme="minorEastAsia" w:eastAsiaTheme="minorEastAsia" w:cstheme="minorEastAsia"/>
          <w:sz w:val="24"/>
        </w:rPr>
        <w:t>：</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（二）评审前，应当将通讯工具或者相关电子设备交由采购代理机构统一保管；</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（三）评审过程中，不得与外界联系，因发生不可预见情况，确实需要与外界联系的，应当在监督人员监督之下办理；</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标标准，不得违规撰写评审意见，不得拒绝对自己的评审意见签字确认；</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（五）在评审过程中和评审结束后，不得记录、复制或带走任何评审资料，不得向外界透露评审内容；</w:t>
      </w:r>
    </w:p>
    <w:p>
      <w:pPr>
        <w:tabs>
          <w:tab w:val="left" w:pos="7665"/>
        </w:tabs>
        <w:spacing w:line="336"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（六）评审现场服从采购代理机构工作人员的管理，接受现场监督人员的合法监督；</w:t>
      </w:r>
    </w:p>
    <w:p>
      <w:pPr>
        <w:tabs>
          <w:tab w:val="left" w:pos="7665"/>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（七）遵守有关廉洁自律规定，不得私下接触供应商，不得收受供应商及有关业务单位和个人的财物或好处，不得接受采购代理机构的请托。</w:t>
      </w:r>
    </w:p>
    <w:p>
      <w:pPr>
        <w:tabs>
          <w:tab w:val="left" w:pos="7665"/>
        </w:tabs>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39、采购代理服务费</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39.1本项目采购代理费经与采购人协商，确定由成交供应商进行支付。采购代理费为人民币</w:t>
      </w:r>
      <w:r>
        <w:rPr>
          <w:rFonts w:hint="eastAsia" w:asciiTheme="minorEastAsia" w:hAnsiTheme="minorEastAsia" w:eastAsiaTheme="minorEastAsia" w:cstheme="minorEastAsia"/>
          <w:sz w:val="24"/>
          <w:lang w:val="en-US" w:eastAsia="zh-CN"/>
        </w:rPr>
        <w:t>1.3万</w:t>
      </w:r>
      <w:r>
        <w:rPr>
          <w:rFonts w:hint="eastAsia" w:asciiTheme="minorEastAsia" w:hAnsiTheme="minorEastAsia" w:eastAsiaTheme="minorEastAsia" w:cstheme="minorEastAsia"/>
          <w:sz w:val="24"/>
        </w:rPr>
        <w:t>元（大写：人民币</w:t>
      </w:r>
      <w:r>
        <w:rPr>
          <w:rFonts w:hint="eastAsia" w:asciiTheme="minorEastAsia" w:hAnsiTheme="minorEastAsia" w:eastAsiaTheme="minorEastAsia" w:cstheme="minorEastAsia"/>
          <w:sz w:val="24"/>
          <w:lang w:val="en-US" w:eastAsia="zh-CN"/>
        </w:rPr>
        <w:t>壹万叁仟元整</w:t>
      </w:r>
      <w:r>
        <w:rPr>
          <w:rFonts w:hint="eastAsia" w:asciiTheme="minorEastAsia" w:hAnsiTheme="minorEastAsia" w:eastAsiaTheme="minorEastAsia" w:cstheme="minorEastAsia"/>
          <w:sz w:val="24"/>
        </w:rPr>
        <w:t>），供应商领取成交通知书时支付采购代理费。</w:t>
      </w:r>
    </w:p>
    <w:p>
      <w:pPr>
        <w:pStyle w:val="21"/>
      </w:pPr>
    </w:p>
    <w:p>
      <w:pPr>
        <w:pStyle w:val="9"/>
        <w:adjustRightInd w:val="0"/>
        <w:snapToGrid w:val="0"/>
        <w:spacing w:line="288"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第三章  项目采购需求</w:t>
      </w:r>
    </w:p>
    <w:p>
      <w:pPr>
        <w:tabs>
          <w:tab w:val="left" w:pos="7665"/>
        </w:tabs>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bCs/>
          <w:sz w:val="24"/>
          <w:szCs w:val="24"/>
          <w:lang w:val="en-US" w:eastAsia="zh-CN"/>
        </w:rPr>
        <w:t>技术参数及标准</w:t>
      </w:r>
    </w:p>
    <w:p>
      <w:pPr>
        <w:pStyle w:val="2"/>
        <w:ind w:firstLine="481"/>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1.需求一览表</w:t>
      </w:r>
    </w:p>
    <w:tbl>
      <w:tblPr>
        <w:tblStyle w:val="24"/>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570"/>
        <w:gridCol w:w="1155"/>
        <w:gridCol w:w="1575"/>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3570"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品名</w:t>
            </w:r>
          </w:p>
        </w:tc>
        <w:tc>
          <w:tcPr>
            <w:tcW w:w="115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157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数量</w:t>
            </w:r>
          </w:p>
        </w:tc>
        <w:tc>
          <w:tcPr>
            <w:tcW w:w="1837"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3570" w:type="dxa"/>
            <w:vAlign w:val="center"/>
          </w:tcPr>
          <w:p>
            <w:pPr>
              <w:jc w:val="center"/>
              <w:rPr>
                <w:rFonts w:hint="default"/>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特警夏作战服</w:t>
            </w:r>
          </w:p>
        </w:tc>
        <w:tc>
          <w:tcPr>
            <w:tcW w:w="115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套</w:t>
            </w:r>
          </w:p>
        </w:tc>
        <w:tc>
          <w:tcPr>
            <w:tcW w:w="1575"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1172</w:t>
            </w:r>
          </w:p>
        </w:tc>
        <w:tc>
          <w:tcPr>
            <w:tcW w:w="1837" w:type="dxa"/>
            <w:vAlign w:val="center"/>
          </w:tcPr>
          <w:p>
            <w:pPr>
              <w:jc w:val="center"/>
              <w:rPr>
                <w:rFonts w:hint="default"/>
                <w:sz w:val="24"/>
                <w:szCs w:val="24"/>
                <w:vertAlign w:val="baseline"/>
                <w:lang w:val="en-US"/>
              </w:rPr>
            </w:pPr>
            <w:r>
              <w:rPr>
                <w:rFonts w:hint="default"/>
                <w:sz w:val="24"/>
                <w:szCs w:val="24"/>
                <w:vertAlign w:val="baseline"/>
                <w:lang w:val="en-US"/>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2</w:t>
            </w:r>
          </w:p>
        </w:tc>
        <w:tc>
          <w:tcPr>
            <w:tcW w:w="3570" w:type="dxa"/>
            <w:vAlign w:val="center"/>
          </w:tcPr>
          <w:p>
            <w:pPr>
              <w:jc w:val="center"/>
              <w:rPr>
                <w:rFonts w:hint="default"/>
                <w:sz w:val="24"/>
                <w:szCs w:val="24"/>
                <w:vertAlign w:val="baseline"/>
                <w:lang w:val="en-US"/>
              </w:rPr>
            </w:pPr>
            <w:r>
              <w:rPr>
                <w:rFonts w:hint="default"/>
                <w:sz w:val="24"/>
                <w:szCs w:val="24"/>
                <w:vertAlign w:val="baseline"/>
                <w:lang w:val="en-US" w:eastAsia="zh-CN"/>
              </w:rPr>
              <w:t>春秋作战服</w:t>
            </w:r>
          </w:p>
        </w:tc>
        <w:tc>
          <w:tcPr>
            <w:tcW w:w="115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套</w:t>
            </w:r>
          </w:p>
        </w:tc>
        <w:tc>
          <w:tcPr>
            <w:tcW w:w="1575"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1172</w:t>
            </w:r>
          </w:p>
        </w:tc>
        <w:tc>
          <w:tcPr>
            <w:tcW w:w="1837" w:type="dxa"/>
            <w:vAlign w:val="center"/>
          </w:tcPr>
          <w:p>
            <w:pPr>
              <w:jc w:val="center"/>
              <w:rPr>
                <w:rFonts w:hint="default"/>
                <w:sz w:val="24"/>
                <w:szCs w:val="24"/>
                <w:vertAlign w:val="baseline"/>
                <w:lang w:val="en-US"/>
              </w:rPr>
            </w:pPr>
            <w:r>
              <w:rPr>
                <w:rFonts w:hint="default"/>
                <w:sz w:val="24"/>
                <w:szCs w:val="24"/>
                <w:vertAlign w:val="baseline"/>
                <w:lang w:val="en-US"/>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3</w:t>
            </w:r>
          </w:p>
        </w:tc>
        <w:tc>
          <w:tcPr>
            <w:tcW w:w="3570" w:type="dxa"/>
            <w:vAlign w:val="center"/>
          </w:tcPr>
          <w:p>
            <w:pPr>
              <w:jc w:val="center"/>
              <w:rPr>
                <w:rFonts w:hint="default"/>
                <w:sz w:val="24"/>
                <w:szCs w:val="24"/>
                <w:vertAlign w:val="baseline"/>
                <w:lang w:val="en-US"/>
              </w:rPr>
            </w:pPr>
            <w:r>
              <w:rPr>
                <w:rFonts w:hint="default"/>
                <w:sz w:val="24"/>
                <w:szCs w:val="24"/>
                <w:vertAlign w:val="baseline"/>
                <w:lang w:val="en-US" w:eastAsia="zh-CN"/>
              </w:rPr>
              <w:t>防寒服</w:t>
            </w:r>
          </w:p>
        </w:tc>
        <w:tc>
          <w:tcPr>
            <w:tcW w:w="115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套</w:t>
            </w:r>
          </w:p>
        </w:tc>
        <w:tc>
          <w:tcPr>
            <w:tcW w:w="1575"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1172</w:t>
            </w:r>
          </w:p>
        </w:tc>
        <w:tc>
          <w:tcPr>
            <w:tcW w:w="1837" w:type="dxa"/>
            <w:vAlign w:val="center"/>
          </w:tcPr>
          <w:p>
            <w:pPr>
              <w:jc w:val="center"/>
              <w:rPr>
                <w:rFonts w:hint="default"/>
                <w:sz w:val="24"/>
                <w:szCs w:val="24"/>
                <w:vertAlign w:val="baseline"/>
                <w:lang w:val="en-US"/>
              </w:rPr>
            </w:pPr>
            <w:r>
              <w:rPr>
                <w:rFonts w:hint="default"/>
                <w:sz w:val="24"/>
                <w:szCs w:val="24"/>
                <w:vertAlign w:val="baseline"/>
                <w:lang w:val="en-US"/>
              </w:rPr>
              <w:t>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4</w:t>
            </w:r>
          </w:p>
        </w:tc>
        <w:tc>
          <w:tcPr>
            <w:tcW w:w="3570" w:type="dxa"/>
            <w:vAlign w:val="center"/>
          </w:tcPr>
          <w:p>
            <w:pPr>
              <w:jc w:val="center"/>
              <w:rPr>
                <w:rFonts w:hint="default"/>
                <w:sz w:val="24"/>
                <w:szCs w:val="24"/>
                <w:vertAlign w:val="baseline"/>
                <w:lang w:val="en-US"/>
              </w:rPr>
            </w:pPr>
            <w:r>
              <w:rPr>
                <w:rFonts w:hint="default"/>
                <w:sz w:val="24"/>
                <w:szCs w:val="24"/>
                <w:vertAlign w:val="baseline"/>
                <w:lang w:val="en-US" w:eastAsia="zh-CN"/>
              </w:rPr>
              <w:t>作训帽</w:t>
            </w:r>
          </w:p>
        </w:tc>
        <w:tc>
          <w:tcPr>
            <w:tcW w:w="115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顶</w:t>
            </w:r>
          </w:p>
        </w:tc>
        <w:tc>
          <w:tcPr>
            <w:tcW w:w="1575"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1172</w:t>
            </w:r>
          </w:p>
        </w:tc>
        <w:tc>
          <w:tcPr>
            <w:tcW w:w="1837" w:type="dxa"/>
            <w:vAlign w:val="center"/>
          </w:tcPr>
          <w:p>
            <w:pPr>
              <w:jc w:val="center"/>
              <w:rPr>
                <w:rFonts w:hint="default"/>
                <w:sz w:val="24"/>
                <w:szCs w:val="24"/>
                <w:vertAlign w:val="baseline"/>
                <w:lang w:val="en-US"/>
              </w:rPr>
            </w:pPr>
            <w:r>
              <w:rPr>
                <w:rFonts w:hint="default"/>
                <w:sz w:val="24"/>
                <w:szCs w:val="24"/>
                <w:vertAlign w:val="baseline"/>
                <w:lang w:val="en-US"/>
              </w:rPr>
              <w:t>2</w:t>
            </w:r>
            <w:r>
              <w:rPr>
                <w:rFonts w:hint="eastAsia"/>
                <w:sz w:val="24"/>
                <w:szCs w:val="24"/>
                <w:vertAlign w:val="baseline"/>
                <w:lang w:val="en-US" w:eastAsia="zh-CN"/>
              </w:rPr>
              <w:t>顶</w:t>
            </w:r>
            <w:r>
              <w:rPr>
                <w:rFonts w:hint="default"/>
                <w:sz w:val="24"/>
                <w:szCs w:val="24"/>
                <w:vertAlign w:val="baseline"/>
                <w:lang w:val="en-U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5</w:t>
            </w:r>
          </w:p>
        </w:tc>
        <w:tc>
          <w:tcPr>
            <w:tcW w:w="3570" w:type="dxa"/>
            <w:vAlign w:val="center"/>
          </w:tcPr>
          <w:p>
            <w:pPr>
              <w:jc w:val="center"/>
              <w:rPr>
                <w:rFonts w:hint="default"/>
                <w:sz w:val="24"/>
                <w:szCs w:val="24"/>
                <w:vertAlign w:val="baseline"/>
                <w:lang w:val="en-US"/>
              </w:rPr>
            </w:pPr>
            <w:r>
              <w:rPr>
                <w:rFonts w:hint="default"/>
                <w:sz w:val="24"/>
                <w:szCs w:val="24"/>
                <w:vertAlign w:val="baseline"/>
                <w:lang w:val="en-US" w:eastAsia="zh-CN"/>
              </w:rPr>
              <w:t>棉帽</w:t>
            </w:r>
          </w:p>
        </w:tc>
        <w:tc>
          <w:tcPr>
            <w:tcW w:w="115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顶</w:t>
            </w:r>
          </w:p>
        </w:tc>
        <w:tc>
          <w:tcPr>
            <w:tcW w:w="1575"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586</w:t>
            </w:r>
          </w:p>
        </w:tc>
        <w:tc>
          <w:tcPr>
            <w:tcW w:w="1837" w:type="dxa"/>
            <w:vAlign w:val="center"/>
          </w:tcPr>
          <w:p>
            <w:pPr>
              <w:jc w:val="center"/>
              <w:rPr>
                <w:rFonts w:hint="default"/>
                <w:sz w:val="24"/>
                <w:szCs w:val="24"/>
                <w:vertAlign w:val="baseline"/>
                <w:lang w:val="en-US"/>
              </w:rPr>
            </w:pPr>
            <w:r>
              <w:rPr>
                <w:rFonts w:hint="eastAsia"/>
                <w:sz w:val="24"/>
                <w:szCs w:val="24"/>
                <w:vertAlign w:val="baseline"/>
                <w:lang w:val="en-US" w:eastAsia="zh-CN"/>
              </w:rPr>
              <w:t>1顶</w:t>
            </w:r>
            <w:r>
              <w:rPr>
                <w:rFonts w:hint="default"/>
                <w:sz w:val="24"/>
                <w:szCs w:val="24"/>
                <w:vertAlign w:val="baseline"/>
                <w:lang w:val="en-U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6</w:t>
            </w:r>
          </w:p>
        </w:tc>
        <w:tc>
          <w:tcPr>
            <w:tcW w:w="3570" w:type="dxa"/>
            <w:vAlign w:val="center"/>
          </w:tcPr>
          <w:p>
            <w:pPr>
              <w:jc w:val="center"/>
              <w:rPr>
                <w:rFonts w:hint="default"/>
                <w:sz w:val="24"/>
                <w:szCs w:val="24"/>
                <w:vertAlign w:val="baseline"/>
                <w:lang w:val="en-US"/>
              </w:rPr>
            </w:pPr>
            <w:r>
              <w:rPr>
                <w:rFonts w:hint="default"/>
                <w:sz w:val="24"/>
                <w:szCs w:val="24"/>
                <w:vertAlign w:val="baseline"/>
                <w:lang w:val="en-US" w:eastAsia="zh-CN"/>
              </w:rPr>
              <w:t>单靴</w:t>
            </w:r>
          </w:p>
        </w:tc>
        <w:tc>
          <w:tcPr>
            <w:tcW w:w="115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双</w:t>
            </w:r>
          </w:p>
        </w:tc>
        <w:tc>
          <w:tcPr>
            <w:tcW w:w="1575"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1172</w:t>
            </w:r>
          </w:p>
        </w:tc>
        <w:tc>
          <w:tcPr>
            <w:tcW w:w="1837"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2双/人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7</w:t>
            </w:r>
          </w:p>
        </w:tc>
        <w:tc>
          <w:tcPr>
            <w:tcW w:w="3570" w:type="dxa"/>
            <w:vAlign w:val="center"/>
          </w:tcPr>
          <w:p>
            <w:pPr>
              <w:jc w:val="center"/>
              <w:rPr>
                <w:rFonts w:hint="default"/>
                <w:sz w:val="24"/>
                <w:szCs w:val="24"/>
                <w:vertAlign w:val="baseline"/>
                <w:lang w:val="en-US"/>
              </w:rPr>
            </w:pPr>
            <w:r>
              <w:rPr>
                <w:rFonts w:hint="default"/>
                <w:sz w:val="24"/>
                <w:szCs w:val="24"/>
                <w:vertAlign w:val="baseline"/>
                <w:lang w:val="en-US" w:eastAsia="zh-CN"/>
              </w:rPr>
              <w:t>棉靴</w:t>
            </w:r>
          </w:p>
        </w:tc>
        <w:tc>
          <w:tcPr>
            <w:tcW w:w="115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双</w:t>
            </w:r>
          </w:p>
        </w:tc>
        <w:tc>
          <w:tcPr>
            <w:tcW w:w="1575"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586</w:t>
            </w:r>
          </w:p>
        </w:tc>
        <w:tc>
          <w:tcPr>
            <w:tcW w:w="1837" w:type="dxa"/>
            <w:vAlign w:val="center"/>
          </w:tcPr>
          <w:p>
            <w:pPr>
              <w:jc w:val="center"/>
              <w:rPr>
                <w:rFonts w:hint="default"/>
                <w:sz w:val="24"/>
                <w:szCs w:val="24"/>
                <w:vertAlign w:val="baseline"/>
                <w:lang w:val="en-US"/>
              </w:rPr>
            </w:pPr>
            <w:r>
              <w:rPr>
                <w:rFonts w:hint="eastAsia"/>
                <w:sz w:val="24"/>
                <w:szCs w:val="24"/>
                <w:vertAlign w:val="baseline"/>
                <w:lang w:val="en-US" w:eastAsia="zh-CN"/>
              </w:rPr>
              <w:t>1双/人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3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8</w:t>
            </w:r>
          </w:p>
        </w:tc>
        <w:tc>
          <w:tcPr>
            <w:tcW w:w="3570" w:type="dxa"/>
            <w:vAlign w:val="center"/>
          </w:tcPr>
          <w:p>
            <w:pPr>
              <w:jc w:val="center"/>
              <w:rPr>
                <w:rFonts w:hint="default"/>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标识</w:t>
            </w:r>
          </w:p>
        </w:tc>
        <w:tc>
          <w:tcPr>
            <w:tcW w:w="1155" w:type="dxa"/>
            <w:vAlign w:val="center"/>
          </w:tcPr>
          <w:p>
            <w:pPr>
              <w:jc w:val="center"/>
              <w:rPr>
                <w:rFonts w:hint="eastAsia" w:eastAsia="宋体"/>
                <w:sz w:val="24"/>
                <w:szCs w:val="24"/>
                <w:vertAlign w:val="baseline"/>
                <w:lang w:val="en-US" w:eastAsia="zh-CN"/>
              </w:rPr>
            </w:pPr>
            <w:r>
              <w:rPr>
                <w:rFonts w:hint="eastAsia"/>
                <w:sz w:val="24"/>
                <w:szCs w:val="24"/>
                <w:vertAlign w:val="baseline"/>
                <w:lang w:val="en-US" w:eastAsia="zh-CN"/>
              </w:rPr>
              <w:t>套</w:t>
            </w:r>
          </w:p>
        </w:tc>
        <w:tc>
          <w:tcPr>
            <w:tcW w:w="1575" w:type="dxa"/>
            <w:vAlign w:val="center"/>
          </w:tcPr>
          <w:p>
            <w:pPr>
              <w:jc w:val="center"/>
              <w:rPr>
                <w:rFonts w:hint="default" w:eastAsia="宋体"/>
                <w:sz w:val="24"/>
                <w:szCs w:val="24"/>
                <w:vertAlign w:val="baseline"/>
                <w:lang w:val="en-US" w:eastAsia="zh-CN"/>
              </w:rPr>
            </w:pPr>
            <w:r>
              <w:rPr>
                <w:rFonts w:hint="eastAsia"/>
                <w:sz w:val="24"/>
                <w:szCs w:val="24"/>
                <w:vertAlign w:val="baseline"/>
                <w:lang w:val="en-US" w:eastAsia="zh-CN"/>
              </w:rPr>
              <w:t>1172</w:t>
            </w:r>
          </w:p>
        </w:tc>
        <w:tc>
          <w:tcPr>
            <w:tcW w:w="1837" w:type="dxa"/>
            <w:vAlign w:val="center"/>
          </w:tcPr>
          <w:p>
            <w:pPr>
              <w:jc w:val="center"/>
              <w:rPr>
                <w:rFonts w:hint="default"/>
                <w:sz w:val="24"/>
                <w:szCs w:val="24"/>
                <w:vertAlign w:val="baseline"/>
                <w:lang w:val="en-US"/>
              </w:rPr>
            </w:pPr>
            <w:r>
              <w:rPr>
                <w:rFonts w:hint="default"/>
                <w:sz w:val="24"/>
                <w:szCs w:val="24"/>
                <w:vertAlign w:val="baseline"/>
                <w:lang w:val="en-US"/>
              </w:rPr>
              <w:t>2套/人</w:t>
            </w:r>
          </w:p>
        </w:tc>
      </w:tr>
    </w:tbl>
    <w:p>
      <w:pPr>
        <w:tabs>
          <w:tab w:val="left" w:pos="7665"/>
        </w:tabs>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技术参数</w:t>
      </w:r>
    </w:p>
    <w:tbl>
      <w:tblPr>
        <w:tblStyle w:val="23"/>
        <w:tblW w:w="8947" w:type="dxa"/>
        <w:tblInd w:w="-1" w:type="dxa"/>
        <w:shd w:val="clear" w:color="auto" w:fill="auto"/>
        <w:tblLayout w:type="fixed"/>
        <w:tblCellMar>
          <w:top w:w="0" w:type="dxa"/>
          <w:left w:w="108" w:type="dxa"/>
          <w:bottom w:w="0" w:type="dxa"/>
          <w:right w:w="108" w:type="dxa"/>
        </w:tblCellMar>
      </w:tblPr>
      <w:tblGrid>
        <w:gridCol w:w="570"/>
        <w:gridCol w:w="855"/>
        <w:gridCol w:w="5002"/>
        <w:gridCol w:w="1830"/>
        <w:gridCol w:w="690"/>
      </w:tblGrid>
      <w:tr>
        <w:tblPrEx>
          <w:shd w:val="clear" w:color="auto" w:fill="auto"/>
          <w:tblCellMar>
            <w:top w:w="0" w:type="dxa"/>
            <w:left w:w="108" w:type="dxa"/>
            <w:bottom w:w="0" w:type="dxa"/>
            <w:right w:w="108" w:type="dxa"/>
          </w:tblCellMar>
        </w:tblPrEx>
        <w:trPr>
          <w:trHeight w:val="73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rPr>
              <w:t>序号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rPr>
              <w:t>品名</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000000"/>
                <w:kern w:val="0"/>
                <w:sz w:val="20"/>
                <w:szCs w:val="20"/>
              </w:rPr>
              <w:t>技术参数说明</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kern w:val="0"/>
                <w:sz w:val="20"/>
                <w:szCs w:val="20"/>
                <w:u w:val="none"/>
                <w:bdr w:val="single" w:color="000000" w:sz="4" w:space="0"/>
                <w:lang w:val="en-US" w:eastAsia="zh-CN" w:bidi="ar"/>
              </w:rPr>
            </w:pPr>
            <w:r>
              <w:rPr>
                <w:rFonts w:hint="eastAsia" w:ascii="宋体" w:hAnsi="宋体" w:eastAsia="宋体" w:cs="宋体"/>
                <w:color w:val="000000"/>
                <w:kern w:val="0"/>
                <w:sz w:val="20"/>
                <w:szCs w:val="20"/>
              </w:rPr>
              <w:t>款式图片</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i w:val="0"/>
                <w:iCs w:val="0"/>
                <w:color w:val="000000"/>
                <w:kern w:val="0"/>
                <w:sz w:val="20"/>
                <w:szCs w:val="20"/>
                <w:u w:val="none"/>
                <w:bdr w:val="single" w:color="000000" w:sz="4" w:space="0"/>
                <w:lang w:val="en-US" w:eastAsia="zh-CN" w:bidi="ar"/>
              </w:rPr>
            </w:pPr>
            <w:r>
              <w:rPr>
                <w:rFonts w:hint="eastAsia" w:ascii="宋体" w:hAnsi="宋体" w:eastAsia="宋体" w:cs="宋体"/>
                <w:color w:val="000000"/>
                <w:kern w:val="0"/>
                <w:sz w:val="20"/>
                <w:szCs w:val="20"/>
              </w:rPr>
              <w:t>单位</w:t>
            </w:r>
          </w:p>
        </w:tc>
      </w:tr>
      <w:tr>
        <w:tblPrEx>
          <w:shd w:val="clear" w:color="auto" w:fill="auto"/>
          <w:tblCellMar>
            <w:top w:w="0" w:type="dxa"/>
            <w:left w:w="108" w:type="dxa"/>
            <w:bottom w:w="0" w:type="dxa"/>
            <w:right w:w="108" w:type="dxa"/>
          </w:tblCellMar>
        </w:tblPrEx>
        <w:trPr>
          <w:trHeight w:val="50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特警夏作战服</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执行标准执行标准：《警服 特警战训夏服》</w:t>
            </w:r>
          </w:p>
          <w:p>
            <w:pPr>
              <w:pStyle w:val="2"/>
              <w:rPr>
                <w:rFonts w:hint="eastAsia"/>
                <w:lang w:val="en-US" w:eastAsia="zh-CN"/>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面料要求：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主面料采用芳纶格子布，规格13tex×2/13tex×2经向密度（地+筋）16+3根/格，纬向密度（地+筋）8+3根/格，质量：185g/ m2。</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袋布为涤棉格子布，规格：32S×32S，棉35%、涤65%;</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缝纫线为阻燃缝纫线规格：11.8tex×3，用作明线、暗线的缝制等;采用涤纶热熔粘合衬，规格：经纱30dtex/24f，纬纱30dtex/24f，PA+PES双点。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缝制要求：线路顺直，首尾回针，定位准确，距边宽窄一致，结合牢固。该款制服具有穿着舒适、美观大方、不缩水等优良性能，适用于春季和秋季穿着。</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drawing>
                <wp:anchor distT="0" distB="0" distL="114300" distR="114300" simplePos="0" relativeHeight="251659264" behindDoc="1" locked="0" layoutInCell="1" allowOverlap="1">
                  <wp:simplePos x="0" y="0"/>
                  <wp:positionH relativeFrom="column">
                    <wp:posOffset>32385</wp:posOffset>
                  </wp:positionH>
                  <wp:positionV relativeFrom="paragraph">
                    <wp:posOffset>151765</wp:posOffset>
                  </wp:positionV>
                  <wp:extent cx="1108710" cy="1787525"/>
                  <wp:effectExtent l="0" t="0" r="15240" b="0"/>
                  <wp:wrapTight wrapText="bothSides">
                    <wp:wrapPolygon>
                      <wp:start x="0" y="0"/>
                      <wp:lineTo x="0" y="21408"/>
                      <wp:lineTo x="21155" y="21408"/>
                      <wp:lineTo x="21155" y="0"/>
                      <wp:lineTo x="0" y="0"/>
                    </wp:wrapPolygon>
                  </wp:wrapTight>
                  <wp:docPr id="9" name="图片_3"/>
                  <wp:cNvGraphicFramePr/>
                  <a:graphic xmlns:a="http://schemas.openxmlformats.org/drawingml/2006/main">
                    <a:graphicData uri="http://schemas.openxmlformats.org/drawingml/2006/picture">
                      <pic:pic xmlns:pic="http://schemas.openxmlformats.org/drawingml/2006/picture">
                        <pic:nvPicPr>
                          <pic:cNvPr id="9" name="图片_3"/>
                          <pic:cNvPicPr/>
                        </pic:nvPicPr>
                        <pic:blipFill>
                          <a:blip r:embed="rId10"/>
                          <a:stretch>
                            <a:fillRect/>
                          </a:stretch>
                        </pic:blipFill>
                        <pic:spPr>
                          <a:xfrm>
                            <a:off x="0" y="0"/>
                            <a:ext cx="1108710" cy="1787525"/>
                          </a:xfrm>
                          <a:prstGeom prst="rect">
                            <a:avLst/>
                          </a:prstGeom>
                          <a:noFill/>
                          <a:ln>
                            <a:noFill/>
                          </a:ln>
                        </pic:spPr>
                      </pic:pic>
                    </a:graphicData>
                  </a:graphic>
                </wp:anchor>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512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春秋作战服</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参照标准：《警服 特警战训春秋服（生产检验稿）》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主面料采用芳纶格子布，规格16tex×2/16tex×2经向密度（地+筋）16+3根/格，纬向密度（地+筋）8+3根/格，质量：200g/ m2。</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袋布为涤棉格子布，规格：32S×32S，棉35%、涤65%;</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缝纫线为阻燃缝纫线规格：11.8tex×3，用作明线、暗线的缝制等;</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采用涤纶热熔粘合衬，规格：经纱30dtex/24f，纬纱30dtex/24f，PA+PES双点。</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缝制要求：线路顺直，首尾回针，定位准确，距边宽窄一致，结合牢固。该款制服具有穿着舒适、美观大方、不缩水等优良性能，适用于春季和秋季穿着。</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106680</wp:posOffset>
                  </wp:positionV>
                  <wp:extent cx="1125855" cy="2026285"/>
                  <wp:effectExtent l="0" t="0" r="17145" b="12065"/>
                  <wp:wrapNone/>
                  <wp:docPr id="2" name="图片_9"/>
                  <wp:cNvGraphicFramePr/>
                  <a:graphic xmlns:a="http://schemas.openxmlformats.org/drawingml/2006/main">
                    <a:graphicData uri="http://schemas.openxmlformats.org/drawingml/2006/picture">
                      <pic:pic xmlns:pic="http://schemas.openxmlformats.org/drawingml/2006/picture">
                        <pic:nvPicPr>
                          <pic:cNvPr id="2" name="图片_9"/>
                          <pic:cNvPicPr/>
                        </pic:nvPicPr>
                        <pic:blipFill>
                          <a:blip r:embed="rId11"/>
                          <a:stretch>
                            <a:fillRect/>
                          </a:stretch>
                        </pic:blipFill>
                        <pic:spPr>
                          <a:xfrm>
                            <a:off x="0" y="0"/>
                            <a:ext cx="1125855" cy="2026285"/>
                          </a:xfrm>
                          <a:prstGeom prst="rect">
                            <a:avLst/>
                          </a:prstGeom>
                          <a:noFill/>
                          <a:ln>
                            <a:noFill/>
                          </a:ln>
                        </pic:spPr>
                      </pic:pic>
                    </a:graphicData>
                  </a:graphic>
                </wp:anchor>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394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防寒服</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参照标准：《警服 特警战训冬服（生产检验稿）》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主面料采用芳纶加厚格子布，规格22.5tex×2/22.5tex×2经向密度（地+筋）16+3根/格，纬向密度（地+筋）8+3根/格，质量：250g/ m2。前后身里料为涤棉斜纹布，规格：32x×32x,棉35%、涤65%;袖子里料为75D×75D防静电涤纶格子绸。</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袋布为涤棉格子布，规格：32x×32x,棉35%、涤65%;</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缝纫线为阻燃缝纫线，规格:11.8tex×3，用作明线、暗线的缝制等;</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采用涤纶热熔粘合衬,规格：经纱30dtex/24f，纬纱30dtex/24f，PA+PES双点。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缝制要求：线路顺直，定位准确，距边宽窄一致，结合牢固，松紧适宜。该款制服具有穿着舒适、大方，保暖性好，透气性强，不缩水等优良性能。适用于冬季穿着。</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582930</wp:posOffset>
                  </wp:positionV>
                  <wp:extent cx="1083945" cy="1537970"/>
                  <wp:effectExtent l="0" t="0" r="1905" b="5080"/>
                  <wp:wrapNone/>
                  <wp:docPr id="10" name="图片_4"/>
                  <wp:cNvGraphicFramePr/>
                  <a:graphic xmlns:a="http://schemas.openxmlformats.org/drawingml/2006/main">
                    <a:graphicData uri="http://schemas.openxmlformats.org/drawingml/2006/picture">
                      <pic:pic xmlns:pic="http://schemas.openxmlformats.org/drawingml/2006/picture">
                        <pic:nvPicPr>
                          <pic:cNvPr id="10" name="图片_4"/>
                          <pic:cNvPicPr/>
                        </pic:nvPicPr>
                        <pic:blipFill>
                          <a:blip r:embed="rId12"/>
                          <a:stretch>
                            <a:fillRect/>
                          </a:stretch>
                        </pic:blipFill>
                        <pic:spPr>
                          <a:xfrm>
                            <a:off x="0" y="0"/>
                            <a:ext cx="1083945" cy="1537970"/>
                          </a:xfrm>
                          <a:prstGeom prst="rect">
                            <a:avLst/>
                          </a:prstGeom>
                          <a:noFill/>
                          <a:ln>
                            <a:noFill/>
                          </a:ln>
                        </pic:spPr>
                      </pic:pic>
                    </a:graphicData>
                  </a:graphic>
                </wp:anchor>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r>
      <w:tr>
        <w:tblPrEx>
          <w:shd w:val="clear" w:color="auto" w:fill="auto"/>
          <w:tblCellMar>
            <w:top w:w="0" w:type="dxa"/>
            <w:left w:w="108" w:type="dxa"/>
            <w:bottom w:w="0" w:type="dxa"/>
            <w:right w:w="108" w:type="dxa"/>
          </w:tblCellMar>
        </w:tblPrEx>
        <w:trPr>
          <w:trHeight w:val="19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作训帽</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执行标准：《警帽 战训帽》</w:t>
            </w:r>
          </w:p>
          <w:p>
            <w:pPr>
              <w:pStyle w:val="2"/>
              <w:rPr>
                <w:rFonts w:hint="eastAsia"/>
                <w:lang w:val="en-US" w:eastAsia="zh-CN"/>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面料要求：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精疏涤棉混纺格子布，规格：13tex×2/28tx 涤65％ 棉35％ ，克重220g/m2，主要部位粘烫热熔粘合衬具有穿着舒适、透气、阻燃、吸汗、耐磨等特点。</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41275</wp:posOffset>
                  </wp:positionV>
                  <wp:extent cx="1074420" cy="1127125"/>
                  <wp:effectExtent l="0" t="0" r="11430" b="15875"/>
                  <wp:wrapNone/>
                  <wp:docPr id="11" name="图片_11"/>
                  <wp:cNvGraphicFramePr/>
                  <a:graphic xmlns:a="http://schemas.openxmlformats.org/drawingml/2006/main">
                    <a:graphicData uri="http://schemas.openxmlformats.org/drawingml/2006/picture">
                      <pic:pic xmlns:pic="http://schemas.openxmlformats.org/drawingml/2006/picture">
                        <pic:nvPicPr>
                          <pic:cNvPr id="11" name="图片_11"/>
                          <pic:cNvPicPr/>
                        </pic:nvPicPr>
                        <pic:blipFill>
                          <a:blip r:embed="rId13"/>
                          <a:stretch>
                            <a:fillRect/>
                          </a:stretch>
                        </pic:blipFill>
                        <pic:spPr>
                          <a:xfrm>
                            <a:off x="0" y="0"/>
                            <a:ext cx="1074420" cy="1127125"/>
                          </a:xfrm>
                          <a:prstGeom prst="rect">
                            <a:avLst/>
                          </a:prstGeom>
                          <a:noFill/>
                          <a:ln>
                            <a:noFill/>
                          </a:ln>
                        </pic:spPr>
                      </pic:pic>
                    </a:graphicData>
                  </a:graphic>
                </wp:anchor>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顶</w:t>
            </w:r>
          </w:p>
        </w:tc>
      </w:tr>
      <w:tr>
        <w:tblPrEx>
          <w:shd w:val="clear" w:color="auto" w:fill="auto"/>
          <w:tblCellMar>
            <w:top w:w="0" w:type="dxa"/>
            <w:left w:w="108" w:type="dxa"/>
            <w:bottom w:w="0" w:type="dxa"/>
            <w:right w:w="108" w:type="dxa"/>
          </w:tblCellMar>
        </w:tblPrEx>
        <w:trPr>
          <w:trHeight w:val="25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棉帽</w:t>
            </w:r>
          </w:p>
        </w:tc>
        <w:tc>
          <w:tcPr>
            <w:tcW w:w="5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内层材质：棉质布料棉帽，缎背哗叽；</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内核：羊毛毡；</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內絮：压缩棉；</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里料：涤棉；</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外毛：进口法兰绒，羊剪绒</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含警用帽徽</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043940" cy="1044575"/>
                  <wp:effectExtent l="0" t="0" r="3810" b="3175"/>
                  <wp:docPr id="5" name="图片 5" descr="7a464ed3fa56d244b030714cd4e9af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a464ed3fa56d244b030714cd4e9af2_副本"/>
                          <pic:cNvPicPr>
                            <a:picLocks noChangeAspect="1"/>
                          </pic:cNvPicPr>
                        </pic:nvPicPr>
                        <pic:blipFill>
                          <a:blip r:embed="rId14"/>
                          <a:stretch>
                            <a:fillRect/>
                          </a:stretch>
                        </pic:blipFill>
                        <pic:spPr>
                          <a:xfrm>
                            <a:off x="0" y="0"/>
                            <a:ext cx="1043940" cy="1044575"/>
                          </a:xfrm>
                          <a:prstGeom prst="rect">
                            <a:avLst/>
                          </a:prstGeom>
                        </pic:spPr>
                      </pic:pic>
                    </a:graphicData>
                  </a:graphic>
                </wp:inline>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顶</w:t>
            </w:r>
          </w:p>
        </w:tc>
      </w:tr>
      <w:tr>
        <w:tblPrEx>
          <w:shd w:val="clear" w:color="auto" w:fill="auto"/>
          <w:tblCellMar>
            <w:top w:w="0" w:type="dxa"/>
            <w:left w:w="108" w:type="dxa"/>
            <w:bottom w:w="0" w:type="dxa"/>
            <w:right w:w="108" w:type="dxa"/>
          </w:tblCellMar>
        </w:tblPrEx>
        <w:trPr>
          <w:trHeight w:val="221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单靴</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1、高透气尼龙网布，便携拉链设计，穿脱方便，不卡槽，头层牛皮皮质，耐磨，抗折。</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071245" cy="1210310"/>
                  <wp:effectExtent l="0" t="0" r="14605" b="8890"/>
                  <wp:docPr id="6" name="图片 6" descr="424b3452d2949c02d20e44b7567cc26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24b3452d2949c02d20e44b7567cc26_副本"/>
                          <pic:cNvPicPr>
                            <a:picLocks noChangeAspect="1"/>
                          </pic:cNvPicPr>
                        </pic:nvPicPr>
                        <pic:blipFill>
                          <a:blip r:embed="rId15"/>
                          <a:stretch>
                            <a:fillRect/>
                          </a:stretch>
                        </pic:blipFill>
                        <pic:spPr>
                          <a:xfrm>
                            <a:off x="0" y="0"/>
                            <a:ext cx="1071245" cy="1210310"/>
                          </a:xfrm>
                          <a:prstGeom prst="rect">
                            <a:avLst/>
                          </a:prstGeom>
                        </pic:spPr>
                      </pic:pic>
                    </a:graphicData>
                  </a:graphic>
                </wp:inline>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双</w:t>
            </w:r>
          </w:p>
        </w:tc>
      </w:tr>
      <w:tr>
        <w:tblPrEx>
          <w:shd w:val="clear" w:color="auto" w:fill="auto"/>
          <w:tblCellMar>
            <w:top w:w="0" w:type="dxa"/>
            <w:left w:w="108" w:type="dxa"/>
            <w:bottom w:w="0" w:type="dxa"/>
            <w:right w:w="108" w:type="dxa"/>
          </w:tblCellMar>
        </w:tblPrEx>
        <w:trPr>
          <w:trHeight w:val="10661"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棉靴</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结构：采用胶粘加侧缝工艺成型，鞋帮为系带式基本结构，鞋口为软口，鞋面为铬鞣黑色黄牛头层鞋面革，帮里为黑色蜘蛛网布，保温层材料采用超细纤维和中空纤维复合絮片，鞋底为橡胶成型底。</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鞋面革：黑色黄牛鞋面革 厚度：1.6—2.0mm，符合QB/T1873-2004三型革要求。</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保暖鞋里：黑色蜘蛛网布保暖絮片，保温层材料采用超细纤维和6D中空三维纤维复合絮片，克罗值大于1.0。</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半内底：鞋用纤维纸板，厚度2.4－2.6mm，屈挠指数大于等于2.9。</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内底：汉麻纤维板,厚度：1.7—1.9mm；屈挠指数大于等于2.9,汉麻含量大于等于60%,不添加胶粘剂。</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鞋底：橡胶成型底，鞋底材料为橡胶，天然橡胶含量不低于30%，前撑复填厚：3.0mm橡胶弹性片，后跟填装直径：上片38±1mm、下片32±1mm重叠组合厚度为12±1mm的PU颗粒缓冲垫。具有防震、防滑、按摩等功能。</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外底硬度（邵尔A）55～70度，外侧减震片硬度（邵尔A）35～45度。</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钢勾心：Y型钢勾心，抗弯钢度符合QB/T1917-2000要求。</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鞋垫：厚度0.6-0.8mm褐色牛皮海波利复合成型垫、黑色棉帆布和厚度6.0mm毛毡缝合鞋垫各一双。</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涤纶线：黑色70tex×3,用于缝帮面线；29.8tex×3用于缝里线，16.7tex×3用于鞋垫线；93.3tex×3用于缝底线。应符合QB/T2695-2005，单线断裂强度大于等于2450cN/50cm。</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鞋带：黑色，长1400±30 mm，断裂强力大于等于350N。</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-49530</wp:posOffset>
                  </wp:positionH>
                  <wp:positionV relativeFrom="paragraph">
                    <wp:posOffset>1337310</wp:posOffset>
                  </wp:positionV>
                  <wp:extent cx="1083310" cy="1148715"/>
                  <wp:effectExtent l="0" t="0" r="2540" b="13335"/>
                  <wp:wrapNone/>
                  <wp:docPr id="13" name="图片_5"/>
                  <wp:cNvGraphicFramePr/>
                  <a:graphic xmlns:a="http://schemas.openxmlformats.org/drawingml/2006/main">
                    <a:graphicData uri="http://schemas.openxmlformats.org/drawingml/2006/picture">
                      <pic:pic xmlns:pic="http://schemas.openxmlformats.org/drawingml/2006/picture">
                        <pic:nvPicPr>
                          <pic:cNvPr id="13" name="图片_5"/>
                          <pic:cNvPicPr/>
                        </pic:nvPicPr>
                        <pic:blipFill>
                          <a:blip r:embed="rId16"/>
                          <a:stretch>
                            <a:fillRect/>
                          </a:stretch>
                        </pic:blipFill>
                        <pic:spPr>
                          <a:xfrm>
                            <a:off x="0" y="0"/>
                            <a:ext cx="1083310" cy="1148715"/>
                          </a:xfrm>
                          <a:prstGeom prst="rect">
                            <a:avLst/>
                          </a:prstGeom>
                          <a:noFill/>
                          <a:ln>
                            <a:noFill/>
                          </a:ln>
                        </pic:spPr>
                      </pic:pic>
                    </a:graphicData>
                  </a:graphic>
                </wp:anchor>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双</w:t>
            </w:r>
          </w:p>
        </w:tc>
      </w:tr>
      <w:tr>
        <w:tblPrEx>
          <w:tblCellMar>
            <w:top w:w="0" w:type="dxa"/>
            <w:left w:w="108" w:type="dxa"/>
            <w:bottom w:w="0" w:type="dxa"/>
            <w:right w:w="108" w:type="dxa"/>
          </w:tblCellMar>
        </w:tblPrEx>
        <w:trPr>
          <w:trHeight w:val="264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版面由涤纶低弹丝经纱及涤纶低弹丝纬纱组成，平纹经纱90D圆光，纬纱100D；</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缎纹经纱50D圆光，纬纱100D</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粘合衬为40g/m²无纺粘合衬</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搭扣带为锦丝搭扣带A面</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锁边线面线为100D涤纶低弹丝，锁边线底线为11.8×3涤纶缝纫线</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041400" cy="987425"/>
                  <wp:effectExtent l="0" t="0" r="6350" b="3175"/>
                  <wp:docPr id="16" name="图片 16" descr="3f39bcb6d478a40c125e0692d301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f39bcb6d478a40c125e0692d30187c"/>
                          <pic:cNvPicPr>
                            <a:picLocks noChangeAspect="1"/>
                          </pic:cNvPicPr>
                        </pic:nvPicPr>
                        <pic:blipFill>
                          <a:blip r:embed="rId17"/>
                          <a:stretch>
                            <a:fillRect/>
                          </a:stretch>
                        </pic:blipFill>
                        <pic:spPr>
                          <a:xfrm>
                            <a:off x="0" y="0"/>
                            <a:ext cx="1041400" cy="987425"/>
                          </a:xfrm>
                          <a:prstGeom prst="rect">
                            <a:avLst/>
                          </a:prstGeom>
                        </pic:spPr>
                      </pic:pic>
                    </a:graphicData>
                  </a:graphic>
                </wp:inline>
              </w:drawing>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套</w:t>
            </w:r>
          </w:p>
        </w:tc>
      </w:tr>
    </w:tbl>
    <w:p>
      <w:pPr>
        <w:tabs>
          <w:tab w:val="left" w:pos="7665"/>
        </w:tabs>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3.服务标准</w:t>
      </w:r>
    </w:p>
    <w:p>
      <w:pPr>
        <w:tabs>
          <w:tab w:val="left" w:pos="7665"/>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3.1</w:t>
      </w:r>
      <w:r>
        <w:rPr>
          <w:rFonts w:hint="eastAsia" w:asciiTheme="minorEastAsia" w:hAnsiTheme="minorEastAsia" w:eastAsiaTheme="minorEastAsia" w:cstheme="minorEastAsia"/>
          <w:sz w:val="24"/>
        </w:rPr>
        <w:t>在质量保证期内，因服装码数不合适及正常使用出现的质量问题，供应商须提供免费更换。</w:t>
      </w:r>
      <w:r>
        <w:rPr>
          <w:rFonts w:hint="eastAsia" w:asciiTheme="minorEastAsia" w:hAnsiTheme="minorEastAsia" w:eastAsiaTheme="minorEastAsia" w:cstheme="minorEastAsia"/>
          <w:sz w:val="24"/>
          <w:lang w:val="en-US" w:eastAsia="zh-CN"/>
        </w:rPr>
        <w:t>产品由制造商（指产品生产制造商，或其负责销售、售后服务机构，以下同）负责标准售后服务的，应当在响应文件中予以明确说明，并附制造商售后服务承诺。</w:t>
      </w:r>
    </w:p>
    <w:p>
      <w:pPr>
        <w:tabs>
          <w:tab w:val="left" w:pos="7665"/>
        </w:tabs>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bookmarkStart w:id="180" w:name="_GoBack"/>
      <w:bookmarkEnd w:id="180"/>
      <w:r>
        <w:rPr>
          <w:rFonts w:hint="eastAsia" w:asciiTheme="minorEastAsia" w:hAnsiTheme="minorEastAsia" w:eastAsiaTheme="minorEastAsia" w:cstheme="minorEastAsia"/>
          <w:sz w:val="24"/>
          <w:lang w:val="en-US" w:eastAsia="zh-CN"/>
        </w:rPr>
        <w:t>.2三个月内发现不合格产品或材质与封存的样品不符的须无条件退货（所发生的拆包、运输等费用应由供应商负责）。</w:t>
      </w:r>
    </w:p>
    <w:p>
      <w:pPr>
        <w:tabs>
          <w:tab w:val="left" w:pos="7665"/>
        </w:tabs>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说明：（1）如果以上技术参数表述有某个特定品牌的规格型号，供应商可参照该项目的技术标准选择其他品牌产品替代，并做出说明，原则上不能降低产品性能。</w:t>
      </w:r>
    </w:p>
    <w:p>
      <w:pPr>
        <w:tabs>
          <w:tab w:val="left" w:pos="7665"/>
        </w:tabs>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如果以上参数关于外观、功能或重量、尺寸（需现场定制或影响使用的情况除外）的表述为某一品牌独有的，可不作为必须满足的条件，即不得以此项内容取消供应商磋商资格。供应商应在响应文件中对此种情况做出说明。</w:t>
      </w:r>
    </w:p>
    <w:p>
      <w:pPr>
        <w:numPr>
          <w:ilvl w:val="0"/>
          <w:numId w:val="0"/>
        </w:numPr>
        <w:tabs>
          <w:tab w:val="left" w:pos="7665"/>
        </w:tabs>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二、技术要求</w:t>
      </w:r>
    </w:p>
    <w:p>
      <w:pPr>
        <w:tabs>
          <w:tab w:val="left" w:pos="7665"/>
        </w:tabs>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1、</w:t>
      </w:r>
      <w:r>
        <w:rPr>
          <w:rFonts w:hint="eastAsia" w:asciiTheme="minorEastAsia" w:hAnsiTheme="minorEastAsia" w:eastAsiaTheme="minorEastAsia" w:cstheme="minorEastAsia"/>
          <w:b w:val="0"/>
          <w:bCs w:val="0"/>
          <w:sz w:val="24"/>
          <w:lang w:eastAsia="zh-CN"/>
        </w:rPr>
        <w:t>供应商和制造商</w:t>
      </w:r>
      <w:r>
        <w:rPr>
          <w:rFonts w:hint="eastAsia" w:asciiTheme="minorEastAsia" w:hAnsiTheme="minorEastAsia" w:eastAsiaTheme="minorEastAsia" w:cstheme="minorEastAsia"/>
          <w:b w:val="0"/>
          <w:bCs w:val="0"/>
          <w:sz w:val="24"/>
        </w:rPr>
        <w:t>所提供货物的材料使用、制作工艺、技术标准、检验要求、标志及包装必须符合中华人民共和国公共安全行业标准的要求及其相关补充规定、说明、调整等。所要求的标准为强制性标准，</w:t>
      </w:r>
      <w:r>
        <w:rPr>
          <w:rFonts w:hint="eastAsia" w:asciiTheme="minorEastAsia" w:hAnsiTheme="minorEastAsia" w:eastAsiaTheme="minorEastAsia" w:cstheme="minorEastAsia"/>
          <w:b w:val="0"/>
          <w:bCs w:val="0"/>
          <w:sz w:val="24"/>
          <w:lang w:eastAsia="zh-CN"/>
        </w:rPr>
        <w:t>供应商</w:t>
      </w:r>
      <w:r>
        <w:rPr>
          <w:rFonts w:hint="eastAsia" w:asciiTheme="minorEastAsia" w:hAnsiTheme="minorEastAsia" w:eastAsiaTheme="minorEastAsia" w:cstheme="minorEastAsia"/>
          <w:b w:val="0"/>
          <w:bCs w:val="0"/>
          <w:sz w:val="24"/>
        </w:rPr>
        <w:t>所投货物达不到的，其投标将被拒绝。如有货物没有被列入以上标准，则按照相关国家标准和行业标准执行。</w:t>
      </w:r>
    </w:p>
    <w:p>
      <w:pPr>
        <w:tabs>
          <w:tab w:val="left" w:pos="7665"/>
        </w:tabs>
        <w:spacing w:line="360"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eastAsia="zh-CN"/>
        </w:rPr>
        <w:t>2、</w:t>
      </w:r>
      <w:r>
        <w:rPr>
          <w:rFonts w:hint="eastAsia" w:asciiTheme="minorEastAsia" w:hAnsiTheme="minorEastAsia" w:eastAsiaTheme="minorEastAsia" w:cstheme="minorEastAsia"/>
          <w:b w:val="0"/>
          <w:bCs w:val="0"/>
          <w:sz w:val="24"/>
        </w:rPr>
        <w:t>严格执行国家标准、行业标准及公安部</w:t>
      </w:r>
      <w:r>
        <w:rPr>
          <w:rFonts w:hint="eastAsia" w:asciiTheme="minorEastAsia" w:hAnsiTheme="minorEastAsia" w:eastAsiaTheme="minorEastAsia" w:cstheme="minorEastAsia"/>
          <w:b w:val="0"/>
          <w:bCs w:val="0"/>
          <w:sz w:val="24"/>
          <w:lang w:val="en-US" w:eastAsia="zh-CN"/>
        </w:rPr>
        <w:t>标准</w:t>
      </w:r>
      <w:r>
        <w:rPr>
          <w:rFonts w:hint="eastAsia" w:asciiTheme="minorEastAsia" w:hAnsiTheme="minorEastAsia" w:eastAsiaTheme="minorEastAsia" w:cstheme="minorEastAsia"/>
          <w:b w:val="0"/>
          <w:bCs w:val="0"/>
          <w:sz w:val="24"/>
        </w:rPr>
        <w:t>(相关品种有最新标准的则按最新标准执行)。</w:t>
      </w:r>
    </w:p>
    <w:p>
      <w:pPr>
        <w:widowControl/>
        <w:spacing w:line="360" w:lineRule="auto"/>
        <w:jc w:val="left"/>
        <w:rPr>
          <w:rFonts w:hint="eastAsia" w:asciiTheme="minorEastAsia" w:hAnsiTheme="minorEastAsia" w:eastAsiaTheme="minorEastAsia" w:cstheme="minorEastAsia"/>
          <w:b/>
          <w:bCs/>
          <w:color w:val="000000"/>
          <w:kern w:val="0"/>
          <w:sz w:val="24"/>
          <w:szCs w:val="24"/>
          <w:lang w:eastAsia="zh-CN" w:bidi="ar"/>
        </w:rPr>
      </w:pPr>
      <w:r>
        <w:rPr>
          <w:rFonts w:hint="eastAsia" w:asciiTheme="minorEastAsia" w:hAnsiTheme="minorEastAsia" w:eastAsiaTheme="minorEastAsia" w:cstheme="minorEastAsia"/>
          <w:b/>
          <w:bCs/>
          <w:sz w:val="24"/>
        </w:rPr>
        <w:t>三、</w:t>
      </w:r>
      <w:r>
        <w:rPr>
          <w:rFonts w:hint="eastAsia" w:asciiTheme="minorEastAsia" w:hAnsiTheme="minorEastAsia" w:eastAsiaTheme="minorEastAsia" w:cstheme="minorEastAsia"/>
          <w:b/>
          <w:bCs/>
          <w:color w:val="000000"/>
          <w:kern w:val="0"/>
          <w:sz w:val="24"/>
          <w:szCs w:val="24"/>
          <w:lang w:bidi="ar"/>
        </w:rPr>
        <w:t>交货期</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自</w:t>
      </w:r>
      <w:r>
        <w:rPr>
          <w:rFonts w:hint="eastAsia" w:asciiTheme="minorEastAsia" w:hAnsiTheme="minorEastAsia" w:eastAsiaTheme="minorEastAsia" w:cstheme="minorEastAsia"/>
          <w:b w:val="0"/>
          <w:bCs w:val="0"/>
          <w:color w:val="000000"/>
          <w:kern w:val="0"/>
          <w:sz w:val="24"/>
          <w:szCs w:val="24"/>
          <w:lang w:bidi="ar"/>
        </w:rPr>
        <w:t>采购合同签订后30日内交货并完成试穿调换</w:t>
      </w:r>
      <w:r>
        <w:rPr>
          <w:rFonts w:hint="eastAsia" w:asciiTheme="minorEastAsia" w:hAnsiTheme="minorEastAsia" w:eastAsiaTheme="minorEastAsia" w:cstheme="minorEastAsia"/>
          <w:b w:val="0"/>
          <w:bCs w:val="0"/>
          <w:color w:val="000000"/>
          <w:kern w:val="0"/>
          <w:sz w:val="24"/>
          <w:szCs w:val="24"/>
          <w:lang w:eastAsia="zh-CN" w:bidi="ar"/>
        </w:rPr>
        <w:t>，交货地点以采购人通知为准</w:t>
      </w:r>
      <w:r>
        <w:rPr>
          <w:rFonts w:hint="eastAsia" w:asciiTheme="minorEastAsia" w:hAnsiTheme="minorEastAsia" w:eastAsiaTheme="minorEastAsia" w:cstheme="minorEastAsia"/>
          <w:b w:val="0"/>
          <w:bCs w:val="0"/>
          <w:color w:val="000000"/>
          <w:kern w:val="0"/>
          <w:sz w:val="24"/>
          <w:szCs w:val="24"/>
          <w:lang w:bidi="ar"/>
        </w:rPr>
        <w:t>。</w:t>
      </w:r>
    </w:p>
    <w:p>
      <w:pPr>
        <w:widowControl/>
        <w:spacing w:line="360" w:lineRule="auto"/>
        <w:jc w:val="left"/>
        <w:rPr>
          <w:rFonts w:hint="eastAsia" w:asciiTheme="minorEastAsia" w:hAnsiTheme="minorEastAsia" w:eastAsiaTheme="minorEastAsia" w:cstheme="minorEastAsia"/>
          <w:b/>
          <w:bCs/>
          <w:color w:val="000000"/>
          <w:kern w:val="0"/>
          <w:sz w:val="24"/>
          <w:szCs w:val="24"/>
          <w:lang w:bidi="ar"/>
        </w:rPr>
      </w:pPr>
      <w:r>
        <w:rPr>
          <w:rFonts w:hint="eastAsia" w:asciiTheme="minorEastAsia" w:hAnsiTheme="minorEastAsia" w:eastAsiaTheme="minorEastAsia" w:cstheme="minorEastAsia"/>
          <w:b/>
          <w:bCs/>
          <w:color w:val="000000"/>
          <w:kern w:val="0"/>
          <w:sz w:val="24"/>
          <w:szCs w:val="24"/>
          <w:lang w:val="en-US" w:eastAsia="zh-CN" w:bidi="ar"/>
        </w:rPr>
        <w:t>四、</w:t>
      </w:r>
      <w:r>
        <w:rPr>
          <w:rFonts w:hint="eastAsia" w:asciiTheme="minorEastAsia" w:hAnsiTheme="minorEastAsia" w:eastAsiaTheme="minorEastAsia" w:cstheme="minorEastAsia"/>
          <w:b/>
          <w:bCs/>
          <w:color w:val="000000"/>
          <w:kern w:val="0"/>
          <w:sz w:val="24"/>
          <w:szCs w:val="24"/>
          <w:lang w:bidi="ar"/>
        </w:rPr>
        <w:t>验收方式</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1、货物到达现场后，供应商应在使用单位人员在场情况下当面开箱，共同清点、检查外观，做出开箱记录，双方签字确认。</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2、供应商应保证货物到达采购人所在地完好无损，如有缺漏、损坏，由供应商负责调换、补齐或赔偿。</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3、供应商应提供完备的服装清单、装箱单和合格证等，验收合格条件如下：</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3.1技术参数与采购合同一致，材质、质量达到规定的标准。</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3.2服装清单、装箱单、合格证等资料齐全。</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3.3因服装码数不合适、质量差等出现的问题在质保期内免费更换。</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3.4在规定时间内交货和验收，并经采购人确认。</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4、服装在质量检查合格、试穿合适符合要求后，才作为最终验收。</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5、供应商提供的货物未达到采购文件规定要求，且对采购人造成损失的，由供应商承担一切责任，并赔偿所造成的损失。</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6</w:t>
      </w:r>
      <w:r>
        <w:rPr>
          <w:rFonts w:hint="eastAsia" w:asciiTheme="minorEastAsia" w:hAnsiTheme="minorEastAsia" w:eastAsiaTheme="minorEastAsia" w:cstheme="minorEastAsia"/>
          <w:b w:val="0"/>
          <w:bCs w:val="0"/>
          <w:color w:val="000000"/>
          <w:kern w:val="0"/>
          <w:sz w:val="24"/>
          <w:szCs w:val="24"/>
          <w:lang w:bidi="ar"/>
        </w:rPr>
        <w:t>、采购人需要制造商对成交供应商交付的产品（包括质量、技术参数等）进行确认的，制造商应予以配合，并出具书面意见。</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7</w:t>
      </w:r>
      <w:r>
        <w:rPr>
          <w:rFonts w:hint="eastAsia" w:asciiTheme="minorEastAsia" w:hAnsiTheme="minorEastAsia" w:eastAsiaTheme="minorEastAsia" w:cstheme="minorEastAsia"/>
          <w:b w:val="0"/>
          <w:bCs w:val="0"/>
          <w:color w:val="000000"/>
          <w:kern w:val="0"/>
          <w:sz w:val="24"/>
          <w:szCs w:val="24"/>
          <w:lang w:bidi="ar"/>
        </w:rPr>
        <w:t>、产品包装材料归采购人所有。</w:t>
      </w:r>
    </w:p>
    <w:p>
      <w:pPr>
        <w:widowControl/>
        <w:spacing w:line="360" w:lineRule="auto"/>
        <w:jc w:val="left"/>
        <w:rPr>
          <w:rFonts w:hint="eastAsia" w:asciiTheme="minorEastAsia" w:hAnsiTheme="minorEastAsia" w:eastAsiaTheme="minorEastAsia" w:cstheme="minorEastAsia"/>
          <w:b/>
          <w:bCs/>
          <w:color w:val="000000"/>
          <w:kern w:val="0"/>
          <w:sz w:val="24"/>
          <w:szCs w:val="24"/>
          <w:lang w:bidi="ar"/>
        </w:rPr>
      </w:pPr>
      <w:bookmarkStart w:id="178" w:name="_Toc54772666"/>
      <w:r>
        <w:rPr>
          <w:rFonts w:hint="eastAsia" w:asciiTheme="minorEastAsia" w:hAnsiTheme="minorEastAsia" w:eastAsiaTheme="minorEastAsia" w:cstheme="minorEastAsia"/>
          <w:b/>
          <w:bCs/>
          <w:color w:val="000000"/>
          <w:kern w:val="0"/>
          <w:sz w:val="24"/>
          <w:szCs w:val="24"/>
          <w:lang w:val="en-US" w:eastAsia="zh-CN" w:bidi="ar"/>
        </w:rPr>
        <w:t>五、</w:t>
      </w:r>
      <w:r>
        <w:rPr>
          <w:rFonts w:hint="eastAsia" w:asciiTheme="minorEastAsia" w:hAnsiTheme="minorEastAsia" w:eastAsiaTheme="minorEastAsia" w:cstheme="minorEastAsia"/>
          <w:b/>
          <w:bCs/>
          <w:color w:val="000000"/>
          <w:kern w:val="0"/>
          <w:sz w:val="24"/>
          <w:szCs w:val="24"/>
          <w:lang w:bidi="ar"/>
        </w:rPr>
        <w:t>售后服务</w:t>
      </w:r>
      <w:bookmarkEnd w:id="178"/>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bidi="ar"/>
        </w:rPr>
        <w:t>1、</w:t>
      </w:r>
      <w:r>
        <w:rPr>
          <w:rFonts w:hint="eastAsia" w:asciiTheme="minorEastAsia" w:hAnsiTheme="minorEastAsia" w:eastAsiaTheme="minorEastAsia" w:cstheme="minorEastAsia"/>
          <w:b w:val="0"/>
          <w:bCs w:val="0"/>
          <w:color w:val="000000"/>
          <w:kern w:val="0"/>
          <w:sz w:val="24"/>
          <w:szCs w:val="24"/>
          <w:lang w:val="en-US" w:eastAsia="zh-CN" w:bidi="ar"/>
        </w:rPr>
        <w:t>响应时效：</w:t>
      </w:r>
      <w:r>
        <w:rPr>
          <w:rFonts w:hint="eastAsia" w:asciiTheme="minorEastAsia" w:hAnsiTheme="minorEastAsia" w:eastAsiaTheme="minorEastAsia" w:cstheme="minorEastAsia"/>
          <w:b w:val="0"/>
          <w:bCs w:val="0"/>
          <w:color w:val="000000"/>
          <w:kern w:val="0"/>
          <w:sz w:val="24"/>
          <w:szCs w:val="24"/>
          <w:lang w:bidi="ar"/>
        </w:rPr>
        <w:t>在货物使用过程中出现问题</w:t>
      </w:r>
      <w:r>
        <w:rPr>
          <w:rFonts w:hint="eastAsia" w:asciiTheme="minorEastAsia" w:hAnsiTheme="minorEastAsia" w:eastAsiaTheme="minorEastAsia" w:cstheme="minorEastAsia"/>
          <w:b w:val="0"/>
          <w:bCs w:val="0"/>
          <w:color w:val="000000"/>
          <w:kern w:val="0"/>
          <w:sz w:val="24"/>
          <w:szCs w:val="24"/>
          <w:lang w:eastAsia="zh-CN" w:bidi="ar"/>
        </w:rPr>
        <w:t>，</w:t>
      </w:r>
      <w:r>
        <w:rPr>
          <w:rFonts w:hint="eastAsia" w:asciiTheme="minorEastAsia" w:hAnsiTheme="minorEastAsia" w:eastAsiaTheme="minorEastAsia" w:cstheme="minorEastAsia"/>
          <w:b w:val="0"/>
          <w:bCs w:val="0"/>
          <w:color w:val="000000"/>
          <w:kern w:val="0"/>
          <w:sz w:val="24"/>
          <w:szCs w:val="24"/>
          <w:lang w:val="en-US" w:eastAsia="zh-CN" w:bidi="ar"/>
        </w:rPr>
        <w:t>供应商</w:t>
      </w:r>
      <w:r>
        <w:rPr>
          <w:rFonts w:hint="eastAsia" w:asciiTheme="minorEastAsia" w:hAnsiTheme="minorEastAsia" w:eastAsiaTheme="minorEastAsia" w:cstheme="minorEastAsia"/>
          <w:b w:val="0"/>
          <w:bCs w:val="0"/>
          <w:color w:val="000000"/>
          <w:kern w:val="0"/>
          <w:sz w:val="24"/>
          <w:szCs w:val="24"/>
          <w:lang w:bidi="ar"/>
        </w:rPr>
        <w:t>应在出现问题</w:t>
      </w:r>
      <w:r>
        <w:rPr>
          <w:rFonts w:hint="eastAsia" w:asciiTheme="minorEastAsia" w:hAnsiTheme="minorEastAsia" w:eastAsiaTheme="minorEastAsia" w:cstheme="minorEastAsia"/>
          <w:b w:val="0"/>
          <w:bCs w:val="0"/>
          <w:color w:val="000000"/>
          <w:kern w:val="0"/>
          <w:sz w:val="24"/>
          <w:szCs w:val="24"/>
          <w:lang w:val="en-US" w:eastAsia="zh-CN" w:bidi="ar"/>
        </w:rPr>
        <w:t>6</w:t>
      </w:r>
      <w:r>
        <w:rPr>
          <w:rFonts w:hint="eastAsia" w:asciiTheme="minorEastAsia" w:hAnsiTheme="minorEastAsia" w:eastAsiaTheme="minorEastAsia" w:cstheme="minorEastAsia"/>
          <w:b w:val="0"/>
          <w:bCs w:val="0"/>
          <w:color w:val="000000"/>
          <w:kern w:val="0"/>
          <w:sz w:val="24"/>
          <w:szCs w:val="24"/>
          <w:lang w:bidi="ar"/>
        </w:rPr>
        <w:t>小时内响应，</w:t>
      </w:r>
      <w:r>
        <w:rPr>
          <w:rFonts w:hint="eastAsia" w:asciiTheme="minorEastAsia" w:hAnsiTheme="minorEastAsia" w:eastAsiaTheme="minorEastAsia" w:cstheme="minorEastAsia"/>
          <w:b w:val="0"/>
          <w:bCs w:val="0"/>
          <w:color w:val="000000"/>
          <w:kern w:val="0"/>
          <w:sz w:val="24"/>
          <w:szCs w:val="24"/>
          <w:lang w:val="en-US" w:eastAsia="zh-CN" w:bidi="ar"/>
        </w:rPr>
        <w:t>12</w:t>
      </w:r>
      <w:r>
        <w:rPr>
          <w:rFonts w:hint="eastAsia" w:asciiTheme="minorEastAsia" w:hAnsiTheme="minorEastAsia" w:eastAsiaTheme="minorEastAsia" w:cstheme="minorEastAsia"/>
          <w:b w:val="0"/>
          <w:bCs w:val="0"/>
          <w:color w:val="000000"/>
          <w:kern w:val="0"/>
          <w:sz w:val="24"/>
          <w:szCs w:val="24"/>
          <w:lang w:bidi="ar"/>
        </w:rPr>
        <w:t>小时内到达现场，</w:t>
      </w:r>
      <w:r>
        <w:rPr>
          <w:rFonts w:hint="eastAsia" w:asciiTheme="minorEastAsia" w:hAnsiTheme="minorEastAsia" w:eastAsiaTheme="minorEastAsia" w:cstheme="minorEastAsia"/>
          <w:b w:val="0"/>
          <w:bCs w:val="0"/>
          <w:color w:val="000000"/>
          <w:kern w:val="0"/>
          <w:sz w:val="24"/>
          <w:szCs w:val="24"/>
          <w:lang w:val="en-US" w:eastAsia="zh-CN" w:bidi="ar"/>
        </w:rPr>
        <w:t>24</w:t>
      </w:r>
      <w:r>
        <w:rPr>
          <w:rFonts w:hint="eastAsia" w:asciiTheme="minorEastAsia" w:hAnsiTheme="minorEastAsia" w:eastAsiaTheme="minorEastAsia" w:cstheme="minorEastAsia"/>
          <w:b w:val="0"/>
          <w:bCs w:val="0"/>
          <w:color w:val="000000"/>
          <w:kern w:val="0"/>
          <w:sz w:val="24"/>
          <w:szCs w:val="24"/>
          <w:lang w:bidi="ar"/>
        </w:rPr>
        <w:t>小时内解决问题。如不能解决，应提供</w:t>
      </w:r>
      <w:r>
        <w:rPr>
          <w:rFonts w:hint="eastAsia" w:asciiTheme="minorEastAsia" w:hAnsiTheme="minorEastAsia" w:eastAsiaTheme="minorEastAsia" w:cstheme="minorEastAsia"/>
          <w:b w:val="0"/>
          <w:bCs w:val="0"/>
          <w:color w:val="000000"/>
          <w:kern w:val="0"/>
          <w:sz w:val="24"/>
          <w:szCs w:val="24"/>
          <w:lang w:val="en-US" w:eastAsia="zh-CN" w:bidi="ar"/>
        </w:rPr>
        <w:t>采购人</w:t>
      </w:r>
      <w:r>
        <w:rPr>
          <w:rFonts w:hint="eastAsia" w:asciiTheme="minorEastAsia" w:hAnsiTheme="minorEastAsia" w:eastAsiaTheme="minorEastAsia" w:cstheme="minorEastAsia"/>
          <w:b w:val="0"/>
          <w:bCs w:val="0"/>
          <w:color w:val="000000"/>
          <w:kern w:val="0"/>
          <w:sz w:val="24"/>
          <w:szCs w:val="24"/>
          <w:lang w:bidi="ar"/>
        </w:rPr>
        <w:t>可以接受的解决方案。</w:t>
      </w:r>
    </w:p>
    <w:p>
      <w:pPr>
        <w:pStyle w:val="7"/>
        <w:spacing w:line="360" w:lineRule="auto"/>
        <w:ind w:left="0" w:firstLine="480" w:firstLineChars="200"/>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2、售后服务中，维修使用的备品备件及易损件应为原厂配件，未经采购人同意不得使用非原厂配件，常用的、容易损坏的备品备件及易损件的价格清单须在响应文件中列出。</w:t>
      </w:r>
    </w:p>
    <w:p>
      <w:pPr>
        <w:pStyle w:val="7"/>
        <w:ind w:left="0" w:leftChars="0" w:firstLine="0" w:firstLineChars="0"/>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六、质量保证期</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1、产品质量保证期：验收合格签字之日起1年</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2、投标产品属于国家规定“三包”范围的，其产品质量保证期不得低于“三包”规定。</w:t>
      </w:r>
    </w:p>
    <w:p>
      <w:pPr>
        <w:widowControl/>
        <w:spacing w:line="360" w:lineRule="auto"/>
        <w:ind w:left="479" w:leftChars="228" w:firstLine="0" w:firstLineChars="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3、供应商的质量保证期承诺优于国家“三包”规定的，按供应商实际承诺执行。4、质量保证期服务要求</w:t>
      </w:r>
    </w:p>
    <w:p>
      <w:pPr>
        <w:widowControl/>
        <w:spacing w:line="360" w:lineRule="auto"/>
        <w:ind w:firstLine="480" w:firstLineChars="200"/>
        <w:jc w:val="left"/>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4.1在质量保证期内，供应商应对提供货物免费维保；</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4.2质量保证期过后，供应商应同样提供免费电话咨询服务，并应承诺提供上门服务。</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4.3质量保证期过后，采购人需要继续由原供应商和制造商提供售后服务的，该供应商和制造商应以优惠价格提供售后服务。</w:t>
      </w:r>
    </w:p>
    <w:p>
      <w:pPr>
        <w:pStyle w:val="7"/>
        <w:rPr>
          <w:rFonts w:hint="eastAsia" w:asciiTheme="minorEastAsia" w:hAnsiTheme="minorEastAsia" w:eastAsiaTheme="minorEastAsia" w:cstheme="minorEastAsia"/>
          <w:b w:val="0"/>
          <w:bCs w:val="0"/>
          <w:color w:val="000000"/>
          <w:kern w:val="0"/>
          <w:sz w:val="24"/>
          <w:szCs w:val="24"/>
          <w:lang w:val="en-US" w:eastAsia="zh-CN" w:bidi="ar"/>
        </w:rPr>
      </w:pPr>
    </w:p>
    <w:p>
      <w:pPr>
        <w:rPr>
          <w:rFonts w:hint="eastAsia" w:asciiTheme="minorEastAsia" w:hAnsiTheme="minorEastAsia" w:eastAsiaTheme="minorEastAsia" w:cstheme="minorEastAsia"/>
          <w:b w:val="0"/>
          <w:bCs w:val="0"/>
          <w:color w:val="000000"/>
          <w:kern w:val="0"/>
          <w:sz w:val="24"/>
          <w:szCs w:val="24"/>
          <w:lang w:val="en-US" w:eastAsia="zh-CN" w:bidi="ar"/>
        </w:rPr>
      </w:pPr>
    </w:p>
    <w:p>
      <w:pPr>
        <w:pStyle w:val="7"/>
        <w:rPr>
          <w:rFonts w:hint="eastAsia" w:asciiTheme="minorEastAsia" w:hAnsiTheme="minorEastAsia" w:eastAsiaTheme="minorEastAsia" w:cstheme="minorEastAsia"/>
          <w:b w:val="0"/>
          <w:bCs w:val="0"/>
          <w:color w:val="000000"/>
          <w:kern w:val="0"/>
          <w:sz w:val="24"/>
          <w:szCs w:val="24"/>
          <w:lang w:val="en-US" w:eastAsia="zh-CN" w:bidi="ar"/>
        </w:rPr>
      </w:pPr>
    </w:p>
    <w:p>
      <w:pPr>
        <w:rPr>
          <w:rFonts w:hint="eastAsia"/>
        </w:rPr>
      </w:pPr>
    </w:p>
    <w:p>
      <w:pPr>
        <w:widowControl/>
        <w:numPr>
          <w:ilvl w:val="0"/>
          <w:numId w:val="2"/>
        </w:numPr>
        <w:spacing w:line="360" w:lineRule="auto"/>
        <w:jc w:val="left"/>
        <w:rPr>
          <w:rFonts w:hint="eastAsia" w:asciiTheme="minorEastAsia" w:hAnsiTheme="minorEastAsia" w:eastAsiaTheme="minorEastAsia" w:cstheme="minorEastAsia"/>
          <w:b/>
          <w:bCs/>
          <w:color w:val="000000"/>
          <w:kern w:val="0"/>
          <w:sz w:val="24"/>
          <w:szCs w:val="24"/>
          <w:lang w:bidi="ar"/>
        </w:rPr>
      </w:pPr>
      <w:bookmarkStart w:id="179" w:name="_Toc54772667"/>
      <w:r>
        <w:rPr>
          <w:rFonts w:hint="eastAsia" w:asciiTheme="minorEastAsia" w:hAnsiTheme="minorEastAsia" w:eastAsiaTheme="minorEastAsia" w:cstheme="minorEastAsia"/>
          <w:b/>
          <w:bCs/>
          <w:color w:val="000000"/>
          <w:kern w:val="0"/>
          <w:sz w:val="24"/>
          <w:szCs w:val="24"/>
          <w:lang w:bidi="ar"/>
        </w:rPr>
        <w:t>付款方式</w:t>
      </w:r>
      <w:bookmarkEnd w:id="179"/>
    </w:p>
    <w:p>
      <w:pPr>
        <w:widowControl/>
        <w:numPr>
          <w:ilvl w:val="0"/>
          <w:numId w:val="0"/>
        </w:numPr>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1）</w:t>
      </w:r>
      <w:r>
        <w:rPr>
          <w:rFonts w:hint="eastAsia" w:asciiTheme="minorEastAsia" w:hAnsiTheme="minorEastAsia" w:eastAsiaTheme="minorEastAsia" w:cstheme="minorEastAsia"/>
          <w:b w:val="0"/>
          <w:bCs w:val="0"/>
          <w:color w:val="000000"/>
          <w:kern w:val="0"/>
          <w:sz w:val="24"/>
          <w:szCs w:val="24"/>
          <w:lang w:bidi="ar"/>
        </w:rPr>
        <w:t>合同签订后，供应商按采购合同交货，完成试穿调换，经验收合格后，采购人向供应商支付合同总价</w:t>
      </w:r>
      <w:r>
        <w:rPr>
          <w:rFonts w:hint="eastAsia" w:asciiTheme="minorEastAsia" w:hAnsiTheme="minorEastAsia" w:eastAsiaTheme="minorEastAsia" w:cstheme="minorEastAsia"/>
          <w:b w:val="0"/>
          <w:bCs w:val="0"/>
          <w:color w:val="000000"/>
          <w:kern w:val="0"/>
          <w:sz w:val="24"/>
          <w:szCs w:val="24"/>
          <w:lang w:val="en-US" w:eastAsia="zh-CN" w:bidi="ar"/>
        </w:rPr>
        <w:t>9</w:t>
      </w:r>
      <w:r>
        <w:rPr>
          <w:rFonts w:hint="eastAsia" w:asciiTheme="minorEastAsia" w:hAnsiTheme="minorEastAsia" w:eastAsiaTheme="minorEastAsia" w:cstheme="minorEastAsia"/>
          <w:b w:val="0"/>
          <w:bCs w:val="0"/>
          <w:color w:val="000000"/>
          <w:kern w:val="0"/>
          <w:sz w:val="24"/>
          <w:szCs w:val="24"/>
          <w:lang w:bidi="ar"/>
        </w:rPr>
        <w:t>5%的款额。其余5%款额在产品使用中无质量问题，且履行售后服务承诺，在</w:t>
      </w:r>
      <w:r>
        <w:rPr>
          <w:rFonts w:hint="eastAsia" w:asciiTheme="minorEastAsia" w:hAnsiTheme="minorEastAsia" w:eastAsiaTheme="minorEastAsia" w:cstheme="minorEastAsia"/>
          <w:b w:val="0"/>
          <w:bCs w:val="0"/>
          <w:color w:val="000000"/>
          <w:kern w:val="0"/>
          <w:sz w:val="24"/>
          <w:szCs w:val="24"/>
          <w:lang w:val="en-US" w:eastAsia="zh-CN" w:bidi="ar"/>
        </w:rPr>
        <w:t>质量保证期</w:t>
      </w:r>
      <w:r>
        <w:rPr>
          <w:rFonts w:hint="eastAsia" w:asciiTheme="minorEastAsia" w:hAnsiTheme="minorEastAsia" w:eastAsiaTheme="minorEastAsia" w:cstheme="minorEastAsia"/>
          <w:b w:val="0"/>
          <w:bCs w:val="0"/>
          <w:color w:val="000000"/>
          <w:kern w:val="0"/>
          <w:sz w:val="24"/>
          <w:szCs w:val="24"/>
          <w:lang w:bidi="ar"/>
        </w:rPr>
        <w:t>满后的30天内将余款无息汇入供应商指定的账户。</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2）</w:t>
      </w:r>
      <w:r>
        <w:rPr>
          <w:rFonts w:hint="eastAsia" w:asciiTheme="minorEastAsia" w:hAnsiTheme="minorEastAsia" w:eastAsiaTheme="minorEastAsia" w:cstheme="minorEastAsia"/>
          <w:b w:val="0"/>
          <w:bCs w:val="0"/>
          <w:color w:val="000000"/>
          <w:kern w:val="0"/>
          <w:sz w:val="24"/>
          <w:szCs w:val="24"/>
          <w:lang w:bidi="ar"/>
        </w:rPr>
        <w:t>成交供应商提交采购合同、发票等材料，向采购人申请付款。</w:t>
      </w:r>
    </w:p>
    <w:p>
      <w:pPr>
        <w:widowControl/>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bidi="ar"/>
        </w:rPr>
      </w:pPr>
      <w:r>
        <w:rPr>
          <w:rFonts w:hint="eastAsia" w:asciiTheme="minorEastAsia" w:hAnsiTheme="minorEastAsia" w:eastAsiaTheme="minorEastAsia" w:cstheme="minorEastAsia"/>
          <w:b w:val="0"/>
          <w:bCs w:val="0"/>
          <w:color w:val="000000"/>
          <w:kern w:val="0"/>
          <w:sz w:val="24"/>
          <w:szCs w:val="24"/>
          <w:lang w:val="en-US" w:eastAsia="zh-CN" w:bidi="ar"/>
        </w:rPr>
        <w:t>3）</w:t>
      </w:r>
      <w:r>
        <w:rPr>
          <w:rFonts w:hint="eastAsia" w:asciiTheme="minorEastAsia" w:hAnsiTheme="minorEastAsia" w:eastAsiaTheme="minorEastAsia" w:cstheme="minorEastAsia"/>
          <w:b w:val="0"/>
          <w:bCs w:val="0"/>
          <w:color w:val="000000"/>
          <w:kern w:val="0"/>
          <w:sz w:val="24"/>
          <w:szCs w:val="24"/>
          <w:lang w:bidi="ar"/>
        </w:rPr>
        <w:t>采购人对成交供应商提交的付款资料审核通过后，以转账</w:t>
      </w:r>
      <w:r>
        <w:rPr>
          <w:rFonts w:hint="eastAsia" w:asciiTheme="minorEastAsia" w:hAnsiTheme="minorEastAsia" w:eastAsiaTheme="minorEastAsia" w:cstheme="minorEastAsia"/>
          <w:b w:val="0"/>
          <w:bCs w:val="0"/>
          <w:color w:val="000000"/>
          <w:kern w:val="0"/>
          <w:sz w:val="24"/>
          <w:szCs w:val="24"/>
          <w:lang w:eastAsia="zh-CN" w:bidi="ar"/>
        </w:rPr>
        <w:t>方式</w:t>
      </w:r>
      <w:r>
        <w:rPr>
          <w:rFonts w:hint="eastAsia" w:asciiTheme="minorEastAsia" w:hAnsiTheme="minorEastAsia" w:eastAsiaTheme="minorEastAsia" w:cstheme="minorEastAsia"/>
          <w:b w:val="0"/>
          <w:bCs w:val="0"/>
          <w:color w:val="000000"/>
          <w:kern w:val="0"/>
          <w:sz w:val="24"/>
          <w:szCs w:val="24"/>
          <w:lang w:bidi="ar"/>
        </w:rPr>
        <w:t>向成交供应商付款。</w:t>
      </w:r>
    </w:p>
    <w:p>
      <w:pPr>
        <w:pStyle w:val="7"/>
        <w:rPr>
          <w:rFonts w:hint="eastAsia" w:asciiTheme="minorEastAsia" w:hAnsiTheme="minorEastAsia" w:eastAsiaTheme="minorEastAsia" w:cstheme="minorEastAsia"/>
          <w:b w:val="0"/>
          <w:bCs w:val="0"/>
          <w:color w:val="000000"/>
          <w:kern w:val="0"/>
          <w:sz w:val="24"/>
          <w:szCs w:val="24"/>
          <w:lang w:bidi="ar"/>
        </w:rPr>
      </w:pPr>
    </w:p>
    <w:p>
      <w:pPr>
        <w:widowControl/>
        <w:spacing w:line="360" w:lineRule="auto"/>
        <w:jc w:val="center"/>
        <w:rPr>
          <w:rFonts w:asciiTheme="minorEastAsia" w:hAnsiTheme="minorEastAsia" w:eastAsiaTheme="minorEastAsia" w:cstheme="minorEastAsia"/>
          <w:b/>
          <w:bCs/>
          <w:color w:val="000000"/>
          <w:kern w:val="0"/>
          <w:sz w:val="28"/>
          <w:szCs w:val="28"/>
          <w:lang w:bidi="ar"/>
        </w:rPr>
      </w:pPr>
    </w:p>
    <w:p>
      <w:pPr>
        <w:pStyle w:val="7"/>
        <w:rPr>
          <w:rFonts w:asciiTheme="minorEastAsia" w:hAnsiTheme="minorEastAsia" w:eastAsiaTheme="minorEastAsia" w:cstheme="minorEastAsia"/>
          <w:b/>
          <w:bCs/>
          <w:color w:val="000000"/>
          <w:kern w:val="0"/>
          <w:sz w:val="28"/>
          <w:szCs w:val="28"/>
          <w:lang w:bidi="ar"/>
        </w:rPr>
      </w:pPr>
    </w:p>
    <w:p>
      <w:pPr>
        <w:rPr>
          <w:rFonts w:asciiTheme="minorEastAsia" w:hAnsiTheme="minorEastAsia" w:eastAsiaTheme="minorEastAsia" w:cstheme="minorEastAsia"/>
          <w:b/>
          <w:bCs/>
          <w:color w:val="000000"/>
          <w:kern w:val="0"/>
          <w:sz w:val="28"/>
          <w:szCs w:val="28"/>
          <w:lang w:bidi="ar"/>
        </w:rPr>
      </w:pPr>
    </w:p>
    <w:p>
      <w:pPr>
        <w:pStyle w:val="7"/>
        <w:rPr>
          <w:rFonts w:asciiTheme="minorEastAsia" w:hAnsiTheme="minorEastAsia" w:eastAsiaTheme="minorEastAsia" w:cstheme="minorEastAsia"/>
          <w:b/>
          <w:bCs/>
          <w:color w:val="000000"/>
          <w:kern w:val="0"/>
          <w:sz w:val="28"/>
          <w:szCs w:val="28"/>
          <w:lang w:bidi="ar"/>
        </w:rPr>
      </w:pPr>
    </w:p>
    <w:p>
      <w:pPr>
        <w:rPr>
          <w:rFonts w:asciiTheme="minorEastAsia" w:hAnsiTheme="minorEastAsia" w:eastAsiaTheme="minorEastAsia" w:cstheme="minorEastAsia"/>
          <w:b/>
          <w:bCs/>
          <w:color w:val="000000"/>
          <w:kern w:val="0"/>
          <w:sz w:val="28"/>
          <w:szCs w:val="28"/>
          <w:lang w:bidi="ar"/>
        </w:rPr>
      </w:pPr>
    </w:p>
    <w:p>
      <w:pPr>
        <w:pStyle w:val="7"/>
        <w:rPr>
          <w:rFonts w:asciiTheme="minorEastAsia" w:hAnsiTheme="minorEastAsia" w:eastAsiaTheme="minorEastAsia" w:cstheme="minorEastAsia"/>
          <w:b/>
          <w:bCs/>
          <w:color w:val="000000"/>
          <w:kern w:val="0"/>
          <w:sz w:val="28"/>
          <w:szCs w:val="28"/>
          <w:lang w:bidi="ar"/>
        </w:rPr>
      </w:pPr>
    </w:p>
    <w:p>
      <w:pPr>
        <w:rPr>
          <w:rFonts w:asciiTheme="minorEastAsia" w:hAnsiTheme="minorEastAsia" w:eastAsiaTheme="minorEastAsia" w:cstheme="minorEastAsia"/>
          <w:b/>
          <w:bCs/>
          <w:color w:val="000000"/>
          <w:kern w:val="0"/>
          <w:sz w:val="28"/>
          <w:szCs w:val="28"/>
          <w:lang w:bidi="ar"/>
        </w:rPr>
      </w:pPr>
    </w:p>
    <w:p>
      <w:pPr>
        <w:pStyle w:val="7"/>
        <w:rPr>
          <w:rFonts w:asciiTheme="minorEastAsia" w:hAnsiTheme="minorEastAsia" w:eastAsiaTheme="minorEastAsia" w:cstheme="minorEastAsia"/>
          <w:b/>
          <w:bCs/>
          <w:color w:val="000000"/>
          <w:kern w:val="0"/>
          <w:sz w:val="28"/>
          <w:szCs w:val="28"/>
          <w:lang w:bidi="ar"/>
        </w:rPr>
      </w:pPr>
    </w:p>
    <w:p>
      <w:pPr>
        <w:rPr>
          <w:rFonts w:asciiTheme="minorEastAsia" w:hAnsiTheme="minorEastAsia" w:eastAsiaTheme="minorEastAsia" w:cstheme="minorEastAsia"/>
          <w:b/>
          <w:bCs/>
          <w:color w:val="000000"/>
          <w:kern w:val="0"/>
          <w:sz w:val="28"/>
          <w:szCs w:val="28"/>
          <w:lang w:bidi="ar"/>
        </w:rPr>
      </w:pPr>
    </w:p>
    <w:p>
      <w:pPr>
        <w:pStyle w:val="7"/>
        <w:rPr>
          <w:rFonts w:asciiTheme="minorEastAsia" w:hAnsiTheme="minorEastAsia" w:eastAsiaTheme="minorEastAsia" w:cstheme="minorEastAsia"/>
          <w:b/>
          <w:bCs/>
          <w:color w:val="000000"/>
          <w:kern w:val="0"/>
          <w:sz w:val="28"/>
          <w:szCs w:val="28"/>
          <w:lang w:bidi="ar"/>
        </w:rPr>
      </w:pPr>
    </w:p>
    <w:p>
      <w:pPr>
        <w:rPr>
          <w:rFonts w:asciiTheme="minorEastAsia" w:hAnsiTheme="minorEastAsia" w:eastAsiaTheme="minorEastAsia" w:cstheme="minorEastAsia"/>
          <w:b/>
          <w:bCs/>
          <w:color w:val="000000"/>
          <w:kern w:val="0"/>
          <w:sz w:val="28"/>
          <w:szCs w:val="28"/>
          <w:lang w:bidi="ar"/>
        </w:rPr>
      </w:pPr>
    </w:p>
    <w:p>
      <w:pPr>
        <w:pStyle w:val="2"/>
        <w:rPr>
          <w:rFonts w:asciiTheme="minorEastAsia" w:hAnsiTheme="minorEastAsia" w:eastAsiaTheme="minorEastAsia" w:cstheme="minorEastAsia"/>
          <w:b/>
          <w:bCs/>
          <w:color w:val="000000"/>
          <w:kern w:val="0"/>
          <w:sz w:val="28"/>
          <w:szCs w:val="28"/>
          <w:lang w:bidi="ar"/>
        </w:rPr>
      </w:pPr>
    </w:p>
    <w:p>
      <w:pPr>
        <w:rPr>
          <w:rFonts w:asciiTheme="minorEastAsia" w:hAnsiTheme="minorEastAsia" w:eastAsiaTheme="minorEastAsia" w:cstheme="minorEastAsia"/>
          <w:b/>
          <w:bCs/>
          <w:color w:val="000000"/>
          <w:kern w:val="0"/>
          <w:sz w:val="28"/>
          <w:szCs w:val="28"/>
          <w:lang w:bidi="ar"/>
        </w:rPr>
      </w:pPr>
    </w:p>
    <w:p>
      <w:pPr>
        <w:pStyle w:val="2"/>
        <w:rPr>
          <w:rFonts w:asciiTheme="minorEastAsia" w:hAnsiTheme="minorEastAsia" w:eastAsiaTheme="minorEastAsia" w:cstheme="minorEastAsia"/>
          <w:b/>
          <w:bCs/>
          <w:color w:val="000000"/>
          <w:kern w:val="0"/>
          <w:sz w:val="28"/>
          <w:szCs w:val="28"/>
          <w:lang w:bidi="ar"/>
        </w:rPr>
      </w:pPr>
    </w:p>
    <w:p>
      <w:pPr>
        <w:rPr>
          <w:rFonts w:asciiTheme="minorEastAsia" w:hAnsiTheme="minorEastAsia" w:eastAsiaTheme="minorEastAsia" w:cstheme="minorEastAsia"/>
          <w:b/>
          <w:bCs/>
          <w:color w:val="000000"/>
          <w:kern w:val="0"/>
          <w:sz w:val="28"/>
          <w:szCs w:val="28"/>
          <w:lang w:bidi="ar"/>
        </w:rPr>
      </w:pPr>
    </w:p>
    <w:p>
      <w:pPr>
        <w:pStyle w:val="21"/>
        <w:ind w:firstLine="0" w:firstLineChars="0"/>
        <w:rPr>
          <w:rFonts w:asciiTheme="minorEastAsia" w:hAnsiTheme="minorEastAsia" w:eastAsiaTheme="minorEastAsia" w:cstheme="minorEastAsia"/>
          <w:b/>
          <w:bCs/>
          <w:color w:val="000000"/>
          <w:kern w:val="0"/>
          <w:sz w:val="28"/>
          <w:szCs w:val="28"/>
          <w:lang w:bidi="ar"/>
        </w:rPr>
      </w:pPr>
    </w:p>
    <w:p>
      <w:pPr>
        <w:widowControl/>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kern w:val="0"/>
          <w:sz w:val="28"/>
          <w:szCs w:val="28"/>
          <w:lang w:bidi="ar"/>
        </w:rPr>
        <w:t>第四章 合同主要条款</w:t>
      </w:r>
    </w:p>
    <w:p>
      <w:pPr>
        <w:widowControl/>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（此合同为格式范本，最终合同以双方协商为准）</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一、合同主要条款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1、定义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1.1 甲方（需方）即采购人，是指通过招标采购，接受合同货物及服务的各级 国家机关、事业单位和团体组织。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1.2 乙方（供方）即中标人，是指中标后提供合同货物和服务的自然人、法人及其他组织。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1.3 合同是指由甲乙双方按照</w:t>
      </w:r>
      <w:r>
        <w:rPr>
          <w:rFonts w:hint="eastAsia" w:asciiTheme="minorEastAsia" w:hAnsiTheme="minorEastAsia" w:eastAsiaTheme="minorEastAsia" w:cstheme="minorEastAsia"/>
          <w:color w:val="000000"/>
          <w:kern w:val="0"/>
          <w:sz w:val="24"/>
          <w:lang w:eastAsia="zh-CN" w:bidi="ar"/>
        </w:rPr>
        <w:t>磋商文件</w:t>
      </w:r>
      <w:r>
        <w:rPr>
          <w:rFonts w:hint="eastAsia" w:asciiTheme="minorEastAsia" w:hAnsiTheme="minorEastAsia" w:eastAsiaTheme="minorEastAsia" w:cstheme="minorEastAsia"/>
          <w:color w:val="000000"/>
          <w:kern w:val="0"/>
          <w:sz w:val="24"/>
          <w:lang w:bidi="ar"/>
        </w:rPr>
        <w:t>和</w:t>
      </w:r>
      <w:r>
        <w:rPr>
          <w:rFonts w:hint="eastAsia" w:asciiTheme="minorEastAsia" w:hAnsiTheme="minorEastAsia" w:eastAsiaTheme="minorEastAsia" w:cstheme="minorEastAsia"/>
          <w:color w:val="000000"/>
          <w:kern w:val="0"/>
          <w:sz w:val="24"/>
          <w:lang w:eastAsia="zh-CN" w:bidi="ar"/>
        </w:rPr>
        <w:t>响应文件</w:t>
      </w:r>
      <w:r>
        <w:rPr>
          <w:rFonts w:hint="eastAsia" w:asciiTheme="minorEastAsia" w:hAnsiTheme="minorEastAsia" w:eastAsiaTheme="minorEastAsia" w:cstheme="minorEastAsia"/>
          <w:color w:val="000000"/>
          <w:kern w:val="0"/>
          <w:sz w:val="24"/>
          <w:lang w:bidi="ar"/>
        </w:rPr>
        <w:t xml:space="preserve">的实质性内容，通过协商一致达成的书面协议。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 合同价格指以中标价格为依据，在供方全面履行合同义务后，需方（或财政部门）应支付给供方的金额。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2、服务内容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合同包括以下内容：服务项目名称、服务提供地点、服务期限、服务标准等内容。</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3、合同价格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3.1 合同价格即合同总价。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3.2 合同价格包括人员工资、各类社保费用、税费、为保证服务质量所购买或租赁设备的费用等。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4、转包或分包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4.1 本合同范围的服务内容，应由乙方直接供应，不得转让他人供应；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4.2 非经甲方书面同意，乙方不得将本合同范围的服务全部或部分分包给他人；</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4.3 如有转让和未经甲方同意的分包行为，甲方有权解除合同，没收履约保证金并追究乙方的违约责任。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5、服务质量保证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5.1 乙方应按</w:t>
      </w:r>
      <w:r>
        <w:rPr>
          <w:rFonts w:hint="eastAsia" w:asciiTheme="minorEastAsia" w:hAnsiTheme="minorEastAsia" w:eastAsiaTheme="minorEastAsia" w:cstheme="minorEastAsia"/>
          <w:color w:val="000000"/>
          <w:kern w:val="0"/>
          <w:sz w:val="24"/>
          <w:lang w:eastAsia="zh-CN" w:bidi="ar"/>
        </w:rPr>
        <w:t>磋商文件</w:t>
      </w:r>
      <w:r>
        <w:rPr>
          <w:rFonts w:hint="eastAsia" w:asciiTheme="minorEastAsia" w:hAnsiTheme="minorEastAsia" w:eastAsiaTheme="minorEastAsia" w:cstheme="minorEastAsia"/>
          <w:color w:val="000000"/>
          <w:kern w:val="0"/>
          <w:sz w:val="24"/>
          <w:lang w:bidi="ar"/>
        </w:rPr>
        <w:t xml:space="preserve">规定的服务标准向甲方提供服务。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5.2 乙方提供的服务标准达不到</w:t>
      </w:r>
      <w:r>
        <w:rPr>
          <w:rFonts w:hint="eastAsia" w:asciiTheme="minorEastAsia" w:hAnsiTheme="minorEastAsia" w:eastAsiaTheme="minorEastAsia" w:cstheme="minorEastAsia"/>
          <w:color w:val="000000"/>
          <w:kern w:val="0"/>
          <w:sz w:val="24"/>
          <w:lang w:eastAsia="zh-CN" w:bidi="ar"/>
        </w:rPr>
        <w:t>磋商文件</w:t>
      </w:r>
      <w:r>
        <w:rPr>
          <w:rFonts w:hint="eastAsia" w:asciiTheme="minorEastAsia" w:hAnsiTheme="minorEastAsia" w:eastAsiaTheme="minorEastAsia" w:cstheme="minorEastAsia"/>
          <w:color w:val="000000"/>
          <w:kern w:val="0"/>
          <w:sz w:val="24"/>
          <w:lang w:bidi="ar"/>
        </w:rPr>
        <w:t xml:space="preserve">规定者，除承担相应责任外，将按失信行为处置。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6、付款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6.1 本合同使用货币币制如未作特别说明均为人民币。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6.2 付款方式：银行转账、现金支票。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6.3 付款方法：</w:t>
      </w:r>
    </w:p>
    <w:p>
      <w:pPr>
        <w:widowControl/>
        <w:spacing w:line="360" w:lineRule="auto"/>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 xml:space="preserve">7、检查考核 </w:t>
      </w:r>
    </w:p>
    <w:p>
      <w:pPr>
        <w:widowControl/>
        <w:spacing w:line="360" w:lineRule="auto"/>
        <w:jc w:val="left"/>
      </w:pPr>
      <w:r>
        <w:rPr>
          <w:rFonts w:hint="eastAsia" w:asciiTheme="minorEastAsia" w:hAnsiTheme="minorEastAsia" w:eastAsiaTheme="minorEastAsia" w:cstheme="minorEastAsia"/>
          <w:color w:val="000000"/>
          <w:kern w:val="0"/>
          <w:sz w:val="24"/>
          <w:lang w:bidi="ar"/>
        </w:rPr>
        <w:t xml:space="preserve">XXXXXXXXXXXXXXXXXXXXXXXXXXXXXXXXXXXXXXXXXXXXXXXXXXXX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8、合同争议的解决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8.1 当事人友好协商达成一致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8.2 在 60 天内当事人协商不能达成协议的，可提请采购人当地仲裁机构仲裁。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9、违约责任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按《中华人民共和国民法典》、《中华人民共和国政府采购法》有关条款，或由供需双方约定。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10、合同生效及其它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10.1 合同生效及其效力应符合《中华人民共和国民法典》有关规定。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10.2 合同应经当事人法定代表人或委托代理人签字，加盖双方合同专用章或公章。</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10.3 合同所包括附件，是合同不可分割的一部分，具有同等法律效力。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10.4 合同需提供担保的，按《中华人民共和国担保法》规定执行。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10.5 本合同条件未尽事宜依照《中华人民共和国民法典》，由供需双方共同协商确定。 </w:t>
      </w: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b/>
          <w:bCs/>
          <w:color w:val="000000"/>
          <w:kern w:val="0"/>
          <w:sz w:val="24"/>
          <w:lang w:bidi="ar"/>
        </w:rPr>
      </w:pP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二、合同（格式） </w:t>
      </w:r>
    </w:p>
    <w:p>
      <w:pPr>
        <w:tabs>
          <w:tab w:val="left" w:pos="720"/>
        </w:tabs>
        <w:spacing w:line="360" w:lineRule="auto"/>
        <w:ind w:firstLine="420"/>
        <w:rPr>
          <w:rFonts w:ascii="宋体" w:hAnsi="宋体" w:eastAsia="宋体"/>
          <w:b/>
          <w:color w:val="000000"/>
          <w:sz w:val="21"/>
          <w:szCs w:val="21"/>
        </w:rPr>
      </w:pPr>
    </w:p>
    <w:p>
      <w:pPr>
        <w:pStyle w:val="7"/>
        <w:rPr>
          <w:rFonts w:ascii="宋体" w:hAnsi="宋体" w:eastAsia="宋体"/>
          <w:b/>
          <w:color w:val="000000"/>
          <w:sz w:val="21"/>
          <w:szCs w:val="21"/>
        </w:rPr>
      </w:pPr>
    </w:p>
    <w:p>
      <w:pPr>
        <w:rPr>
          <w:rFonts w:ascii="宋体" w:hAnsi="宋体" w:eastAsia="宋体"/>
          <w:b/>
          <w:color w:val="000000"/>
          <w:sz w:val="21"/>
          <w:szCs w:val="21"/>
        </w:rPr>
      </w:pPr>
    </w:p>
    <w:p>
      <w:pPr>
        <w:pStyle w:val="7"/>
        <w:rPr>
          <w:rFonts w:ascii="宋体" w:hAnsi="宋体" w:eastAsia="宋体"/>
          <w:b/>
          <w:color w:val="000000"/>
          <w:sz w:val="21"/>
          <w:szCs w:val="21"/>
        </w:rPr>
      </w:pPr>
    </w:p>
    <w:p>
      <w:pPr>
        <w:rPr>
          <w:rFonts w:ascii="宋体" w:hAnsi="宋体" w:eastAsia="宋体"/>
          <w:b/>
          <w:color w:val="000000"/>
          <w:sz w:val="21"/>
          <w:szCs w:val="21"/>
        </w:rPr>
      </w:pPr>
    </w:p>
    <w:p>
      <w:pPr>
        <w:pStyle w:val="7"/>
        <w:rPr>
          <w:rFonts w:ascii="宋体" w:hAnsi="宋体" w:eastAsia="宋体"/>
          <w:b/>
          <w:color w:val="000000"/>
          <w:sz w:val="21"/>
          <w:szCs w:val="21"/>
        </w:rPr>
      </w:pPr>
    </w:p>
    <w:p>
      <w:pPr>
        <w:rPr>
          <w:rFonts w:ascii="宋体" w:hAnsi="宋体" w:eastAsia="宋体"/>
          <w:b/>
          <w:color w:val="000000"/>
          <w:sz w:val="21"/>
          <w:szCs w:val="21"/>
        </w:rPr>
      </w:pPr>
    </w:p>
    <w:p>
      <w:pPr>
        <w:pStyle w:val="7"/>
      </w:pPr>
    </w:p>
    <w:p>
      <w:pPr>
        <w:tabs>
          <w:tab w:val="left" w:pos="720"/>
        </w:tabs>
        <w:spacing w:line="360" w:lineRule="auto"/>
        <w:jc w:val="center"/>
        <w:rPr>
          <w:rFonts w:ascii="宋体" w:hAnsi="宋体" w:eastAsia="宋体"/>
          <w:b/>
          <w:color w:val="000000"/>
          <w:sz w:val="48"/>
          <w:szCs w:val="48"/>
        </w:rPr>
      </w:pPr>
      <w:r>
        <w:rPr>
          <w:rFonts w:hint="eastAsia" w:ascii="宋体" w:hAnsi="宋体" w:eastAsia="宋体"/>
          <w:b/>
          <w:color w:val="000000"/>
          <w:sz w:val="48"/>
          <w:szCs w:val="48"/>
        </w:rPr>
        <w:t>合　同　书</w:t>
      </w:r>
    </w:p>
    <w:p>
      <w:pPr>
        <w:tabs>
          <w:tab w:val="left" w:pos="720"/>
        </w:tabs>
        <w:spacing w:line="360" w:lineRule="auto"/>
        <w:ind w:firstLine="721"/>
        <w:jc w:val="center"/>
        <w:rPr>
          <w:rFonts w:ascii="宋体" w:hAnsi="宋体" w:eastAsia="宋体"/>
          <w:b/>
          <w:color w:val="000000"/>
          <w:sz w:val="36"/>
          <w:szCs w:val="36"/>
        </w:rPr>
      </w:pPr>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ind w:firstLine="420"/>
        <w:rPr>
          <w:rFonts w:ascii="宋体" w:hAnsi="宋体" w:eastAsia="宋体"/>
          <w:b/>
          <w:color w:val="000000"/>
          <w:sz w:val="21"/>
          <w:szCs w:val="21"/>
        </w:rPr>
      </w:pPr>
    </w:p>
    <w:tbl>
      <w:tblPr>
        <w:tblStyle w:val="23"/>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spacing w:line="360" w:lineRule="auto"/>
              <w:ind w:firstLine="420"/>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widowControl/>
        <w:spacing w:line="360" w:lineRule="auto"/>
        <w:jc w:val="left"/>
        <w:rPr>
          <w:rFonts w:hint="eastAsia"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widowControl/>
        <w:spacing w:line="360" w:lineRule="auto"/>
        <w:jc w:val="left"/>
        <w:rPr>
          <w:rFonts w:hint="eastAsia" w:ascii="宋体" w:hAnsi="宋体" w:eastAsia="宋体"/>
          <w:b/>
          <w:color w:val="000000"/>
          <w:sz w:val="21"/>
          <w:szCs w:val="21"/>
        </w:rPr>
      </w:pPr>
    </w:p>
    <w:p>
      <w:pPr>
        <w:spacing w:line="360" w:lineRule="auto"/>
        <w:ind w:firstLine="420"/>
        <w:rPr>
          <w:rFonts w:hint="eastAsia" w:ascii="宋体" w:hAnsi="宋体" w:eastAsia="宋体" w:cs="宋体"/>
          <w:b/>
          <w:color w:val="000000"/>
          <w:sz w:val="21"/>
          <w:szCs w:val="21"/>
        </w:rPr>
      </w:pPr>
      <w:r>
        <w:rPr>
          <w:rFonts w:hint="eastAsia" w:ascii="宋体" w:hAnsi="宋体" w:eastAsia="宋体" w:cs="宋体"/>
          <w:b/>
          <w:color w:val="000000"/>
          <w:sz w:val="21"/>
          <w:szCs w:val="21"/>
        </w:rPr>
        <w:t>甲　　方：</w:t>
      </w:r>
      <w:r>
        <w:rPr>
          <w:rFonts w:hint="eastAsia" w:ascii="宋体" w:hAnsi="宋体" w:eastAsia="宋体" w:cs="宋体"/>
          <w:b/>
          <w:color w:val="000000"/>
          <w:sz w:val="21"/>
          <w:szCs w:val="21"/>
          <w:u w:val="single"/>
        </w:rPr>
        <w:t>　　　　　　　　　　</w:t>
      </w:r>
    </w:p>
    <w:p>
      <w:pPr>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b/>
          <w:color w:val="000000"/>
          <w:sz w:val="21"/>
          <w:szCs w:val="21"/>
          <w:u w:val="single"/>
        </w:rPr>
        <w:t>　　　　　　</w:t>
      </w:r>
      <w:r>
        <w:rPr>
          <w:rFonts w:hint="eastAsia" w:ascii="宋体" w:hAnsi="宋体" w:eastAsia="宋体" w:cs="宋体"/>
          <w:color w:val="000000"/>
          <w:sz w:val="21"/>
          <w:szCs w:val="21"/>
        </w:rPr>
        <w:t>　　传　　真：</w:t>
      </w:r>
      <w:r>
        <w:rPr>
          <w:rFonts w:hint="eastAsia" w:ascii="宋体" w:hAnsi="宋体" w:eastAsia="宋体" w:cs="宋体"/>
          <w:b/>
          <w:color w:val="000000"/>
          <w:sz w:val="21"/>
          <w:szCs w:val="21"/>
          <w:u w:val="single"/>
        </w:rPr>
        <w:t>　　　　　　</w:t>
      </w:r>
      <w:r>
        <w:rPr>
          <w:rFonts w:hint="eastAsia" w:ascii="宋体" w:hAnsi="宋体" w:eastAsia="宋体" w:cs="宋体"/>
          <w:color w:val="000000"/>
          <w:sz w:val="21"/>
          <w:szCs w:val="21"/>
        </w:rPr>
        <w:t>　　地　　址：</w:t>
      </w:r>
      <w:r>
        <w:rPr>
          <w:rFonts w:hint="eastAsia" w:ascii="宋体" w:hAnsi="宋体" w:eastAsia="宋体" w:cs="宋体"/>
          <w:b/>
          <w:color w:val="000000"/>
          <w:sz w:val="21"/>
          <w:szCs w:val="21"/>
          <w:u w:val="single"/>
        </w:rPr>
        <w:t>　　　　　　　　　　</w:t>
      </w:r>
    </w:p>
    <w:p>
      <w:pPr>
        <w:spacing w:line="360" w:lineRule="auto"/>
        <w:ind w:firstLine="420"/>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乙　　方：</w:t>
      </w:r>
      <w:r>
        <w:rPr>
          <w:rFonts w:hint="eastAsia" w:ascii="宋体" w:hAnsi="宋体" w:eastAsia="宋体" w:cs="宋体"/>
          <w:b/>
          <w:color w:val="000000"/>
          <w:sz w:val="21"/>
          <w:szCs w:val="21"/>
          <w:u w:val="single"/>
        </w:rPr>
        <w:t>　　　　　　　　　　</w:t>
      </w:r>
    </w:p>
    <w:p>
      <w:pPr>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b/>
          <w:color w:val="000000"/>
          <w:sz w:val="21"/>
          <w:szCs w:val="21"/>
          <w:u w:val="single"/>
        </w:rPr>
        <w:t>　　　　　　</w:t>
      </w:r>
      <w:r>
        <w:rPr>
          <w:rFonts w:hint="eastAsia" w:ascii="宋体" w:hAnsi="宋体" w:eastAsia="宋体" w:cs="宋体"/>
          <w:color w:val="000000"/>
          <w:sz w:val="21"/>
          <w:szCs w:val="21"/>
        </w:rPr>
        <w:t>　　传　　真：</w:t>
      </w:r>
      <w:r>
        <w:rPr>
          <w:rFonts w:hint="eastAsia" w:ascii="宋体" w:hAnsi="宋体" w:eastAsia="宋体" w:cs="宋体"/>
          <w:b/>
          <w:color w:val="000000"/>
          <w:sz w:val="21"/>
          <w:szCs w:val="21"/>
          <w:u w:val="single"/>
        </w:rPr>
        <w:t>　　　　　　</w:t>
      </w:r>
      <w:r>
        <w:rPr>
          <w:rFonts w:hint="eastAsia" w:ascii="宋体" w:hAnsi="宋体" w:eastAsia="宋体" w:cs="宋体"/>
          <w:color w:val="000000"/>
          <w:sz w:val="21"/>
          <w:szCs w:val="21"/>
        </w:rPr>
        <w:t>　　地　　址：</w:t>
      </w:r>
      <w:r>
        <w:rPr>
          <w:rFonts w:hint="eastAsia" w:ascii="宋体" w:hAnsi="宋体" w:eastAsia="宋体" w:cs="宋体"/>
          <w:b/>
          <w:color w:val="000000"/>
          <w:sz w:val="21"/>
          <w:szCs w:val="21"/>
          <w:u w:val="single"/>
        </w:rPr>
        <w:t>　　　　　　　　　　</w:t>
      </w:r>
    </w:p>
    <w:p>
      <w:pPr>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　　采购编号：</w:t>
      </w:r>
      <w:r>
        <w:rPr>
          <w:rFonts w:hint="eastAsia" w:ascii="宋体" w:hAnsi="宋体" w:eastAsia="宋体" w:cs="宋体"/>
          <w:color w:val="000000"/>
          <w:sz w:val="21"/>
          <w:szCs w:val="21"/>
          <w:u w:val="single"/>
        </w:rPr>
        <w:t>　　　　　　　　　　</w:t>
      </w:r>
    </w:p>
    <w:p>
      <w:pPr>
        <w:spacing w:line="240" w:lineRule="auto"/>
        <w:ind w:firstLine="424" w:firstLineChars="202"/>
        <w:rPr>
          <w:rFonts w:hint="eastAsia" w:ascii="宋体" w:hAnsi="宋体" w:eastAsia="宋体" w:cs="宋体"/>
          <w:color w:val="000000"/>
          <w:sz w:val="21"/>
          <w:szCs w:val="21"/>
        </w:rPr>
      </w:pPr>
    </w:p>
    <w:p>
      <w:pPr>
        <w:spacing w:line="360" w:lineRule="auto"/>
        <w:ind w:firstLine="424" w:firstLineChars="20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根据 </w:t>
      </w:r>
      <w:r>
        <w:rPr>
          <w:rFonts w:hint="eastAsia" w:ascii="宋体" w:hAnsi="宋体" w:eastAsia="宋体" w:cs="宋体"/>
          <w:color w:val="000000"/>
          <w:sz w:val="21"/>
          <w:szCs w:val="21"/>
          <w:u w:val="single"/>
        </w:rPr>
        <w:t xml:space="preserve">              项目</w:t>
      </w:r>
      <w:r>
        <w:rPr>
          <w:rFonts w:hint="eastAsia" w:ascii="宋体" w:hAnsi="宋体" w:eastAsia="宋体" w:cs="宋体"/>
          <w:color w:val="000000"/>
          <w:sz w:val="21"/>
          <w:szCs w:val="21"/>
        </w:rPr>
        <w:t>的采购结果，按照《中华人民共和国政府采购法》、《</w:t>
      </w:r>
      <w:r>
        <w:rPr>
          <w:rFonts w:hint="eastAsia" w:ascii="宋体" w:hAnsi="宋体" w:eastAsia="宋体" w:cs="宋体"/>
          <w:color w:val="000000"/>
          <w:sz w:val="21"/>
          <w:szCs w:val="21"/>
          <w:lang w:val="en-US" w:eastAsia="zh-CN"/>
        </w:rPr>
        <w:t>民法典</w:t>
      </w:r>
      <w:r>
        <w:rPr>
          <w:rFonts w:hint="eastAsia" w:ascii="宋体" w:hAnsi="宋体" w:eastAsia="宋体" w:cs="宋体"/>
          <w:color w:val="000000"/>
          <w:sz w:val="21"/>
          <w:szCs w:val="21"/>
        </w:rPr>
        <w:t>》的规定，</w:t>
      </w:r>
      <w:r>
        <w:rPr>
          <w:rFonts w:hint="eastAsia" w:ascii="宋体" w:hAnsi="宋体" w:eastAsia="宋体" w:cs="宋体"/>
          <w:color w:val="000000"/>
          <w:kern w:val="28"/>
          <w:sz w:val="21"/>
          <w:szCs w:val="21"/>
        </w:rPr>
        <w:t>经双方协商，</w:t>
      </w:r>
      <w:r>
        <w:rPr>
          <w:rFonts w:hint="eastAsia" w:ascii="宋体" w:hAnsi="宋体" w:eastAsia="宋体" w:cs="宋体"/>
          <w:color w:val="000000"/>
          <w:sz w:val="21"/>
          <w:szCs w:val="21"/>
        </w:rPr>
        <w:t>本着平等互利和诚实信用的原则，</w:t>
      </w:r>
      <w:r>
        <w:rPr>
          <w:rFonts w:hint="eastAsia" w:ascii="宋体" w:hAnsi="宋体" w:eastAsia="宋体" w:cs="宋体"/>
          <w:color w:val="000000"/>
          <w:kern w:val="28"/>
          <w:sz w:val="21"/>
          <w:szCs w:val="21"/>
        </w:rPr>
        <w:t>一致同意签订本合同如下。</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一、</w:t>
      </w:r>
      <w:r>
        <w:rPr>
          <w:rFonts w:hint="eastAsia" w:ascii="宋体" w:hAnsi="宋体" w:eastAsia="宋体" w:cs="宋体"/>
          <w:b/>
          <w:color w:val="000000"/>
          <w:sz w:val="21"/>
          <w:szCs w:val="21"/>
        </w:rPr>
        <w:t>货物内容</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3510"/>
        <w:gridCol w:w="900"/>
        <w:gridCol w:w="90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155" w:type="dxa"/>
            <w:tcBorders>
              <w:left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商品名称</w:t>
            </w:r>
          </w:p>
        </w:tc>
        <w:tc>
          <w:tcPr>
            <w:tcW w:w="3510" w:type="dxa"/>
            <w:tcBorders>
              <w:left w:val="single" w:color="auto" w:sz="4" w:space="0"/>
              <w:bottom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品牌、规格型号、配置（性能参数）</w:t>
            </w:r>
          </w:p>
        </w:tc>
        <w:tc>
          <w:tcPr>
            <w:tcW w:w="900" w:type="dxa"/>
            <w:tcBorders>
              <w:left w:val="single" w:color="auto" w:sz="4" w:space="0"/>
              <w:bottom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产地</w:t>
            </w:r>
          </w:p>
        </w:tc>
        <w:tc>
          <w:tcPr>
            <w:tcW w:w="900" w:type="dxa"/>
            <w:tcBorders>
              <w:left w:val="single" w:color="auto" w:sz="4" w:space="0"/>
              <w:bottom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080" w:type="dxa"/>
            <w:tcBorders>
              <w:left w:val="single" w:color="auto" w:sz="4" w:space="0"/>
              <w:bottom w:val="nil"/>
              <w:right w:val="single" w:color="auto" w:sz="8"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单价(元)</w:t>
            </w:r>
          </w:p>
        </w:tc>
        <w:tc>
          <w:tcPr>
            <w:tcW w:w="900" w:type="dxa"/>
            <w:tcBorders>
              <w:left w:val="single" w:color="auto" w:sz="4" w:space="0"/>
              <w:bottom w:val="nil"/>
              <w:right w:val="single" w:color="auto" w:sz="8"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155" w:type="dxa"/>
            <w:tcBorders>
              <w:left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3510" w:type="dxa"/>
            <w:tcBorders>
              <w:left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108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155" w:type="dxa"/>
            <w:tcBorders>
              <w:left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3510" w:type="dxa"/>
            <w:tcBorders>
              <w:left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108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noWrap w:val="0"/>
            <w:vAlign w:val="center"/>
          </w:tcPr>
          <w:p>
            <w:pPr>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p>
        </w:tc>
        <w:tc>
          <w:tcPr>
            <w:tcW w:w="1155" w:type="dxa"/>
            <w:tcBorders>
              <w:left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3510" w:type="dxa"/>
            <w:tcBorders>
              <w:left w:val="single" w:color="auto" w:sz="4"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single" w:color="auto" w:sz="8" w:space="0"/>
              <w:right w:val="single" w:color="auto" w:sz="4" w:space="0"/>
            </w:tcBorders>
            <w:noWrap w:val="0"/>
            <w:vAlign w:val="center"/>
          </w:tcPr>
          <w:p>
            <w:pPr>
              <w:spacing w:line="240" w:lineRule="auto"/>
              <w:rPr>
                <w:rFonts w:hint="eastAsia" w:ascii="宋体" w:hAnsi="宋体" w:eastAsia="宋体" w:cs="宋体"/>
                <w:color w:val="000000"/>
                <w:sz w:val="21"/>
                <w:szCs w:val="21"/>
              </w:rPr>
            </w:pPr>
          </w:p>
        </w:tc>
        <w:tc>
          <w:tcPr>
            <w:tcW w:w="108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c>
          <w:tcPr>
            <w:tcW w:w="900" w:type="dxa"/>
            <w:tcBorders>
              <w:left w:val="single" w:color="auto" w:sz="4" w:space="0"/>
              <w:bottom w:val="nil"/>
              <w:right w:val="single" w:color="auto" w:sz="8" w:space="0"/>
            </w:tcBorders>
            <w:noWrap w:val="0"/>
            <w:vAlign w:val="center"/>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80" w:type="dxa"/>
            <w:gridSpan w:val="7"/>
            <w:tcBorders>
              <w:left w:val="single" w:color="auto" w:sz="8" w:space="0"/>
              <w:right w:val="single" w:color="auto" w:sz="8" w:space="0"/>
            </w:tcBorders>
            <w:noWrap w:val="0"/>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合计总额：￥；    大写：</w:t>
            </w:r>
          </w:p>
        </w:tc>
      </w:tr>
    </w:tbl>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合同总额包括乙方设计、安装、随机零配件、标配工具、运输保险、调试、培训、质保期服务、各项税费及合同实施过程中不可预见费用等。</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注：货物名称内容必须与响应文件中货物名称内容一致。</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二、</w:t>
      </w:r>
      <w:r>
        <w:rPr>
          <w:rFonts w:hint="eastAsia" w:ascii="宋体" w:hAnsi="宋体" w:eastAsia="宋体" w:cs="宋体"/>
          <w:b/>
          <w:color w:val="000000"/>
          <w:sz w:val="21"/>
          <w:szCs w:val="21"/>
        </w:rPr>
        <w:t>合同金额</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合同金额为（大写）：_________________元（￥_______________元）人民币。</w:t>
      </w:r>
    </w:p>
    <w:p>
      <w:pPr>
        <w:numPr>
          <w:ilvl w:val="0"/>
          <w:numId w:val="3"/>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rPr>
        <w:t>货物或服务要求</w:t>
      </w:r>
    </w:p>
    <w:p>
      <w:pPr>
        <w:numPr>
          <w:ilvl w:val="0"/>
          <w:numId w:val="0"/>
        </w:numPr>
        <w:tabs>
          <w:tab w:val="left" w:pos="851"/>
        </w:tabs>
        <w:spacing w:line="360" w:lineRule="auto"/>
        <w:ind w:leftChars="-3"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XXXXXXXXXXXXXXXXXXXXXXXXXXXXXXXXXXXXXXXXXXXXXXXXXXXX</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四、</w:t>
      </w:r>
      <w:r>
        <w:rPr>
          <w:rFonts w:hint="eastAsia" w:ascii="宋体" w:hAnsi="宋体" w:eastAsia="宋体" w:cs="宋体"/>
          <w:b/>
          <w:color w:val="000000"/>
          <w:sz w:val="21"/>
          <w:szCs w:val="21"/>
        </w:rPr>
        <w:t>交货期、交货方式及交货地点（服务期限、服务方式）</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1.交货期：</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2.交货方式：</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3.交货地点： </w:t>
      </w:r>
    </w:p>
    <w:p>
      <w:pPr>
        <w:numPr>
          <w:ilvl w:val="0"/>
          <w:numId w:val="0"/>
        </w:numPr>
        <w:tabs>
          <w:tab w:val="left" w:pos="851"/>
        </w:tabs>
        <w:spacing w:line="360" w:lineRule="auto"/>
        <w:ind w:leftChars="-403" w:firstLine="843" w:firstLineChars="400"/>
        <w:rPr>
          <w:rFonts w:hint="eastAsia" w:ascii="宋体" w:hAnsi="宋体" w:eastAsia="宋体" w:cs="宋体"/>
          <w:color w:val="000000"/>
          <w:sz w:val="21"/>
          <w:szCs w:val="21"/>
        </w:rPr>
      </w:pPr>
      <w:r>
        <w:rPr>
          <w:rFonts w:hint="eastAsia" w:ascii="宋体" w:hAnsi="宋体" w:eastAsia="宋体" w:cs="宋体"/>
          <w:b/>
          <w:color w:val="000000"/>
          <w:sz w:val="21"/>
          <w:szCs w:val="21"/>
          <w:lang w:val="en-US" w:eastAsia="zh-CN"/>
        </w:rPr>
        <w:t>五、</w:t>
      </w:r>
      <w:r>
        <w:rPr>
          <w:rFonts w:hint="eastAsia" w:ascii="宋体" w:hAnsi="宋体" w:eastAsia="宋体" w:cs="宋体"/>
          <w:b/>
          <w:color w:val="000000"/>
          <w:sz w:val="21"/>
          <w:szCs w:val="21"/>
        </w:rPr>
        <w:t>付款方式</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按用户需求书的要求</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六、</w:t>
      </w:r>
      <w:r>
        <w:rPr>
          <w:rFonts w:hint="eastAsia" w:ascii="宋体" w:hAnsi="宋体" w:eastAsia="宋体" w:cs="宋体"/>
          <w:b/>
          <w:color w:val="000000"/>
          <w:sz w:val="21"/>
          <w:szCs w:val="21"/>
        </w:rPr>
        <w:t>质保期及售后服务要求</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1.本合同的质量保证期（简称“质保期”）为X年，质保期内乙方对所供货物实行包修、包换、包退及合同约定的其它事项，期满后可同时提供终身</w:t>
      </w:r>
      <w:r>
        <w:rPr>
          <w:rFonts w:hint="eastAsia" w:ascii="宋体" w:hAnsi="宋体" w:eastAsia="宋体" w:cs="宋体"/>
          <w:color w:val="000000"/>
          <w:sz w:val="21"/>
          <w:szCs w:val="21"/>
          <w:u w:val="single"/>
        </w:rPr>
        <w:t>(免费/有偿)</w:t>
      </w:r>
      <w:r>
        <w:rPr>
          <w:rFonts w:hint="eastAsia" w:ascii="宋体" w:hAnsi="宋体" w:eastAsia="宋体" w:cs="宋体"/>
          <w:color w:val="000000"/>
          <w:sz w:val="21"/>
          <w:szCs w:val="21"/>
        </w:rPr>
        <w:t>维修保养服务。</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2.质保期内，如设备或零部件因质量原因出现故障而造成短期停用时，则质保期和免费维修期相应顺延。</w:t>
      </w:r>
    </w:p>
    <w:p>
      <w:pPr>
        <w:numPr>
          <w:ilvl w:val="0"/>
          <w:numId w:val="0"/>
        </w:numPr>
        <w:tabs>
          <w:tab w:val="left" w:pos="851"/>
        </w:tabs>
        <w:spacing w:line="360" w:lineRule="auto"/>
        <w:ind w:leftChars="-403" w:firstLine="843" w:firstLineChars="400"/>
        <w:rPr>
          <w:rFonts w:hint="eastAsia" w:ascii="宋体" w:hAnsi="宋体" w:eastAsia="宋体" w:cs="宋体"/>
          <w:color w:val="000000"/>
          <w:sz w:val="21"/>
          <w:szCs w:val="21"/>
        </w:rPr>
      </w:pPr>
      <w:r>
        <w:rPr>
          <w:rFonts w:hint="eastAsia" w:ascii="宋体" w:hAnsi="宋体" w:eastAsia="宋体" w:cs="宋体"/>
          <w:b/>
          <w:color w:val="000000"/>
          <w:sz w:val="21"/>
          <w:szCs w:val="21"/>
          <w:lang w:val="en-US" w:eastAsia="zh-CN"/>
        </w:rPr>
        <w:t>七、</w:t>
      </w:r>
      <w:r>
        <w:rPr>
          <w:rFonts w:hint="eastAsia" w:ascii="宋体" w:hAnsi="宋体" w:eastAsia="宋体" w:cs="宋体"/>
          <w:b/>
          <w:color w:val="000000"/>
          <w:sz w:val="21"/>
          <w:szCs w:val="21"/>
        </w:rPr>
        <w:t>安装与调试</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乙方必须依照采购文件的要求和报价文件的承诺，将设备、系统安装并调试至正常运行的最佳状态。</w:t>
      </w:r>
    </w:p>
    <w:p>
      <w:pPr>
        <w:numPr>
          <w:ilvl w:val="0"/>
          <w:numId w:val="0"/>
        </w:numPr>
        <w:tabs>
          <w:tab w:val="left" w:pos="851"/>
        </w:tabs>
        <w:spacing w:line="360" w:lineRule="auto"/>
        <w:ind w:leftChars="-403" w:firstLine="843" w:firstLineChars="4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八、</w:t>
      </w:r>
      <w:r>
        <w:rPr>
          <w:rFonts w:hint="eastAsia" w:ascii="宋体" w:hAnsi="宋体" w:eastAsia="宋体" w:cs="宋体"/>
          <w:b/>
          <w:bCs/>
          <w:color w:val="000000"/>
          <w:sz w:val="21"/>
          <w:szCs w:val="21"/>
        </w:rPr>
        <w:t>验收：</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1.交付验收标准</w:t>
      </w:r>
      <w:r>
        <w:rPr>
          <w:rFonts w:hint="eastAsia" w:ascii="宋体" w:hAnsi="宋体" w:eastAsia="宋体" w:cs="宋体"/>
          <w:color w:val="000000"/>
          <w:sz w:val="21"/>
          <w:szCs w:val="21"/>
          <w:lang w:val="en-GB"/>
        </w:rPr>
        <w:t>依次序对照适用</w:t>
      </w:r>
      <w:r>
        <w:rPr>
          <w:rFonts w:hint="eastAsia" w:ascii="宋体" w:hAnsi="宋体" w:eastAsia="宋体" w:cs="宋体"/>
          <w:color w:val="000000"/>
          <w:sz w:val="21"/>
          <w:szCs w:val="21"/>
        </w:rPr>
        <w:t>标准</w:t>
      </w:r>
      <w:r>
        <w:rPr>
          <w:rFonts w:hint="eastAsia" w:ascii="宋体" w:hAnsi="宋体" w:eastAsia="宋体" w:cs="宋体"/>
          <w:color w:val="000000"/>
          <w:sz w:val="21"/>
          <w:szCs w:val="21"/>
          <w:lang w:val="en-GB"/>
        </w:rPr>
        <w:t>为：</w:t>
      </w:r>
      <w:r>
        <w:rPr>
          <w:rFonts w:hint="eastAsia" w:ascii="宋体" w:hAnsi="宋体" w:eastAsia="宋体" w:cs="宋体"/>
          <w:color w:val="000000"/>
          <w:sz w:val="21"/>
          <w:szCs w:val="21"/>
        </w:rPr>
        <w:t>①符合中华人民共和国国家安全质量标准、环保标准或行业标准；②符合采购文件和响应承诺中甲方认可的合理最佳配置、参数及各项要求；③货物来源国官方标准。</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2.进口产品必须具备原产地证明和商检局的检验证明及合法进货渠道证明。</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3.货物为原厂商未启封全新包装，具出厂合格证，序列号、包装箱号与出厂批号一致，并可追索查阅。所有随设备的附件必须齐全。</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4.乙方应将关键主机设备的用户手册、保修手册、有关单证资料及配备件、随机工具等交付给甲方，使用操作及安全须知等重要资料应附有中文说明。</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九、</w:t>
      </w:r>
      <w:r>
        <w:rPr>
          <w:rFonts w:hint="eastAsia" w:ascii="宋体" w:hAnsi="宋体" w:eastAsia="宋体" w:cs="宋体"/>
          <w:b/>
          <w:color w:val="000000"/>
          <w:sz w:val="21"/>
          <w:szCs w:val="21"/>
        </w:rPr>
        <w:t>违约责任与赔偿损失</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1.乙方交付的货物、工程/提供的服务不符合本合同规定的，甲方有权拒收，并且乙方须向甲方支付本合同总价5%的违约金。</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2.乙方未能按本合同规定的交货时间交付货物的/提供服务，从逾期之日起每日按本合同总价3‰的数额向甲方支付违约金；逾期半个月以上的，甲方有权终止合同，由此造成的甲方经济损失由乙方承担。</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3.甲方无正当理由拒收货物/接受服务，到期拒付货物/服务款项的，甲方向乙方偿付本合同总的5%的违约金。甲方人逾期付款，则每日按本合同总价的3‰向乙方偿付违约金。</w:t>
      </w:r>
    </w:p>
    <w:p>
      <w:pPr>
        <w:tabs>
          <w:tab w:val="left" w:pos="851"/>
        </w:tabs>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color w:val="000000"/>
          <w:sz w:val="21"/>
          <w:szCs w:val="21"/>
        </w:rPr>
        <w:t>4.其它违约责任按《中华人民</w:t>
      </w:r>
      <w:r>
        <w:rPr>
          <w:rFonts w:hint="eastAsia" w:ascii="宋体" w:hAnsi="宋体" w:eastAsia="宋体" w:cs="宋体"/>
          <w:bCs/>
          <w:color w:val="000000"/>
          <w:sz w:val="21"/>
          <w:szCs w:val="21"/>
        </w:rPr>
        <w:t>共和国</w:t>
      </w:r>
      <w:r>
        <w:rPr>
          <w:rFonts w:hint="eastAsia" w:ascii="宋体" w:hAnsi="宋体" w:eastAsia="宋体" w:cs="宋体"/>
          <w:bCs/>
          <w:color w:val="000000"/>
          <w:sz w:val="21"/>
          <w:szCs w:val="21"/>
          <w:lang w:eastAsia="zh-CN"/>
        </w:rPr>
        <w:t>民法典</w:t>
      </w:r>
      <w:r>
        <w:rPr>
          <w:rFonts w:hint="eastAsia" w:ascii="宋体" w:hAnsi="宋体" w:eastAsia="宋体" w:cs="宋体"/>
          <w:bCs/>
          <w:color w:val="000000"/>
          <w:sz w:val="21"/>
          <w:szCs w:val="21"/>
        </w:rPr>
        <w:t>》处理。</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十、</w:t>
      </w:r>
      <w:r>
        <w:rPr>
          <w:rFonts w:hint="eastAsia" w:ascii="宋体" w:hAnsi="宋体" w:eastAsia="宋体" w:cs="宋体"/>
          <w:b/>
          <w:color w:val="000000"/>
          <w:sz w:val="21"/>
          <w:szCs w:val="21"/>
        </w:rPr>
        <w:t>争议的解决</w:t>
      </w:r>
    </w:p>
    <w:p>
      <w:pPr>
        <w:tabs>
          <w:tab w:val="left" w:pos="851"/>
        </w:tabs>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color w:val="000000"/>
          <w:sz w:val="21"/>
          <w:szCs w:val="21"/>
        </w:rPr>
        <w:t>合同执行过程中发生的任何争议，如双方不能通过友好协商解决，按相关法律法规处理(合同双方一致同意提请克拉玛依区仲裁委员会仲裁或向甲方所在地的人民法院提起诉讼)。</w:t>
      </w:r>
    </w:p>
    <w:p>
      <w:pPr>
        <w:numPr>
          <w:ilvl w:val="0"/>
          <w:numId w:val="0"/>
        </w:numPr>
        <w:tabs>
          <w:tab w:val="left" w:pos="851"/>
        </w:tabs>
        <w:spacing w:line="360" w:lineRule="auto"/>
        <w:ind w:leftChars="-403" w:firstLine="843" w:firstLineChars="400"/>
        <w:rPr>
          <w:rFonts w:hint="eastAsia" w:ascii="宋体" w:hAnsi="宋体" w:eastAsia="宋体" w:cs="宋体"/>
          <w:color w:val="000000"/>
          <w:sz w:val="21"/>
          <w:szCs w:val="21"/>
        </w:rPr>
      </w:pPr>
      <w:r>
        <w:rPr>
          <w:rFonts w:hint="eastAsia" w:ascii="宋体" w:hAnsi="宋体" w:eastAsia="宋体" w:cs="宋体"/>
          <w:b/>
          <w:color w:val="000000"/>
          <w:sz w:val="21"/>
          <w:szCs w:val="21"/>
          <w:lang w:val="en-US" w:eastAsia="zh-CN"/>
        </w:rPr>
        <w:t>十一、</w:t>
      </w:r>
      <w:r>
        <w:rPr>
          <w:rFonts w:hint="eastAsia" w:ascii="宋体" w:hAnsi="宋体" w:eastAsia="宋体" w:cs="宋体"/>
          <w:b/>
          <w:color w:val="000000"/>
          <w:sz w:val="21"/>
          <w:szCs w:val="21"/>
        </w:rPr>
        <w:t>不可抗力</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0"/>
        </w:numPr>
        <w:tabs>
          <w:tab w:val="left" w:pos="851"/>
        </w:tabs>
        <w:spacing w:line="360" w:lineRule="auto"/>
        <w:ind w:leftChars="-403" w:firstLine="843" w:firstLineChars="400"/>
        <w:rPr>
          <w:rFonts w:hint="eastAsia" w:ascii="宋体" w:hAnsi="宋体" w:eastAsia="宋体" w:cs="宋体"/>
          <w:color w:val="000000"/>
          <w:sz w:val="21"/>
          <w:szCs w:val="21"/>
        </w:rPr>
      </w:pPr>
      <w:r>
        <w:rPr>
          <w:rFonts w:hint="eastAsia" w:ascii="宋体" w:hAnsi="宋体" w:eastAsia="宋体" w:cs="宋体"/>
          <w:b/>
          <w:color w:val="000000"/>
          <w:sz w:val="21"/>
          <w:szCs w:val="21"/>
          <w:lang w:val="en-US" w:eastAsia="zh-CN"/>
        </w:rPr>
        <w:t>十二、</w:t>
      </w:r>
      <w:r>
        <w:rPr>
          <w:rFonts w:hint="eastAsia" w:ascii="宋体" w:hAnsi="宋体" w:eastAsia="宋体" w:cs="宋体"/>
          <w:b/>
          <w:color w:val="000000"/>
          <w:sz w:val="21"/>
          <w:szCs w:val="21"/>
        </w:rPr>
        <w:t>税费</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在中国境内、外发生的与本合同执行有关的一切税费均由乙方负担。</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十三、</w:t>
      </w:r>
      <w:r>
        <w:rPr>
          <w:rFonts w:hint="eastAsia" w:ascii="宋体" w:hAnsi="宋体" w:eastAsia="宋体" w:cs="宋体"/>
          <w:b/>
          <w:color w:val="000000"/>
          <w:sz w:val="21"/>
          <w:szCs w:val="21"/>
        </w:rPr>
        <w:t>其它</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1.本合同所有附件、采购文件、响应文件、成交通知书均为合同的有效组成部分，与本合同具有同等法律效力。</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2.在执行本合同的过程中，所有经双方签署确认的文件（包括会议纪要、补充协议、往来信函）即成为本合同的有效组成部分。</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3.如一方地址、电话、传真号码有变更，应在变更当日内书面通知对方，否则，应承担相应责任。</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4.除甲方事先书面同意外，乙方不得部分或全部转让其应履行的合同项下的义务。</w:t>
      </w:r>
    </w:p>
    <w:p>
      <w:pPr>
        <w:numPr>
          <w:ilvl w:val="0"/>
          <w:numId w:val="0"/>
        </w:numPr>
        <w:tabs>
          <w:tab w:val="left" w:pos="851"/>
        </w:tabs>
        <w:spacing w:line="360" w:lineRule="auto"/>
        <w:ind w:leftChars="-403" w:firstLine="843" w:firstLineChars="4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十四、</w:t>
      </w:r>
      <w:r>
        <w:rPr>
          <w:rFonts w:hint="eastAsia" w:ascii="宋体" w:hAnsi="宋体" w:eastAsia="宋体" w:cs="宋体"/>
          <w:b/>
          <w:color w:val="000000"/>
          <w:sz w:val="21"/>
          <w:szCs w:val="21"/>
        </w:rPr>
        <w:t>合同生效</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1.本合同在甲乙双方法人代表或其授权代表签字盖章后生效。</w:t>
      </w:r>
    </w:p>
    <w:p>
      <w:pPr>
        <w:tabs>
          <w:tab w:val="left" w:pos="851"/>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2.合同一式X份。</w:t>
      </w:r>
    </w:p>
    <w:p>
      <w:pPr>
        <w:spacing w:line="360" w:lineRule="auto"/>
        <w:ind w:firstLine="420"/>
        <w:rPr>
          <w:rFonts w:hint="eastAsia" w:ascii="宋体" w:hAnsi="宋体" w:eastAsia="宋体" w:cs="宋体"/>
          <w:color w:val="000000"/>
          <w:sz w:val="21"/>
          <w:szCs w:val="21"/>
        </w:rPr>
      </w:pPr>
    </w:p>
    <w:p>
      <w:pPr>
        <w:tabs>
          <w:tab w:val="left" w:pos="4395"/>
        </w:tabs>
        <w:spacing w:line="360" w:lineRule="auto"/>
        <w:ind w:firstLine="420"/>
        <w:rPr>
          <w:rFonts w:hint="eastAsia" w:ascii="宋体" w:hAnsi="宋体" w:eastAsia="宋体" w:cs="宋体"/>
          <w:b/>
          <w:color w:val="000000"/>
          <w:sz w:val="21"/>
          <w:szCs w:val="21"/>
        </w:rPr>
      </w:pPr>
      <w:r>
        <w:rPr>
          <w:rFonts w:hint="eastAsia" w:ascii="宋体" w:hAnsi="宋体" w:eastAsia="宋体" w:cs="宋体"/>
          <w:b/>
          <w:color w:val="000000"/>
          <w:sz w:val="21"/>
          <w:szCs w:val="21"/>
        </w:rPr>
        <w:t>甲方（盖章）：</w:t>
      </w:r>
      <w:r>
        <w:rPr>
          <w:rFonts w:hint="eastAsia" w:ascii="宋体" w:hAnsi="宋体" w:eastAsia="宋体" w:cs="宋体"/>
          <w:b/>
          <w:color w:val="000000"/>
          <w:sz w:val="21"/>
          <w:szCs w:val="21"/>
        </w:rPr>
        <w:tab/>
      </w:r>
      <w:r>
        <w:rPr>
          <w:rFonts w:hint="eastAsia" w:ascii="宋体" w:hAnsi="宋体" w:eastAsia="宋体" w:cs="宋体"/>
          <w:b/>
          <w:color w:val="000000"/>
          <w:sz w:val="21"/>
          <w:szCs w:val="21"/>
        </w:rPr>
        <w:t>乙方（盖章）：</w:t>
      </w:r>
    </w:p>
    <w:p>
      <w:pPr>
        <w:tabs>
          <w:tab w:val="left" w:pos="4395"/>
        </w:tabs>
        <w:spacing w:line="360" w:lineRule="auto"/>
        <w:ind w:firstLine="420"/>
        <w:rPr>
          <w:rFonts w:hint="eastAsia" w:ascii="宋体" w:hAnsi="宋体" w:eastAsia="宋体" w:cs="宋体"/>
          <w:b/>
          <w:color w:val="000000"/>
          <w:sz w:val="21"/>
          <w:szCs w:val="21"/>
        </w:rPr>
      </w:pPr>
      <w:r>
        <w:rPr>
          <w:rFonts w:hint="eastAsia" w:ascii="宋体" w:hAnsi="宋体" w:eastAsia="宋体" w:cs="宋体"/>
          <w:b/>
          <w:color w:val="000000"/>
          <w:sz w:val="21"/>
          <w:szCs w:val="21"/>
        </w:rPr>
        <w:t>代表：</w:t>
      </w:r>
      <w:r>
        <w:rPr>
          <w:rFonts w:hint="eastAsia" w:ascii="宋体" w:hAnsi="宋体" w:eastAsia="宋体" w:cs="宋体"/>
          <w:b/>
          <w:color w:val="000000"/>
          <w:sz w:val="21"/>
          <w:szCs w:val="21"/>
        </w:rPr>
        <w:tab/>
      </w:r>
      <w:r>
        <w:rPr>
          <w:rFonts w:hint="eastAsia" w:ascii="宋体" w:hAnsi="宋体" w:eastAsia="宋体" w:cs="宋体"/>
          <w:b/>
          <w:color w:val="000000"/>
          <w:sz w:val="21"/>
          <w:szCs w:val="21"/>
        </w:rPr>
        <w:t xml:space="preserve">代表： </w:t>
      </w:r>
    </w:p>
    <w:p>
      <w:pPr>
        <w:tabs>
          <w:tab w:val="left" w:pos="4395"/>
        </w:tabs>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签订地点：</w:t>
      </w:r>
    </w:p>
    <w:p>
      <w:pPr>
        <w:tabs>
          <w:tab w:val="left" w:pos="4395"/>
        </w:tabs>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签订日期：　　　年　　月　　日</w:t>
      </w:r>
      <w:r>
        <w:rPr>
          <w:rFonts w:hint="eastAsia" w:ascii="宋体" w:hAnsi="宋体" w:eastAsia="宋体" w:cs="宋体"/>
          <w:color w:val="000000"/>
          <w:sz w:val="21"/>
          <w:szCs w:val="21"/>
        </w:rPr>
        <w:tab/>
      </w:r>
      <w:r>
        <w:rPr>
          <w:rFonts w:hint="eastAsia" w:ascii="宋体" w:hAnsi="宋体" w:eastAsia="宋体" w:cs="宋体"/>
          <w:color w:val="000000"/>
          <w:sz w:val="21"/>
          <w:szCs w:val="21"/>
        </w:rPr>
        <w:t>签订日期：　　　年　　月　　日</w:t>
      </w:r>
    </w:p>
    <w:p>
      <w:pPr>
        <w:tabs>
          <w:tab w:val="left" w:pos="4395"/>
        </w:tabs>
        <w:spacing w:line="360" w:lineRule="auto"/>
        <w:ind w:left="3759" w:leftChars="1240" w:hanging="1155" w:hangingChars="550"/>
        <w:rPr>
          <w:rFonts w:hint="eastAsia" w:ascii="宋体" w:hAnsi="宋体" w:eastAsia="宋体" w:cs="宋体"/>
          <w:color w:val="000000"/>
          <w:sz w:val="21"/>
          <w:szCs w:val="21"/>
        </w:rPr>
      </w:pPr>
      <w:r>
        <w:rPr>
          <w:rFonts w:hint="eastAsia" w:ascii="宋体" w:hAnsi="宋体" w:eastAsia="宋体" w:cs="宋体"/>
          <w:color w:val="000000"/>
          <w:sz w:val="21"/>
          <w:szCs w:val="21"/>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开</w:t>
      </w:r>
      <w:r>
        <w:rPr>
          <w:rFonts w:hint="eastAsia" w:ascii="宋体" w:hAnsi="宋体" w:eastAsia="宋体" w:cs="宋体"/>
          <w:sz w:val="21"/>
          <w:szCs w:val="21"/>
        </w:rPr>
        <w:t>户名称：</w:t>
      </w:r>
    </w:p>
    <w:p>
      <w:pPr>
        <w:tabs>
          <w:tab w:val="left" w:pos="4395"/>
        </w:tabs>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ab/>
      </w:r>
      <w:r>
        <w:rPr>
          <w:rFonts w:hint="eastAsia" w:ascii="宋体" w:hAnsi="宋体" w:eastAsia="宋体" w:cs="宋体"/>
          <w:color w:val="000000"/>
          <w:sz w:val="21"/>
          <w:szCs w:val="21"/>
        </w:rPr>
        <w:t>银行帐号：</w:t>
      </w:r>
    </w:p>
    <w:p>
      <w:pPr>
        <w:tabs>
          <w:tab w:val="left" w:pos="4395"/>
        </w:tabs>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ab/>
      </w:r>
      <w:r>
        <w:rPr>
          <w:rFonts w:hint="eastAsia" w:ascii="宋体" w:hAnsi="宋体" w:eastAsia="宋体" w:cs="宋体"/>
          <w:color w:val="000000"/>
          <w:sz w:val="21"/>
          <w:szCs w:val="21"/>
        </w:rPr>
        <w:t>开 户 行：</w:t>
      </w:r>
    </w:p>
    <w:p>
      <w:pPr>
        <w:pStyle w:val="21"/>
        <w:spacing w:line="360" w:lineRule="auto"/>
        <w:ind w:left="-85" w:firstLine="482" w:firstLineChars="200"/>
        <w:jc w:val="center"/>
        <w:rPr>
          <w:rFonts w:ascii="宋体" w:hAnsi="宋体" w:cs="宋体"/>
          <w:b/>
          <w:bCs/>
          <w:sz w:val="24"/>
          <w:szCs w:val="24"/>
        </w:rPr>
      </w:pPr>
    </w:p>
    <w:p>
      <w:pPr>
        <w:pStyle w:val="2"/>
        <w:rPr>
          <w:rFonts w:asciiTheme="minorEastAsia" w:hAnsiTheme="minorEastAsia" w:eastAsiaTheme="minorEastAsia" w:cstheme="minorEastAsia"/>
          <w:b/>
          <w:bCs/>
          <w:sz w:val="24"/>
        </w:rPr>
      </w:pPr>
    </w:p>
    <w:p>
      <w:pPr>
        <w:tabs>
          <w:tab w:val="left" w:pos="7665"/>
        </w:tabs>
        <w:spacing w:line="360" w:lineRule="auto"/>
        <w:jc w:val="center"/>
        <w:rPr>
          <w:rFonts w:ascii="宋体" w:hAnsi="宋体" w:cs="宋体"/>
          <w:sz w:val="24"/>
        </w:rPr>
      </w:pPr>
      <w:r>
        <w:rPr>
          <w:rFonts w:hint="eastAsia" w:ascii="宋体" w:hAnsi="宋体" w:cs="宋体"/>
          <w:b/>
          <w:bCs/>
          <w:sz w:val="30"/>
          <w:szCs w:val="30"/>
        </w:rPr>
        <w:t>第五章</w:t>
      </w:r>
      <w:bookmarkEnd w:id="37"/>
      <w:r>
        <w:rPr>
          <w:rFonts w:hint="eastAsia" w:ascii="宋体" w:hAnsi="宋体" w:cs="宋体"/>
          <w:b/>
          <w:bCs/>
          <w:sz w:val="30"/>
          <w:szCs w:val="30"/>
        </w:rPr>
        <w:t xml:space="preserve"> 响应文件格式</w:t>
      </w:r>
    </w:p>
    <w:p>
      <w:pPr>
        <w:pStyle w:val="9"/>
        <w:spacing w:line="360" w:lineRule="auto"/>
        <w:ind w:firstLine="480" w:firstLineChars="200"/>
        <w:rPr>
          <w:rFonts w:hAnsi="宋体" w:cs="宋体"/>
          <w:sz w:val="24"/>
          <w:szCs w:val="24"/>
        </w:rPr>
      </w:pPr>
      <w:r>
        <w:rPr>
          <w:rFonts w:hint="eastAsia" w:hAnsi="宋体" w:cs="宋体"/>
          <w:sz w:val="24"/>
          <w:szCs w:val="24"/>
        </w:rPr>
        <w:t>响应文件封面</w:t>
      </w:r>
    </w:p>
    <w:p>
      <w:pPr>
        <w:pStyle w:val="9"/>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1、商务文件：</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格式1 响应函</w:t>
      </w:r>
    </w:p>
    <w:p>
      <w:pPr>
        <w:spacing w:line="360" w:lineRule="auto"/>
        <w:ind w:firstLine="480" w:firstLineChars="200"/>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sz w:val="24"/>
          <w:szCs w:val="21"/>
        </w:rPr>
        <w:t>格式2 商务报价一览表（首次）（</w:t>
      </w:r>
      <w:r>
        <w:rPr>
          <w:rFonts w:hint="eastAsia" w:asciiTheme="minorEastAsia" w:hAnsiTheme="minorEastAsia" w:eastAsiaTheme="minorEastAsia" w:cstheme="minorEastAsia"/>
          <w:b/>
          <w:bCs/>
          <w:sz w:val="24"/>
          <w:szCs w:val="21"/>
        </w:rPr>
        <w:t>供应商须按本商务报价一览表格式制作“最后报价表”，并加盖单位公章后自行带至磋商现场，经磋商后由各供应商填写最后报价）</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 xml:space="preserve">格式3 </w:t>
      </w:r>
      <w:r>
        <w:rPr>
          <w:rFonts w:hint="eastAsia" w:asciiTheme="minorEastAsia" w:hAnsiTheme="minorEastAsia" w:eastAsiaTheme="minorEastAsia" w:cstheme="minorEastAsia"/>
          <w:sz w:val="24"/>
          <w:szCs w:val="21"/>
          <w:lang w:eastAsia="zh-CN"/>
        </w:rPr>
        <w:t>报价明细表</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4</w:t>
      </w:r>
      <w:r>
        <w:rPr>
          <w:rFonts w:hint="eastAsia" w:asciiTheme="minorEastAsia" w:hAnsiTheme="minorEastAsia" w:eastAsiaTheme="minorEastAsia" w:cstheme="minorEastAsia"/>
          <w:sz w:val="24"/>
          <w:szCs w:val="21"/>
        </w:rPr>
        <w:t xml:space="preserve"> 中小企业声明函</w:t>
      </w:r>
    </w:p>
    <w:p>
      <w:pPr>
        <w:tabs>
          <w:tab w:val="left" w:pos="360"/>
          <w:tab w:val="left" w:pos="1800"/>
        </w:tabs>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5</w:t>
      </w:r>
      <w:r>
        <w:rPr>
          <w:rFonts w:hint="eastAsia" w:asciiTheme="minorEastAsia" w:hAnsiTheme="minorEastAsia" w:eastAsiaTheme="minorEastAsia" w:cstheme="minorEastAsia"/>
          <w:sz w:val="24"/>
          <w:szCs w:val="21"/>
        </w:rPr>
        <w:t xml:space="preserve"> 法定代表人资格证明书</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6</w:t>
      </w:r>
      <w:r>
        <w:rPr>
          <w:rFonts w:hint="eastAsia" w:asciiTheme="minorEastAsia" w:hAnsiTheme="minorEastAsia" w:eastAsiaTheme="minorEastAsia" w:cstheme="minorEastAsia"/>
          <w:sz w:val="24"/>
          <w:szCs w:val="21"/>
        </w:rPr>
        <w:t xml:space="preserve"> 法定代表人授权书</w:t>
      </w:r>
    </w:p>
    <w:p>
      <w:pPr>
        <w:spacing w:line="360" w:lineRule="auto"/>
        <w:ind w:firstLine="480" w:firstLineChars="200"/>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7</w:t>
      </w:r>
      <w:r>
        <w:rPr>
          <w:rFonts w:hint="eastAsia" w:asciiTheme="minorEastAsia" w:hAnsiTheme="minorEastAsia" w:eastAsiaTheme="minorEastAsia" w:cstheme="minorEastAsia"/>
          <w:sz w:val="24"/>
          <w:szCs w:val="21"/>
        </w:rPr>
        <w:t xml:space="preserve"> 供应商资格声明</w:t>
      </w:r>
    </w:p>
    <w:p>
      <w:pPr>
        <w:pStyle w:val="22"/>
        <w:ind w:firstLine="482"/>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磋商文件要求提供的其它材料以及供应商认为需要提交的材料</w:t>
      </w:r>
    </w:p>
    <w:p>
      <w:pPr>
        <w:spacing w:line="360" w:lineRule="auto"/>
        <w:ind w:firstLine="482"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b/>
          <w:bCs/>
          <w:sz w:val="24"/>
          <w:szCs w:val="21"/>
        </w:rPr>
        <w:t>2、技术文件：</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8</w:t>
      </w:r>
      <w:r>
        <w:rPr>
          <w:rFonts w:hint="eastAsia" w:asciiTheme="minorEastAsia" w:hAnsiTheme="minorEastAsia" w:eastAsiaTheme="minorEastAsia" w:cstheme="minorEastAsia"/>
          <w:sz w:val="24"/>
          <w:szCs w:val="21"/>
        </w:rPr>
        <w:t xml:space="preserve"> 项目管理、服务及其它人员情况表</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9</w:t>
      </w:r>
      <w:r>
        <w:rPr>
          <w:rFonts w:hint="eastAsia" w:asciiTheme="minorEastAsia" w:hAnsiTheme="minorEastAsia" w:eastAsiaTheme="minorEastAsia" w:cstheme="minorEastAsia"/>
          <w:sz w:val="24"/>
          <w:szCs w:val="21"/>
        </w:rPr>
        <w:t xml:space="preserve"> 拟投入本项目设备设施清单</w:t>
      </w:r>
    </w:p>
    <w:p>
      <w:pPr>
        <w:spacing w:line="360" w:lineRule="auto"/>
        <w:ind w:firstLine="480" w:firstLineChars="200"/>
        <w:jc w:val="left"/>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w:t>
      </w:r>
      <w:r>
        <w:rPr>
          <w:rFonts w:hint="eastAsia" w:asciiTheme="minorEastAsia" w:hAnsiTheme="minorEastAsia" w:eastAsiaTheme="minorEastAsia" w:cstheme="minorEastAsia"/>
          <w:sz w:val="24"/>
          <w:szCs w:val="21"/>
          <w:lang w:val="en-US" w:eastAsia="zh-CN"/>
        </w:rPr>
        <w:t>10</w:t>
      </w:r>
      <w:r>
        <w:rPr>
          <w:rFonts w:hint="eastAsia" w:asciiTheme="minorEastAsia" w:hAnsiTheme="minorEastAsia" w:eastAsiaTheme="minorEastAsia" w:cstheme="minorEastAsia"/>
          <w:sz w:val="24"/>
          <w:szCs w:val="21"/>
        </w:rPr>
        <w:t xml:space="preserve"> 近三年（2018年1月1日至今）类似项目业绩表</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格式1</w:t>
      </w:r>
      <w:r>
        <w:rPr>
          <w:rFonts w:hint="eastAsia" w:asciiTheme="minorEastAsia" w:hAnsiTheme="minorEastAsia" w:eastAsiaTheme="minorEastAsia" w:cstheme="minorEastAsia"/>
          <w:sz w:val="24"/>
          <w:szCs w:val="21"/>
          <w:lang w:val="en-US" w:eastAsia="zh-CN"/>
        </w:rPr>
        <w:t>1</w:t>
      </w:r>
      <w:r>
        <w:rPr>
          <w:rFonts w:hint="eastAsia" w:asciiTheme="minorEastAsia" w:hAnsiTheme="minorEastAsia" w:eastAsiaTheme="minorEastAsia" w:cstheme="minorEastAsia"/>
          <w:sz w:val="24"/>
          <w:szCs w:val="21"/>
        </w:rPr>
        <w:t>商务条款响应偏离表</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格式1</w:t>
      </w:r>
      <w:r>
        <w:rPr>
          <w:rFonts w:hint="eastAsia" w:asciiTheme="minorEastAsia" w:hAnsiTheme="minorEastAsia" w:eastAsiaTheme="minorEastAsia" w:cstheme="minorEastAsia"/>
          <w:sz w:val="24"/>
          <w:szCs w:val="21"/>
          <w:lang w:val="en-US" w:eastAsia="zh-CN"/>
        </w:rPr>
        <w:t>2</w:t>
      </w:r>
      <w:r>
        <w:rPr>
          <w:rFonts w:hint="eastAsia" w:asciiTheme="minorEastAsia" w:hAnsiTheme="minorEastAsia" w:eastAsiaTheme="minorEastAsia" w:cstheme="minorEastAsia"/>
          <w:sz w:val="24"/>
          <w:szCs w:val="21"/>
        </w:rPr>
        <w:t>服务方案</w:t>
      </w:r>
    </w:p>
    <w:p>
      <w:pPr>
        <w:spacing w:line="360" w:lineRule="auto"/>
        <w:ind w:firstLine="480" w:firstLineChars="200"/>
        <w:rPr>
          <w:rFonts w:hint="eastAsia" w:asciiTheme="minorEastAsia" w:hAnsiTheme="minorEastAsia" w:eastAsiaTheme="minorEastAsia" w:cstheme="minorEastAsia"/>
          <w:sz w:val="24"/>
          <w:szCs w:val="21"/>
          <w:lang w:eastAsia="zh-CN"/>
        </w:rPr>
      </w:pPr>
      <w:r>
        <w:rPr>
          <w:rFonts w:hint="eastAsia" w:asciiTheme="minorEastAsia" w:hAnsiTheme="minorEastAsia" w:eastAsiaTheme="minorEastAsia" w:cstheme="minorEastAsia"/>
          <w:sz w:val="24"/>
          <w:szCs w:val="21"/>
        </w:rPr>
        <w:t>格式1</w:t>
      </w:r>
      <w:r>
        <w:rPr>
          <w:rFonts w:hint="eastAsia" w:asciiTheme="minorEastAsia" w:hAnsiTheme="minorEastAsia" w:eastAsiaTheme="minorEastAsia" w:cstheme="minorEastAsia"/>
          <w:sz w:val="24"/>
          <w:szCs w:val="21"/>
          <w:lang w:val="en-US" w:eastAsia="zh-CN"/>
        </w:rPr>
        <w:t>3</w:t>
      </w:r>
      <w:r>
        <w:rPr>
          <w:rFonts w:hint="eastAsia" w:asciiTheme="minorEastAsia" w:hAnsiTheme="minorEastAsia" w:eastAsiaTheme="minorEastAsia" w:cstheme="minorEastAsia"/>
          <w:sz w:val="24"/>
          <w:szCs w:val="21"/>
        </w:rPr>
        <w:t>服务质量保证</w:t>
      </w:r>
      <w:r>
        <w:rPr>
          <w:rFonts w:hint="eastAsia" w:asciiTheme="minorEastAsia" w:hAnsiTheme="minorEastAsia" w:eastAsiaTheme="minorEastAsia" w:cstheme="minorEastAsia"/>
          <w:sz w:val="24"/>
          <w:szCs w:val="21"/>
          <w:lang w:val="en-US" w:eastAsia="zh-CN"/>
        </w:rPr>
        <w:t>承诺</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格式1</w:t>
      </w:r>
      <w:r>
        <w:rPr>
          <w:rFonts w:hint="eastAsia" w:asciiTheme="minorEastAsia" w:hAnsiTheme="minorEastAsia" w:eastAsiaTheme="minorEastAsia" w:cstheme="minorEastAsia"/>
          <w:sz w:val="24"/>
          <w:szCs w:val="21"/>
          <w:lang w:val="en-US" w:eastAsia="zh-CN"/>
        </w:rPr>
        <w:t>4</w:t>
      </w:r>
      <w:r>
        <w:rPr>
          <w:rFonts w:hint="eastAsia" w:asciiTheme="minorEastAsia" w:hAnsiTheme="minorEastAsia" w:eastAsiaTheme="minorEastAsia" w:cstheme="minorEastAsia"/>
          <w:sz w:val="24"/>
          <w:szCs w:val="21"/>
        </w:rPr>
        <w:t>资格性/符合性自查表</w:t>
      </w:r>
    </w:p>
    <w:p>
      <w:pPr>
        <w:pStyle w:val="22"/>
        <w:ind w:firstLine="482"/>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磋商文件要求提供的其它材料以及供应商认为需要提交的材料</w:t>
      </w:r>
    </w:p>
    <w:p>
      <w:pPr>
        <w:pStyle w:val="21"/>
        <w:spacing w:line="312" w:lineRule="auto"/>
        <w:ind w:left="-85" w:firstLine="562" w:firstLineChars="200"/>
        <w:jc w:val="center"/>
        <w:rPr>
          <w:rFonts w:ascii="宋体" w:hAnsi="宋体" w:cs="宋体"/>
          <w:b/>
          <w:bCs/>
          <w:sz w:val="28"/>
          <w:szCs w:val="28"/>
        </w:rPr>
      </w:pPr>
    </w:p>
    <w:p>
      <w:pPr>
        <w:pStyle w:val="21"/>
        <w:spacing w:line="312" w:lineRule="auto"/>
        <w:ind w:left="-85" w:firstLine="562" w:firstLineChars="200"/>
        <w:jc w:val="center"/>
        <w:rPr>
          <w:rFonts w:ascii="宋体" w:hAnsi="宋体" w:cs="宋体"/>
          <w:b/>
          <w:bCs/>
          <w:sz w:val="28"/>
          <w:szCs w:val="28"/>
        </w:rPr>
      </w:pPr>
    </w:p>
    <w:p>
      <w:pPr>
        <w:pStyle w:val="21"/>
        <w:spacing w:line="312" w:lineRule="auto"/>
        <w:ind w:left="-85" w:firstLine="562" w:firstLineChars="200"/>
        <w:jc w:val="center"/>
        <w:rPr>
          <w:rFonts w:ascii="宋体" w:hAnsi="宋体" w:cs="宋体"/>
          <w:b/>
          <w:bCs/>
          <w:sz w:val="28"/>
          <w:szCs w:val="28"/>
        </w:rPr>
      </w:pPr>
    </w:p>
    <w:p>
      <w:pPr>
        <w:pStyle w:val="21"/>
        <w:spacing w:line="312" w:lineRule="auto"/>
        <w:ind w:left="-85" w:firstLine="562" w:firstLineChars="200"/>
        <w:jc w:val="center"/>
        <w:rPr>
          <w:rFonts w:ascii="宋体" w:hAnsi="宋体" w:cs="宋体"/>
          <w:b/>
          <w:bCs/>
          <w:sz w:val="28"/>
          <w:szCs w:val="28"/>
        </w:rPr>
      </w:pPr>
    </w:p>
    <w:p>
      <w:pPr>
        <w:pStyle w:val="21"/>
        <w:spacing w:line="312" w:lineRule="auto"/>
        <w:ind w:left="-85" w:firstLine="562" w:firstLineChars="200"/>
        <w:jc w:val="center"/>
        <w:rPr>
          <w:rFonts w:ascii="宋体" w:hAnsi="宋体" w:cs="宋体"/>
          <w:b/>
          <w:bCs/>
          <w:sz w:val="28"/>
          <w:szCs w:val="28"/>
        </w:rPr>
      </w:pPr>
    </w:p>
    <w:p>
      <w:pPr>
        <w:spacing w:line="1000" w:lineRule="exact"/>
        <w:ind w:right="-319" w:rightChars="-152"/>
        <w:jc w:val="center"/>
        <w:rPr>
          <w:rFonts w:ascii="宋体" w:hAnsi="宋体" w:cs="宋体"/>
          <w:b/>
          <w:bCs/>
          <w:sz w:val="44"/>
          <w:szCs w:val="44"/>
        </w:rPr>
      </w:pPr>
    </w:p>
    <w:p>
      <w:pPr>
        <w:pStyle w:val="21"/>
        <w:ind w:firstLine="0" w:firstLineChars="0"/>
      </w:pPr>
    </w:p>
    <w:p>
      <w:pPr>
        <w:pStyle w:val="21"/>
        <w:ind w:firstLine="0" w:firstLineChars="0"/>
      </w:pPr>
    </w:p>
    <w:p>
      <w:pPr>
        <w:spacing w:line="1000" w:lineRule="exact"/>
        <w:ind w:right="-319" w:rightChars="-152"/>
        <w:jc w:val="center"/>
        <w:rPr>
          <w:rFonts w:ascii="宋体" w:hAnsi="宋体" w:cs="宋体"/>
          <w:b/>
          <w:bCs/>
          <w:sz w:val="40"/>
          <w:szCs w:val="40"/>
        </w:rPr>
      </w:pPr>
      <w:r>
        <w:rPr>
          <w:rFonts w:hint="eastAsia" w:ascii="宋体" w:hAnsi="宋体" w:cs="宋体"/>
          <w:b/>
          <w:bCs/>
          <w:sz w:val="40"/>
          <w:szCs w:val="40"/>
          <w:lang w:eastAsia="zh-CN"/>
        </w:rPr>
        <w:t>克拉玛依市克拉玛依区人民政府昆仑路街道派出所服装采购项目</w:t>
      </w:r>
    </w:p>
    <w:p>
      <w:pPr>
        <w:spacing w:line="1000" w:lineRule="exact"/>
        <w:ind w:right="-319" w:rightChars="-152"/>
        <w:jc w:val="center"/>
        <w:rPr>
          <w:rFonts w:ascii="宋体" w:hAnsi="宋体" w:cs="宋体"/>
          <w:b/>
          <w:bCs/>
          <w:sz w:val="40"/>
          <w:szCs w:val="40"/>
        </w:rPr>
      </w:pPr>
    </w:p>
    <w:p>
      <w:pPr>
        <w:spacing w:line="1000" w:lineRule="exact"/>
        <w:ind w:right="-319" w:rightChars="-152"/>
        <w:jc w:val="center"/>
        <w:rPr>
          <w:rFonts w:ascii="宋体" w:hAnsi="宋体" w:cs="宋体"/>
          <w:b/>
          <w:bCs/>
          <w:sz w:val="40"/>
          <w:szCs w:val="40"/>
        </w:rPr>
      </w:pPr>
      <w:r>
        <w:rPr>
          <w:rFonts w:hint="eastAsia" w:ascii="宋体" w:hAnsi="宋体" w:cs="宋体"/>
          <w:b/>
          <w:bCs/>
          <w:sz w:val="40"/>
          <w:szCs w:val="40"/>
        </w:rPr>
        <w:t>响应文件</w:t>
      </w:r>
    </w:p>
    <w:p>
      <w:pPr>
        <w:spacing w:line="360" w:lineRule="auto"/>
        <w:rPr>
          <w:rFonts w:ascii="宋体" w:hAnsi="宋体" w:cs="宋体"/>
          <w:b/>
          <w:sz w:val="30"/>
          <w:szCs w:val="30"/>
        </w:rPr>
      </w:pPr>
    </w:p>
    <w:p>
      <w:pPr>
        <w:spacing w:line="660" w:lineRule="exact"/>
        <w:jc w:val="center"/>
        <w:rPr>
          <w:rFonts w:ascii="宋体" w:hAnsi="宋体" w:cs="宋体"/>
          <w:sz w:val="24"/>
        </w:rPr>
      </w:pPr>
      <w:r>
        <w:rPr>
          <w:rFonts w:hint="eastAsia" w:ascii="宋体" w:hAnsi="宋体"/>
          <w:b/>
          <w:sz w:val="28"/>
          <w:szCs w:val="28"/>
        </w:rPr>
        <w:t>（文件编号：</w:t>
      </w:r>
      <w:r>
        <w:rPr>
          <w:rFonts w:hint="eastAsia" w:ascii="宋体" w:hAnsi="宋体"/>
          <w:b/>
          <w:sz w:val="28"/>
          <w:szCs w:val="28"/>
          <w:lang w:eastAsia="zh-CN"/>
        </w:rPr>
        <w:t>JKJL[ZC]2021-59</w:t>
      </w:r>
      <w:r>
        <w:rPr>
          <w:rFonts w:hint="eastAsia" w:ascii="宋体" w:hAnsi="宋体"/>
          <w:b/>
          <w:sz w:val="28"/>
          <w:szCs w:val="28"/>
        </w:rPr>
        <w:t>）</w:t>
      </w:r>
    </w:p>
    <w:p>
      <w:pPr>
        <w:spacing w:line="360" w:lineRule="auto"/>
        <w:rPr>
          <w:rFonts w:ascii="宋体" w:hAnsi="宋体" w:cs="宋体"/>
          <w:b/>
          <w:sz w:val="32"/>
          <w:szCs w:val="32"/>
        </w:rPr>
      </w:pPr>
    </w:p>
    <w:p>
      <w:pPr>
        <w:spacing w:line="360" w:lineRule="auto"/>
        <w:rPr>
          <w:rFonts w:ascii="宋体" w:hAnsi="宋体" w:cs="宋体"/>
          <w:b/>
          <w:sz w:val="32"/>
          <w:szCs w:val="32"/>
        </w:rPr>
      </w:pPr>
    </w:p>
    <w:p>
      <w:pPr>
        <w:spacing w:line="360" w:lineRule="auto"/>
        <w:rPr>
          <w:rFonts w:ascii="宋体" w:hAnsi="宋体" w:cs="宋体"/>
          <w:b/>
        </w:rPr>
      </w:pPr>
    </w:p>
    <w:p>
      <w:pPr>
        <w:spacing w:line="360" w:lineRule="auto"/>
        <w:ind w:firstLine="602"/>
        <w:rPr>
          <w:rFonts w:ascii="宋体" w:hAnsi="宋体" w:cs="宋体"/>
          <w:b/>
          <w:sz w:val="30"/>
          <w:szCs w:val="30"/>
        </w:rPr>
      </w:pPr>
      <w:r>
        <w:rPr>
          <w:rFonts w:hint="eastAsia" w:ascii="宋体" w:hAnsi="宋体" w:cs="宋体"/>
          <w:b/>
          <w:sz w:val="30"/>
          <w:szCs w:val="30"/>
        </w:rPr>
        <w:t>供应商： （单位名称）盖章</w:t>
      </w:r>
    </w:p>
    <w:p>
      <w:pPr>
        <w:spacing w:line="360" w:lineRule="auto"/>
        <w:rPr>
          <w:rFonts w:ascii="宋体" w:hAnsi="宋体" w:cs="宋体"/>
          <w:b/>
          <w:sz w:val="30"/>
          <w:szCs w:val="30"/>
        </w:rPr>
      </w:pPr>
    </w:p>
    <w:p>
      <w:pPr>
        <w:spacing w:line="360" w:lineRule="auto"/>
        <w:ind w:firstLine="602"/>
        <w:rPr>
          <w:rFonts w:ascii="宋体" w:hAnsi="宋体" w:cs="宋体"/>
          <w:b/>
          <w:sz w:val="30"/>
          <w:szCs w:val="30"/>
        </w:rPr>
      </w:pPr>
      <w:r>
        <w:rPr>
          <w:rFonts w:hint="eastAsia" w:ascii="宋体" w:hAnsi="宋体" w:cs="宋体"/>
          <w:b/>
          <w:sz w:val="30"/>
          <w:szCs w:val="30"/>
        </w:rPr>
        <w:t>单位地址：</w:t>
      </w:r>
    </w:p>
    <w:p>
      <w:pPr>
        <w:spacing w:line="360" w:lineRule="auto"/>
        <w:ind w:firstLine="602"/>
        <w:rPr>
          <w:rFonts w:ascii="宋体" w:hAnsi="宋体" w:cs="宋体"/>
          <w:b/>
          <w:sz w:val="30"/>
          <w:szCs w:val="30"/>
        </w:rPr>
      </w:pPr>
    </w:p>
    <w:p>
      <w:pPr>
        <w:pStyle w:val="9"/>
        <w:ind w:firstLine="596" w:firstLineChars="198"/>
        <w:outlineLvl w:val="0"/>
        <w:rPr>
          <w:rFonts w:hAnsi="宋体" w:cs="宋体"/>
          <w:b/>
          <w:bCs/>
          <w:sz w:val="24"/>
          <w:szCs w:val="24"/>
        </w:rPr>
      </w:pPr>
      <w:r>
        <w:rPr>
          <w:rFonts w:hint="eastAsia" w:hAnsi="宋体" w:cs="宋体"/>
          <w:b/>
          <w:sz w:val="30"/>
          <w:szCs w:val="30"/>
        </w:rPr>
        <w:t>联系人：                   联系电话：</w:t>
      </w: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pStyle w:val="21"/>
        <w:ind w:firstLine="241"/>
        <w:rPr>
          <w:rFonts w:ascii="宋体" w:hAnsi="宋体" w:cs="宋体"/>
          <w:b/>
          <w:bCs/>
          <w:sz w:val="24"/>
          <w:szCs w:val="24"/>
        </w:rPr>
      </w:pPr>
    </w:p>
    <w:p>
      <w:pPr>
        <w:pStyle w:val="21"/>
        <w:ind w:firstLine="241"/>
        <w:rPr>
          <w:rFonts w:ascii="宋体" w:hAnsi="宋体" w:cs="宋体"/>
          <w:b/>
          <w:bCs/>
          <w:sz w:val="24"/>
          <w:szCs w:val="24"/>
        </w:rPr>
      </w:pPr>
    </w:p>
    <w:p>
      <w:pPr>
        <w:spacing w:line="360" w:lineRule="auto"/>
        <w:jc w:val="center"/>
        <w:rPr>
          <w:rFonts w:ascii="宋体" w:hAnsi="宋体" w:cs="宋体"/>
          <w:b/>
          <w:bCs/>
          <w:sz w:val="24"/>
        </w:rPr>
      </w:pPr>
      <w:r>
        <w:rPr>
          <w:rFonts w:hint="eastAsia" w:ascii="宋体" w:hAnsi="宋体" w:cs="宋体"/>
          <w:b/>
          <w:bCs/>
          <w:sz w:val="24"/>
        </w:rPr>
        <w:t>格式1 响应函</w:t>
      </w:r>
    </w:p>
    <w:p>
      <w:pPr>
        <w:pStyle w:val="2"/>
      </w:pPr>
    </w:p>
    <w:p>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u w:val="single"/>
          <w:lang w:eastAsia="zh-CN"/>
        </w:rPr>
        <w:t>克拉玛依市克拉玛依区人民政府昆仑路街道办事处</w:t>
      </w:r>
      <w:r>
        <w:rPr>
          <w:rFonts w:hint="eastAsia" w:asciiTheme="minorEastAsia" w:hAnsiTheme="minorEastAsia" w:eastAsiaTheme="minorEastAsia" w:cstheme="minorEastAsia"/>
          <w:bCs/>
          <w:sz w:val="24"/>
          <w:u w:val="single"/>
        </w:rPr>
        <w:t>：</w:t>
      </w:r>
    </w:p>
    <w:p>
      <w:pPr>
        <w:pStyle w:val="11"/>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我方全面研究了 “</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”项目磋商文件（文件编号：</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），决定参加本项目竞争性磋商。我方授权（姓名、职务）</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代表我</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方（供应商的名称）全权处理本项目磋商的有关事宜。</w:t>
      </w:r>
    </w:p>
    <w:p>
      <w:pPr>
        <w:pStyle w:val="11"/>
        <w:numPr>
          <w:ilvl w:val="0"/>
          <w:numId w:val="4"/>
        </w:numPr>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我方自愿按照磋商文件规定的各项要求向采购人提供所需工作内容，商务报价为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元（大写：人民币</w:t>
      </w:r>
      <w:r>
        <w:rPr>
          <w:rFonts w:hint="eastAsia" w:asciiTheme="minorEastAsia" w:hAnsiTheme="minorEastAsia" w:eastAsiaTheme="minorEastAsia" w:cstheme="minorEastAsia"/>
          <w:b w:val="0"/>
          <w:bCs/>
          <w:u w:val="single"/>
        </w:rPr>
        <w:t xml:space="preserve">       </w:t>
      </w:r>
      <w:r>
        <w:rPr>
          <w:rFonts w:hint="eastAsia" w:asciiTheme="minorEastAsia" w:hAnsiTheme="minorEastAsia" w:eastAsiaTheme="minorEastAsia" w:cstheme="minorEastAsia"/>
          <w:b w:val="0"/>
          <w:bCs/>
        </w:rPr>
        <w:t>）。</w:t>
      </w:r>
    </w:p>
    <w:p>
      <w:pPr>
        <w:pStyle w:val="11"/>
        <w:numPr>
          <w:ilvl w:val="0"/>
          <w:numId w:val="4"/>
        </w:numPr>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若我方成交，我方将严格履行合同规定的责任和义务，保证按采购人要求及我方承诺完成所需服务及应尽义务。</w:t>
      </w:r>
    </w:p>
    <w:p>
      <w:pPr>
        <w:pStyle w:val="11"/>
        <w:ind w:left="0" w:firstLine="482"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3．其投标自递交响应文件截止之日起有效期为</w:t>
      </w:r>
      <w:r>
        <w:rPr>
          <w:rFonts w:hint="eastAsia" w:asciiTheme="minorEastAsia" w:hAnsiTheme="minorEastAsia" w:eastAsiaTheme="minorEastAsia" w:cstheme="minorEastAsia"/>
          <w:b w:val="0"/>
          <w:bCs/>
          <w:u w:val="single"/>
        </w:rPr>
        <w:t xml:space="preserve"> 90 </w:t>
      </w:r>
      <w:r>
        <w:rPr>
          <w:rFonts w:hint="eastAsia" w:asciiTheme="minorEastAsia" w:hAnsiTheme="minorEastAsia" w:eastAsiaTheme="minorEastAsia" w:cstheme="minorEastAsia"/>
        </w:rPr>
        <w:t>个日历日。如果我们的投标被接受，则至合同生效时止，本投标始终有效，我们将按服务协议、投标承诺及磋商文件的规定履行合同责任和义务。</w:t>
      </w:r>
    </w:p>
    <w:p>
      <w:pPr>
        <w:pStyle w:val="11"/>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4、我方为本项目提交的响应文件一式</w:t>
      </w:r>
      <w:r>
        <w:rPr>
          <w:rFonts w:hint="eastAsia" w:asciiTheme="minorEastAsia" w:hAnsiTheme="minorEastAsia" w:eastAsiaTheme="minorEastAsia" w:cstheme="minorEastAsia"/>
          <w:b w:val="0"/>
          <w:bCs/>
          <w:u w:val="single"/>
        </w:rPr>
        <w:t>肆</w:t>
      </w:r>
      <w:r>
        <w:rPr>
          <w:rFonts w:hint="eastAsia" w:asciiTheme="minorEastAsia" w:hAnsiTheme="minorEastAsia" w:eastAsiaTheme="minorEastAsia" w:cstheme="minorEastAsia"/>
          <w:b w:val="0"/>
          <w:bCs/>
        </w:rPr>
        <w:t>份，正本</w:t>
      </w:r>
      <w:r>
        <w:rPr>
          <w:rFonts w:hint="eastAsia" w:asciiTheme="minorEastAsia" w:hAnsiTheme="minorEastAsia" w:eastAsiaTheme="minorEastAsia" w:cstheme="minorEastAsia"/>
          <w:b w:val="0"/>
          <w:bCs/>
          <w:u w:val="single"/>
        </w:rPr>
        <w:t>壹</w:t>
      </w:r>
      <w:r>
        <w:rPr>
          <w:rFonts w:hint="eastAsia" w:asciiTheme="minorEastAsia" w:hAnsiTheme="minorEastAsia" w:eastAsiaTheme="minorEastAsia" w:cstheme="minorEastAsia"/>
          <w:b w:val="0"/>
          <w:bCs/>
        </w:rPr>
        <w:t>份，副本</w:t>
      </w:r>
      <w:r>
        <w:rPr>
          <w:rFonts w:hint="eastAsia" w:asciiTheme="minorEastAsia" w:hAnsiTheme="minorEastAsia" w:eastAsiaTheme="minorEastAsia" w:cstheme="minorEastAsia"/>
          <w:b w:val="0"/>
          <w:u w:val="single"/>
        </w:rPr>
        <w:t>叁</w:t>
      </w:r>
      <w:r>
        <w:rPr>
          <w:rFonts w:hint="eastAsia" w:asciiTheme="minorEastAsia" w:hAnsiTheme="minorEastAsia" w:eastAsiaTheme="minorEastAsia" w:cstheme="minorEastAsia"/>
          <w:b w:val="0"/>
          <w:bCs/>
        </w:rPr>
        <w:t>份。</w:t>
      </w:r>
    </w:p>
    <w:p>
      <w:pPr>
        <w:pStyle w:val="11"/>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5、我方愿意提供采购人可能另外要求的，与磋商有关的文件资料，并保证我方已提供和将要提供的文件资料是真实、准确的。</w:t>
      </w:r>
    </w:p>
    <w:p>
      <w:pPr>
        <w:pStyle w:val="11"/>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6、我方完全理解采购人不一定将合同授予最低报价的供应商的行为。</w:t>
      </w:r>
    </w:p>
    <w:p>
      <w:pPr>
        <w:spacing w:line="360" w:lineRule="auto"/>
        <w:ind w:firstLine="480" w:firstLineChars="200"/>
        <w:jc w:val="left"/>
        <w:rPr>
          <w:rFonts w:asciiTheme="minorEastAsia" w:hAnsiTheme="minorEastAsia" w:eastAsiaTheme="minorEastAsia" w:cstheme="minorEastAsia"/>
          <w:bCs/>
          <w:sz w:val="24"/>
        </w:rPr>
      </w:pPr>
    </w:p>
    <w:p>
      <w:pPr>
        <w:spacing w:line="360" w:lineRule="auto"/>
        <w:ind w:firstLine="480" w:firstLineChars="200"/>
        <w:jc w:val="left"/>
        <w:rPr>
          <w:rFonts w:asciiTheme="minorEastAsia" w:hAnsiTheme="minorEastAsia" w:eastAsiaTheme="minorEastAsia" w:cstheme="minorEastAsia"/>
          <w:bCs/>
          <w:sz w:val="24"/>
        </w:rPr>
      </w:pP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供应商名称：        （盖章）</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法定代表人或授权代表（签字或盖章）：</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通讯地址：</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邮政编码：</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联系电话：</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传    真：</w:t>
      </w:r>
    </w:p>
    <w:p>
      <w:pPr>
        <w:pStyle w:val="11"/>
        <w:ind w:left="852" w:hanging="852"/>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日    期：    年    月    日</w:t>
      </w:r>
    </w:p>
    <w:p>
      <w:pPr>
        <w:pStyle w:val="11"/>
        <w:ind w:left="0" w:firstLine="0" w:firstLineChars="0"/>
        <w:jc w:val="left"/>
        <w:rPr>
          <w:rFonts w:asciiTheme="minorEastAsia" w:hAnsiTheme="minorEastAsia" w:eastAsiaTheme="minorEastAsia" w:cstheme="minorEastAsia"/>
          <w:b w:val="0"/>
          <w:bCs/>
        </w:rPr>
      </w:pPr>
    </w:p>
    <w:p>
      <w:pPr>
        <w:pStyle w:val="11"/>
        <w:ind w:left="0" w:firstLine="0" w:firstLineChars="0"/>
        <w:jc w:val="left"/>
        <w:rPr>
          <w:rFonts w:asciiTheme="minorEastAsia" w:hAnsiTheme="minorEastAsia" w:eastAsiaTheme="minorEastAsia" w:cstheme="minorEastAsia"/>
          <w:b w:val="0"/>
          <w:bCs/>
        </w:rPr>
      </w:pPr>
    </w:p>
    <w:p>
      <w:pPr>
        <w:spacing w:line="440" w:lineRule="exact"/>
        <w:jc w:val="center"/>
        <w:rPr>
          <w:rFonts w:asciiTheme="minorEastAsia" w:hAnsiTheme="minorEastAsia" w:eastAsiaTheme="minorEastAsia" w:cstheme="minorEastAsia"/>
          <w:b/>
          <w:bCs/>
          <w:sz w:val="24"/>
        </w:rPr>
      </w:pPr>
    </w:p>
    <w:p>
      <w:pPr>
        <w:spacing w:line="44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格式2 商务报价一览表（首次）</w:t>
      </w:r>
    </w:p>
    <w:p>
      <w:pPr>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项目名称：                                                  币种：人民币</w:t>
      </w:r>
    </w:p>
    <w:tbl>
      <w:tblPr>
        <w:tblStyle w:val="23"/>
        <w:tblpPr w:leftFromText="180" w:rightFromText="180" w:vertAnchor="text" w:horzAnchor="page" w:tblpX="1707" w:tblpY="234"/>
        <w:tblOverlap w:val="never"/>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965"/>
        <w:gridCol w:w="1004"/>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0" w:type="dxa"/>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序号</w:t>
            </w:r>
          </w:p>
        </w:tc>
        <w:tc>
          <w:tcPr>
            <w:tcW w:w="2965" w:type="dxa"/>
            <w:noWrap w:val="0"/>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项目明细</w:t>
            </w:r>
          </w:p>
        </w:tc>
        <w:tc>
          <w:tcPr>
            <w:tcW w:w="5008" w:type="dxa"/>
            <w:gridSpan w:val="2"/>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20" w:type="dxa"/>
            <w:vMerge w:val="restart"/>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2965" w:type="dxa"/>
            <w:vMerge w:val="restart"/>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投标报价</w:t>
            </w:r>
            <w:r>
              <w:rPr>
                <w:rFonts w:hint="eastAsia" w:ascii="宋体" w:hAnsi="宋体" w:eastAsia="宋体" w:cs="宋体"/>
                <w:b w:val="0"/>
                <w:bCs w:val="0"/>
                <w:color w:val="auto"/>
                <w:sz w:val="24"/>
                <w:szCs w:val="24"/>
                <w:highlight w:val="none"/>
                <w:lang w:eastAsia="zh-CN"/>
              </w:rPr>
              <w:t>(元)</w:t>
            </w:r>
          </w:p>
        </w:tc>
        <w:tc>
          <w:tcPr>
            <w:tcW w:w="1004" w:type="dxa"/>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小写</w:t>
            </w:r>
          </w:p>
        </w:tc>
        <w:tc>
          <w:tcPr>
            <w:tcW w:w="4004" w:type="dxa"/>
            <w:tcBorders>
              <w:right w:val="single" w:color="auto" w:sz="4" w:space="0"/>
            </w:tcBorders>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20" w:type="dxa"/>
            <w:vMerge w:val="continue"/>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p>
        </w:tc>
        <w:tc>
          <w:tcPr>
            <w:tcW w:w="2965" w:type="dxa"/>
            <w:vMerge w:val="continue"/>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p>
        </w:tc>
        <w:tc>
          <w:tcPr>
            <w:tcW w:w="1004" w:type="dxa"/>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大写</w:t>
            </w:r>
          </w:p>
        </w:tc>
        <w:tc>
          <w:tcPr>
            <w:tcW w:w="4004" w:type="dxa"/>
            <w:tcBorders>
              <w:right w:val="single" w:color="auto" w:sz="4" w:space="0"/>
            </w:tcBorders>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20" w:type="dxa"/>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2965" w:type="dxa"/>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交货期</w:t>
            </w:r>
          </w:p>
        </w:tc>
        <w:tc>
          <w:tcPr>
            <w:tcW w:w="5008" w:type="dxa"/>
            <w:gridSpan w:val="2"/>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自</w:t>
            </w:r>
            <w:r>
              <w:rPr>
                <w:rFonts w:hint="eastAsia" w:ascii="宋体" w:hAnsi="宋体" w:eastAsia="宋体" w:cs="宋体"/>
                <w:b w:val="0"/>
                <w:bCs w:val="0"/>
                <w:color w:val="auto"/>
                <w:sz w:val="24"/>
                <w:szCs w:val="24"/>
                <w:highlight w:val="none"/>
                <w:lang w:eastAsia="zh-CN"/>
              </w:rPr>
              <w:t>采购合同签订后</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日内交货并完成试穿调换</w:t>
            </w:r>
            <w:r>
              <w:rPr>
                <w:rFonts w:hint="eastAsia" w:ascii="宋体" w:hAnsi="宋体" w:cs="宋体"/>
                <w:b w:val="0"/>
                <w:bCs w:val="0"/>
                <w:color w:val="auto"/>
                <w:sz w:val="24"/>
                <w:szCs w:val="24"/>
                <w:highlight w:val="none"/>
                <w:lang w:eastAsia="zh-CN"/>
              </w:rPr>
              <w:t>，</w:t>
            </w:r>
            <w:r>
              <w:rPr>
                <w:rFonts w:hint="eastAsia" w:asciiTheme="minorEastAsia" w:hAnsiTheme="minorEastAsia" w:eastAsiaTheme="minorEastAsia" w:cstheme="minorEastAsia"/>
                <w:b w:val="0"/>
                <w:bCs w:val="0"/>
                <w:color w:val="000000"/>
                <w:kern w:val="0"/>
                <w:sz w:val="24"/>
                <w:szCs w:val="24"/>
                <w:lang w:eastAsia="zh-CN" w:bidi="ar"/>
              </w:rPr>
              <w:t>交货地点以采购人通知为准</w:t>
            </w:r>
            <w:r>
              <w:rPr>
                <w:rFonts w:hint="eastAsia" w:asciiTheme="minorEastAsia" w:hAnsiTheme="minorEastAsia" w:eastAsiaTheme="minorEastAsia" w:cstheme="minorEastAsia"/>
                <w:b w:val="0"/>
                <w:bCs w:val="0"/>
                <w:color w:val="000000"/>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20" w:type="dxa"/>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2965" w:type="dxa"/>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产品质量保证期</w:t>
            </w:r>
          </w:p>
        </w:tc>
        <w:tc>
          <w:tcPr>
            <w:tcW w:w="5008" w:type="dxa"/>
            <w:gridSpan w:val="2"/>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验收合格签字之日起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20" w:type="dxa"/>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p>
        </w:tc>
        <w:tc>
          <w:tcPr>
            <w:tcW w:w="2965" w:type="dxa"/>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响应时效</w:t>
            </w:r>
          </w:p>
        </w:tc>
        <w:tc>
          <w:tcPr>
            <w:tcW w:w="5008" w:type="dxa"/>
            <w:gridSpan w:val="2"/>
            <w:noWrap w:val="0"/>
            <w:vAlign w:val="center"/>
          </w:tcPr>
          <w:p>
            <w:pPr>
              <w:spacing w:line="360" w:lineRule="auto"/>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货物使用过程中</w:t>
            </w:r>
            <w:r>
              <w:rPr>
                <w:rFonts w:hint="eastAsia" w:ascii="宋体" w:hAnsi="宋体" w:eastAsia="宋体" w:cs="宋体"/>
                <w:b w:val="0"/>
                <w:bCs w:val="0"/>
                <w:color w:val="auto"/>
                <w:sz w:val="24"/>
                <w:szCs w:val="24"/>
                <w:highlight w:val="none"/>
                <w:lang w:eastAsia="zh-CN"/>
              </w:rPr>
              <w:t>出现问题</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小时内响应，</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小时内到达现场，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eastAsia="zh-CN"/>
              </w:rPr>
              <w:t>小时内解决问题。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20" w:type="dxa"/>
            <w:noWrap w:val="0"/>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p>
        </w:tc>
        <w:tc>
          <w:tcPr>
            <w:tcW w:w="2965" w:type="dxa"/>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其它说明（由各</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eastAsia="zh-CN"/>
              </w:rPr>
              <w:t>根据本采购项目要求自行列出需说明及承诺内容）</w:t>
            </w:r>
          </w:p>
        </w:tc>
        <w:tc>
          <w:tcPr>
            <w:tcW w:w="5008" w:type="dxa"/>
            <w:gridSpan w:val="2"/>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793" w:type="dxa"/>
            <w:gridSpan w:val="4"/>
            <w:noWrap w:val="0"/>
            <w:vAlign w:val="center"/>
          </w:tcPr>
          <w:p>
            <w:pPr>
              <w:keepNext w:val="0"/>
              <w:keepLines w:val="0"/>
              <w:pageBreakBefore w:val="0"/>
              <w:kinsoku/>
              <w:wordWrap/>
              <w:topLinePunct w:val="0"/>
              <w:autoSpaceDE/>
              <w:autoSpaceDN/>
              <w:bidi w:val="0"/>
              <w:spacing w:line="360" w:lineRule="auto"/>
              <w:ind w:firstLine="44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2"/>
                <w:szCs w:val="22"/>
                <w:highlight w:val="none"/>
                <w:lang w:eastAsia="zh-CN"/>
              </w:rPr>
              <w:t>注：报价包含的内容：包括产品及产品加工、运输装卸以及所必须的材料、劳务、机械设备等所涉及的费用、试穿调换、验收、售后服务、质保及相关劳务支出、利润、税金（包括关税、进口货物及其所用原材料、零部件的各种国内、外税费）保险及政策性规定的各项应有的全部费用。质量保证期是质</w:t>
            </w:r>
            <w:r>
              <w:rPr>
                <w:rFonts w:hint="eastAsia" w:ascii="宋体" w:hAnsi="宋体" w:eastAsia="宋体" w:cs="宋体"/>
                <w:b w:val="0"/>
                <w:bCs w:val="0"/>
                <w:color w:val="auto"/>
                <w:sz w:val="22"/>
                <w:szCs w:val="22"/>
                <w:highlight w:val="none"/>
                <w:lang w:val="en-US" w:eastAsia="zh-CN"/>
              </w:rPr>
              <w:t>保</w:t>
            </w:r>
            <w:r>
              <w:rPr>
                <w:rFonts w:hint="eastAsia" w:ascii="宋体" w:hAnsi="宋体" w:eastAsia="宋体" w:cs="宋体"/>
                <w:b w:val="0"/>
                <w:bCs w:val="0"/>
                <w:color w:val="auto"/>
                <w:sz w:val="22"/>
                <w:szCs w:val="22"/>
                <w:highlight w:val="none"/>
                <w:lang w:eastAsia="zh-CN"/>
              </w:rPr>
              <w:t>金的留置期限，在质量保证期内，质</w:t>
            </w:r>
            <w:r>
              <w:rPr>
                <w:rFonts w:hint="eastAsia" w:ascii="宋体" w:hAnsi="宋体" w:eastAsia="宋体" w:cs="宋体"/>
                <w:b w:val="0"/>
                <w:bCs w:val="0"/>
                <w:color w:val="auto"/>
                <w:sz w:val="22"/>
                <w:szCs w:val="22"/>
                <w:highlight w:val="none"/>
                <w:lang w:val="en-US" w:eastAsia="zh-CN"/>
              </w:rPr>
              <w:t>保</w:t>
            </w:r>
            <w:r>
              <w:rPr>
                <w:rFonts w:hint="eastAsia" w:ascii="宋体" w:hAnsi="宋体" w:eastAsia="宋体" w:cs="宋体"/>
                <w:b w:val="0"/>
                <w:bCs w:val="0"/>
                <w:color w:val="auto"/>
                <w:sz w:val="22"/>
                <w:szCs w:val="22"/>
                <w:highlight w:val="none"/>
                <w:lang w:eastAsia="zh-CN"/>
              </w:rPr>
              <w:t>金不予退还。</w:t>
            </w:r>
          </w:p>
        </w:tc>
      </w:tr>
    </w:tbl>
    <w:p>
      <w:pPr>
        <w:spacing w:line="360" w:lineRule="exact"/>
        <w:rPr>
          <w:rFonts w:asciiTheme="minorEastAsia" w:hAnsiTheme="minorEastAsia" w:eastAsiaTheme="minorEastAsia" w:cstheme="minorEastAsia"/>
          <w:sz w:val="24"/>
        </w:rPr>
      </w:pPr>
    </w:p>
    <w:p>
      <w:pPr>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供应商(盖章)： </w:t>
      </w:r>
    </w:p>
    <w:p>
      <w:pPr>
        <w:ind w:firstLine="241" w:firstLineChars="100"/>
        <w:rPr>
          <w:rFonts w:asciiTheme="minorEastAsia" w:hAnsiTheme="minorEastAsia" w:eastAsiaTheme="minorEastAsia" w:cstheme="minorEastAsia"/>
          <w:b/>
          <w:sz w:val="24"/>
        </w:rPr>
      </w:pPr>
    </w:p>
    <w:p>
      <w:pPr>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法定代表人或委托代理人（签字或盖章）：</w:t>
      </w:r>
    </w:p>
    <w:p>
      <w:pPr>
        <w:jc w:val="right"/>
        <w:rPr>
          <w:rFonts w:asciiTheme="minorEastAsia" w:hAnsiTheme="minorEastAsia" w:eastAsiaTheme="minorEastAsia" w:cstheme="minorEastAsia"/>
          <w:sz w:val="24"/>
        </w:rPr>
      </w:pPr>
    </w:p>
    <w:p>
      <w:pPr>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pacing w:line="360" w:lineRule="auto"/>
      </w:pPr>
      <w:r>
        <w:rPr>
          <w:rFonts w:hint="eastAsia" w:asciiTheme="minorEastAsia" w:hAnsiTheme="minorEastAsia" w:eastAsiaTheme="minorEastAsia" w:cstheme="minorEastAsia"/>
          <w:b/>
          <w:sz w:val="24"/>
        </w:rPr>
        <w:t>注：1、供应商须按本商务报价一览表格式制作“最后报价表”，并加盖单位公章后自行带至磋商现场，经磋商后由各供应商填写最后报价</w:t>
      </w:r>
      <w:r>
        <w:rPr>
          <w:rFonts w:hint="eastAsia" w:asciiTheme="minorEastAsia" w:hAnsiTheme="minorEastAsia" w:eastAsiaTheme="minorEastAsia" w:cstheme="minorEastAsia"/>
          <w:b/>
          <w:sz w:val="24"/>
          <w:lang w:eastAsia="zh-CN"/>
        </w:rPr>
        <w:t>。</w:t>
      </w: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default" w:ascii="宋体" w:hAnsi="宋体" w:eastAsia="宋体" w:cs="宋体"/>
          <w:b/>
          <w:sz w:val="24"/>
          <w:lang w:val="en-US" w:eastAsia="zh-CN"/>
        </w:rPr>
      </w:pPr>
      <w:r>
        <w:rPr>
          <w:rFonts w:hint="eastAsia" w:ascii="宋体" w:hAnsi="宋体" w:cs="宋体"/>
          <w:b/>
          <w:sz w:val="24"/>
        </w:rPr>
        <w:t xml:space="preserve">格式3 </w:t>
      </w:r>
      <w:r>
        <w:rPr>
          <w:rFonts w:hint="eastAsia" w:ascii="宋体" w:hAnsi="宋体" w:cs="宋体"/>
          <w:b/>
          <w:sz w:val="24"/>
          <w:lang w:val="en-US" w:eastAsia="zh-CN"/>
        </w:rPr>
        <w:t>报价明细表</w:t>
      </w:r>
    </w:p>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                                                  币种：人民币</w:t>
      </w:r>
    </w:p>
    <w:tbl>
      <w:tblPr>
        <w:tblStyle w:val="23"/>
        <w:tblpPr w:leftFromText="180" w:rightFromText="180" w:vertAnchor="text" w:horzAnchor="page" w:tblpX="1730" w:tblpY="408"/>
        <w:tblOverlap w:val="never"/>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2"/>
        <w:gridCol w:w="2158"/>
        <w:gridCol w:w="1073"/>
        <w:gridCol w:w="935"/>
        <w:gridCol w:w="94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750" w:type="dxa"/>
            <w:tcBorders>
              <w:lef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9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2158"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品牌、规格型号、主要技术参数</w:t>
            </w:r>
          </w:p>
        </w:tc>
        <w:tc>
          <w:tcPr>
            <w:tcW w:w="1073"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制造商</w:t>
            </w:r>
          </w:p>
        </w:tc>
        <w:tc>
          <w:tcPr>
            <w:tcW w:w="93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94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w:t>
            </w:r>
          </w:p>
        </w:tc>
        <w:tc>
          <w:tcPr>
            <w:tcW w:w="1050" w:type="dxa"/>
            <w:tcBorders>
              <w:right w:val="single" w:color="auto" w:sz="4" w:space="0"/>
            </w:tcBorders>
            <w:noWrap w:val="0"/>
            <w:vAlign w:val="center"/>
          </w:tcPr>
          <w:p>
            <w:pPr>
              <w:spacing w:line="360" w:lineRule="auto"/>
              <w:ind w:left="-92" w:leftChars="-44"/>
              <w:jc w:val="center"/>
              <w:rPr>
                <w:rFonts w:hint="eastAsia" w:ascii="宋体" w:hAnsi="宋体" w:eastAsia="宋体" w:cs="宋体"/>
                <w:sz w:val="24"/>
                <w:szCs w:val="24"/>
              </w:rPr>
            </w:pPr>
            <w:r>
              <w:rPr>
                <w:rFonts w:hint="eastAsia" w:ascii="宋体" w:hAnsi="宋体" w:eastAsia="宋体" w:cs="宋体"/>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50" w:type="dxa"/>
            <w:tcBorders>
              <w:left w:val="single" w:color="auto" w:sz="4" w:space="0"/>
            </w:tcBorders>
            <w:noWrap w:val="0"/>
            <w:vAlign w:val="center"/>
          </w:tcPr>
          <w:p>
            <w:pPr>
              <w:numPr>
                <w:ilvl w:val="0"/>
                <w:numId w:val="5"/>
              </w:numPr>
              <w:ind w:left="2160" w:leftChars="800" w:hanging="480" w:hangingChars="200"/>
              <w:jc w:val="center"/>
              <w:rPr>
                <w:rFonts w:hint="eastAsia" w:ascii="宋体" w:hAnsi="宋体" w:eastAsia="宋体" w:cs="宋体"/>
                <w:sz w:val="24"/>
                <w:szCs w:val="24"/>
              </w:rPr>
            </w:pPr>
          </w:p>
        </w:tc>
        <w:tc>
          <w:tcPr>
            <w:tcW w:w="1892" w:type="dxa"/>
            <w:noWrap w:val="0"/>
            <w:vAlign w:val="center"/>
          </w:tcPr>
          <w:p>
            <w:pPr>
              <w:ind w:firstLine="420"/>
              <w:jc w:val="center"/>
              <w:rPr>
                <w:rFonts w:hint="eastAsia" w:ascii="宋体" w:hAnsi="宋体" w:eastAsia="宋体" w:cs="宋体"/>
                <w:bCs/>
                <w:sz w:val="24"/>
                <w:szCs w:val="24"/>
              </w:rPr>
            </w:pPr>
          </w:p>
        </w:tc>
        <w:tc>
          <w:tcPr>
            <w:tcW w:w="2158" w:type="dxa"/>
            <w:noWrap w:val="0"/>
            <w:vAlign w:val="center"/>
          </w:tcPr>
          <w:p>
            <w:pPr>
              <w:ind w:firstLine="420"/>
              <w:jc w:val="center"/>
              <w:rPr>
                <w:rFonts w:hint="eastAsia" w:ascii="宋体" w:hAnsi="宋体" w:eastAsia="宋体" w:cs="宋体"/>
                <w:bCs/>
                <w:sz w:val="24"/>
                <w:szCs w:val="24"/>
              </w:rPr>
            </w:pPr>
          </w:p>
        </w:tc>
        <w:tc>
          <w:tcPr>
            <w:tcW w:w="1073" w:type="dxa"/>
            <w:noWrap w:val="0"/>
            <w:vAlign w:val="center"/>
          </w:tcPr>
          <w:p>
            <w:pPr>
              <w:ind w:firstLine="420"/>
              <w:jc w:val="center"/>
              <w:rPr>
                <w:rFonts w:hint="eastAsia" w:ascii="宋体" w:hAnsi="宋体" w:eastAsia="宋体" w:cs="宋体"/>
                <w:sz w:val="24"/>
                <w:szCs w:val="24"/>
              </w:rPr>
            </w:pPr>
          </w:p>
        </w:tc>
        <w:tc>
          <w:tcPr>
            <w:tcW w:w="935" w:type="dxa"/>
            <w:noWrap w:val="0"/>
            <w:vAlign w:val="center"/>
          </w:tcPr>
          <w:p>
            <w:pPr>
              <w:ind w:firstLine="420"/>
              <w:jc w:val="center"/>
              <w:rPr>
                <w:rFonts w:hint="eastAsia" w:ascii="宋体" w:hAnsi="宋体" w:eastAsia="宋体" w:cs="宋体"/>
                <w:bCs/>
                <w:sz w:val="24"/>
                <w:szCs w:val="24"/>
              </w:rPr>
            </w:pPr>
          </w:p>
        </w:tc>
        <w:tc>
          <w:tcPr>
            <w:tcW w:w="946" w:type="dxa"/>
            <w:noWrap w:val="0"/>
            <w:vAlign w:val="center"/>
          </w:tcPr>
          <w:p>
            <w:pPr>
              <w:ind w:firstLine="420"/>
              <w:jc w:val="center"/>
              <w:rPr>
                <w:rFonts w:hint="eastAsia" w:ascii="宋体" w:hAnsi="宋体" w:eastAsia="宋体" w:cs="宋体"/>
                <w:bCs/>
                <w:sz w:val="24"/>
                <w:szCs w:val="24"/>
              </w:rPr>
            </w:pPr>
          </w:p>
        </w:tc>
        <w:tc>
          <w:tcPr>
            <w:tcW w:w="1050" w:type="dxa"/>
            <w:tcBorders>
              <w:right w:val="single" w:color="auto" w:sz="4" w:space="0"/>
            </w:tcBorders>
            <w:noWrap w:val="0"/>
            <w:vAlign w:val="center"/>
          </w:tcPr>
          <w:p>
            <w:pPr>
              <w:ind w:firstLine="42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50" w:type="dxa"/>
            <w:tcBorders>
              <w:left w:val="single" w:color="auto" w:sz="4" w:space="0"/>
            </w:tcBorders>
            <w:noWrap w:val="0"/>
            <w:vAlign w:val="center"/>
          </w:tcPr>
          <w:p>
            <w:pPr>
              <w:widowControl w:val="0"/>
              <w:numPr>
                <w:ilvl w:val="0"/>
                <w:numId w:val="0"/>
              </w:numPr>
              <w:tabs>
                <w:tab w:val="left" w:pos="1955"/>
              </w:tabs>
              <w:jc w:val="center"/>
              <w:rPr>
                <w:rFonts w:hint="eastAsia" w:ascii="宋体" w:hAnsi="宋体" w:eastAsia="宋体" w:cs="宋体"/>
                <w:sz w:val="24"/>
                <w:szCs w:val="24"/>
              </w:rPr>
            </w:pPr>
          </w:p>
        </w:tc>
        <w:tc>
          <w:tcPr>
            <w:tcW w:w="1892" w:type="dxa"/>
            <w:noWrap w:val="0"/>
            <w:vAlign w:val="center"/>
          </w:tcPr>
          <w:p>
            <w:pPr>
              <w:ind w:firstLine="420"/>
              <w:jc w:val="center"/>
              <w:rPr>
                <w:rFonts w:hint="eastAsia" w:ascii="宋体" w:hAnsi="宋体" w:eastAsia="宋体" w:cs="宋体"/>
                <w:bCs/>
                <w:sz w:val="24"/>
                <w:szCs w:val="24"/>
              </w:rPr>
            </w:pPr>
          </w:p>
        </w:tc>
        <w:tc>
          <w:tcPr>
            <w:tcW w:w="2158" w:type="dxa"/>
            <w:noWrap w:val="0"/>
            <w:vAlign w:val="center"/>
          </w:tcPr>
          <w:p>
            <w:pPr>
              <w:ind w:firstLine="420"/>
              <w:jc w:val="center"/>
              <w:rPr>
                <w:rFonts w:hint="eastAsia" w:ascii="宋体" w:hAnsi="宋体" w:eastAsia="宋体" w:cs="宋体"/>
                <w:bCs/>
                <w:sz w:val="24"/>
                <w:szCs w:val="24"/>
              </w:rPr>
            </w:pPr>
          </w:p>
        </w:tc>
        <w:tc>
          <w:tcPr>
            <w:tcW w:w="1073" w:type="dxa"/>
            <w:noWrap w:val="0"/>
            <w:vAlign w:val="center"/>
          </w:tcPr>
          <w:p>
            <w:pPr>
              <w:ind w:firstLine="420"/>
              <w:jc w:val="center"/>
              <w:rPr>
                <w:rFonts w:hint="eastAsia" w:ascii="宋体" w:hAnsi="宋体" w:eastAsia="宋体" w:cs="宋体"/>
                <w:sz w:val="24"/>
                <w:szCs w:val="24"/>
              </w:rPr>
            </w:pPr>
          </w:p>
        </w:tc>
        <w:tc>
          <w:tcPr>
            <w:tcW w:w="935" w:type="dxa"/>
            <w:noWrap w:val="0"/>
            <w:vAlign w:val="center"/>
          </w:tcPr>
          <w:p>
            <w:pPr>
              <w:ind w:firstLine="420"/>
              <w:jc w:val="center"/>
              <w:rPr>
                <w:rFonts w:hint="eastAsia" w:ascii="宋体" w:hAnsi="宋体" w:eastAsia="宋体" w:cs="宋体"/>
                <w:bCs/>
                <w:sz w:val="24"/>
                <w:szCs w:val="24"/>
              </w:rPr>
            </w:pPr>
          </w:p>
        </w:tc>
        <w:tc>
          <w:tcPr>
            <w:tcW w:w="946" w:type="dxa"/>
            <w:noWrap w:val="0"/>
            <w:vAlign w:val="center"/>
          </w:tcPr>
          <w:p>
            <w:pPr>
              <w:ind w:firstLine="420"/>
              <w:jc w:val="center"/>
              <w:rPr>
                <w:rFonts w:hint="eastAsia" w:ascii="宋体" w:hAnsi="宋体" w:eastAsia="宋体" w:cs="宋体"/>
                <w:bCs/>
                <w:sz w:val="24"/>
                <w:szCs w:val="24"/>
              </w:rPr>
            </w:pPr>
          </w:p>
        </w:tc>
        <w:tc>
          <w:tcPr>
            <w:tcW w:w="1050" w:type="dxa"/>
            <w:tcBorders>
              <w:right w:val="single" w:color="auto" w:sz="4" w:space="0"/>
            </w:tcBorders>
            <w:noWrap w:val="0"/>
            <w:vAlign w:val="center"/>
          </w:tcPr>
          <w:p>
            <w:pPr>
              <w:ind w:firstLine="42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50" w:type="dxa"/>
            <w:tcBorders>
              <w:left w:val="single" w:color="auto" w:sz="4" w:space="0"/>
            </w:tcBorders>
            <w:noWrap w:val="0"/>
            <w:vAlign w:val="center"/>
          </w:tcPr>
          <w:p>
            <w:pPr>
              <w:numPr>
                <w:ilvl w:val="0"/>
                <w:numId w:val="5"/>
              </w:numPr>
              <w:ind w:left="2160" w:leftChars="800" w:hanging="480" w:hangingChars="200"/>
              <w:jc w:val="center"/>
              <w:rPr>
                <w:rFonts w:hint="eastAsia" w:ascii="宋体" w:hAnsi="宋体" w:eastAsia="宋体" w:cs="宋体"/>
                <w:sz w:val="24"/>
                <w:szCs w:val="24"/>
              </w:rPr>
            </w:pPr>
          </w:p>
        </w:tc>
        <w:tc>
          <w:tcPr>
            <w:tcW w:w="1892" w:type="dxa"/>
            <w:noWrap w:val="0"/>
            <w:vAlign w:val="center"/>
          </w:tcPr>
          <w:p>
            <w:pPr>
              <w:ind w:firstLine="420"/>
              <w:jc w:val="center"/>
              <w:rPr>
                <w:rFonts w:hint="eastAsia" w:ascii="宋体" w:hAnsi="宋体" w:eastAsia="宋体" w:cs="宋体"/>
                <w:bCs/>
                <w:sz w:val="24"/>
                <w:szCs w:val="24"/>
              </w:rPr>
            </w:pPr>
          </w:p>
        </w:tc>
        <w:tc>
          <w:tcPr>
            <w:tcW w:w="2158" w:type="dxa"/>
            <w:noWrap w:val="0"/>
            <w:vAlign w:val="center"/>
          </w:tcPr>
          <w:p>
            <w:pPr>
              <w:ind w:firstLine="420"/>
              <w:jc w:val="center"/>
              <w:rPr>
                <w:rFonts w:hint="eastAsia" w:ascii="宋体" w:hAnsi="宋体" w:eastAsia="宋体" w:cs="宋体"/>
                <w:bCs/>
                <w:sz w:val="24"/>
                <w:szCs w:val="24"/>
              </w:rPr>
            </w:pPr>
          </w:p>
        </w:tc>
        <w:tc>
          <w:tcPr>
            <w:tcW w:w="1073" w:type="dxa"/>
            <w:noWrap w:val="0"/>
            <w:vAlign w:val="center"/>
          </w:tcPr>
          <w:p>
            <w:pPr>
              <w:ind w:firstLine="420"/>
              <w:jc w:val="center"/>
              <w:rPr>
                <w:rFonts w:hint="eastAsia" w:ascii="宋体" w:hAnsi="宋体" w:eastAsia="宋体" w:cs="宋体"/>
                <w:bCs/>
                <w:sz w:val="24"/>
                <w:szCs w:val="24"/>
              </w:rPr>
            </w:pPr>
          </w:p>
        </w:tc>
        <w:tc>
          <w:tcPr>
            <w:tcW w:w="935" w:type="dxa"/>
            <w:noWrap w:val="0"/>
            <w:vAlign w:val="center"/>
          </w:tcPr>
          <w:p>
            <w:pPr>
              <w:ind w:firstLine="420"/>
              <w:jc w:val="center"/>
              <w:rPr>
                <w:rFonts w:hint="eastAsia" w:ascii="宋体" w:hAnsi="宋体" w:eastAsia="宋体" w:cs="宋体"/>
                <w:bCs/>
                <w:sz w:val="24"/>
                <w:szCs w:val="24"/>
              </w:rPr>
            </w:pPr>
          </w:p>
        </w:tc>
        <w:tc>
          <w:tcPr>
            <w:tcW w:w="946" w:type="dxa"/>
            <w:noWrap w:val="0"/>
            <w:vAlign w:val="center"/>
          </w:tcPr>
          <w:p>
            <w:pPr>
              <w:ind w:firstLine="420"/>
              <w:jc w:val="center"/>
              <w:rPr>
                <w:rFonts w:hint="eastAsia" w:ascii="宋体" w:hAnsi="宋体" w:eastAsia="宋体" w:cs="宋体"/>
                <w:bCs/>
                <w:sz w:val="24"/>
                <w:szCs w:val="24"/>
              </w:rPr>
            </w:pPr>
          </w:p>
        </w:tc>
        <w:tc>
          <w:tcPr>
            <w:tcW w:w="1050" w:type="dxa"/>
            <w:tcBorders>
              <w:right w:val="single" w:color="auto" w:sz="4" w:space="0"/>
            </w:tcBorders>
            <w:noWrap w:val="0"/>
            <w:vAlign w:val="center"/>
          </w:tcPr>
          <w:p>
            <w:pPr>
              <w:ind w:firstLine="42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880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lang w:val="en-GB" w:eastAsia="zh-CN"/>
              </w:rPr>
            </w:pPr>
            <w:r>
              <w:rPr>
                <w:rFonts w:hint="eastAsia" w:ascii="宋体" w:hAnsi="宋体" w:eastAsia="宋体" w:cs="宋体"/>
                <w:sz w:val="24"/>
                <w:szCs w:val="24"/>
              </w:rPr>
              <w:t>注：1</w:t>
            </w:r>
            <w:r>
              <w:rPr>
                <w:rFonts w:hint="eastAsia" w:ascii="宋体" w:hAnsi="宋体" w:cs="宋体"/>
                <w:sz w:val="24"/>
                <w:szCs w:val="24"/>
                <w:lang w:val="en-US" w:eastAsia="zh-CN"/>
              </w:rPr>
              <w:t>.</w:t>
            </w:r>
            <w:r>
              <w:rPr>
                <w:rFonts w:hint="eastAsia" w:ascii="宋体" w:hAnsi="宋体" w:eastAsia="宋体" w:cs="宋体"/>
                <w:sz w:val="24"/>
                <w:szCs w:val="24"/>
                <w:lang w:val="en-GB"/>
              </w:rPr>
              <w:t>以上内容必须与《</w:t>
            </w:r>
            <w:r>
              <w:rPr>
                <w:rFonts w:hint="eastAsia" w:ascii="宋体" w:hAnsi="宋体" w:eastAsia="宋体" w:cs="宋体"/>
                <w:sz w:val="24"/>
                <w:szCs w:val="24"/>
                <w:lang w:val="en-US" w:eastAsia="zh-CN"/>
              </w:rPr>
              <w:t>商务报价</w:t>
            </w:r>
            <w:r>
              <w:rPr>
                <w:rFonts w:hint="eastAsia" w:ascii="宋体" w:hAnsi="宋体" w:eastAsia="宋体" w:cs="宋体"/>
                <w:sz w:val="24"/>
                <w:szCs w:val="24"/>
                <w:lang w:val="en-GB"/>
              </w:rPr>
              <w:t>一览表》一致</w:t>
            </w:r>
            <w:r>
              <w:rPr>
                <w:rFonts w:hint="eastAsia" w:ascii="宋体" w:hAnsi="宋体" w:cs="宋体"/>
                <w:sz w:val="24"/>
                <w:szCs w:val="24"/>
                <w:lang w:val="en-GB" w:eastAsia="zh-CN"/>
              </w:rPr>
              <w:t>；</w:t>
            </w:r>
          </w:p>
          <w:p>
            <w:pPr>
              <w:tabs>
                <w:tab w:val="left" w:pos="851"/>
              </w:tabs>
              <w:adjustRightInd w:val="0"/>
              <w:snapToGrid w:val="0"/>
              <w:spacing w:line="360" w:lineRule="auto"/>
              <w:ind w:firstLine="480" w:firstLineChars="200"/>
              <w:rPr>
                <w:rFonts w:hint="eastAsia" w:ascii="宋体" w:hAnsi="宋体" w:eastAsia="宋体" w:cs="宋体"/>
                <w:snapToGrid w:val="0"/>
                <w:kern w:val="0"/>
                <w:sz w:val="24"/>
                <w:szCs w:val="24"/>
                <w:lang w:eastAsia="zh-CN"/>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w:t>
            </w:r>
            <w:r>
              <w:rPr>
                <w:rFonts w:hint="eastAsia" w:ascii="宋体" w:hAnsi="宋体" w:eastAsia="宋体" w:cs="宋体"/>
                <w:kern w:val="0"/>
                <w:sz w:val="24"/>
                <w:szCs w:val="24"/>
              </w:rPr>
              <w:t>对于</w:t>
            </w:r>
            <w:r>
              <w:rPr>
                <w:rFonts w:hint="eastAsia" w:ascii="宋体" w:hAnsi="宋体" w:eastAsia="宋体" w:cs="宋体"/>
                <w:snapToGrid w:val="0"/>
                <w:kern w:val="0"/>
                <w:sz w:val="24"/>
                <w:szCs w:val="24"/>
              </w:rPr>
              <w:t>报价免费的项目必须标明“免费”</w:t>
            </w:r>
            <w:r>
              <w:rPr>
                <w:rFonts w:hint="eastAsia" w:ascii="宋体" w:hAnsi="宋体" w:cs="宋体"/>
                <w:snapToGrid w:val="0"/>
                <w:kern w:val="0"/>
                <w:sz w:val="24"/>
                <w:szCs w:val="24"/>
                <w:lang w:eastAsia="zh-CN"/>
              </w:rPr>
              <w:t>；</w:t>
            </w:r>
          </w:p>
          <w:p>
            <w:pPr>
              <w:tabs>
                <w:tab w:val="left" w:pos="851"/>
              </w:tabs>
              <w:adjustRightInd w:val="0"/>
              <w:snapToGrid w:val="0"/>
              <w:spacing w:line="360" w:lineRule="auto"/>
              <w:ind w:firstLine="480" w:firstLineChars="200"/>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rPr>
              <w:t>3</w:t>
            </w:r>
            <w:r>
              <w:rPr>
                <w:rFonts w:hint="eastAsia" w:ascii="宋体" w:hAnsi="宋体" w:cs="宋体"/>
                <w:snapToGrid w:val="0"/>
                <w:kern w:val="0"/>
                <w:sz w:val="24"/>
                <w:szCs w:val="24"/>
                <w:lang w:val="en-US" w:eastAsia="zh-CN"/>
              </w:rPr>
              <w:t>.</w:t>
            </w:r>
            <w:r>
              <w:rPr>
                <w:rFonts w:hint="eastAsia" w:ascii="宋体" w:hAnsi="宋体" w:eastAsia="宋体" w:cs="宋体"/>
                <w:snapToGrid w:val="0"/>
                <w:kern w:val="0"/>
                <w:sz w:val="24"/>
                <w:szCs w:val="24"/>
              </w:rPr>
              <w:t>所有根据合同或其它原因应由供应商支付的税款和其它应交纳的费用都要包括在供应商提交的磋商价格中</w:t>
            </w:r>
            <w:r>
              <w:rPr>
                <w:rFonts w:hint="eastAsia" w:ascii="宋体" w:hAnsi="宋体" w:cs="宋体"/>
                <w:snapToGrid w:val="0"/>
                <w:kern w:val="0"/>
                <w:sz w:val="24"/>
                <w:szCs w:val="24"/>
                <w:lang w:eastAsia="zh-CN"/>
              </w:rPr>
              <w:t>；</w:t>
            </w:r>
          </w:p>
          <w:p>
            <w:pPr>
              <w:spacing w:line="360" w:lineRule="auto"/>
              <w:ind w:firstLine="480" w:firstLineChars="200"/>
              <w:jc w:val="both"/>
              <w:rPr>
                <w:rFonts w:hint="eastAsia" w:ascii="宋体" w:hAnsi="宋体" w:eastAsia="宋体" w:cs="宋体"/>
                <w:bCs/>
                <w:sz w:val="24"/>
                <w:szCs w:val="24"/>
              </w:rPr>
            </w:pPr>
            <w:r>
              <w:rPr>
                <w:rFonts w:hint="eastAsia" w:ascii="宋体" w:hAnsi="宋体" w:eastAsia="宋体" w:cs="宋体"/>
                <w:snapToGrid w:val="0"/>
                <w:kern w:val="0"/>
                <w:sz w:val="24"/>
                <w:szCs w:val="24"/>
              </w:rPr>
              <w:t>4</w:t>
            </w:r>
            <w:r>
              <w:rPr>
                <w:rFonts w:hint="eastAsia" w:ascii="宋体" w:hAnsi="宋体" w:cs="宋体"/>
                <w:snapToGrid w:val="0"/>
                <w:kern w:val="0"/>
                <w:sz w:val="24"/>
                <w:szCs w:val="24"/>
                <w:lang w:val="en-US" w:eastAsia="zh-CN"/>
              </w:rPr>
              <w:t>.</w:t>
            </w:r>
            <w:r>
              <w:rPr>
                <w:rFonts w:hint="eastAsia" w:ascii="宋体" w:hAnsi="宋体" w:eastAsia="宋体" w:cs="宋体"/>
                <w:snapToGrid w:val="0"/>
                <w:kern w:val="0"/>
                <w:sz w:val="24"/>
                <w:szCs w:val="24"/>
              </w:rPr>
              <w:t>应包含货</w:t>
            </w:r>
            <w:r>
              <w:rPr>
                <w:rFonts w:hint="eastAsia" w:ascii="宋体" w:hAnsi="宋体" w:eastAsia="宋体" w:cs="宋体"/>
                <w:kern w:val="0"/>
                <w:sz w:val="24"/>
                <w:szCs w:val="24"/>
              </w:rPr>
              <w:t>物运至最终目的地的运输、保险和伴随货物服务的其他所有费用。</w:t>
            </w:r>
          </w:p>
        </w:tc>
      </w:tr>
    </w:tbl>
    <w:p>
      <w:pPr>
        <w:ind w:firstLine="241" w:firstLineChars="100"/>
        <w:rPr>
          <w:rFonts w:asciiTheme="minorEastAsia" w:hAnsiTheme="minorEastAsia" w:eastAsiaTheme="minorEastAsia" w:cstheme="minorEastAsia"/>
          <w:b/>
          <w:sz w:val="24"/>
        </w:rPr>
      </w:pPr>
    </w:p>
    <w:p>
      <w:pPr>
        <w:pStyle w:val="2"/>
        <w:rPr>
          <w:rFonts w:asciiTheme="minorEastAsia" w:hAnsiTheme="minorEastAsia" w:eastAsiaTheme="minorEastAsia" w:cstheme="minorEastAsia"/>
          <w:b/>
          <w:sz w:val="24"/>
        </w:rPr>
      </w:pPr>
    </w:p>
    <w:p>
      <w:pPr>
        <w:rPr>
          <w:rFonts w:asciiTheme="minorEastAsia" w:hAnsiTheme="minorEastAsia" w:eastAsiaTheme="minorEastAsia" w:cstheme="minorEastAsia"/>
          <w:b/>
          <w:sz w:val="24"/>
        </w:rPr>
      </w:pPr>
    </w:p>
    <w:p>
      <w:pPr>
        <w:pStyle w:val="2"/>
        <w:rPr>
          <w:rFonts w:asciiTheme="minorEastAsia" w:hAnsiTheme="minorEastAsia" w:eastAsiaTheme="minorEastAsia" w:cstheme="minorEastAsia"/>
          <w:b/>
          <w:sz w:val="24"/>
        </w:rPr>
      </w:pPr>
    </w:p>
    <w:p>
      <w:pPr>
        <w:rPr>
          <w:rFonts w:asciiTheme="minorEastAsia" w:hAnsiTheme="minorEastAsia" w:eastAsiaTheme="minorEastAsia" w:cstheme="minorEastAsia"/>
          <w:b/>
          <w:sz w:val="24"/>
        </w:rPr>
      </w:pPr>
    </w:p>
    <w:p/>
    <w:p>
      <w:pPr>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供应商(盖章)： </w:t>
      </w:r>
    </w:p>
    <w:p>
      <w:pPr>
        <w:pStyle w:val="2"/>
        <w:rPr>
          <w:rFonts w:hint="eastAsia" w:asciiTheme="minorEastAsia" w:hAnsiTheme="minorEastAsia" w:eastAsiaTheme="minorEastAsia" w:cstheme="minorEastAsia"/>
          <w:sz w:val="24"/>
        </w:rPr>
      </w:pPr>
    </w:p>
    <w:p/>
    <w:p>
      <w:pPr>
        <w:ind w:firstLine="241" w:firstLineChars="100"/>
        <w:rPr>
          <w:rFonts w:asciiTheme="minorEastAsia" w:hAnsiTheme="minorEastAsia" w:eastAsiaTheme="minorEastAsia" w:cstheme="minorEastAsia"/>
          <w:b/>
          <w:sz w:val="24"/>
        </w:rPr>
      </w:pPr>
    </w:p>
    <w:p>
      <w:pPr>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法定代表人或委托代理人（签字或盖章）：</w:t>
      </w:r>
    </w:p>
    <w:p>
      <w:pPr>
        <w:pStyle w:val="2"/>
      </w:pPr>
    </w:p>
    <w:p>
      <w:pPr>
        <w:jc w:val="right"/>
        <w:rPr>
          <w:rFonts w:asciiTheme="minorEastAsia" w:hAnsiTheme="minorEastAsia" w:eastAsiaTheme="minorEastAsia" w:cstheme="minorEastAsia"/>
          <w:sz w:val="24"/>
        </w:rPr>
      </w:pPr>
    </w:p>
    <w:p>
      <w:pPr>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pStyle w:val="2"/>
        <w:rPr>
          <w:rFonts w:hint="eastAsia" w:ascii="宋体" w:hAnsi="宋体" w:cs="宋体"/>
          <w:b/>
          <w:sz w:val="24"/>
        </w:rPr>
      </w:pPr>
    </w:p>
    <w:p>
      <w:pPr>
        <w:rPr>
          <w:rFonts w:hint="eastAsia"/>
        </w:rPr>
      </w:pPr>
    </w:p>
    <w:p>
      <w:pPr>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pStyle w:val="2"/>
        <w:rPr>
          <w:rFonts w:hint="eastAsia"/>
        </w:rPr>
      </w:pPr>
    </w:p>
    <w:p>
      <w:pPr>
        <w:spacing w:line="360" w:lineRule="auto"/>
        <w:jc w:val="center"/>
        <w:rPr>
          <w:rFonts w:ascii="宋体" w:hAnsi="宋体" w:cs="宋体"/>
          <w:b/>
          <w:sz w:val="24"/>
        </w:rPr>
      </w:pPr>
      <w:r>
        <w:rPr>
          <w:rFonts w:hint="eastAsia" w:ascii="宋体" w:hAnsi="宋体" w:cs="宋体"/>
          <w:b/>
          <w:sz w:val="24"/>
        </w:rPr>
        <w:t>格式</w:t>
      </w:r>
      <w:r>
        <w:rPr>
          <w:rFonts w:hint="eastAsia" w:ascii="宋体" w:hAnsi="宋体" w:cs="宋体"/>
          <w:b/>
          <w:sz w:val="24"/>
          <w:lang w:val="en-US" w:eastAsia="zh-CN"/>
        </w:rPr>
        <w:t>4</w:t>
      </w:r>
      <w:r>
        <w:rPr>
          <w:rFonts w:hint="eastAsia" w:ascii="宋体" w:hAnsi="宋体" w:cs="宋体"/>
          <w:b/>
          <w:sz w:val="24"/>
        </w:rPr>
        <w:t xml:space="preserve"> 中小企业声明函</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本公司郑重声明，根据《政府采购促进中小企业发展管理办法》（财库（2020）46 号）的规定，本公司参加（单位名称）的（项目名称）采购活动，提供的货物全部由符合政策要求的中小企业承接。相关企业（含联合体中的中小企业、签订分包意向协议的中小企业）的具体情况如下∶ </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1.</w:t>
      </w:r>
      <w:r>
        <w:rPr>
          <w:rFonts w:hint="eastAsia" w:ascii="宋体" w:hAnsi="宋体" w:cs="宋体"/>
          <w:bCs/>
          <w:sz w:val="24"/>
          <w:u w:val="single"/>
        </w:rPr>
        <w:t>（标的名称）</w:t>
      </w:r>
      <w:r>
        <w:rPr>
          <w:rFonts w:hint="eastAsia" w:ascii="宋体" w:hAnsi="宋体" w:cs="宋体"/>
          <w:bCs/>
          <w:sz w:val="24"/>
        </w:rPr>
        <w:t>，属于</w:t>
      </w:r>
      <w:r>
        <w:rPr>
          <w:rFonts w:hint="eastAsia" w:ascii="宋体" w:hAnsi="宋体" w:cs="宋体"/>
          <w:bCs/>
          <w:sz w:val="24"/>
          <w:u w:val="single"/>
        </w:rPr>
        <w:t>（磋商文件中明确的所属行业）</w:t>
      </w:r>
      <w:r>
        <w:rPr>
          <w:rFonts w:hint="eastAsia" w:ascii="宋体" w:hAnsi="宋体" w:cs="宋体"/>
          <w:bCs/>
          <w:sz w:val="24"/>
        </w:rPr>
        <w:t>;制造商为</w:t>
      </w:r>
      <w:r>
        <w:rPr>
          <w:rFonts w:hint="eastAsia" w:ascii="宋体" w:hAnsi="宋体" w:cs="宋体"/>
          <w:bCs/>
          <w:sz w:val="24"/>
          <w:u w:val="single"/>
        </w:rPr>
        <w:t>（企业名称）</w:t>
      </w:r>
      <w:r>
        <w:rPr>
          <w:rFonts w:hint="eastAsia" w:ascii="宋体" w:hAnsi="宋体" w:cs="宋体"/>
          <w:bCs/>
          <w:sz w:val="24"/>
        </w:rPr>
        <w:t>，从业人员____人，营业收入为___万元，资产总额为__万元，属于</w:t>
      </w:r>
      <w:r>
        <w:rPr>
          <w:rFonts w:hint="eastAsia" w:ascii="宋体" w:hAnsi="宋体" w:cs="宋体"/>
          <w:bCs/>
          <w:sz w:val="24"/>
          <w:u w:val="single"/>
        </w:rPr>
        <w:t xml:space="preserve">        </w:t>
      </w:r>
      <w:r>
        <w:rPr>
          <w:rFonts w:hint="eastAsia" w:ascii="宋体" w:hAnsi="宋体" w:cs="宋体"/>
          <w:bCs/>
          <w:sz w:val="24"/>
        </w:rPr>
        <w:t>（中型企业、小型企业、微型企业）；</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2.</w:t>
      </w:r>
      <w:r>
        <w:rPr>
          <w:rFonts w:hint="eastAsia" w:ascii="宋体" w:hAnsi="宋体" w:cs="宋体"/>
          <w:bCs/>
          <w:sz w:val="24"/>
          <w:u w:val="single"/>
        </w:rPr>
        <w:t>（标的名称）</w:t>
      </w:r>
      <w:r>
        <w:rPr>
          <w:rFonts w:hint="eastAsia" w:ascii="宋体" w:hAnsi="宋体" w:cs="宋体"/>
          <w:bCs/>
          <w:sz w:val="24"/>
        </w:rPr>
        <w:t>，属于</w:t>
      </w:r>
      <w:r>
        <w:rPr>
          <w:rFonts w:hint="eastAsia" w:ascii="宋体" w:hAnsi="宋体" w:cs="宋体"/>
          <w:bCs/>
          <w:sz w:val="24"/>
          <w:u w:val="single"/>
        </w:rPr>
        <w:t>（磋商文件中明确的所属行业）</w:t>
      </w:r>
      <w:r>
        <w:rPr>
          <w:rFonts w:hint="eastAsia" w:ascii="宋体" w:hAnsi="宋体" w:cs="宋体"/>
          <w:bCs/>
          <w:sz w:val="24"/>
        </w:rPr>
        <w:t>；制造商为</w:t>
      </w:r>
      <w:r>
        <w:rPr>
          <w:rFonts w:hint="eastAsia" w:ascii="宋体" w:hAnsi="宋体" w:cs="宋体"/>
          <w:bCs/>
          <w:sz w:val="24"/>
          <w:u w:val="single"/>
        </w:rPr>
        <w:t>（企业名称）</w:t>
      </w:r>
      <w:r>
        <w:rPr>
          <w:rFonts w:hint="eastAsia" w:ascii="宋体" w:hAnsi="宋体" w:cs="宋体"/>
          <w:bCs/>
          <w:sz w:val="24"/>
        </w:rPr>
        <w:t>，从业人员____人，营业收入为___万元，资产总额为__万元，属于</w:t>
      </w:r>
      <w:r>
        <w:rPr>
          <w:rFonts w:hint="eastAsia" w:ascii="宋体" w:hAnsi="宋体" w:cs="宋体"/>
          <w:bCs/>
          <w:sz w:val="24"/>
          <w:u w:val="single"/>
        </w:rPr>
        <w:t xml:space="preserve">        </w:t>
      </w:r>
      <w:r>
        <w:rPr>
          <w:rFonts w:hint="eastAsia" w:ascii="宋体" w:hAnsi="宋体" w:cs="宋体"/>
          <w:bCs/>
          <w:sz w:val="24"/>
        </w:rPr>
        <w:t>（中型企业、小型企业、微型企业）；</w:t>
      </w:r>
    </w:p>
    <w:p>
      <w:pPr>
        <w:pStyle w:val="2"/>
        <w:ind w:firstLine="480" w:firstLineChars="200"/>
      </w:pPr>
      <w:r>
        <w:rPr>
          <w:rFonts w:hint="eastAsia" w:ascii="宋体" w:hAnsi="宋体" w:cs="宋体"/>
          <w:bCs/>
          <w:sz w:val="24"/>
        </w:rPr>
        <w:t>......</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以上企业，不属于大企业的分支机构，不存在控股股东为大企业的情形，也不存在与大企业的负责人为同一人的情形。 </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本企业对上述声明内容的真实性负责。如有虚假，将依法承担相应责任。 </w:t>
      </w:r>
    </w:p>
    <w:p>
      <w:pPr>
        <w:tabs>
          <w:tab w:val="left" w:pos="6300"/>
        </w:tabs>
        <w:snapToGrid w:val="0"/>
        <w:spacing w:line="500" w:lineRule="exact"/>
        <w:ind w:firstLine="480" w:firstLineChars="200"/>
        <w:jc w:val="left"/>
        <w:outlineLvl w:val="0"/>
        <w:rPr>
          <w:rFonts w:ascii="宋体" w:hAnsi="宋体" w:cs="宋体"/>
          <w:bCs/>
          <w:sz w:val="24"/>
        </w:rPr>
      </w:pPr>
    </w:p>
    <w:p>
      <w:pPr>
        <w:tabs>
          <w:tab w:val="left" w:pos="6300"/>
        </w:tabs>
        <w:snapToGrid w:val="0"/>
        <w:spacing w:line="500" w:lineRule="exact"/>
        <w:ind w:firstLine="480" w:firstLineChars="200"/>
        <w:jc w:val="left"/>
        <w:outlineLvl w:val="0"/>
        <w:rPr>
          <w:rFonts w:ascii="宋体" w:hAnsi="宋体" w:cs="宋体"/>
          <w:bCs/>
          <w:sz w:val="24"/>
        </w:rPr>
      </w:pPr>
    </w:p>
    <w:p>
      <w:pPr>
        <w:tabs>
          <w:tab w:val="left" w:pos="6300"/>
        </w:tabs>
        <w:snapToGrid w:val="0"/>
        <w:spacing w:line="500" w:lineRule="exact"/>
        <w:ind w:firstLine="480" w:firstLineChars="200"/>
        <w:jc w:val="left"/>
        <w:outlineLvl w:val="0"/>
        <w:rPr>
          <w:rFonts w:ascii="宋体" w:hAnsi="宋体" w:cs="宋体"/>
          <w:bCs/>
          <w:sz w:val="24"/>
        </w:rPr>
      </w:pP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供应商名称（盖章）∶</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日 期∶</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注∶</w:t>
      </w:r>
    </w:p>
    <w:p>
      <w:pPr>
        <w:tabs>
          <w:tab w:val="left" w:pos="6300"/>
        </w:tabs>
        <w:snapToGrid w:val="0"/>
        <w:spacing w:line="500" w:lineRule="exact"/>
        <w:ind w:firstLine="480" w:firstLineChars="200"/>
        <w:jc w:val="left"/>
        <w:outlineLvl w:val="0"/>
        <w:rPr>
          <w:rFonts w:ascii="宋体" w:hAnsi="宋体" w:cs="宋体"/>
          <w:bCs/>
          <w:sz w:val="24"/>
        </w:rPr>
      </w:pPr>
      <w:r>
        <w:rPr>
          <w:rFonts w:hint="eastAsia" w:ascii="宋体" w:hAnsi="宋体" w:cs="宋体"/>
          <w:bCs/>
          <w:sz w:val="24"/>
        </w:rPr>
        <w:t>1、从业人员、营业收入、资产总额填报上一年度数据，无上一年度数据的新成立企业可不填报.</w:t>
      </w:r>
    </w:p>
    <w:p>
      <w:pPr>
        <w:tabs>
          <w:tab w:val="left" w:pos="6300"/>
        </w:tabs>
        <w:snapToGrid w:val="0"/>
        <w:spacing w:line="500" w:lineRule="exact"/>
        <w:jc w:val="center"/>
        <w:rPr>
          <w:rFonts w:ascii="宋体" w:hAnsi="宋体" w:cs="宋体"/>
          <w:b/>
          <w:sz w:val="28"/>
          <w:szCs w:val="28"/>
        </w:rPr>
      </w:pPr>
    </w:p>
    <w:p>
      <w:pPr>
        <w:spacing w:line="360" w:lineRule="auto"/>
        <w:rPr>
          <w:rFonts w:ascii="宋体" w:hAnsi="宋体" w:cs="宋体"/>
          <w:b/>
          <w:sz w:val="28"/>
          <w:szCs w:val="28"/>
        </w:rPr>
      </w:pPr>
    </w:p>
    <w:p>
      <w:pPr>
        <w:spacing w:line="360" w:lineRule="auto"/>
        <w:ind w:left="420" w:leftChars="200"/>
        <w:jc w:val="center"/>
        <w:rPr>
          <w:rFonts w:ascii="宋体" w:hAnsi="宋体" w:cs="宋体"/>
          <w:b/>
          <w:bCs/>
          <w:sz w:val="28"/>
          <w:szCs w:val="28"/>
        </w:rPr>
      </w:pPr>
    </w:p>
    <w:p>
      <w:pPr>
        <w:spacing w:line="360" w:lineRule="auto"/>
        <w:ind w:left="420" w:leftChars="200"/>
        <w:jc w:val="center"/>
        <w:rPr>
          <w:rFonts w:ascii="宋体" w:hAnsi="宋体" w:cs="宋体"/>
          <w:b/>
          <w:bCs/>
          <w:sz w:val="28"/>
          <w:szCs w:val="28"/>
        </w:rPr>
      </w:pPr>
    </w:p>
    <w:p>
      <w:pPr>
        <w:spacing w:line="360" w:lineRule="auto"/>
        <w:jc w:val="center"/>
        <w:rPr>
          <w:rFonts w:ascii="宋体" w:hAnsi="宋体" w:cs="宋体"/>
          <w:b/>
          <w:bCs/>
          <w:sz w:val="24"/>
        </w:rPr>
      </w:pPr>
      <w:r>
        <w:rPr>
          <w:rFonts w:hint="eastAsia" w:ascii="宋体" w:hAnsi="宋体" w:cs="宋体"/>
          <w:b/>
          <w:bCs/>
          <w:sz w:val="24"/>
        </w:rPr>
        <w:t>格式</w:t>
      </w:r>
      <w:r>
        <w:rPr>
          <w:rFonts w:hint="eastAsia" w:ascii="宋体" w:hAnsi="宋体" w:cs="宋体"/>
          <w:b/>
          <w:bCs/>
          <w:sz w:val="24"/>
          <w:lang w:val="en-US" w:eastAsia="zh-CN"/>
        </w:rPr>
        <w:t>5</w:t>
      </w:r>
      <w:r>
        <w:rPr>
          <w:rFonts w:hint="eastAsia" w:ascii="宋体" w:hAnsi="宋体" w:cs="宋体"/>
          <w:b/>
          <w:bCs/>
          <w:sz w:val="24"/>
        </w:rPr>
        <w:t xml:space="preserve"> 法定代表人资格证明书</w:t>
      </w:r>
    </w:p>
    <w:p>
      <w:pPr>
        <w:pStyle w:val="2"/>
        <w:ind w:left="420" w:leftChars="200"/>
      </w:pP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tabs>
          <w:tab w:val="left" w:pos="360"/>
          <w:tab w:val="left" w:pos="720"/>
          <w:tab w:val="left" w:pos="90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姓名：        性别：       年龄：         职务： </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（单位）     </w:t>
      </w:r>
      <w:r>
        <w:rPr>
          <w:rFonts w:hint="eastAsia" w:asciiTheme="minorEastAsia" w:hAnsiTheme="minorEastAsia" w:eastAsiaTheme="minorEastAsia" w:cstheme="minorEastAsia"/>
          <w:sz w:val="24"/>
        </w:rPr>
        <w:t>的法定代表人，为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的项目提供服务，签署上述项目的相应文件、进行合同谈判、签署合同和处理与之有关的一切事务。</w:t>
      </w:r>
    </w:p>
    <w:p>
      <w:pPr>
        <w:tabs>
          <w:tab w:val="left" w:pos="360"/>
          <w:tab w:val="left" w:pos="1800"/>
        </w:tabs>
        <w:spacing w:line="360" w:lineRule="auto"/>
        <w:rPr>
          <w:rFonts w:asciiTheme="minorEastAsia" w:hAnsiTheme="minorEastAsia" w:eastAsiaTheme="minorEastAsia" w:cstheme="minorEastAsia"/>
          <w:sz w:val="24"/>
        </w:rPr>
      </w:pP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tabs>
          <w:tab w:val="left" w:pos="360"/>
          <w:tab w:val="left" w:pos="1800"/>
        </w:tabs>
        <w:spacing w:line="360" w:lineRule="auto"/>
        <w:ind w:left="4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供应商：（盖章）</w:t>
      </w:r>
    </w:p>
    <w:p>
      <w:pPr>
        <w:tabs>
          <w:tab w:val="left" w:pos="360"/>
          <w:tab w:val="left" w:pos="1800"/>
        </w:tabs>
        <w:spacing w:line="360" w:lineRule="auto"/>
        <w:ind w:left="4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tabs>
          <w:tab w:val="left" w:pos="360"/>
          <w:tab w:val="left" w:pos="1800"/>
        </w:tabs>
        <w:spacing w:line="360" w:lineRule="auto"/>
        <w:ind w:firstLine="6000" w:firstLineChars="2500"/>
        <w:rPr>
          <w:rFonts w:asciiTheme="minorEastAsia" w:hAnsiTheme="minorEastAsia" w:eastAsiaTheme="minorEastAsia" w:cstheme="minorEastAsia"/>
          <w:bCs/>
          <w:sz w:val="24"/>
        </w:rPr>
      </w:pPr>
    </w:p>
    <w:tbl>
      <w:tblPr>
        <w:tblStyle w:val="23"/>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法定代表身份证复印件或扫描件（正、反两面）</w:t>
            </w:r>
          </w:p>
        </w:tc>
      </w:tr>
    </w:tbl>
    <w:p>
      <w:pPr>
        <w:tabs>
          <w:tab w:val="left" w:pos="360"/>
          <w:tab w:val="left" w:pos="1800"/>
        </w:tabs>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注：法定代表身份证复印件或扫描件应反映出证件有效期等所载内容。</w:t>
      </w:r>
    </w:p>
    <w:p>
      <w:pPr>
        <w:tabs>
          <w:tab w:val="left" w:pos="360"/>
          <w:tab w:val="left" w:pos="1800"/>
        </w:tabs>
        <w:spacing w:line="360" w:lineRule="auto"/>
        <w:ind w:left="1980" w:firstLine="1080"/>
        <w:rPr>
          <w:rFonts w:ascii="仿宋_GB2312" w:eastAsia="仿宋_GB2312"/>
          <w:bCs/>
        </w:rPr>
      </w:pPr>
    </w:p>
    <w:p>
      <w:pPr>
        <w:tabs>
          <w:tab w:val="left" w:pos="360"/>
          <w:tab w:val="left" w:pos="1800"/>
        </w:tabs>
        <w:spacing w:line="360" w:lineRule="auto"/>
        <w:rPr>
          <w:rFonts w:ascii="仿宋_GB2312" w:eastAsia="仿宋_GB2312"/>
          <w:bCs/>
          <w:sz w:val="24"/>
        </w:rPr>
      </w:pPr>
    </w:p>
    <w:p>
      <w:pPr>
        <w:tabs>
          <w:tab w:val="left" w:pos="360"/>
          <w:tab w:val="left" w:pos="1800"/>
        </w:tabs>
        <w:spacing w:line="360" w:lineRule="auto"/>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tabs>
          <w:tab w:val="left" w:pos="360"/>
          <w:tab w:val="left" w:pos="1800"/>
        </w:tabs>
        <w:spacing w:line="360" w:lineRule="auto"/>
        <w:rPr>
          <w:rFonts w:ascii="仿宋_GB2312" w:eastAsia="仿宋_GB2312"/>
          <w:bCs/>
          <w:sz w:val="24"/>
        </w:rPr>
      </w:pPr>
    </w:p>
    <w:p>
      <w:pPr>
        <w:spacing w:line="420" w:lineRule="exact"/>
        <w:rPr>
          <w:rFonts w:ascii="宋体" w:hAnsi="宋体" w:cs="宋体"/>
          <w:szCs w:val="21"/>
        </w:rPr>
      </w:pPr>
    </w:p>
    <w:p>
      <w:pPr>
        <w:spacing w:line="360" w:lineRule="auto"/>
        <w:jc w:val="center"/>
        <w:rPr>
          <w:rFonts w:ascii="宋体" w:hAnsi="宋体" w:cs="宋体"/>
          <w:b/>
          <w:sz w:val="24"/>
        </w:rPr>
      </w:pPr>
      <w:r>
        <w:rPr>
          <w:rFonts w:hint="eastAsia" w:ascii="宋体" w:hAnsi="宋体" w:cs="宋体"/>
          <w:b/>
          <w:sz w:val="24"/>
        </w:rPr>
        <w:t>格式</w:t>
      </w:r>
      <w:r>
        <w:rPr>
          <w:rFonts w:hint="eastAsia" w:ascii="宋体" w:hAnsi="宋体" w:cs="宋体"/>
          <w:b/>
          <w:sz w:val="24"/>
          <w:lang w:val="en-US" w:eastAsia="zh-CN"/>
        </w:rPr>
        <w:t>6</w:t>
      </w:r>
      <w:r>
        <w:rPr>
          <w:rFonts w:hint="eastAsia" w:ascii="宋体" w:hAnsi="宋体" w:cs="宋体"/>
          <w:b/>
          <w:sz w:val="24"/>
        </w:rPr>
        <w:t xml:space="preserve"> 法定代表人授权书</w:t>
      </w:r>
    </w:p>
    <w:p>
      <w:pPr>
        <w:tabs>
          <w:tab w:val="left" w:pos="360"/>
          <w:tab w:val="left" w:pos="1800"/>
        </w:tabs>
        <w:spacing w:line="360" w:lineRule="auto"/>
        <w:ind w:left="19" w:leftChars="9" w:firstLine="458" w:firstLineChars="191"/>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本授权委托书声明：我（姓名）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系（供应商名称）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的法定代表，现授权委托（供应商名称）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，其身份证号为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为我供应商代理人，以本供应商的名义参加 （采购人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（磋商项目名称）的磋商活动。</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代理人在递交响应文件、磋商、合同谈判过程中所签署的一切文件和处理与之有关的一切事务，我均予以承认。</w:t>
      </w:r>
    </w:p>
    <w:p>
      <w:pPr>
        <w:tabs>
          <w:tab w:val="left" w:pos="360"/>
          <w:tab w:val="left" w:pos="1800"/>
        </w:tabs>
        <w:spacing w:line="360" w:lineRule="auto"/>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本授权委托书期限自</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日起至</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日止。</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委托代理人无转委权。特此委托。</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            性别：           年龄：</w:t>
      </w:r>
    </w:p>
    <w:p>
      <w:pPr>
        <w:tabs>
          <w:tab w:val="left" w:pos="360"/>
          <w:tab w:val="left" w:pos="180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                  部门：           职务：</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供应商：（盖章）</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法定代表：（签字或盖章）</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委托代理人：（签字或盖章）</w:t>
      </w:r>
    </w:p>
    <w:p>
      <w:pPr>
        <w:tabs>
          <w:tab w:val="left" w:pos="360"/>
          <w:tab w:val="left" w:pos="1800"/>
        </w:tabs>
        <w:spacing w:line="360" w:lineRule="auto"/>
        <w:ind w:firstLine="36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tbl>
      <w:tblPr>
        <w:tblStyle w:val="23"/>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2" w:hRule="atLeast"/>
          <w:jc w:val="center"/>
        </w:trPr>
        <w:tc>
          <w:tcPr>
            <w:tcW w:w="6952" w:type="dxa"/>
          </w:tcPr>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p>
          <w:p>
            <w:pPr>
              <w:tabs>
                <w:tab w:val="left" w:pos="360"/>
                <w:tab w:val="left" w:pos="1800"/>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委托代理人身份证复印件或扫描件（正、反两面）</w:t>
            </w:r>
          </w:p>
        </w:tc>
      </w:tr>
    </w:tbl>
    <w:p>
      <w:pPr>
        <w:tabs>
          <w:tab w:val="left" w:pos="360"/>
          <w:tab w:val="left" w:pos="1800"/>
        </w:tabs>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注：委托代理人身份证复印件或扫描件应反映出证件有效期等所载内容，</w:t>
      </w:r>
      <w:r>
        <w:rPr>
          <w:rFonts w:hint="eastAsia" w:asciiTheme="minorEastAsia" w:hAnsiTheme="minorEastAsia" w:eastAsiaTheme="minorEastAsia" w:cstheme="minorEastAsia"/>
          <w:b/>
          <w:sz w:val="24"/>
        </w:rPr>
        <w:t>作为本</w:t>
      </w:r>
      <w:r>
        <w:rPr>
          <w:rFonts w:hint="eastAsia" w:asciiTheme="minorEastAsia" w:hAnsiTheme="minorEastAsia" w:eastAsiaTheme="minorEastAsia" w:cstheme="minorEastAsia"/>
          <w:b/>
          <w:bCs/>
          <w:sz w:val="24"/>
        </w:rPr>
        <w:t>法定代表人授权书的附件。</w:t>
      </w:r>
    </w:p>
    <w:p>
      <w:pPr>
        <w:tabs>
          <w:tab w:val="left" w:pos="360"/>
          <w:tab w:val="left" w:pos="1800"/>
        </w:tabs>
        <w:spacing w:line="360" w:lineRule="auto"/>
        <w:jc w:val="left"/>
        <w:rPr>
          <w:rFonts w:asciiTheme="minorEastAsia" w:hAnsiTheme="minorEastAsia" w:eastAsiaTheme="minorEastAsia" w:cstheme="minorEastAsia"/>
          <w:b/>
          <w:bCs/>
          <w:sz w:val="24"/>
        </w:rPr>
      </w:pPr>
    </w:p>
    <w:p>
      <w:pPr>
        <w:pStyle w:val="2"/>
      </w:pPr>
    </w:p>
    <w:p>
      <w:pPr>
        <w:pStyle w:val="2"/>
      </w:pPr>
    </w:p>
    <w:p>
      <w:pPr>
        <w:tabs>
          <w:tab w:val="left" w:pos="360"/>
          <w:tab w:val="left" w:pos="1800"/>
        </w:tabs>
        <w:spacing w:line="360" w:lineRule="auto"/>
        <w:jc w:val="center"/>
        <w:rPr>
          <w:rFonts w:ascii="宋体" w:hAnsi="宋体" w:cs="宋体"/>
          <w:b/>
          <w:sz w:val="24"/>
        </w:rPr>
      </w:pPr>
    </w:p>
    <w:p>
      <w:pPr>
        <w:tabs>
          <w:tab w:val="left" w:pos="360"/>
          <w:tab w:val="left" w:pos="1800"/>
        </w:tabs>
        <w:spacing w:line="360" w:lineRule="auto"/>
        <w:jc w:val="center"/>
        <w:rPr>
          <w:rFonts w:ascii="宋体" w:hAnsi="宋体" w:cs="宋体"/>
          <w:sz w:val="24"/>
        </w:rPr>
      </w:pPr>
      <w:r>
        <w:rPr>
          <w:rFonts w:hint="eastAsia" w:ascii="宋体" w:hAnsi="宋体" w:cs="宋体"/>
          <w:b/>
          <w:sz w:val="24"/>
        </w:rPr>
        <w:t>格式</w:t>
      </w:r>
      <w:r>
        <w:rPr>
          <w:rFonts w:hint="eastAsia" w:ascii="宋体" w:hAnsi="宋体" w:cs="宋体"/>
          <w:b/>
          <w:sz w:val="24"/>
          <w:lang w:val="en-US" w:eastAsia="zh-CN"/>
        </w:rPr>
        <w:t>7</w:t>
      </w:r>
      <w:r>
        <w:rPr>
          <w:rFonts w:hint="eastAsia" w:ascii="宋体" w:hAnsi="宋体" w:cs="宋体"/>
          <w:b/>
          <w:sz w:val="24"/>
        </w:rPr>
        <w:t xml:space="preserve"> 供应商资格声明</w:t>
      </w:r>
    </w:p>
    <w:tbl>
      <w:tblPr>
        <w:tblStyle w:val="23"/>
        <w:tblpPr w:leftFromText="180" w:rightFromText="180" w:vertAnchor="text" w:horzAnchor="page" w:tblpX="1668" w:tblpY="252"/>
        <w:tblOverlap w:val="never"/>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380"/>
        <w:gridCol w:w="1522"/>
        <w:gridCol w:w="1576"/>
        <w:gridCol w:w="284"/>
        <w:gridCol w:w="118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868"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供应商名称</w:t>
            </w:r>
          </w:p>
        </w:tc>
        <w:tc>
          <w:tcPr>
            <w:tcW w:w="7207" w:type="dxa"/>
            <w:gridSpan w:val="6"/>
            <w:vAlign w:val="center"/>
          </w:tcPr>
          <w:p>
            <w:pPr>
              <w:spacing w:line="360" w:lineRule="auto"/>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868"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 址</w:t>
            </w:r>
          </w:p>
        </w:tc>
        <w:tc>
          <w:tcPr>
            <w:tcW w:w="7207" w:type="dxa"/>
            <w:gridSpan w:val="6"/>
            <w:vAlign w:val="center"/>
          </w:tcPr>
          <w:p>
            <w:pPr>
              <w:spacing w:line="360" w:lineRule="auto"/>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68"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主管部门</w:t>
            </w:r>
          </w:p>
        </w:tc>
        <w:tc>
          <w:tcPr>
            <w:tcW w:w="1380" w:type="dxa"/>
            <w:vAlign w:val="center"/>
          </w:tcPr>
          <w:p>
            <w:pPr>
              <w:spacing w:line="360" w:lineRule="auto"/>
              <w:rPr>
                <w:rFonts w:asciiTheme="minorEastAsia" w:hAnsiTheme="minorEastAsia" w:eastAsiaTheme="minorEastAsia" w:cstheme="minorEastAsia"/>
                <w:bCs/>
                <w:sz w:val="24"/>
              </w:rPr>
            </w:pPr>
          </w:p>
        </w:tc>
        <w:tc>
          <w:tcPr>
            <w:tcW w:w="1522"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w:t>
            </w:r>
          </w:p>
        </w:tc>
        <w:tc>
          <w:tcPr>
            <w:tcW w:w="1576" w:type="dxa"/>
            <w:vAlign w:val="center"/>
          </w:tcPr>
          <w:p>
            <w:pPr>
              <w:spacing w:line="360" w:lineRule="auto"/>
              <w:jc w:val="center"/>
              <w:rPr>
                <w:rFonts w:asciiTheme="minorEastAsia" w:hAnsiTheme="minorEastAsia" w:eastAsiaTheme="minorEastAsia" w:cstheme="minorEastAsia"/>
                <w:bCs/>
                <w:sz w:val="24"/>
              </w:rPr>
            </w:pPr>
          </w:p>
        </w:tc>
        <w:tc>
          <w:tcPr>
            <w:tcW w:w="1469" w:type="dxa"/>
            <w:gridSpan w:val="2"/>
            <w:vAlign w:val="center"/>
          </w:tcPr>
          <w:p>
            <w:pPr>
              <w:spacing w:line="360" w:lineRule="auto"/>
              <w:ind w:firstLine="240" w:firstLineChars="1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职 务</w:t>
            </w:r>
          </w:p>
        </w:tc>
        <w:tc>
          <w:tcPr>
            <w:tcW w:w="1260" w:type="dxa"/>
            <w:vAlign w:val="center"/>
          </w:tcPr>
          <w:p>
            <w:pPr>
              <w:spacing w:line="360" w:lineRule="auto"/>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868"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注册时间</w:t>
            </w:r>
          </w:p>
        </w:tc>
        <w:tc>
          <w:tcPr>
            <w:tcW w:w="2902" w:type="dxa"/>
            <w:gridSpan w:val="2"/>
            <w:vAlign w:val="center"/>
          </w:tcPr>
          <w:p>
            <w:pPr>
              <w:spacing w:line="360" w:lineRule="auto"/>
              <w:jc w:val="center"/>
              <w:rPr>
                <w:rFonts w:asciiTheme="minorEastAsia" w:hAnsiTheme="minorEastAsia" w:eastAsiaTheme="minorEastAsia" w:cstheme="minorEastAsia"/>
                <w:bCs/>
                <w:sz w:val="24"/>
              </w:rPr>
            </w:pPr>
          </w:p>
        </w:tc>
        <w:tc>
          <w:tcPr>
            <w:tcW w:w="1576"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经济类型</w:t>
            </w:r>
          </w:p>
        </w:tc>
        <w:tc>
          <w:tcPr>
            <w:tcW w:w="2729" w:type="dxa"/>
            <w:gridSpan w:val="3"/>
            <w:vAlign w:val="center"/>
          </w:tcPr>
          <w:p>
            <w:pPr>
              <w:spacing w:line="360" w:lineRule="auto"/>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770" w:type="dxa"/>
            <w:gridSpan w:val="3"/>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营业执照号</w:t>
            </w:r>
          </w:p>
        </w:tc>
        <w:tc>
          <w:tcPr>
            <w:tcW w:w="4305" w:type="dxa"/>
            <w:gridSpan w:val="4"/>
            <w:vAlign w:val="center"/>
          </w:tcPr>
          <w:p>
            <w:pPr>
              <w:spacing w:line="360" w:lineRule="auto"/>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770" w:type="dxa"/>
            <w:gridSpan w:val="3"/>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近三年内（2018年至2020年）有经营活动中有无重大违法纪录</w:t>
            </w:r>
          </w:p>
        </w:tc>
        <w:tc>
          <w:tcPr>
            <w:tcW w:w="4305" w:type="dxa"/>
            <w:gridSpan w:val="4"/>
            <w:vAlign w:val="center"/>
          </w:tcPr>
          <w:p>
            <w:pPr>
              <w:spacing w:line="360" w:lineRule="auto"/>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868"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是否依法缴纳税收</w:t>
            </w:r>
          </w:p>
        </w:tc>
        <w:tc>
          <w:tcPr>
            <w:tcW w:w="2902" w:type="dxa"/>
            <w:gridSpan w:val="2"/>
            <w:vAlign w:val="center"/>
          </w:tcPr>
          <w:p>
            <w:pPr>
              <w:spacing w:line="360" w:lineRule="auto"/>
              <w:jc w:val="center"/>
              <w:rPr>
                <w:rFonts w:asciiTheme="minorEastAsia" w:hAnsiTheme="minorEastAsia" w:eastAsiaTheme="minorEastAsia" w:cstheme="minorEastAsia"/>
                <w:bCs/>
                <w:sz w:val="24"/>
              </w:rPr>
            </w:pPr>
          </w:p>
        </w:tc>
        <w:tc>
          <w:tcPr>
            <w:tcW w:w="1860" w:type="dxa"/>
            <w:gridSpan w:val="2"/>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是否依法缴纳社会保障资金</w:t>
            </w:r>
          </w:p>
        </w:tc>
        <w:tc>
          <w:tcPr>
            <w:tcW w:w="2445" w:type="dxa"/>
            <w:gridSpan w:val="2"/>
            <w:vAlign w:val="center"/>
          </w:tcPr>
          <w:p>
            <w:pPr>
              <w:spacing w:line="360" w:lineRule="auto"/>
              <w:jc w:val="cente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868" w:type="dxa"/>
            <w:vMerge w:val="restart"/>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单</w:t>
            </w:r>
          </w:p>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位</w:t>
            </w:r>
          </w:p>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概</w:t>
            </w:r>
          </w:p>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况</w:t>
            </w:r>
          </w:p>
        </w:tc>
        <w:tc>
          <w:tcPr>
            <w:tcW w:w="1380" w:type="dxa"/>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注册资本</w:t>
            </w:r>
          </w:p>
        </w:tc>
        <w:tc>
          <w:tcPr>
            <w:tcW w:w="1522"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万元</w:t>
            </w:r>
          </w:p>
        </w:tc>
        <w:tc>
          <w:tcPr>
            <w:tcW w:w="1860" w:type="dxa"/>
            <w:gridSpan w:val="2"/>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占地面积</w:t>
            </w:r>
          </w:p>
        </w:tc>
        <w:tc>
          <w:tcPr>
            <w:tcW w:w="2445" w:type="dxa"/>
            <w:gridSpan w:val="2"/>
          </w:tcPr>
          <w:p>
            <w:pPr>
              <w:spacing w:line="360" w:lineRule="auto"/>
              <w:ind w:firstLine="1200" w:firstLineChars="5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868" w:type="dxa"/>
            <w:vMerge w:val="continue"/>
          </w:tcPr>
          <w:p>
            <w:pPr>
              <w:spacing w:line="360" w:lineRule="auto"/>
              <w:rPr>
                <w:rFonts w:asciiTheme="minorEastAsia" w:hAnsiTheme="minorEastAsia" w:eastAsiaTheme="minorEastAsia" w:cstheme="minorEastAsia"/>
                <w:bCs/>
                <w:sz w:val="24"/>
              </w:rPr>
            </w:pPr>
          </w:p>
        </w:tc>
        <w:tc>
          <w:tcPr>
            <w:tcW w:w="1380" w:type="dxa"/>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职工总数</w:t>
            </w:r>
          </w:p>
        </w:tc>
        <w:tc>
          <w:tcPr>
            <w:tcW w:w="1522" w:type="dxa"/>
            <w:vAlign w:val="center"/>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人</w:t>
            </w:r>
          </w:p>
        </w:tc>
        <w:tc>
          <w:tcPr>
            <w:tcW w:w="1860" w:type="dxa"/>
            <w:gridSpan w:val="2"/>
          </w:tcPr>
          <w:p>
            <w:pPr>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建筑面积</w:t>
            </w:r>
          </w:p>
        </w:tc>
        <w:tc>
          <w:tcPr>
            <w:tcW w:w="2445" w:type="dxa"/>
            <w:gridSpan w:val="2"/>
          </w:tcPr>
          <w:p>
            <w:pPr>
              <w:spacing w:line="360" w:lineRule="auto"/>
              <w:ind w:firstLine="1200" w:firstLineChars="5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868" w:type="dxa"/>
            <w:vMerge w:val="continue"/>
          </w:tcPr>
          <w:p>
            <w:pPr>
              <w:spacing w:line="360" w:lineRule="auto"/>
              <w:rPr>
                <w:rFonts w:asciiTheme="minorEastAsia" w:hAnsiTheme="minorEastAsia" w:eastAsiaTheme="minorEastAsia" w:cstheme="minorEastAsia"/>
                <w:bCs/>
                <w:sz w:val="24"/>
              </w:rPr>
            </w:pPr>
          </w:p>
        </w:tc>
        <w:tc>
          <w:tcPr>
            <w:tcW w:w="1380" w:type="dxa"/>
            <w:vMerge w:val="restart"/>
            <w:vAlign w:val="center"/>
          </w:tcPr>
          <w:p>
            <w:pPr>
              <w:spacing w:line="360" w:lineRule="auto"/>
              <w:ind w:firstLine="240" w:firstLineChars="1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资产</w:t>
            </w:r>
          </w:p>
          <w:p>
            <w:pPr>
              <w:spacing w:line="360" w:lineRule="auto"/>
              <w:ind w:firstLine="240" w:firstLineChars="1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情况</w:t>
            </w:r>
          </w:p>
        </w:tc>
        <w:tc>
          <w:tcPr>
            <w:tcW w:w="3382" w:type="dxa"/>
            <w:gridSpan w:val="3"/>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净资产：        万元</w:t>
            </w:r>
          </w:p>
        </w:tc>
        <w:tc>
          <w:tcPr>
            <w:tcW w:w="2445" w:type="dxa"/>
            <w:gridSpan w:val="2"/>
            <w:vMerge w:val="restart"/>
          </w:tcPr>
          <w:p>
            <w:pPr>
              <w:rPr>
                <w:sz w:val="24"/>
              </w:rPr>
            </w:pPr>
            <w:r>
              <w:rPr>
                <w:rFonts w:hint="eastAsia"/>
                <w:sz w:val="24"/>
              </w:rPr>
              <w:t>固定资产原值：      万元</w:t>
            </w:r>
          </w:p>
          <w:p>
            <w:pPr>
              <w:rPr>
                <w:sz w:val="24"/>
              </w:rPr>
            </w:pPr>
            <w:r>
              <w:rPr>
                <w:rFonts w:hint="eastAsia"/>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868" w:type="dxa"/>
            <w:vMerge w:val="continue"/>
          </w:tcPr>
          <w:p>
            <w:pPr>
              <w:spacing w:line="360" w:lineRule="auto"/>
              <w:rPr>
                <w:rFonts w:asciiTheme="minorEastAsia" w:hAnsiTheme="minorEastAsia" w:eastAsiaTheme="minorEastAsia" w:cstheme="minorEastAsia"/>
                <w:bCs/>
                <w:sz w:val="24"/>
              </w:rPr>
            </w:pPr>
          </w:p>
        </w:tc>
        <w:tc>
          <w:tcPr>
            <w:tcW w:w="1380" w:type="dxa"/>
            <w:vMerge w:val="continue"/>
          </w:tcPr>
          <w:p>
            <w:pPr>
              <w:spacing w:line="360" w:lineRule="auto"/>
              <w:rPr>
                <w:rFonts w:asciiTheme="minorEastAsia" w:hAnsiTheme="minorEastAsia" w:eastAsiaTheme="minorEastAsia" w:cstheme="minorEastAsia"/>
                <w:bCs/>
                <w:sz w:val="24"/>
              </w:rPr>
            </w:pPr>
          </w:p>
        </w:tc>
        <w:tc>
          <w:tcPr>
            <w:tcW w:w="3382" w:type="dxa"/>
            <w:gridSpan w:val="3"/>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负 债：         万元</w:t>
            </w:r>
          </w:p>
        </w:tc>
        <w:tc>
          <w:tcPr>
            <w:tcW w:w="2445" w:type="dxa"/>
            <w:gridSpan w:val="2"/>
            <w:vMerge w:val="continue"/>
          </w:tcPr>
          <w:p>
            <w:pPr>
              <w:spacing w:line="360" w:lineRule="auto"/>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68" w:type="dxa"/>
            <w:vMerge w:val="restart"/>
            <w:vAlign w:val="center"/>
          </w:tcPr>
          <w:p>
            <w:pPr>
              <w:ind w:firstLine="120" w:firstLineChars="5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财务状况</w:t>
            </w:r>
          </w:p>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（最近三年2018年至2020年）</w:t>
            </w:r>
          </w:p>
        </w:tc>
        <w:tc>
          <w:tcPr>
            <w:tcW w:w="1380"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年份</w:t>
            </w:r>
          </w:p>
        </w:tc>
        <w:tc>
          <w:tcPr>
            <w:tcW w:w="1522"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主营收入</w:t>
            </w:r>
          </w:p>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（万元）</w:t>
            </w:r>
          </w:p>
        </w:tc>
        <w:tc>
          <w:tcPr>
            <w:tcW w:w="1860" w:type="dxa"/>
            <w:gridSpan w:val="2"/>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收入总额</w:t>
            </w:r>
          </w:p>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（万元）</w:t>
            </w:r>
          </w:p>
        </w:tc>
        <w:tc>
          <w:tcPr>
            <w:tcW w:w="1185"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利润总额（万元）</w:t>
            </w:r>
          </w:p>
        </w:tc>
        <w:tc>
          <w:tcPr>
            <w:tcW w:w="1260"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净利润（万元）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868" w:type="dxa"/>
            <w:vMerge w:val="continue"/>
            <w:vAlign w:val="center"/>
          </w:tcPr>
          <w:p>
            <w:pPr>
              <w:rPr>
                <w:rFonts w:asciiTheme="minorEastAsia" w:hAnsiTheme="minorEastAsia" w:eastAsiaTheme="minorEastAsia" w:cstheme="minorEastAsia"/>
                <w:bCs/>
                <w:sz w:val="24"/>
              </w:rPr>
            </w:pPr>
          </w:p>
        </w:tc>
        <w:tc>
          <w:tcPr>
            <w:tcW w:w="1380" w:type="dxa"/>
            <w:vAlign w:val="center"/>
          </w:tcPr>
          <w:p>
            <w:pPr>
              <w:rPr>
                <w:rFonts w:asciiTheme="minorEastAsia" w:hAnsiTheme="minorEastAsia" w:eastAsiaTheme="minorEastAsia" w:cstheme="minorEastAsia"/>
                <w:bCs/>
                <w:sz w:val="24"/>
              </w:rPr>
            </w:pPr>
          </w:p>
        </w:tc>
        <w:tc>
          <w:tcPr>
            <w:tcW w:w="1522" w:type="dxa"/>
            <w:vAlign w:val="center"/>
          </w:tcPr>
          <w:p>
            <w:pPr>
              <w:rPr>
                <w:rFonts w:asciiTheme="minorEastAsia" w:hAnsiTheme="minorEastAsia" w:eastAsiaTheme="minorEastAsia" w:cstheme="minorEastAsia"/>
                <w:bCs/>
                <w:sz w:val="24"/>
              </w:rPr>
            </w:pPr>
          </w:p>
        </w:tc>
        <w:tc>
          <w:tcPr>
            <w:tcW w:w="1860" w:type="dxa"/>
            <w:gridSpan w:val="2"/>
            <w:vAlign w:val="center"/>
          </w:tcPr>
          <w:p>
            <w:pPr>
              <w:rPr>
                <w:rFonts w:asciiTheme="minorEastAsia" w:hAnsiTheme="minorEastAsia" w:eastAsiaTheme="minorEastAsia" w:cstheme="minorEastAsia"/>
                <w:bCs/>
                <w:sz w:val="24"/>
              </w:rPr>
            </w:pPr>
          </w:p>
        </w:tc>
        <w:tc>
          <w:tcPr>
            <w:tcW w:w="1185" w:type="dxa"/>
            <w:vAlign w:val="center"/>
          </w:tcPr>
          <w:p>
            <w:pPr>
              <w:rPr>
                <w:rFonts w:asciiTheme="minorEastAsia" w:hAnsiTheme="minorEastAsia" w:eastAsiaTheme="minorEastAsia" w:cstheme="minorEastAsia"/>
                <w:bCs/>
                <w:sz w:val="24"/>
              </w:rPr>
            </w:pPr>
          </w:p>
        </w:tc>
        <w:tc>
          <w:tcPr>
            <w:tcW w:w="1260" w:type="dxa"/>
            <w:vAlign w:val="center"/>
          </w:tcPr>
          <w:p>
            <w:pP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868" w:type="dxa"/>
            <w:vMerge w:val="continue"/>
          </w:tcPr>
          <w:p>
            <w:pPr>
              <w:rPr>
                <w:rFonts w:asciiTheme="minorEastAsia" w:hAnsiTheme="minorEastAsia" w:eastAsiaTheme="minorEastAsia" w:cstheme="minorEastAsia"/>
                <w:bCs/>
                <w:sz w:val="24"/>
              </w:rPr>
            </w:pPr>
          </w:p>
        </w:tc>
        <w:tc>
          <w:tcPr>
            <w:tcW w:w="1380" w:type="dxa"/>
            <w:vAlign w:val="center"/>
          </w:tcPr>
          <w:p>
            <w:pPr>
              <w:rPr>
                <w:rFonts w:asciiTheme="minorEastAsia" w:hAnsiTheme="minorEastAsia" w:eastAsiaTheme="minorEastAsia" w:cstheme="minorEastAsia"/>
                <w:bCs/>
                <w:sz w:val="24"/>
              </w:rPr>
            </w:pPr>
          </w:p>
        </w:tc>
        <w:tc>
          <w:tcPr>
            <w:tcW w:w="1522" w:type="dxa"/>
          </w:tcPr>
          <w:p>
            <w:pPr>
              <w:rPr>
                <w:rFonts w:asciiTheme="minorEastAsia" w:hAnsiTheme="minorEastAsia" w:eastAsiaTheme="minorEastAsia" w:cstheme="minorEastAsia"/>
                <w:bCs/>
                <w:sz w:val="24"/>
              </w:rPr>
            </w:pPr>
          </w:p>
        </w:tc>
        <w:tc>
          <w:tcPr>
            <w:tcW w:w="1860" w:type="dxa"/>
            <w:gridSpan w:val="2"/>
          </w:tcPr>
          <w:p>
            <w:pPr>
              <w:rPr>
                <w:rFonts w:asciiTheme="minorEastAsia" w:hAnsiTheme="minorEastAsia" w:eastAsiaTheme="minorEastAsia" w:cstheme="minorEastAsia"/>
                <w:bCs/>
                <w:sz w:val="24"/>
              </w:rPr>
            </w:pPr>
          </w:p>
        </w:tc>
        <w:tc>
          <w:tcPr>
            <w:tcW w:w="1185" w:type="dxa"/>
          </w:tcPr>
          <w:p>
            <w:pPr>
              <w:rPr>
                <w:rFonts w:asciiTheme="minorEastAsia" w:hAnsiTheme="minorEastAsia" w:eastAsiaTheme="minorEastAsia" w:cstheme="minorEastAsia"/>
                <w:bCs/>
                <w:sz w:val="24"/>
              </w:rPr>
            </w:pPr>
          </w:p>
        </w:tc>
        <w:tc>
          <w:tcPr>
            <w:tcW w:w="1260" w:type="dxa"/>
          </w:tcPr>
          <w:p>
            <w:pP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868" w:type="dxa"/>
            <w:vMerge w:val="continue"/>
          </w:tcPr>
          <w:p>
            <w:pPr>
              <w:rPr>
                <w:rFonts w:asciiTheme="minorEastAsia" w:hAnsiTheme="minorEastAsia" w:eastAsiaTheme="minorEastAsia" w:cstheme="minorEastAsia"/>
                <w:bCs/>
                <w:sz w:val="24"/>
              </w:rPr>
            </w:pPr>
          </w:p>
        </w:tc>
        <w:tc>
          <w:tcPr>
            <w:tcW w:w="1380" w:type="dxa"/>
            <w:vAlign w:val="center"/>
          </w:tcPr>
          <w:p>
            <w:pPr>
              <w:rPr>
                <w:rFonts w:asciiTheme="minorEastAsia" w:hAnsiTheme="minorEastAsia" w:eastAsiaTheme="minorEastAsia" w:cstheme="minorEastAsia"/>
                <w:bCs/>
                <w:sz w:val="24"/>
              </w:rPr>
            </w:pPr>
          </w:p>
        </w:tc>
        <w:tc>
          <w:tcPr>
            <w:tcW w:w="1522" w:type="dxa"/>
          </w:tcPr>
          <w:p>
            <w:pPr>
              <w:rPr>
                <w:rFonts w:asciiTheme="minorEastAsia" w:hAnsiTheme="minorEastAsia" w:eastAsiaTheme="minorEastAsia" w:cstheme="minorEastAsia"/>
                <w:bCs/>
                <w:sz w:val="24"/>
              </w:rPr>
            </w:pPr>
          </w:p>
        </w:tc>
        <w:tc>
          <w:tcPr>
            <w:tcW w:w="1860" w:type="dxa"/>
            <w:gridSpan w:val="2"/>
          </w:tcPr>
          <w:p>
            <w:pPr>
              <w:rPr>
                <w:rFonts w:asciiTheme="minorEastAsia" w:hAnsiTheme="minorEastAsia" w:eastAsiaTheme="minorEastAsia" w:cstheme="minorEastAsia"/>
                <w:bCs/>
                <w:sz w:val="24"/>
              </w:rPr>
            </w:pPr>
          </w:p>
        </w:tc>
        <w:tc>
          <w:tcPr>
            <w:tcW w:w="1185" w:type="dxa"/>
          </w:tcPr>
          <w:p>
            <w:pPr>
              <w:rPr>
                <w:rFonts w:asciiTheme="minorEastAsia" w:hAnsiTheme="minorEastAsia" w:eastAsiaTheme="minorEastAsia" w:cstheme="minorEastAsia"/>
                <w:bCs/>
                <w:sz w:val="24"/>
              </w:rPr>
            </w:pPr>
          </w:p>
        </w:tc>
        <w:tc>
          <w:tcPr>
            <w:tcW w:w="1260" w:type="dxa"/>
          </w:tcPr>
          <w:p>
            <w:pP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868"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经营范围</w:t>
            </w:r>
          </w:p>
        </w:tc>
        <w:tc>
          <w:tcPr>
            <w:tcW w:w="7207" w:type="dxa"/>
            <w:gridSpan w:val="6"/>
            <w:vAlign w:val="center"/>
          </w:tcPr>
          <w:p>
            <w:pPr>
              <w:rPr>
                <w:rFonts w:asciiTheme="minorEastAsia" w:hAnsiTheme="minorEastAsia" w:eastAsiaTheme="minorEastAsia" w:cs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868" w:type="dxa"/>
            <w:vAlign w:val="center"/>
          </w:tcPr>
          <w:p>
            <w:pPr>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备注</w:t>
            </w:r>
          </w:p>
        </w:tc>
        <w:tc>
          <w:tcPr>
            <w:tcW w:w="7207" w:type="dxa"/>
            <w:gridSpan w:val="6"/>
            <w:vAlign w:val="center"/>
          </w:tcPr>
          <w:p>
            <w:pPr>
              <w:rPr>
                <w:rFonts w:asciiTheme="minorEastAsia" w:hAnsiTheme="minorEastAsia" w:eastAsiaTheme="minorEastAsia" w:cstheme="minorEastAsia"/>
                <w:bCs/>
                <w:sz w:val="24"/>
              </w:rPr>
            </w:pPr>
          </w:p>
        </w:tc>
      </w:tr>
    </w:tbl>
    <w:p>
      <w:pP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我们保证上述声明中的资料和数据是真实的、正确的，我们同意如贵方要求，可以出示相关证明文件。</w:t>
      </w:r>
    </w:p>
    <w:p>
      <w:pPr>
        <w:rPr>
          <w:rFonts w:asciiTheme="minorEastAsia" w:hAnsiTheme="minorEastAsia" w:eastAsiaTheme="minorEastAsia" w:cstheme="minorEastAsia"/>
          <w:bCs/>
          <w:sz w:val="24"/>
        </w:rPr>
      </w:pPr>
    </w:p>
    <w:p>
      <w:pPr>
        <w:spacing w:line="360" w:lineRule="auto"/>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供应商（盖章）：</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szCs w:val="32"/>
        </w:rPr>
        <w:t>法定代表人或委托代理人（签字或盖章）</w:t>
      </w:r>
      <w:r>
        <w:rPr>
          <w:rFonts w:hint="eastAsia" w:asciiTheme="minorEastAsia" w:hAnsiTheme="minorEastAsia" w:eastAsiaTheme="minorEastAsia" w:cstheme="minorEastAsia"/>
          <w:bCs/>
          <w:sz w:val="24"/>
        </w:rPr>
        <w:t>：</w:t>
      </w:r>
    </w:p>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电话号和传真号：</w:t>
      </w:r>
    </w:p>
    <w:p>
      <w:pPr>
        <w:spacing w:line="360" w:lineRule="auto"/>
        <w:ind w:firstLine="120" w:firstLineChars="50"/>
        <w:jc w:val="center"/>
        <w:rPr>
          <w:rFonts w:ascii="仿宋" w:hAnsi="仿宋" w:eastAsia="仿宋" w:cs="仿宋"/>
          <w:b/>
          <w:bCs/>
        </w:rPr>
      </w:pPr>
      <w:r>
        <w:rPr>
          <w:rFonts w:hint="eastAsia" w:asciiTheme="minorEastAsia" w:hAnsiTheme="minorEastAsia" w:eastAsiaTheme="minorEastAsia" w:cstheme="minorEastAsia"/>
          <w:bCs/>
          <w:sz w:val="24"/>
        </w:rPr>
        <w:t xml:space="preserve">                                                    日期：   年   月   日</w:t>
      </w:r>
    </w:p>
    <w:p>
      <w:pPr>
        <w:pStyle w:val="5"/>
        <w:ind w:firstLine="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格式</w:t>
      </w: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 xml:space="preserve"> 项目管理、服务及其它人员情况表</w:t>
      </w:r>
    </w:p>
    <w:p>
      <w:pPr>
        <w:pStyle w:val="5"/>
        <w:ind w:firstLine="0"/>
        <w:jc w:val="center"/>
        <w:rPr>
          <w:rFonts w:asciiTheme="minorEastAsia" w:hAnsiTheme="minorEastAsia" w:eastAsiaTheme="minorEastAsia" w:cstheme="minorEastAsia"/>
          <w:b/>
          <w:bCs/>
          <w:sz w:val="24"/>
          <w:szCs w:val="24"/>
        </w:rPr>
      </w:pPr>
    </w:p>
    <w:tbl>
      <w:tblPr>
        <w:tblStyle w:val="23"/>
        <w:tblpPr w:leftFromText="180" w:rightFromText="180" w:vertAnchor="text" w:horzAnchor="margin" w:tblpXSpec="center" w:tblpY="146"/>
        <w:tblW w:w="8947" w:type="dxa"/>
        <w:tblInd w:w="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793"/>
        <w:gridCol w:w="795"/>
        <w:gridCol w:w="795"/>
        <w:gridCol w:w="795"/>
        <w:gridCol w:w="3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类别</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职务</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职称</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证书</w:t>
            </w: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w:t>
            </w: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52"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rPr>
                <w:rFonts w:asciiTheme="minorEastAsia" w:hAnsiTheme="minorEastAsia" w:eastAsiaTheme="minorEastAsia" w:cstheme="minorEastAsia"/>
                <w:sz w:val="24"/>
              </w:rPr>
            </w:pPr>
          </w:p>
        </w:tc>
        <w:tc>
          <w:tcPr>
            <w:tcW w:w="793"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tcPr>
          <w:p>
            <w:pPr>
              <w:tabs>
                <w:tab w:val="left" w:pos="360"/>
                <w:tab w:val="left" w:pos="1800"/>
              </w:tabs>
              <w:jc w:val="center"/>
              <w:rPr>
                <w:rFonts w:asciiTheme="minorEastAsia" w:hAnsiTheme="minorEastAsia" w:eastAsiaTheme="minorEastAsia" w:cstheme="minorEastAsia"/>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c>
          <w:tcPr>
            <w:tcW w:w="3917" w:type="dxa"/>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947" w:type="dxa"/>
            <w:gridSpan w:val="6"/>
            <w:tcBorders>
              <w:top w:val="single" w:color="auto" w:sz="4" w:space="0"/>
              <w:left w:val="single" w:color="auto" w:sz="4" w:space="0"/>
              <w:bottom w:val="single" w:color="auto" w:sz="4" w:space="0"/>
              <w:right w:val="single" w:color="auto" w:sz="4" w:space="0"/>
            </w:tcBorders>
            <w:vAlign w:val="center"/>
          </w:tcPr>
          <w:p>
            <w:pPr>
              <w:tabs>
                <w:tab w:val="left" w:pos="360"/>
                <w:tab w:val="left" w:pos="1800"/>
              </w:tabs>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注：需完整反映本项目所有拟派人员信息，并提供相应资料附于本表后作为本表的附件。</w:t>
            </w:r>
          </w:p>
        </w:tc>
      </w:tr>
    </w:tbl>
    <w:p>
      <w:pPr>
        <w:snapToGrid w:val="0"/>
        <w:spacing w:line="453" w:lineRule="atLeas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供应商（盖章）：</w:t>
      </w:r>
    </w:p>
    <w:p>
      <w:pPr>
        <w:snapToGrid w:val="0"/>
        <w:spacing w:line="453" w:lineRule="atLeast"/>
        <w:ind w:firstLine="480" w:firstLineChars="200"/>
        <w:rPr>
          <w:rFonts w:asciiTheme="minorEastAsia" w:hAnsiTheme="minorEastAsia" w:eastAsiaTheme="minorEastAsia" w:cstheme="minorEastAsia"/>
          <w:bCs/>
          <w:sz w:val="24"/>
        </w:rPr>
      </w:pPr>
    </w:p>
    <w:p>
      <w:pPr>
        <w:snapToGrid w:val="0"/>
        <w:spacing w:line="453" w:lineRule="atLeas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法人代表人或委托代理人签字或盖章：</w:t>
      </w:r>
    </w:p>
    <w:p>
      <w:pPr>
        <w:snapToGrid w:val="0"/>
        <w:spacing w:line="453" w:lineRule="atLeast"/>
        <w:jc w:val="center"/>
        <w:rPr>
          <w:rFonts w:asciiTheme="minorEastAsia" w:hAnsiTheme="minorEastAsia" w:eastAsiaTheme="minorEastAsia" w:cstheme="minorEastAsia"/>
          <w:bCs/>
          <w:sz w:val="24"/>
        </w:rPr>
      </w:pPr>
    </w:p>
    <w:p>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年  月</w:t>
      </w:r>
      <w:r>
        <w:rPr>
          <w:rFonts w:hint="eastAsia" w:asciiTheme="minorEastAsia" w:hAnsiTheme="minorEastAsia" w:eastAsiaTheme="minorEastAsia" w:cstheme="minorEastAsia"/>
          <w:sz w:val="24"/>
        </w:rPr>
        <w:t xml:space="preserve">  日</w:t>
      </w:r>
    </w:p>
    <w:p>
      <w:pPr>
        <w:pStyle w:val="9"/>
        <w:spacing w:line="36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格式</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 xml:space="preserve"> 拟投入本项目设备设施清单</w:t>
      </w:r>
    </w:p>
    <w:p>
      <w:pPr>
        <w:rPr>
          <w:rFonts w:asciiTheme="minorEastAsia" w:hAnsiTheme="minorEastAsia" w:eastAsiaTheme="minorEastAsia" w:cstheme="minorEastAsia"/>
          <w:sz w:val="24"/>
        </w:rPr>
      </w:pPr>
    </w:p>
    <w:tbl>
      <w:tblPr>
        <w:tblStyle w:val="23"/>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535"/>
        <w:gridCol w:w="2595"/>
        <w:gridCol w:w="1035"/>
        <w:gridCol w:w="102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pStyle w:val="9"/>
              <w:spacing w:line="240" w:lineRule="atLeast"/>
              <w:jc w:val="center"/>
              <w:rPr>
                <w:rFonts w:asciiTheme="minorEastAsia" w:hAnsiTheme="minorEastAsia" w:eastAsiaTheme="minorEastAsia" w:cstheme="minorEastAsia"/>
                <w:position w:val="-60"/>
                <w:sz w:val="24"/>
                <w:szCs w:val="24"/>
              </w:rPr>
            </w:pPr>
            <w:r>
              <w:rPr>
                <w:rFonts w:hint="eastAsia" w:asciiTheme="minorEastAsia" w:hAnsiTheme="minorEastAsia" w:eastAsiaTheme="minorEastAsia" w:cstheme="minorEastAsia"/>
                <w:position w:val="-24"/>
                <w:sz w:val="24"/>
                <w:szCs w:val="24"/>
              </w:rPr>
              <w:t>序号</w:t>
            </w:r>
          </w:p>
        </w:tc>
        <w:tc>
          <w:tcPr>
            <w:tcW w:w="2535" w:type="dxa"/>
            <w:tcBorders>
              <w:left w:val="single" w:color="auto" w:sz="4" w:space="0"/>
            </w:tcBorders>
            <w:vAlign w:val="center"/>
          </w:tcPr>
          <w:p>
            <w:pPr>
              <w:pStyle w:val="9"/>
              <w:spacing w:line="240" w:lineRule="atLeast"/>
              <w:jc w:val="center"/>
              <w:rPr>
                <w:rFonts w:asciiTheme="minorEastAsia" w:hAnsiTheme="minorEastAsia" w:eastAsiaTheme="minorEastAsia" w:cstheme="minorEastAsia"/>
                <w:position w:val="-36"/>
                <w:sz w:val="24"/>
                <w:szCs w:val="24"/>
              </w:rPr>
            </w:pPr>
            <w:r>
              <w:rPr>
                <w:rFonts w:hint="eastAsia" w:asciiTheme="minorEastAsia" w:hAnsiTheme="minorEastAsia" w:eastAsiaTheme="minorEastAsia" w:cstheme="minorEastAsia"/>
                <w:position w:val="-24"/>
                <w:sz w:val="24"/>
                <w:szCs w:val="24"/>
              </w:rPr>
              <w:t>名称、规格型号、品牌</w:t>
            </w:r>
          </w:p>
        </w:tc>
        <w:tc>
          <w:tcPr>
            <w:tcW w:w="2595" w:type="dxa"/>
            <w:vAlign w:val="center"/>
          </w:tcPr>
          <w:p>
            <w:pPr>
              <w:pStyle w:val="9"/>
              <w:spacing w:line="240" w:lineRule="atLeast"/>
              <w:jc w:val="center"/>
              <w:rPr>
                <w:rFonts w:asciiTheme="minorEastAsia" w:hAnsiTheme="minorEastAsia" w:eastAsiaTheme="minorEastAsia" w:cstheme="minorEastAsia"/>
                <w:position w:val="-60"/>
                <w:sz w:val="24"/>
                <w:szCs w:val="24"/>
              </w:rPr>
            </w:pPr>
            <w:r>
              <w:rPr>
                <w:rFonts w:hint="eastAsia" w:asciiTheme="minorEastAsia" w:hAnsiTheme="minorEastAsia" w:eastAsiaTheme="minorEastAsia" w:cstheme="minorEastAsia"/>
                <w:position w:val="-24"/>
                <w:sz w:val="24"/>
                <w:szCs w:val="24"/>
              </w:rPr>
              <w:t>制造商、原产地</w:t>
            </w:r>
          </w:p>
        </w:tc>
        <w:tc>
          <w:tcPr>
            <w:tcW w:w="1035" w:type="dxa"/>
            <w:vAlign w:val="center"/>
          </w:tcPr>
          <w:p>
            <w:pPr>
              <w:pStyle w:val="9"/>
              <w:spacing w:line="240" w:lineRule="atLeast"/>
              <w:jc w:val="center"/>
              <w:rPr>
                <w:rFonts w:asciiTheme="minorEastAsia" w:hAnsiTheme="minorEastAsia" w:eastAsiaTheme="minorEastAsia" w:cstheme="minorEastAsia"/>
                <w:position w:val="-60"/>
                <w:sz w:val="24"/>
                <w:szCs w:val="24"/>
              </w:rPr>
            </w:pPr>
            <w:r>
              <w:rPr>
                <w:rFonts w:hint="eastAsia" w:asciiTheme="minorEastAsia" w:hAnsiTheme="minorEastAsia" w:eastAsiaTheme="minorEastAsia" w:cstheme="minorEastAsia"/>
                <w:position w:val="-24"/>
                <w:sz w:val="24"/>
                <w:szCs w:val="24"/>
              </w:rPr>
              <w:t>单位</w:t>
            </w:r>
          </w:p>
        </w:tc>
        <w:tc>
          <w:tcPr>
            <w:tcW w:w="1020" w:type="dxa"/>
            <w:vAlign w:val="center"/>
          </w:tcPr>
          <w:p>
            <w:pPr>
              <w:pStyle w:val="9"/>
              <w:spacing w:line="240" w:lineRule="atLeast"/>
              <w:jc w:val="center"/>
              <w:rPr>
                <w:rFonts w:asciiTheme="minorEastAsia" w:hAnsiTheme="minorEastAsia" w:eastAsiaTheme="minorEastAsia" w:cstheme="minorEastAsia"/>
                <w:position w:val="-24"/>
                <w:sz w:val="24"/>
                <w:szCs w:val="24"/>
              </w:rPr>
            </w:pPr>
            <w:r>
              <w:rPr>
                <w:rFonts w:hint="eastAsia" w:asciiTheme="minorEastAsia" w:hAnsiTheme="minorEastAsia" w:eastAsiaTheme="minorEastAsia" w:cstheme="minorEastAsia"/>
                <w:position w:val="-24"/>
                <w:sz w:val="24"/>
                <w:szCs w:val="24"/>
              </w:rPr>
              <w:t>数量</w:t>
            </w:r>
          </w:p>
        </w:tc>
        <w:tc>
          <w:tcPr>
            <w:tcW w:w="1085" w:type="dxa"/>
            <w:vAlign w:val="center"/>
          </w:tcPr>
          <w:p>
            <w:pPr>
              <w:pStyle w:val="9"/>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Borders>
              <w:top w:val="single" w:color="auto" w:sz="4" w:space="0"/>
            </w:tcBorders>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54" w:type="dxa"/>
          </w:tcPr>
          <w:p>
            <w:pPr>
              <w:pStyle w:val="9"/>
              <w:rPr>
                <w:rFonts w:asciiTheme="minorEastAsia" w:hAnsiTheme="minorEastAsia" w:eastAsiaTheme="minorEastAsia" w:cstheme="minorEastAsia"/>
                <w:sz w:val="24"/>
                <w:szCs w:val="24"/>
              </w:rPr>
            </w:pPr>
          </w:p>
        </w:tc>
        <w:tc>
          <w:tcPr>
            <w:tcW w:w="2535" w:type="dxa"/>
          </w:tcPr>
          <w:p>
            <w:pPr>
              <w:pStyle w:val="9"/>
              <w:rPr>
                <w:rFonts w:asciiTheme="minorEastAsia" w:hAnsiTheme="minorEastAsia" w:eastAsiaTheme="minorEastAsia" w:cstheme="minorEastAsia"/>
                <w:sz w:val="24"/>
                <w:szCs w:val="24"/>
              </w:rPr>
            </w:pPr>
          </w:p>
        </w:tc>
        <w:tc>
          <w:tcPr>
            <w:tcW w:w="2595" w:type="dxa"/>
          </w:tcPr>
          <w:p>
            <w:pPr>
              <w:pStyle w:val="9"/>
              <w:rPr>
                <w:rFonts w:asciiTheme="minorEastAsia" w:hAnsiTheme="minorEastAsia" w:eastAsiaTheme="minorEastAsia" w:cstheme="minorEastAsia"/>
                <w:sz w:val="24"/>
                <w:szCs w:val="24"/>
              </w:rPr>
            </w:pPr>
          </w:p>
        </w:tc>
        <w:tc>
          <w:tcPr>
            <w:tcW w:w="1035" w:type="dxa"/>
          </w:tcPr>
          <w:p>
            <w:pPr>
              <w:pStyle w:val="9"/>
              <w:rPr>
                <w:rFonts w:asciiTheme="minorEastAsia" w:hAnsiTheme="minorEastAsia" w:eastAsiaTheme="minorEastAsia" w:cstheme="minorEastAsia"/>
                <w:sz w:val="24"/>
                <w:szCs w:val="24"/>
              </w:rPr>
            </w:pPr>
          </w:p>
        </w:tc>
        <w:tc>
          <w:tcPr>
            <w:tcW w:w="1020" w:type="dxa"/>
          </w:tcPr>
          <w:p>
            <w:pPr>
              <w:pStyle w:val="9"/>
              <w:rPr>
                <w:rFonts w:asciiTheme="minorEastAsia" w:hAnsiTheme="minorEastAsia" w:eastAsiaTheme="minorEastAsia" w:cstheme="minorEastAsia"/>
                <w:sz w:val="24"/>
                <w:szCs w:val="24"/>
              </w:rPr>
            </w:pPr>
          </w:p>
        </w:tc>
        <w:tc>
          <w:tcPr>
            <w:tcW w:w="1085" w:type="dxa"/>
          </w:tcPr>
          <w:p>
            <w:pPr>
              <w:pStyle w:val="9"/>
              <w:rPr>
                <w:rFonts w:asciiTheme="minorEastAsia" w:hAnsiTheme="minorEastAsia" w:eastAsiaTheme="minorEastAsia" w:cstheme="minorEastAsia"/>
                <w:sz w:val="24"/>
                <w:szCs w:val="24"/>
              </w:rPr>
            </w:pPr>
          </w:p>
        </w:tc>
      </w:tr>
    </w:tbl>
    <w:p>
      <w:pPr>
        <w:pStyle w:val="9"/>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注：各供应商按此表格式自行填写，表格不够时可自行添加。</w:t>
      </w:r>
    </w:p>
    <w:p>
      <w:pPr>
        <w:pStyle w:val="9"/>
        <w:spacing w:line="360" w:lineRule="auto"/>
        <w:ind w:firstLine="480" w:firstLineChars="200"/>
        <w:rPr>
          <w:rFonts w:asciiTheme="minorEastAsia" w:hAnsiTheme="minorEastAsia" w:eastAsiaTheme="minorEastAsia" w:cstheme="minorEastAsia"/>
          <w:sz w:val="24"/>
          <w:szCs w:val="24"/>
        </w:rPr>
      </w:pPr>
    </w:p>
    <w:p>
      <w:pPr>
        <w:pStyle w:val="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供应商（盖章）：</w:t>
      </w:r>
    </w:p>
    <w:p>
      <w:pPr>
        <w:pStyle w:val="9"/>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法定代表人或委托代理人签字或盖章： </w:t>
      </w:r>
    </w:p>
    <w:p>
      <w:pPr>
        <w:spacing w:line="360" w:lineRule="auto"/>
        <w:ind w:firstLine="480" w:firstLineChars="200"/>
        <w:jc w:val="center"/>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                          </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jc w:val="left"/>
        <w:rPr>
          <w:rFonts w:asciiTheme="minorEastAsia" w:hAnsiTheme="minorEastAsia" w:eastAsiaTheme="minorEastAsia" w:cstheme="minorEastAsia"/>
          <w:sz w:val="24"/>
        </w:rPr>
      </w:pPr>
      <w:r>
        <w:rPr>
          <w:rFonts w:hint="eastAsia" w:ascii="仿宋" w:hAnsi="仿宋" w:eastAsia="仿宋" w:cs="仿宋"/>
          <w:sz w:val="24"/>
        </w:rPr>
        <w:t xml:space="preserve">                                                           </w:t>
      </w:r>
      <w:r>
        <w:rPr>
          <w:rFonts w:hint="eastAsia" w:asciiTheme="minorEastAsia" w:hAnsiTheme="minorEastAsia" w:eastAsiaTheme="minorEastAsia" w:cstheme="minorEastAsia"/>
          <w:sz w:val="24"/>
        </w:rPr>
        <w:t>年    月    日</w:t>
      </w:r>
    </w:p>
    <w:p>
      <w:pPr>
        <w:pStyle w:val="9"/>
        <w:spacing w:line="360" w:lineRule="auto"/>
        <w:ind w:right="86"/>
        <w:jc w:val="center"/>
        <w:outlineLvl w:val="0"/>
        <w:rPr>
          <w:rFonts w:asciiTheme="minorEastAsia" w:hAnsiTheme="minorEastAsia" w:eastAsiaTheme="minorEastAsia" w:cstheme="minorEastAsia"/>
          <w:b/>
          <w:sz w:val="24"/>
          <w:szCs w:val="24"/>
        </w:rPr>
      </w:pPr>
    </w:p>
    <w:p>
      <w:pPr>
        <w:pStyle w:val="9"/>
        <w:spacing w:line="360" w:lineRule="auto"/>
        <w:ind w:right="86"/>
        <w:jc w:val="center"/>
        <w:outlineLvl w:val="0"/>
        <w:rPr>
          <w:rFonts w:asciiTheme="minorEastAsia" w:hAnsiTheme="minorEastAsia" w:eastAsiaTheme="minorEastAsia" w:cstheme="minorEastAsia"/>
          <w:b/>
          <w:sz w:val="24"/>
          <w:szCs w:val="24"/>
        </w:rPr>
      </w:pPr>
    </w:p>
    <w:p>
      <w:pPr>
        <w:pStyle w:val="9"/>
        <w:spacing w:line="360" w:lineRule="auto"/>
        <w:ind w:right="86"/>
        <w:jc w:val="center"/>
        <w:outlineLvl w:val="0"/>
        <w:rPr>
          <w:rFonts w:asciiTheme="minorEastAsia" w:hAnsiTheme="minorEastAsia" w:eastAsiaTheme="minorEastAsia" w:cstheme="minorEastAsia"/>
          <w:b/>
          <w:sz w:val="24"/>
          <w:szCs w:val="24"/>
        </w:rPr>
      </w:pPr>
    </w:p>
    <w:p>
      <w:pPr>
        <w:pStyle w:val="9"/>
        <w:spacing w:line="360" w:lineRule="auto"/>
        <w:ind w:right="86"/>
        <w:jc w:val="center"/>
        <w:outlineLvl w:val="0"/>
        <w:rPr>
          <w:rFonts w:asciiTheme="minorEastAsia" w:hAnsiTheme="minorEastAsia" w:eastAsiaTheme="minorEastAsia" w:cstheme="minorEastAsia"/>
          <w:b/>
          <w:sz w:val="24"/>
          <w:szCs w:val="24"/>
        </w:rPr>
      </w:pPr>
    </w:p>
    <w:p>
      <w:pPr>
        <w:pStyle w:val="9"/>
        <w:spacing w:line="360" w:lineRule="auto"/>
        <w:ind w:right="86"/>
        <w:jc w:val="center"/>
        <w:outlineLvl w:val="0"/>
        <w:rPr>
          <w:rFonts w:asciiTheme="minorEastAsia" w:hAnsiTheme="minorEastAsia" w:eastAsiaTheme="minorEastAsia" w:cstheme="minorEastAsia"/>
          <w:b/>
          <w:sz w:val="24"/>
          <w:szCs w:val="24"/>
        </w:rPr>
      </w:pPr>
    </w:p>
    <w:p>
      <w:pPr>
        <w:pStyle w:val="9"/>
        <w:spacing w:line="360" w:lineRule="auto"/>
        <w:ind w:right="86"/>
        <w:jc w:val="center"/>
        <w:outlineLvl w:val="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格式</w:t>
      </w: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rPr>
        <w:t xml:space="preserve"> 近三年（自2018年1月1日至今）类似项目业绩表</w:t>
      </w:r>
    </w:p>
    <w:tbl>
      <w:tblPr>
        <w:tblStyle w:val="23"/>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317"/>
        <w:gridCol w:w="1018"/>
        <w:gridCol w:w="921"/>
        <w:gridCol w:w="2103"/>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670"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1317"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合同实施日期</w:t>
            </w:r>
          </w:p>
        </w:tc>
        <w:tc>
          <w:tcPr>
            <w:tcW w:w="1018"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金额</w:t>
            </w:r>
          </w:p>
        </w:tc>
        <w:tc>
          <w:tcPr>
            <w:tcW w:w="92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用户</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2103"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用户联系人及联系电话</w:t>
            </w:r>
          </w:p>
        </w:tc>
        <w:tc>
          <w:tcPr>
            <w:tcW w:w="971"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670" w:type="dxa"/>
          </w:tcPr>
          <w:p>
            <w:pPr>
              <w:rPr>
                <w:rFonts w:asciiTheme="minorEastAsia" w:hAnsiTheme="minorEastAsia" w:eastAsiaTheme="minorEastAsia" w:cstheme="minorEastAsia"/>
                <w:sz w:val="24"/>
              </w:rPr>
            </w:pPr>
          </w:p>
        </w:tc>
        <w:tc>
          <w:tcPr>
            <w:tcW w:w="1317" w:type="dxa"/>
          </w:tcPr>
          <w:p>
            <w:pPr>
              <w:rPr>
                <w:rFonts w:asciiTheme="minorEastAsia" w:hAnsiTheme="minorEastAsia" w:eastAsiaTheme="minorEastAsia" w:cstheme="minorEastAsia"/>
                <w:sz w:val="24"/>
              </w:rPr>
            </w:pPr>
          </w:p>
        </w:tc>
        <w:tc>
          <w:tcPr>
            <w:tcW w:w="1018" w:type="dxa"/>
          </w:tcPr>
          <w:p>
            <w:pPr>
              <w:rPr>
                <w:rFonts w:asciiTheme="minorEastAsia" w:hAnsiTheme="minorEastAsia" w:eastAsiaTheme="minorEastAsia" w:cstheme="minorEastAsia"/>
                <w:sz w:val="24"/>
              </w:rPr>
            </w:pPr>
          </w:p>
        </w:tc>
        <w:tc>
          <w:tcPr>
            <w:tcW w:w="921" w:type="dxa"/>
          </w:tcPr>
          <w:p>
            <w:pPr>
              <w:rPr>
                <w:rFonts w:asciiTheme="minorEastAsia" w:hAnsiTheme="minorEastAsia" w:eastAsiaTheme="minorEastAsia" w:cstheme="minorEastAsia"/>
                <w:sz w:val="24"/>
              </w:rPr>
            </w:pPr>
          </w:p>
        </w:tc>
        <w:tc>
          <w:tcPr>
            <w:tcW w:w="2103" w:type="dxa"/>
          </w:tcPr>
          <w:p>
            <w:pPr>
              <w:rPr>
                <w:rFonts w:asciiTheme="minorEastAsia" w:hAnsiTheme="minorEastAsia" w:eastAsiaTheme="minorEastAsia" w:cstheme="minorEastAsia"/>
                <w:sz w:val="24"/>
              </w:rPr>
            </w:pPr>
          </w:p>
        </w:tc>
        <w:tc>
          <w:tcPr>
            <w:tcW w:w="971" w:type="dxa"/>
          </w:tcPr>
          <w:p>
            <w:pPr>
              <w:rPr>
                <w:rFonts w:asciiTheme="minorEastAsia" w:hAnsiTheme="minorEastAsia" w:eastAsiaTheme="minorEastAsia" w:cstheme="minorEastAsia"/>
                <w:sz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注：（仅限于供应商自身实施的项目）以上业绩需提供有关书面证明材料复印件（如成交通知书/成交通知书或采购合同）。</w:t>
      </w:r>
    </w:p>
    <w:p>
      <w:pPr>
        <w:spacing w:line="400" w:lineRule="exact"/>
        <w:rPr>
          <w:rFonts w:asciiTheme="minorEastAsia" w:hAnsiTheme="minorEastAsia" w:eastAsiaTheme="minorEastAsia" w:cstheme="minorEastAsia"/>
          <w:sz w:val="24"/>
          <w:highlight w:val="yellow"/>
        </w:rPr>
      </w:pPr>
    </w:p>
    <w:p>
      <w:pPr>
        <w:pStyle w:val="9"/>
        <w:spacing w:line="360" w:lineRule="auto"/>
        <w:rPr>
          <w:rFonts w:asciiTheme="minorEastAsia" w:hAnsiTheme="minorEastAsia" w:eastAsiaTheme="minorEastAsia" w:cstheme="minorEastAsia"/>
          <w:bCs/>
          <w:sz w:val="24"/>
          <w:szCs w:val="24"/>
          <w:highlight w:val="yellow"/>
        </w:rPr>
      </w:pPr>
    </w:p>
    <w:p>
      <w:pPr>
        <w:pStyle w:val="9"/>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供应商（盖章）：</w:t>
      </w:r>
    </w:p>
    <w:p>
      <w:pPr>
        <w:pStyle w:val="9"/>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法定代表人或委托代理人（签字或盖章）： </w:t>
      </w:r>
    </w:p>
    <w:p>
      <w:pPr>
        <w:pStyle w:val="9"/>
        <w:spacing w:line="360" w:lineRule="auto"/>
        <w:rPr>
          <w:rFonts w:asciiTheme="minorEastAsia" w:hAnsiTheme="minorEastAsia" w:eastAsiaTheme="minorEastAsia" w:cstheme="minorEastAsia"/>
          <w:sz w:val="24"/>
          <w:szCs w:val="24"/>
        </w:rPr>
      </w:pPr>
    </w:p>
    <w:p>
      <w:pPr>
        <w:pStyle w:val="9"/>
        <w:spacing w:line="360" w:lineRule="auto"/>
        <w:jc w:val="righ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年  月  日</w:t>
      </w: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jc w:val="center"/>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格式1</w:t>
      </w:r>
      <w:r>
        <w:rPr>
          <w:rFonts w:hint="eastAsia" w:asciiTheme="minorEastAsia" w:hAnsiTheme="minorEastAsia" w:eastAsiaTheme="minorEastAsia" w:cstheme="minorEastAsia"/>
          <w:b/>
          <w:sz w:val="24"/>
          <w:lang w:val="en-US" w:eastAsia="zh-CN"/>
        </w:rPr>
        <w:t>1</w:t>
      </w:r>
      <w:r>
        <w:rPr>
          <w:rFonts w:hint="eastAsia" w:asciiTheme="minorEastAsia" w:hAnsiTheme="minorEastAsia" w:eastAsiaTheme="minorEastAsia" w:cstheme="minorEastAsia"/>
          <w:b/>
          <w:sz w:val="24"/>
        </w:rPr>
        <w:t xml:space="preserve"> 商务条款响应偏离表</w:t>
      </w:r>
    </w:p>
    <w:tbl>
      <w:tblPr>
        <w:tblStyle w:val="23"/>
        <w:tblpPr w:leftFromText="180" w:rightFromText="180" w:vertAnchor="page" w:horzAnchor="page" w:tblpX="1386" w:tblpY="2671"/>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65"/>
        <w:gridCol w:w="2200"/>
        <w:gridCol w:w="18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165"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磋商文件商务条款</w:t>
            </w:r>
          </w:p>
        </w:tc>
        <w:tc>
          <w:tcPr>
            <w:tcW w:w="220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响应文件商务条款</w:t>
            </w:r>
          </w:p>
        </w:tc>
        <w:tc>
          <w:tcPr>
            <w:tcW w:w="18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响应/偏离说明</w:t>
            </w: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65" w:type="dxa"/>
            <w:vAlign w:val="center"/>
          </w:tcPr>
          <w:p>
            <w:pPr>
              <w:pStyle w:val="9"/>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交货期</w:t>
            </w: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65" w:type="dxa"/>
            <w:vAlign w:val="center"/>
          </w:tcPr>
          <w:p>
            <w:pPr>
              <w:pStyle w:val="9"/>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质量保证期</w:t>
            </w: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165" w:type="dxa"/>
            <w:vAlign w:val="center"/>
          </w:tcPr>
          <w:p>
            <w:pPr>
              <w:pStyle w:val="9"/>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Align w:val="center"/>
          </w:tcPr>
          <w:p>
            <w:pPr>
              <w:pStyle w:val="9"/>
              <w:jc w:val="center"/>
              <w:rPr>
                <w:rFonts w:asciiTheme="minorEastAsia" w:hAnsiTheme="minorEastAsia" w:eastAsiaTheme="minorEastAsia" w:cstheme="minorEastAsia"/>
                <w:sz w:val="24"/>
                <w:szCs w:val="24"/>
              </w:rPr>
            </w:pPr>
          </w:p>
        </w:tc>
        <w:tc>
          <w:tcPr>
            <w:tcW w:w="2165" w:type="dxa"/>
            <w:vAlign w:val="center"/>
          </w:tcPr>
          <w:p>
            <w:pPr>
              <w:pStyle w:val="9"/>
              <w:jc w:val="center"/>
              <w:rPr>
                <w:rFonts w:asciiTheme="minorEastAsia" w:hAnsiTheme="minorEastAsia" w:eastAsiaTheme="minorEastAsia" w:cstheme="minorEastAsia"/>
                <w:sz w:val="24"/>
                <w:szCs w:val="24"/>
              </w:rPr>
            </w:pPr>
          </w:p>
        </w:tc>
        <w:tc>
          <w:tcPr>
            <w:tcW w:w="2200" w:type="dxa"/>
            <w:vAlign w:val="center"/>
          </w:tcPr>
          <w:p>
            <w:pPr>
              <w:pStyle w:val="9"/>
              <w:jc w:val="center"/>
              <w:rPr>
                <w:rFonts w:asciiTheme="minorEastAsia" w:hAnsiTheme="minorEastAsia" w:eastAsiaTheme="minorEastAsia" w:cstheme="minorEastAsia"/>
                <w:sz w:val="24"/>
                <w:szCs w:val="24"/>
              </w:rPr>
            </w:pPr>
          </w:p>
        </w:tc>
        <w:tc>
          <w:tcPr>
            <w:tcW w:w="1890" w:type="dxa"/>
            <w:vAlign w:val="center"/>
          </w:tcPr>
          <w:p>
            <w:pPr>
              <w:pStyle w:val="9"/>
              <w:jc w:val="center"/>
              <w:rPr>
                <w:rFonts w:asciiTheme="minorEastAsia" w:hAnsiTheme="minorEastAsia" w:eastAsiaTheme="minorEastAsia" w:cstheme="minorEastAsia"/>
                <w:sz w:val="24"/>
                <w:szCs w:val="24"/>
              </w:rPr>
            </w:pPr>
          </w:p>
        </w:tc>
        <w:tc>
          <w:tcPr>
            <w:tcW w:w="2190" w:type="dxa"/>
            <w:vAlign w:val="center"/>
          </w:tcPr>
          <w:p>
            <w:pPr>
              <w:pStyle w:val="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见响应文件（）页</w:t>
            </w:r>
          </w:p>
        </w:tc>
      </w:tr>
    </w:tbl>
    <w:p>
      <w:pPr>
        <w:spacing w:line="360" w:lineRule="auto"/>
        <w:rPr>
          <w:rFonts w:asciiTheme="minorEastAsia" w:hAnsiTheme="minorEastAsia" w:eastAsiaTheme="minorEastAsia" w:cstheme="minorEastAsia"/>
          <w:b/>
          <w:sz w:val="24"/>
        </w:rPr>
      </w:pPr>
    </w:p>
    <w:p>
      <w:pPr>
        <w:rPr>
          <w:highlight w:val="yellow"/>
        </w:rPr>
      </w:pPr>
    </w:p>
    <w:p>
      <w:pPr>
        <w:spacing w:line="360" w:lineRule="auto"/>
        <w:jc w:val="right"/>
        <w:rPr>
          <w:rFonts w:ascii="宋体" w:hAnsi="宋体" w:cs="宋体"/>
          <w:sz w:val="24"/>
          <w:highlight w:val="yellow"/>
        </w:rPr>
      </w:pPr>
    </w:p>
    <w:p>
      <w:pPr>
        <w:tabs>
          <w:tab w:val="left" w:pos="2720"/>
          <w:tab w:val="center" w:pos="4470"/>
        </w:tabs>
        <w:spacing w:line="360" w:lineRule="auto"/>
        <w:jc w:val="left"/>
        <w:rPr>
          <w:rFonts w:ascii="宋体" w:hAnsi="宋体" w:cs="宋体"/>
          <w:b/>
          <w:sz w:val="28"/>
          <w:szCs w:val="28"/>
          <w:highlight w:val="yellow"/>
        </w:rPr>
      </w:pPr>
    </w:p>
    <w:p>
      <w:pPr>
        <w:pStyle w:val="2"/>
        <w:rPr>
          <w:rFonts w:ascii="宋体" w:hAnsi="宋体" w:cs="宋体"/>
          <w:b/>
          <w:sz w:val="28"/>
          <w:szCs w:val="28"/>
          <w:highlight w:val="yellow"/>
        </w:rPr>
      </w:pPr>
    </w:p>
    <w:p>
      <w:pPr>
        <w:pStyle w:val="9"/>
        <w:spacing w:line="360" w:lineRule="auto"/>
        <w:jc w:val="right"/>
        <w:rPr>
          <w:rFonts w:asciiTheme="minorEastAsia" w:hAnsiTheme="minorEastAsia" w:eastAsiaTheme="minorEastAsia" w:cstheme="minorEastAsia"/>
          <w:bCs/>
          <w:sz w:val="24"/>
          <w:szCs w:val="24"/>
        </w:rPr>
      </w:pPr>
      <w:r>
        <w:rPr>
          <w:rFonts w:hint="eastAsia" w:hAnsi="宋体" w:cs="宋体"/>
          <w:b/>
          <w:sz w:val="28"/>
          <w:szCs w:val="28"/>
        </w:rPr>
        <w:tab/>
      </w:r>
    </w:p>
    <w:p>
      <w:pPr>
        <w:pStyle w:val="9"/>
        <w:tabs>
          <w:tab w:val="left" w:pos="390"/>
        </w:tabs>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ab/>
      </w:r>
    </w:p>
    <w:p>
      <w:pPr>
        <w:tabs>
          <w:tab w:val="left" w:pos="1875"/>
        </w:tabs>
        <w:rPr>
          <w:rFonts w:ascii="宋体"/>
          <w:sz w:val="24"/>
        </w:rPr>
      </w:pPr>
    </w:p>
    <w:p>
      <w:pPr>
        <w:pStyle w:val="4"/>
        <w:rPr>
          <w:rFonts w:ascii="宋体"/>
          <w:sz w:val="24"/>
          <w:szCs w:val="24"/>
        </w:rPr>
      </w:pPr>
    </w:p>
    <w:p>
      <w:pPr>
        <w:rPr>
          <w:rFonts w:ascii="宋体"/>
          <w:sz w:val="24"/>
        </w:rPr>
      </w:pPr>
    </w:p>
    <w:p>
      <w:pPr>
        <w:pStyle w:val="21"/>
        <w:ind w:firstLine="240"/>
        <w:rPr>
          <w:rFonts w:ascii="宋体"/>
          <w:sz w:val="24"/>
          <w:szCs w:val="24"/>
        </w:rPr>
      </w:pPr>
    </w:p>
    <w:p>
      <w:pPr>
        <w:pStyle w:val="21"/>
        <w:ind w:firstLine="240"/>
        <w:rPr>
          <w:rFonts w:ascii="宋体"/>
          <w:sz w:val="24"/>
          <w:szCs w:val="24"/>
        </w:rPr>
      </w:pPr>
    </w:p>
    <w:p>
      <w:pPr>
        <w:rPr>
          <w:rFonts w:ascii="宋体"/>
          <w:sz w:val="24"/>
        </w:rPr>
      </w:pPr>
    </w:p>
    <w:p>
      <w:pPr>
        <w:widowControl/>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格式1</w:t>
      </w:r>
      <w:r>
        <w:rPr>
          <w:rFonts w:hint="eastAsia" w:asciiTheme="minorEastAsia" w:hAnsiTheme="minorEastAsia" w:eastAsiaTheme="minorEastAsia" w:cstheme="minorEastAsia"/>
          <w:b/>
          <w:bCs/>
          <w:color w:val="000000"/>
          <w:kern w:val="0"/>
          <w:sz w:val="24"/>
          <w:lang w:val="en-US" w:eastAsia="zh-CN" w:bidi="ar"/>
        </w:rPr>
        <w:t>2</w:t>
      </w:r>
      <w:r>
        <w:rPr>
          <w:rFonts w:hint="eastAsia" w:asciiTheme="minorEastAsia" w:hAnsiTheme="minorEastAsia" w:eastAsiaTheme="minorEastAsia" w:cstheme="minorEastAsia"/>
          <w:b/>
          <w:bCs/>
          <w:color w:val="000000"/>
          <w:kern w:val="0"/>
          <w:sz w:val="24"/>
          <w:lang w:bidi="ar"/>
        </w:rPr>
        <w:t xml:space="preserve"> </w:t>
      </w:r>
      <w:r>
        <w:rPr>
          <w:rFonts w:hint="eastAsia" w:asciiTheme="minorEastAsia" w:hAnsiTheme="minorEastAsia" w:eastAsiaTheme="minorEastAsia" w:cstheme="minorEastAsia"/>
          <w:b/>
          <w:bCs/>
          <w:color w:val="000000"/>
          <w:kern w:val="0"/>
          <w:sz w:val="24"/>
          <w:lang w:eastAsia="zh-CN" w:bidi="ar"/>
        </w:rPr>
        <w:t>供货</w:t>
      </w:r>
      <w:r>
        <w:rPr>
          <w:rFonts w:hint="eastAsia" w:asciiTheme="minorEastAsia" w:hAnsiTheme="minorEastAsia" w:eastAsiaTheme="minorEastAsia" w:cstheme="minorEastAsia"/>
          <w:b/>
          <w:bCs/>
          <w:color w:val="000000"/>
          <w:kern w:val="0"/>
          <w:sz w:val="24"/>
          <w:lang w:bidi="ar"/>
        </w:rPr>
        <w:t>服务方案</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供应商提供的方案包括但不限于以下内容：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1、工作的难点、重点；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val="en-US" w:eastAsia="zh-CN" w:bidi="ar"/>
        </w:rPr>
        <w:t>2</w:t>
      </w:r>
      <w:r>
        <w:rPr>
          <w:rFonts w:hint="eastAsia" w:asciiTheme="minorEastAsia" w:hAnsiTheme="minorEastAsia" w:eastAsiaTheme="minorEastAsia" w:cstheme="minorEastAsia"/>
          <w:color w:val="000000"/>
          <w:kern w:val="0"/>
          <w:sz w:val="24"/>
          <w:lang w:bidi="ar"/>
        </w:rPr>
        <w:t xml:space="preserve">、提供服务的整体质量、安全的保障措施；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val="en-US" w:eastAsia="zh-CN" w:bidi="ar"/>
        </w:rPr>
        <w:t>3</w:t>
      </w:r>
      <w:r>
        <w:rPr>
          <w:rFonts w:hint="eastAsia" w:asciiTheme="minorEastAsia" w:hAnsiTheme="minorEastAsia" w:eastAsiaTheme="minorEastAsia" w:cstheme="minorEastAsia"/>
          <w:color w:val="000000"/>
          <w:kern w:val="0"/>
          <w:sz w:val="24"/>
          <w:lang w:bidi="ar"/>
        </w:rPr>
        <w:t xml:space="preserve">、完善可行的实施计划；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val="en-US" w:eastAsia="zh-CN" w:bidi="ar"/>
        </w:rPr>
        <w:t>4</w:t>
      </w:r>
      <w:r>
        <w:rPr>
          <w:rFonts w:hint="eastAsia" w:asciiTheme="minorEastAsia" w:hAnsiTheme="minorEastAsia" w:eastAsiaTheme="minorEastAsia" w:cstheme="minorEastAsia"/>
          <w:color w:val="000000"/>
          <w:kern w:val="0"/>
          <w:sz w:val="24"/>
          <w:lang w:bidi="ar"/>
        </w:rPr>
        <w:t xml:space="preserve">、...... </w:t>
      </w: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供应商（盖章）： </w:t>
      </w: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法定代表人或委托代理人（签字或盖章）： </w:t>
      </w: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年 月 日</w:t>
      </w: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pStyle w:val="2"/>
        <w:rPr>
          <w:rFonts w:ascii="仿宋" w:hAnsi="仿宋" w:eastAsia="仿宋" w:cs="仿宋"/>
          <w:b/>
          <w:bCs/>
          <w:color w:val="000000"/>
          <w:kern w:val="0"/>
          <w:sz w:val="24"/>
          <w:lang w:bidi="ar"/>
        </w:rPr>
      </w:pPr>
    </w:p>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jc w:val="left"/>
        <w:rPr>
          <w:rFonts w:ascii="仿宋" w:hAnsi="仿宋" w:eastAsia="仿宋" w:cs="仿宋"/>
          <w:b/>
          <w:bCs/>
          <w:color w:val="000000"/>
          <w:kern w:val="0"/>
          <w:sz w:val="24"/>
          <w:lang w:bidi="ar"/>
        </w:rPr>
      </w:pPr>
    </w:p>
    <w:p>
      <w:pPr>
        <w:widowControl/>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格式1</w:t>
      </w:r>
      <w:r>
        <w:rPr>
          <w:rFonts w:hint="eastAsia" w:asciiTheme="minorEastAsia" w:hAnsiTheme="minorEastAsia" w:eastAsiaTheme="minorEastAsia" w:cstheme="minorEastAsia"/>
          <w:b/>
          <w:bCs/>
          <w:color w:val="000000"/>
          <w:kern w:val="0"/>
          <w:sz w:val="24"/>
          <w:lang w:val="en-US" w:eastAsia="zh-CN" w:bidi="ar"/>
        </w:rPr>
        <w:t>3</w:t>
      </w:r>
      <w:r>
        <w:rPr>
          <w:rFonts w:hint="eastAsia" w:asciiTheme="minorEastAsia" w:hAnsiTheme="minorEastAsia" w:eastAsiaTheme="minorEastAsia" w:cstheme="minorEastAsia"/>
          <w:b/>
          <w:bCs/>
          <w:color w:val="000000"/>
          <w:kern w:val="0"/>
          <w:sz w:val="24"/>
          <w:lang w:bidi="ar"/>
        </w:rPr>
        <w:t xml:space="preserve"> 服务质量保证承诺</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各供应商根据项目采购需求的相关要求自行作出承诺，格式自拟。 </w:t>
      </w: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color w:val="000000"/>
          <w:kern w:val="0"/>
          <w:sz w:val="24"/>
          <w:lang w:bidi="ar"/>
        </w:rPr>
      </w:pP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供应商（盖章）：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法定代表人或委托代理人（签字或盖章）： </w:t>
      </w:r>
    </w:p>
    <w:p>
      <w:pPr>
        <w:widowControl/>
        <w:spacing w:line="360" w:lineRule="auto"/>
        <w:jc w:val="left"/>
        <w:rPr>
          <w:rFonts w:ascii="宋体" w:hAnsi="宋体" w:cs="宋体"/>
          <w:b/>
          <w:sz w:val="24"/>
        </w:rPr>
      </w:pPr>
      <w:r>
        <w:rPr>
          <w:rFonts w:hint="eastAsia" w:asciiTheme="minorEastAsia" w:hAnsiTheme="minorEastAsia" w:eastAsiaTheme="minorEastAsia" w:cstheme="minorEastAsia"/>
          <w:color w:val="000000"/>
          <w:kern w:val="0"/>
          <w:sz w:val="24"/>
          <w:lang w:bidi="ar"/>
        </w:rPr>
        <w:t>年    月    日</w:t>
      </w:r>
    </w:p>
    <w:p>
      <w:pPr>
        <w:pageBreakBefore/>
        <w:jc w:val="center"/>
        <w:rPr>
          <w:rFonts w:ascii="宋体" w:hAnsi="宋体" w:cs="宋体"/>
          <w:b/>
          <w:sz w:val="24"/>
        </w:rPr>
      </w:pPr>
      <w:r>
        <w:rPr>
          <w:rFonts w:hint="eastAsia" w:ascii="宋体" w:hAnsi="宋体" w:cs="宋体"/>
          <w:b/>
          <w:sz w:val="24"/>
        </w:rPr>
        <w:t>格式1</w:t>
      </w:r>
      <w:r>
        <w:rPr>
          <w:rFonts w:hint="eastAsia" w:ascii="宋体" w:hAnsi="宋体" w:cs="宋体"/>
          <w:b/>
          <w:sz w:val="24"/>
          <w:lang w:val="en-US" w:eastAsia="zh-CN"/>
        </w:rPr>
        <w:t>4</w:t>
      </w:r>
      <w:r>
        <w:rPr>
          <w:rFonts w:hint="eastAsia" w:ascii="宋体" w:hAnsi="宋体" w:cs="宋体"/>
          <w:b/>
          <w:sz w:val="24"/>
        </w:rPr>
        <w:t xml:space="preserve"> 资格性/符合性自查表</w:t>
      </w:r>
    </w:p>
    <w:tbl>
      <w:tblPr>
        <w:tblStyle w:val="23"/>
        <w:tblW w:w="9007"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1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79" w:hRule="exact"/>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Theme="minorEastAsia" w:hAnsiTheme="minorEastAsia" w:eastAsiaTheme="minorEastAsia" w:cstheme="minorEastAsia"/>
                <w:b/>
                <w:bCs/>
                <w:spacing w:val="10"/>
                <w:sz w:val="24"/>
                <w:lang w:eastAsia="zh-CN"/>
              </w:rPr>
            </w:pPr>
            <w:r>
              <w:rPr>
                <w:rFonts w:hint="eastAsia" w:asciiTheme="minorEastAsia" w:hAnsiTheme="minorEastAsia" w:eastAsiaTheme="minorEastAsia" w:cstheme="minorEastAsia"/>
                <w:b/>
                <w:bCs/>
                <w:spacing w:val="10"/>
                <w:sz w:val="24"/>
              </w:rPr>
              <w:t>磋商文件要求</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自查结论</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left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□通过 □不通过</w:t>
            </w:r>
          </w:p>
        </w:tc>
        <w:tc>
          <w:tcPr>
            <w:tcW w:w="221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见响应文件第（）页</w:t>
            </w:r>
          </w:p>
        </w:tc>
      </w:tr>
    </w:tbl>
    <w:p>
      <w:pPr>
        <w:spacing w:line="360" w:lineRule="auto"/>
        <w:jc w:val="left"/>
        <w:rPr>
          <w:rFonts w:ascii="宋体" w:hAnsi="宋体" w:cs="宋体"/>
          <w:sz w:val="24"/>
        </w:rPr>
      </w:pPr>
      <w:r>
        <w:rPr>
          <w:rFonts w:hint="eastAsia" w:ascii="宋体" w:hAnsi="宋体" w:cs="宋体"/>
          <w:sz w:val="24"/>
        </w:rPr>
        <w:t>注：1、以上材料将作为响应供应商有效性审核的重要内容之一，供应商必须严格按照其内容及序列要求在响应文件中对应如实提供，对资格性和符合性证明文件的任何缺漏和不符合项将会直接导致响应文件无效！供应商根据自查结论在对应的□打“√”。</w:t>
      </w:r>
    </w:p>
    <w:p>
      <w:pPr>
        <w:spacing w:line="360" w:lineRule="auto"/>
        <w:jc w:val="left"/>
        <w:rPr>
          <w:rFonts w:ascii="宋体" w:hAnsi="宋体" w:cs="宋体"/>
          <w:b/>
          <w:bCs/>
          <w:sz w:val="28"/>
          <w:szCs w:val="28"/>
        </w:rPr>
      </w:pPr>
      <w:r>
        <w:rPr>
          <w:rFonts w:hint="eastAsia" w:ascii="宋体" w:hAnsi="宋体" w:cs="宋体"/>
          <w:sz w:val="24"/>
        </w:rPr>
        <w:t>2、各供应商按此表格式填写，表格不够时可自行添加。</w:t>
      </w:r>
    </w:p>
    <w:p>
      <w:pPr>
        <w:rPr>
          <w:rFonts w:ascii="宋体"/>
          <w:sz w:val="24"/>
        </w:rPr>
      </w:pPr>
    </w:p>
    <w:p>
      <w:pPr>
        <w:spacing w:line="360" w:lineRule="auto"/>
        <w:jc w:val="center"/>
        <w:rPr>
          <w:rFonts w:ascii="宋体" w:hAnsi="宋体" w:cs="宋体"/>
          <w:b/>
          <w:bCs/>
          <w:sz w:val="30"/>
          <w:szCs w:val="30"/>
        </w:rPr>
      </w:pPr>
      <w:r>
        <w:rPr>
          <w:rFonts w:hint="eastAsia" w:asciiTheme="minorEastAsia" w:hAnsiTheme="minorEastAsia" w:eastAsiaTheme="minorEastAsia" w:cstheme="minorEastAsia"/>
          <w:b/>
          <w:bCs/>
          <w:sz w:val="24"/>
          <w:szCs w:val="21"/>
        </w:rPr>
        <w:t>磋商文件要求提供的其它材料以及供应商认为需要提交的材料</w:t>
      </w: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r>
        <w:rPr>
          <w:rFonts w:hint="eastAsia" w:ascii="宋体" w:hAnsi="宋体" w:cs="宋体"/>
          <w:b/>
          <w:bCs/>
          <w:sz w:val="30"/>
          <w:szCs w:val="30"/>
        </w:rPr>
        <w:t>第六章 评标标准（综合评分法）</w:t>
      </w:r>
    </w:p>
    <w:p>
      <w:pPr>
        <w:spacing w:line="360" w:lineRule="auto"/>
        <w:rPr>
          <w:rFonts w:ascii="宋体" w:hAnsi="宋体" w:cs="宋体"/>
          <w:b/>
          <w:bCs/>
          <w:sz w:val="24"/>
        </w:rPr>
      </w:pPr>
      <w:r>
        <w:rPr>
          <w:rFonts w:hint="eastAsia" w:ascii="宋体" w:hAnsi="宋体" w:cs="宋体"/>
          <w:b/>
          <w:bCs/>
          <w:sz w:val="24"/>
        </w:rPr>
        <w:t>1、资格性审查</w:t>
      </w:r>
    </w:p>
    <w:tbl>
      <w:tblPr>
        <w:tblStyle w:val="2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205"/>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620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评审因素</w:t>
            </w:r>
          </w:p>
        </w:tc>
        <w:tc>
          <w:tcPr>
            <w:tcW w:w="2259"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6205" w:type="dxa"/>
            <w:vAlign w:val="center"/>
          </w:tcPr>
          <w:p>
            <w:pP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满足《中华人民共和国政府采购法》第二十二条规定</w:t>
            </w:r>
          </w:p>
        </w:tc>
        <w:tc>
          <w:tcPr>
            <w:tcW w:w="2259"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7" w:hRule="atLeast"/>
          <w:jc w:val="center"/>
        </w:trPr>
        <w:tc>
          <w:tcPr>
            <w:tcW w:w="7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6205"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根据《财政部关于在政府采购活动中查询及使用信用记录有关问题的通知》（财库﹝2016﹞125号）的要求，凡拟参加本次采购项目的供应商，供应商未被列入“信用中国”网站（www.creditchina.gov.cn）失信被执行人、重大税收违法案件当事人名单及中国政府采购网（www.ccgp.gov.cn）“政府采购严重违法失信行为信息记录”</w:t>
            </w:r>
          </w:p>
        </w:tc>
        <w:tc>
          <w:tcPr>
            <w:tcW w:w="2259" w:type="dxa"/>
            <w:vAlign w:val="center"/>
          </w:tcPr>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36"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6205" w:type="dxa"/>
            <w:vAlign w:val="center"/>
          </w:tcPr>
          <w:p>
            <w:pP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sz w:val="24"/>
                <w:lang w:val="zh-CN"/>
              </w:rPr>
              <w:t>联合体</w:t>
            </w:r>
          </w:p>
        </w:tc>
        <w:tc>
          <w:tcPr>
            <w:tcW w:w="2259" w:type="dxa"/>
            <w:vAlign w:val="center"/>
          </w:tcPr>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符合磋商文件规定</w:t>
            </w:r>
          </w:p>
        </w:tc>
      </w:tr>
    </w:tbl>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2、符合性审查</w:t>
      </w:r>
    </w:p>
    <w:tbl>
      <w:tblPr>
        <w:tblStyle w:val="23"/>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42"/>
        <w:gridCol w:w="2482"/>
        <w:gridCol w:w="5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8" w:type="dxa"/>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3524" w:type="dxa"/>
            <w:gridSpan w:val="2"/>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评审因素</w:t>
            </w:r>
          </w:p>
        </w:tc>
        <w:tc>
          <w:tcPr>
            <w:tcW w:w="5052" w:type="dxa"/>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58" w:type="dxa"/>
            <w:vMerge w:val="restart"/>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1042" w:type="dxa"/>
            <w:vMerge w:val="restart"/>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有效性审查</w:t>
            </w: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w:t>
            </w:r>
            <w:r>
              <w:rPr>
                <w:rFonts w:hint="eastAsia" w:asciiTheme="minorEastAsia" w:hAnsiTheme="minorEastAsia" w:eastAsiaTheme="minorEastAsia" w:cstheme="minorEastAsia"/>
                <w:sz w:val="24"/>
              </w:rPr>
              <w:t>签署</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w:t>
            </w:r>
            <w:r>
              <w:rPr>
                <w:rFonts w:hint="eastAsia" w:asciiTheme="minorEastAsia" w:hAnsiTheme="minorEastAsia" w:eastAsiaTheme="minorEastAsia" w:cstheme="minorEastAsia"/>
                <w:sz w:val="24"/>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2482"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法定代表人身份证明及授权委托书</w:t>
            </w:r>
          </w:p>
        </w:tc>
        <w:tc>
          <w:tcPr>
            <w:tcW w:w="5052" w:type="dxa"/>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法定代表人身份证明及授权委托书有效，且符合磋商文件规定的格式，签字或盖章齐全。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58" w:type="dxa"/>
            <w:vMerge w:val="restart"/>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042" w:type="dxa"/>
            <w:vMerge w:val="restart"/>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完整性审查</w:t>
            </w: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响应文件份数</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响应文件正副本等响应文件数量符合</w:t>
            </w:r>
            <w:r>
              <w:rPr>
                <w:rFonts w:hint="eastAsia" w:asciiTheme="minorEastAsia" w:hAnsiTheme="minorEastAsia" w:eastAsiaTheme="minorEastAsia" w:cstheme="minorEastAsia"/>
                <w:kern w:val="0"/>
                <w:sz w:val="24"/>
              </w:rPr>
              <w:t>磋商文件</w:t>
            </w:r>
            <w:r>
              <w:rPr>
                <w:rFonts w:hint="eastAsia" w:asciiTheme="minorEastAsia" w:hAnsiTheme="minorEastAsia" w:eastAsiaTheme="minorEastAsia" w:cstheme="minorEastAsia"/>
                <w:sz w:val="24"/>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2482" w:type="dxa"/>
            <w:vAlign w:val="center"/>
          </w:tcPr>
          <w:p>
            <w:pPr>
              <w:spacing w:line="360" w:lineRule="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响应文件内容</w:t>
            </w:r>
          </w:p>
        </w:tc>
        <w:tc>
          <w:tcPr>
            <w:tcW w:w="5052" w:type="dxa"/>
            <w:vAlign w:val="center"/>
          </w:tcPr>
          <w:p>
            <w:pPr>
              <w:spacing w:line="360" w:lineRule="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8" w:type="dxa"/>
            <w:vMerge w:val="restart"/>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1042" w:type="dxa"/>
            <w:vMerge w:val="restart"/>
            <w:vAlign w:val="center"/>
          </w:tcPr>
          <w:p>
            <w:pPr>
              <w:spacing w:line="360" w:lineRule="auto"/>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磋商文件的响应程度审查</w:t>
            </w: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w:t>
            </w:r>
            <w:r>
              <w:rPr>
                <w:rFonts w:hint="eastAsia" w:asciiTheme="minorEastAsia" w:hAnsiTheme="minorEastAsia" w:eastAsiaTheme="minorEastAsia" w:cstheme="minorEastAsia"/>
                <w:kern w:val="0"/>
                <w:sz w:val="24"/>
              </w:rPr>
              <w:t>内容</w:t>
            </w:r>
          </w:p>
        </w:tc>
        <w:tc>
          <w:tcPr>
            <w:tcW w:w="5052" w:type="dxa"/>
            <w:vAlign w:val="center"/>
          </w:tcPr>
          <w:p>
            <w:pPr>
              <w:pStyle w:val="10"/>
              <w:spacing w:line="360" w:lineRule="auto"/>
              <w:ind w:left="0" w:leftChars="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对磋商文件规定的内容全部做出响应。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rPr>
                <w:rFonts w:asciiTheme="minorEastAsia" w:hAnsiTheme="minorEastAsia" w:eastAsiaTheme="minorEastAsia" w:cstheme="minorEastAsia"/>
                <w:kern w:val="0"/>
                <w:sz w:val="24"/>
              </w:rPr>
            </w:pP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质量技术</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满足磋商文件提出的质量、技术要求。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rPr>
                <w:rFonts w:asciiTheme="minorEastAsia" w:hAnsiTheme="minorEastAsia" w:eastAsiaTheme="minorEastAsia" w:cstheme="minorEastAsia"/>
                <w:kern w:val="0"/>
                <w:sz w:val="24"/>
              </w:rPr>
            </w:pPr>
          </w:p>
        </w:tc>
        <w:tc>
          <w:tcPr>
            <w:tcW w:w="2482" w:type="dxa"/>
            <w:vAlign w:val="center"/>
          </w:tcPr>
          <w:p>
            <w:pPr>
              <w:spacing w:line="360" w:lineRule="auto"/>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交货期与质量保证期</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满足磋商文件</w:t>
            </w:r>
            <w:r>
              <w:rPr>
                <w:rFonts w:hint="eastAsia" w:asciiTheme="minorEastAsia" w:hAnsiTheme="minorEastAsia" w:eastAsiaTheme="minorEastAsia" w:cstheme="minorEastAsia"/>
                <w:sz w:val="24"/>
                <w:lang w:val="zh-CN"/>
              </w:rPr>
              <w:t>规定</w:t>
            </w: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rPr>
                <w:rFonts w:asciiTheme="minorEastAsia" w:hAnsiTheme="minorEastAsia" w:eastAsiaTheme="minorEastAsia" w:cstheme="minorEastAsia"/>
                <w:kern w:val="0"/>
                <w:sz w:val="24"/>
              </w:rPr>
            </w:pP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售后服务</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满足磋商文件</w:t>
            </w:r>
            <w:r>
              <w:rPr>
                <w:rFonts w:hint="eastAsia" w:asciiTheme="minorEastAsia" w:hAnsiTheme="minorEastAsia" w:eastAsiaTheme="minorEastAsia" w:cstheme="minorEastAsia"/>
                <w:sz w:val="24"/>
                <w:lang w:val="zh-CN"/>
              </w:rPr>
              <w:t>规定</w:t>
            </w:r>
            <w:r>
              <w:rPr>
                <w:rFonts w:hint="eastAsia" w:asciiTheme="minorEastAsia" w:hAnsiTheme="minorEastAsia" w:eastAsiaTheme="minorEastAsia" w:cstheme="minor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8" w:type="dxa"/>
            <w:vMerge w:val="continue"/>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vAlign w:val="center"/>
          </w:tcPr>
          <w:p>
            <w:pPr>
              <w:spacing w:line="360" w:lineRule="auto"/>
              <w:rPr>
                <w:rFonts w:asciiTheme="minorEastAsia" w:hAnsiTheme="minorEastAsia" w:eastAsiaTheme="minorEastAsia" w:cstheme="minorEastAsia"/>
                <w:sz w:val="24"/>
                <w:lang w:val="zh-CN"/>
              </w:rPr>
            </w:pPr>
          </w:p>
        </w:tc>
        <w:tc>
          <w:tcPr>
            <w:tcW w:w="248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响应文件</w:t>
            </w:r>
            <w:r>
              <w:rPr>
                <w:rFonts w:hint="eastAsia" w:asciiTheme="minorEastAsia" w:hAnsiTheme="minorEastAsia" w:eastAsiaTheme="minorEastAsia" w:cstheme="minorEastAsia"/>
                <w:kern w:val="0"/>
                <w:sz w:val="24"/>
              </w:rPr>
              <w:t>有效期</w:t>
            </w:r>
          </w:p>
        </w:tc>
        <w:tc>
          <w:tcPr>
            <w:tcW w:w="5052" w:type="dxa"/>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满足磋商文件</w:t>
            </w:r>
            <w:r>
              <w:rPr>
                <w:rFonts w:hint="eastAsia" w:asciiTheme="minorEastAsia" w:hAnsiTheme="minorEastAsia" w:eastAsiaTheme="minorEastAsia" w:cstheme="minorEastAsia"/>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58" w:type="dxa"/>
            <w:vMerge w:val="continue"/>
            <w:tcBorders>
              <w:bottom w:val="single" w:color="auto" w:sz="4" w:space="0"/>
            </w:tcBorders>
            <w:vAlign w:val="center"/>
          </w:tcPr>
          <w:p>
            <w:pPr>
              <w:spacing w:line="360" w:lineRule="auto"/>
              <w:jc w:val="center"/>
              <w:rPr>
                <w:rFonts w:asciiTheme="minorEastAsia" w:hAnsiTheme="minorEastAsia" w:eastAsiaTheme="minorEastAsia" w:cstheme="minorEastAsia"/>
                <w:kern w:val="0"/>
                <w:sz w:val="24"/>
              </w:rPr>
            </w:pPr>
          </w:p>
        </w:tc>
        <w:tc>
          <w:tcPr>
            <w:tcW w:w="1042" w:type="dxa"/>
            <w:vMerge w:val="continue"/>
            <w:tcBorders>
              <w:bottom w:val="single" w:color="auto" w:sz="4" w:space="0"/>
            </w:tcBorders>
            <w:vAlign w:val="center"/>
          </w:tcPr>
          <w:p>
            <w:pPr>
              <w:spacing w:line="360" w:lineRule="auto"/>
              <w:rPr>
                <w:rFonts w:asciiTheme="minorEastAsia" w:hAnsiTheme="minorEastAsia" w:eastAsiaTheme="minorEastAsia" w:cstheme="minorEastAsia"/>
                <w:sz w:val="24"/>
                <w:lang w:val="zh-CN"/>
              </w:rPr>
            </w:pPr>
          </w:p>
        </w:tc>
        <w:tc>
          <w:tcPr>
            <w:tcW w:w="2482" w:type="dxa"/>
            <w:tcBorders>
              <w:bottom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其他</w:t>
            </w:r>
          </w:p>
        </w:tc>
        <w:tc>
          <w:tcPr>
            <w:tcW w:w="5052" w:type="dxa"/>
            <w:tcBorders>
              <w:bottom w:val="single" w:color="auto" w:sz="4" w:space="0"/>
            </w:tcBorders>
            <w:vAlign w:val="center"/>
          </w:tcPr>
          <w:p>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满足磋商文件相关</w:t>
            </w:r>
            <w:r>
              <w:rPr>
                <w:rFonts w:hint="eastAsia" w:asciiTheme="minorEastAsia" w:hAnsiTheme="minorEastAsia" w:eastAsiaTheme="minorEastAsia" w:cstheme="minorEastAsia"/>
                <w:sz w:val="24"/>
                <w:lang w:val="zh-CN"/>
              </w:rPr>
              <w:t>规定。</w:t>
            </w:r>
          </w:p>
        </w:tc>
      </w:tr>
    </w:tbl>
    <w:p>
      <w:pPr>
        <w:rPr>
          <w:rFonts w:ascii="宋体" w:hAnsi="宋体" w:cs="宋体"/>
          <w:b/>
          <w:sz w:val="24"/>
        </w:rPr>
        <w:sectPr>
          <w:footerReference r:id="rId6" w:type="default"/>
          <w:pgSz w:w="11906" w:h="16838"/>
          <w:pgMar w:top="1440" w:right="1486" w:bottom="1440" w:left="1600" w:header="851" w:footer="992" w:gutter="0"/>
          <w:pgNumType w:fmt="numberInDash" w:start="1"/>
          <w:cols w:space="425" w:num="1"/>
          <w:docGrid w:type="lines" w:linePitch="312" w:charSpace="0"/>
        </w:sectPr>
      </w:pPr>
      <w:r>
        <w:rPr>
          <w:rFonts w:hint="eastAsia" w:ascii="宋体" w:hAnsi="宋体" w:cs="宋体"/>
          <w:b/>
          <w:sz w:val="24"/>
        </w:rPr>
        <w:t>注：以上评审内容，有一项不通过者，视为供应商初步评审不通过，未通过初审的其响应文件将按照无效响应处理。</w:t>
      </w:r>
    </w:p>
    <w:p>
      <w:pPr>
        <w:spacing w:before="38"/>
        <w:jc w:val="left"/>
        <w:rPr>
          <w:sz w:val="24"/>
        </w:rPr>
      </w:pPr>
      <w:r>
        <w:rPr>
          <w:rFonts w:hint="eastAsia" w:ascii="宋体" w:hAnsi="宋体" w:cs="宋体"/>
          <w:b/>
          <w:bCs/>
          <w:sz w:val="24"/>
        </w:rPr>
        <w:t>3、评分</w:t>
      </w:r>
    </w:p>
    <w:p>
      <w:pPr>
        <w:spacing w:before="38"/>
        <w:ind w:firstLine="480" w:firstLineChars="200"/>
        <w:jc w:val="left"/>
        <w:rPr>
          <w:rFonts w:ascii="宋体" w:hAnsi="宋体" w:cs="宋体"/>
          <w:sz w:val="24"/>
        </w:rPr>
      </w:pPr>
      <w:r>
        <w:rPr>
          <w:rFonts w:hint="eastAsia" w:ascii="宋体" w:hAnsi="宋体" w:cs="宋体"/>
          <w:sz w:val="24"/>
        </w:rPr>
        <w:t>本项目评审采用</w:t>
      </w:r>
      <w:r>
        <w:rPr>
          <w:rFonts w:hint="eastAsia" w:ascii="宋体" w:hAnsi="宋体" w:cs="宋体"/>
          <w:b/>
          <w:bCs/>
          <w:sz w:val="24"/>
        </w:rPr>
        <w:t>综合评分法</w:t>
      </w:r>
      <w:r>
        <w:rPr>
          <w:rFonts w:hint="eastAsia" w:ascii="宋体" w:hAnsi="宋体" w:cs="宋体"/>
          <w:sz w:val="24"/>
        </w:rPr>
        <w:t>。</w:t>
      </w:r>
    </w:p>
    <w:tbl>
      <w:tblPr>
        <w:tblStyle w:val="23"/>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6"/>
        <w:gridCol w:w="928"/>
        <w:gridCol w:w="6692"/>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666" w:type="dxa"/>
            <w:shd w:val="clear" w:color="auto" w:fill="auto"/>
            <w:vAlign w:val="center"/>
          </w:tcPr>
          <w:p>
            <w:pPr>
              <w:widowControl/>
              <w:spacing w:line="360" w:lineRule="auto"/>
              <w:jc w:val="center"/>
              <w:textAlignment w:val="center"/>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rPr>
              <w:t>序号</w:t>
            </w:r>
          </w:p>
        </w:tc>
        <w:tc>
          <w:tcPr>
            <w:tcW w:w="928"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kern w:val="0"/>
                <w:sz w:val="21"/>
                <w:szCs w:val="21"/>
              </w:rPr>
              <w:t>评分</w:t>
            </w:r>
            <w:r>
              <w:rPr>
                <w:rFonts w:hint="eastAsia" w:asciiTheme="minorEastAsia" w:hAnsiTheme="minorEastAsia" w:eastAsiaTheme="minorEastAsia" w:cstheme="minorEastAsia"/>
                <w:b w:val="0"/>
                <w:bCs/>
                <w:kern w:val="0"/>
                <w:sz w:val="21"/>
                <w:szCs w:val="21"/>
                <w:lang w:val="en-US" w:eastAsia="zh-CN"/>
              </w:rPr>
              <w:t>指标</w:t>
            </w:r>
          </w:p>
        </w:tc>
        <w:tc>
          <w:tcPr>
            <w:tcW w:w="6692" w:type="dxa"/>
            <w:shd w:val="clear" w:color="auto" w:fill="auto"/>
            <w:vAlign w:val="center"/>
          </w:tcPr>
          <w:p>
            <w:pPr>
              <w:widowControl/>
              <w:spacing w:line="360" w:lineRule="auto"/>
              <w:jc w:val="center"/>
              <w:textAlignment w:val="center"/>
              <w:rPr>
                <w:rFonts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kern w:val="0"/>
                <w:sz w:val="21"/>
                <w:szCs w:val="21"/>
              </w:rPr>
              <w:t>评标标准</w:t>
            </w:r>
          </w:p>
        </w:tc>
        <w:tc>
          <w:tcPr>
            <w:tcW w:w="576"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666" w:type="dxa"/>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1</w:t>
            </w:r>
          </w:p>
        </w:tc>
        <w:tc>
          <w:tcPr>
            <w:tcW w:w="928" w:type="dxa"/>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价格分</w:t>
            </w:r>
            <w:r>
              <w:rPr>
                <w:rFonts w:hint="eastAsia" w:asciiTheme="minorEastAsia" w:hAnsiTheme="minorEastAsia" w:eastAsiaTheme="minorEastAsia" w:cstheme="minorEastAsia"/>
                <w:bCs/>
                <w:kern w:val="0"/>
                <w:szCs w:val="21"/>
                <w:lang w:eastAsia="zh-CN"/>
              </w:rPr>
              <w:t>（</w:t>
            </w:r>
            <w:r>
              <w:rPr>
                <w:rFonts w:hint="eastAsia" w:asciiTheme="minorEastAsia" w:hAnsiTheme="minorEastAsia" w:eastAsiaTheme="minorEastAsia" w:cstheme="minorEastAsia"/>
                <w:bCs/>
                <w:kern w:val="0"/>
                <w:szCs w:val="21"/>
                <w:lang w:val="en-US" w:eastAsia="zh-CN"/>
              </w:rPr>
              <w:t>3</w:t>
            </w:r>
            <w:r>
              <w:rPr>
                <w:rFonts w:hint="eastAsia" w:asciiTheme="minorEastAsia" w:hAnsiTheme="minorEastAsia" w:eastAsiaTheme="minorEastAsia" w:cstheme="minorEastAsia"/>
                <w:bCs/>
                <w:kern w:val="0"/>
                <w:szCs w:val="21"/>
              </w:rPr>
              <w:t>0分</w:t>
            </w:r>
            <w:r>
              <w:rPr>
                <w:rFonts w:hint="eastAsia" w:asciiTheme="minorEastAsia" w:hAnsiTheme="minorEastAsia" w:eastAsiaTheme="minorEastAsia" w:cstheme="minorEastAsia"/>
                <w:bCs/>
                <w:kern w:val="0"/>
                <w:szCs w:val="21"/>
                <w:lang w:eastAsia="zh-CN"/>
              </w:rPr>
              <w:t>）</w:t>
            </w:r>
          </w:p>
        </w:tc>
        <w:tc>
          <w:tcPr>
            <w:tcW w:w="6692" w:type="dxa"/>
            <w:shd w:val="clear" w:color="auto" w:fill="auto"/>
            <w:vAlign w:val="center"/>
          </w:tcPr>
          <w:p>
            <w:pPr>
              <w:widowControl/>
              <w:spacing w:line="360" w:lineRule="auto"/>
              <w:textAlignment w:val="center"/>
            </w:pPr>
            <w:r>
              <w:rPr>
                <w:rFonts w:hint="eastAsia"/>
              </w:rPr>
              <w:t>满足</w:t>
            </w:r>
            <w:r>
              <w:rPr>
                <w:rFonts w:hint="eastAsia"/>
                <w:lang w:eastAsia="zh-CN"/>
              </w:rPr>
              <w:t>磋商文件</w:t>
            </w:r>
            <w:r>
              <w:rPr>
                <w:rFonts w:hint="eastAsia"/>
              </w:rPr>
              <w:t xml:space="preserve">要求且最后报价所有供应商的最低价格为磋商基准价，其价格分为满分,其他供应商的价格分按公式计算: </w:t>
            </w:r>
          </w:p>
          <w:p>
            <w:pPr>
              <w:widowControl/>
              <w:spacing w:line="360" w:lineRule="auto"/>
              <w:textAlignment w:val="center"/>
              <w:rPr>
                <w:rFonts w:hint="eastAsia"/>
              </w:rPr>
            </w:pPr>
            <w:r>
              <w:rPr>
                <w:rFonts w:hint="eastAsia"/>
              </w:rPr>
              <w:t>磋商报价得分=（磋商基准价/最后磋商报价）×</w:t>
            </w:r>
            <w:r>
              <w:rPr>
                <w:rFonts w:hint="eastAsia"/>
                <w:lang w:val="en-US" w:eastAsia="zh-CN"/>
              </w:rPr>
              <w:t>30</w:t>
            </w:r>
            <w:r>
              <w:rPr>
                <w:rFonts w:hint="eastAsia"/>
              </w:rPr>
              <w:t>%×100</w:t>
            </w:r>
          </w:p>
          <w:p>
            <w:pPr>
              <w:pStyle w:val="2"/>
              <w:spacing w:line="360" w:lineRule="auto"/>
              <w:rPr>
                <w:rFonts w:hint="eastAsia"/>
                <w:lang w:val="en-US" w:eastAsia="zh-CN"/>
              </w:rPr>
            </w:pPr>
            <w:r>
              <w:rPr>
                <w:rFonts w:hint="eastAsia"/>
                <w:lang w:val="en-US" w:eastAsia="zh-CN"/>
              </w:rPr>
              <w:t>注：1、报价得分精确到小数点后两位；</w:t>
            </w:r>
          </w:p>
          <w:p>
            <w:pPr>
              <w:pStyle w:val="2"/>
              <w:spacing w:line="360" w:lineRule="auto"/>
              <w:rPr>
                <w:rFonts w:hint="eastAsia"/>
                <w:lang w:val="en-US" w:eastAsia="zh-CN"/>
              </w:rPr>
            </w:pPr>
            <w:r>
              <w:rPr>
                <w:rFonts w:hint="eastAsia" w:ascii="宋体" w:hAnsi="宋体" w:eastAsia="宋体" w:cs="宋体"/>
                <w:lang w:val="en-US" w:eastAsia="zh-CN"/>
              </w:rPr>
              <w:t>2、</w:t>
            </w:r>
            <w:r>
              <w:rPr>
                <w:rFonts w:hint="eastAsia"/>
                <w:lang w:val="en-US" w:eastAsia="zh-CN"/>
              </w:rPr>
              <w:t>无效投标的报价不计入价格分值的计算；</w:t>
            </w:r>
          </w:p>
          <w:p>
            <w:pPr>
              <w:pStyle w:val="2"/>
              <w:spacing w:line="360" w:lineRule="auto"/>
              <w:rPr>
                <w:lang w:val="en-US" w:eastAsia="zh-CN"/>
              </w:rPr>
            </w:pPr>
            <w:r>
              <w:rPr>
                <w:rFonts w:hint="eastAsia"/>
                <w:lang w:val="en-US" w:eastAsia="zh-CN"/>
              </w:rPr>
              <w:t>说明：对小型、微型企业的价格给予6%的扣除，用扣除后的价格参与评审。</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666" w:type="dxa"/>
            <w:vMerge w:val="restart"/>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2</w:t>
            </w:r>
          </w:p>
        </w:tc>
        <w:tc>
          <w:tcPr>
            <w:tcW w:w="928" w:type="dxa"/>
            <w:vMerge w:val="restart"/>
            <w:shd w:val="clear" w:color="auto" w:fill="auto"/>
            <w:vAlign w:val="center"/>
          </w:tcPr>
          <w:p>
            <w:pPr>
              <w:widowControl/>
              <w:spacing w:line="360" w:lineRule="auto"/>
              <w:jc w:val="left"/>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履约能力</w:t>
            </w:r>
          </w:p>
          <w:p>
            <w:pPr>
              <w:widowControl/>
              <w:spacing w:line="360" w:lineRule="auto"/>
              <w:jc w:val="left"/>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lang w:val="en-US" w:eastAsia="zh-CN"/>
              </w:rPr>
              <w:t>（20</w:t>
            </w:r>
            <w:r>
              <w:rPr>
                <w:rFonts w:hint="eastAsia" w:asciiTheme="minorEastAsia" w:hAnsiTheme="minorEastAsia" w:eastAsiaTheme="minorEastAsia" w:cstheme="minorEastAsia"/>
                <w:bCs/>
                <w:kern w:val="0"/>
                <w:szCs w:val="21"/>
              </w:rPr>
              <w:t>分</w:t>
            </w:r>
            <w:r>
              <w:rPr>
                <w:rFonts w:hint="eastAsia" w:asciiTheme="minorEastAsia" w:hAnsiTheme="minorEastAsia" w:eastAsiaTheme="minorEastAsia" w:cstheme="minorEastAsia"/>
                <w:bCs/>
                <w:kern w:val="0"/>
                <w:szCs w:val="21"/>
                <w:lang w:val="en-US" w:eastAsia="zh-CN"/>
              </w:rPr>
              <w:t>）</w:t>
            </w:r>
          </w:p>
        </w:tc>
        <w:tc>
          <w:tcPr>
            <w:tcW w:w="6692" w:type="dxa"/>
            <w:shd w:val="clear" w:color="auto" w:fill="auto"/>
            <w:vAlign w:val="center"/>
          </w:tcPr>
          <w:p>
            <w:pPr>
              <w:widowControl/>
              <w:spacing w:line="360" w:lineRule="auto"/>
              <w:textAlignment w:val="center"/>
              <w:rPr>
                <w:rFonts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szCs w:val="21"/>
              </w:rPr>
              <w:t>近三年（自2018年1月1日至今）内具有类似项目业绩（提供业绩清单及相关证明材料复印件并加盖公章）每项加</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分，最多得</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分，无证明材料得0分。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widowControl/>
              <w:spacing w:line="360" w:lineRule="auto"/>
              <w:textAlignment w:val="center"/>
              <w:rPr>
                <w:rFonts w:hint="eastAsia" w:asciiTheme="minorEastAsia" w:hAnsiTheme="minorEastAsia" w:eastAsiaTheme="minorEastAsia" w:cstheme="minorEastAsia"/>
                <w:bCs/>
                <w:kern w:val="0"/>
                <w:sz w:val="21"/>
                <w:szCs w:val="21"/>
                <w:highlight w:val="yellow"/>
                <w:lang w:val="en-US" w:eastAsia="zh-CN" w:bidi="ar-SA"/>
              </w:rPr>
            </w:pPr>
            <w:r>
              <w:rPr>
                <w:rFonts w:hint="eastAsia" w:ascii="宋体" w:hAnsi="宋体" w:cs="宋体"/>
                <w:color w:val="auto"/>
                <w:kern w:val="0"/>
                <w:sz w:val="21"/>
                <w:szCs w:val="21"/>
                <w:highlight w:val="none"/>
                <w:lang w:val="en-US" w:eastAsia="zh-CN"/>
              </w:rPr>
              <w:t>质量保证期</w:t>
            </w:r>
            <w:r>
              <w:rPr>
                <w:rFonts w:hint="eastAsia" w:ascii="宋体" w:hAnsi="宋体" w:cs="宋体"/>
                <w:color w:val="auto"/>
                <w:kern w:val="0"/>
                <w:sz w:val="21"/>
                <w:szCs w:val="21"/>
                <w:highlight w:val="none"/>
              </w:rPr>
              <w:t>不少于</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年，每增加</w:t>
            </w:r>
            <w:r>
              <w:rPr>
                <w:rFonts w:hint="eastAsia" w:ascii="宋体" w:hAnsi="宋体" w:cs="宋体"/>
                <w:color w:val="auto"/>
                <w:kern w:val="0"/>
                <w:sz w:val="21"/>
                <w:szCs w:val="21"/>
                <w:highlight w:val="none"/>
                <w:lang w:val="en-US" w:eastAsia="zh-CN"/>
              </w:rPr>
              <w:t>3个月</w:t>
            </w:r>
            <w:r>
              <w:rPr>
                <w:rFonts w:hint="eastAsia" w:ascii="宋体" w:hAnsi="宋体" w:cs="宋体"/>
                <w:color w:val="auto"/>
                <w:kern w:val="0"/>
                <w:sz w:val="21"/>
                <w:szCs w:val="21"/>
                <w:highlight w:val="none"/>
              </w:rPr>
              <w:t>得</w:t>
            </w:r>
            <w:r>
              <w:rPr>
                <w:rFonts w:hint="eastAsia" w:ascii="宋体" w:hAnsi="宋体" w:cs="宋体"/>
                <w:color w:val="auto"/>
                <w:kern w:val="0"/>
                <w:sz w:val="21"/>
                <w:szCs w:val="21"/>
                <w:highlight w:val="none"/>
                <w:lang w:val="en-US" w:eastAsia="zh-CN"/>
              </w:rPr>
              <w:t>0.5</w:t>
            </w:r>
            <w:r>
              <w:rPr>
                <w:rFonts w:hint="eastAsia" w:ascii="宋体" w:hAnsi="宋体" w:cs="宋体"/>
                <w:color w:val="auto"/>
                <w:kern w:val="0"/>
                <w:sz w:val="21"/>
                <w:szCs w:val="21"/>
                <w:highlight w:val="none"/>
              </w:rPr>
              <w:t>分，最多得2分。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bCs/>
                <w:kern w:val="0"/>
                <w:szCs w:val="21"/>
                <w:highlight w:val="none"/>
                <w:lang w:val="en-US" w:eastAsia="zh-CN"/>
              </w:rPr>
            </w:pPr>
            <w:r>
              <w:rPr>
                <w:rFonts w:hint="eastAsia" w:asciiTheme="minorEastAsia" w:hAnsiTheme="minorEastAsia" w:eastAsiaTheme="minorEastAsia" w:cstheme="minorEastAsia"/>
                <w:bCs/>
                <w:kern w:val="0"/>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widowControl/>
              <w:spacing w:line="360" w:lineRule="auto"/>
              <w:textAlignment w:val="center"/>
              <w:rPr>
                <w:rFonts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bCs/>
                <w:kern w:val="0"/>
                <w:szCs w:val="21"/>
              </w:rPr>
              <w:t>具有良好的商业信誉和健全的财务会计制度，提供一年的得 1 分，最高得 3 分。（附相关证明材料加盖公章）</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widowControl/>
              <w:spacing w:line="360" w:lineRule="auto"/>
              <w:textAlignment w:val="center"/>
              <w:rPr>
                <w:rFonts w:hint="eastAsia" w:asciiTheme="minorEastAsia" w:hAnsiTheme="minorEastAsia" w:eastAsiaTheme="minorEastAsia" w:cstheme="minorEastAsia"/>
                <w:bCs/>
                <w:kern w:val="0"/>
                <w:sz w:val="21"/>
                <w:szCs w:val="21"/>
                <w:lang w:val="en-US" w:eastAsia="zh-CN" w:bidi="ar-SA"/>
              </w:rPr>
            </w:pPr>
            <w:r>
              <w:rPr>
                <w:rFonts w:hint="eastAsia" w:asciiTheme="minorEastAsia" w:hAnsiTheme="minorEastAsia" w:eastAsiaTheme="minorEastAsia" w:cstheme="minorEastAsia"/>
                <w:bCs/>
                <w:kern w:val="0"/>
                <w:szCs w:val="21"/>
              </w:rPr>
              <w:t>固定办公场所和</w:t>
            </w:r>
            <w:r>
              <w:rPr>
                <w:rFonts w:hint="eastAsia" w:ascii="宋体" w:hAnsi="宋体" w:cs="宋体"/>
                <w:color w:val="auto"/>
                <w:kern w:val="0"/>
                <w:sz w:val="21"/>
                <w:szCs w:val="21"/>
                <w:highlight w:val="none"/>
              </w:rPr>
              <w:t>备品备件库</w:t>
            </w:r>
            <w:r>
              <w:rPr>
                <w:rFonts w:hint="eastAsia" w:asciiTheme="minorEastAsia" w:hAnsiTheme="minorEastAsia" w:eastAsiaTheme="minorEastAsia" w:cstheme="minorEastAsia"/>
                <w:bCs/>
                <w:kern w:val="0"/>
                <w:szCs w:val="21"/>
              </w:rPr>
              <w:t>设在当地的得</w:t>
            </w:r>
            <w:r>
              <w:rPr>
                <w:rFonts w:hint="eastAsia" w:asciiTheme="minorEastAsia" w:hAnsiTheme="minorEastAsia" w:eastAsiaTheme="minorEastAsia" w:cstheme="minorEastAsia"/>
                <w:bCs/>
                <w:kern w:val="0"/>
                <w:szCs w:val="21"/>
                <w:lang w:val="en-US" w:eastAsia="zh-CN"/>
              </w:rPr>
              <w:t>5</w:t>
            </w:r>
            <w:r>
              <w:rPr>
                <w:rFonts w:hint="eastAsia" w:asciiTheme="minorEastAsia" w:hAnsiTheme="minorEastAsia" w:eastAsiaTheme="minorEastAsia" w:cstheme="minorEastAsia"/>
                <w:bCs/>
                <w:kern w:val="0"/>
                <w:szCs w:val="21"/>
              </w:rPr>
              <w:t>分，设在疆内的得</w:t>
            </w:r>
            <w:r>
              <w:rPr>
                <w:rFonts w:hint="eastAsia" w:asciiTheme="minorEastAsia" w:hAnsiTheme="minorEastAsia" w:eastAsiaTheme="minorEastAsia" w:cstheme="minorEastAsia"/>
                <w:bCs/>
                <w:kern w:val="0"/>
                <w:szCs w:val="21"/>
                <w:lang w:val="en-US" w:eastAsia="zh-CN"/>
              </w:rPr>
              <w:t>3</w:t>
            </w:r>
            <w:r>
              <w:rPr>
                <w:rFonts w:hint="eastAsia" w:asciiTheme="minorEastAsia" w:hAnsiTheme="minorEastAsia" w:eastAsiaTheme="minorEastAsia" w:cstheme="minorEastAsia"/>
                <w:bCs/>
                <w:kern w:val="0"/>
                <w:szCs w:val="21"/>
              </w:rPr>
              <w:t>分，设在疆外的得</w:t>
            </w:r>
            <w:r>
              <w:rPr>
                <w:rFonts w:hint="eastAsia" w:asciiTheme="minorEastAsia" w:hAnsiTheme="minorEastAsia" w:eastAsiaTheme="minorEastAsia" w:cstheme="minorEastAsia"/>
                <w:bCs/>
                <w:kern w:val="0"/>
                <w:szCs w:val="21"/>
                <w:lang w:val="en-US" w:eastAsia="zh-CN"/>
              </w:rPr>
              <w:t>1</w:t>
            </w:r>
            <w:r>
              <w:rPr>
                <w:rFonts w:hint="eastAsia" w:asciiTheme="minorEastAsia" w:hAnsiTheme="minorEastAsia" w:eastAsiaTheme="minorEastAsia" w:cstheme="minorEastAsia"/>
                <w:bCs/>
                <w:kern w:val="0"/>
                <w:szCs w:val="21"/>
              </w:rPr>
              <w:t>分（附相关证明材料，如：产</w:t>
            </w:r>
            <w:r>
              <w:rPr>
                <w:rFonts w:hint="eastAsia" w:asciiTheme="minorEastAsia" w:hAnsiTheme="minorEastAsia" w:eastAsiaTheme="minorEastAsia" w:cstheme="minorEastAsia"/>
                <w:bCs/>
                <w:color w:val="auto"/>
                <w:kern w:val="0"/>
                <w:szCs w:val="21"/>
              </w:rPr>
              <w:t>权证、购房证明、</w:t>
            </w:r>
            <w:r>
              <w:rPr>
                <w:rFonts w:hint="eastAsia" w:asciiTheme="minorEastAsia" w:hAnsiTheme="minorEastAsia" w:eastAsiaTheme="minorEastAsia" w:cstheme="minorEastAsia"/>
                <w:bCs/>
                <w:kern w:val="0"/>
                <w:szCs w:val="21"/>
              </w:rPr>
              <w:t>房屋租赁合同、实景图片并加盖公章），没有提供证明材料的不得分。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666" w:type="dxa"/>
            <w:vMerge w:val="restart"/>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3</w:t>
            </w:r>
          </w:p>
        </w:tc>
        <w:tc>
          <w:tcPr>
            <w:tcW w:w="928" w:type="dxa"/>
            <w:vMerge w:val="restart"/>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服务方案</w:t>
            </w:r>
          </w:p>
          <w:p>
            <w:pPr>
              <w:widowControl/>
              <w:spacing w:line="360" w:lineRule="auto"/>
              <w:jc w:val="center"/>
              <w:textAlignment w:val="center"/>
              <w:rPr>
                <w:rFonts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lang w:val="en-US" w:eastAsia="zh-CN"/>
              </w:rPr>
              <w:t>（28</w:t>
            </w:r>
            <w:r>
              <w:rPr>
                <w:rFonts w:hint="eastAsia" w:asciiTheme="minorEastAsia" w:hAnsiTheme="minorEastAsia" w:eastAsiaTheme="minorEastAsia" w:cstheme="minorEastAsia"/>
                <w:bCs/>
                <w:kern w:val="0"/>
                <w:szCs w:val="21"/>
              </w:rPr>
              <w:t>分</w:t>
            </w:r>
            <w:r>
              <w:rPr>
                <w:rFonts w:hint="eastAsia" w:asciiTheme="minorEastAsia" w:hAnsiTheme="minorEastAsia" w:eastAsiaTheme="minorEastAsia" w:cstheme="minorEastAsia"/>
                <w:bCs/>
                <w:kern w:val="0"/>
                <w:szCs w:val="21"/>
                <w:lang w:val="en-US" w:eastAsia="zh-CN"/>
              </w:rPr>
              <w:t>）</w:t>
            </w:r>
          </w:p>
        </w:tc>
        <w:tc>
          <w:tcPr>
            <w:tcW w:w="6692" w:type="dxa"/>
            <w:shd w:val="clear" w:color="auto" w:fill="auto"/>
            <w:vAlign w:val="center"/>
          </w:tcPr>
          <w:p>
            <w:pPr>
              <w:widowControl/>
              <w:spacing w:line="360" w:lineRule="auto"/>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根据供应商提供的生产流程和主要产品的工艺流程图的完整性、科学性进行综合评分，较优得3-5分，一般得1-2分，不提供不得分。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widowControl/>
              <w:spacing w:line="360" w:lineRule="auto"/>
              <w:textAlignment w:val="center"/>
              <w:rPr>
                <w:rFonts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Cs w:val="21"/>
              </w:rPr>
              <w:t>根据</w:t>
            </w:r>
            <w:r>
              <w:rPr>
                <w:rFonts w:hint="eastAsia" w:asciiTheme="minorEastAsia" w:hAnsiTheme="minorEastAsia" w:eastAsiaTheme="minorEastAsia" w:cstheme="minorEastAsia"/>
                <w:kern w:val="0"/>
                <w:szCs w:val="21"/>
                <w:lang w:eastAsia="zh-CN"/>
              </w:rPr>
              <w:t>供货</w:t>
            </w:r>
            <w:r>
              <w:rPr>
                <w:rFonts w:hint="eastAsia" w:asciiTheme="minorEastAsia" w:hAnsiTheme="minorEastAsia" w:eastAsiaTheme="minorEastAsia" w:cstheme="minorEastAsia"/>
                <w:kern w:val="0"/>
                <w:szCs w:val="21"/>
              </w:rPr>
              <w:t>服务方案的科学性、合理性进行综合评比</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承诺的供货期</w:t>
            </w:r>
            <w:r>
              <w:rPr>
                <w:rFonts w:hint="eastAsia" w:asciiTheme="minorEastAsia" w:hAnsiTheme="minorEastAsia" w:eastAsiaTheme="minorEastAsia" w:cstheme="minorEastAsia"/>
                <w:kern w:val="0"/>
                <w:szCs w:val="21"/>
                <w:lang w:eastAsia="zh-CN"/>
              </w:rPr>
              <w:t>应</w:t>
            </w:r>
            <w:r>
              <w:rPr>
                <w:rFonts w:hint="eastAsia" w:asciiTheme="minorEastAsia" w:hAnsiTheme="minorEastAsia" w:eastAsiaTheme="minorEastAsia" w:cstheme="minorEastAsia"/>
                <w:kern w:val="0"/>
                <w:szCs w:val="21"/>
              </w:rPr>
              <w:t>满足</w:t>
            </w:r>
            <w:r>
              <w:rPr>
                <w:rFonts w:hint="eastAsia" w:asciiTheme="minorEastAsia" w:hAnsiTheme="minorEastAsia" w:eastAsiaTheme="minorEastAsia" w:cstheme="minorEastAsia"/>
                <w:kern w:val="0"/>
                <w:szCs w:val="21"/>
                <w:lang w:eastAsia="zh-CN"/>
              </w:rPr>
              <w:t>采购</w:t>
            </w:r>
            <w:r>
              <w:rPr>
                <w:rFonts w:hint="eastAsia" w:asciiTheme="minorEastAsia" w:hAnsiTheme="minorEastAsia" w:eastAsiaTheme="minorEastAsia" w:cstheme="minorEastAsia"/>
                <w:kern w:val="0"/>
                <w:szCs w:val="21"/>
              </w:rPr>
              <w:t>要求，制定工作进度计划及保障措施，能在规定时间内完成供货，计划内容规划全面，各项措施完整可行，优得（</w:t>
            </w:r>
            <w:r>
              <w:rPr>
                <w:rFonts w:hint="eastAsia" w:asciiTheme="minorEastAsia" w:hAnsiTheme="minorEastAsia" w:eastAsiaTheme="minorEastAsia" w:cstheme="minorEastAsia"/>
                <w:kern w:val="0"/>
                <w:szCs w:val="21"/>
                <w:lang w:val="en-US" w:eastAsia="zh-CN"/>
              </w:rPr>
              <w:t>9-13</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分，一般得(</w:t>
            </w:r>
            <w:r>
              <w:rPr>
                <w:rFonts w:hint="eastAsia" w:asciiTheme="minorEastAsia" w:hAnsiTheme="minorEastAsia" w:eastAsiaTheme="minorEastAsia" w:cstheme="minorEastAsia"/>
                <w:kern w:val="0"/>
                <w:szCs w:val="21"/>
                <w:lang w:val="en-US" w:eastAsia="zh-CN"/>
              </w:rPr>
              <w:t>4-9</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，较差得（0-</w:t>
            </w: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分，不提供不得分。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widowControl/>
              <w:spacing w:line="360" w:lineRule="auto"/>
              <w:textAlignment w:val="center"/>
              <w:rPr>
                <w:rFonts w:hint="eastAsia" w:asciiTheme="minorEastAsia" w:hAnsiTheme="minorEastAsia" w:eastAsiaTheme="minorEastAsia" w:cstheme="minorEastAsia"/>
                <w:kern w:val="0"/>
                <w:sz w:val="21"/>
                <w:szCs w:val="21"/>
                <w:lang w:val="en-US" w:eastAsia="zh-CN" w:bidi="ar-SA"/>
              </w:rPr>
            </w:pPr>
            <w:r>
              <w:rPr>
                <w:rFonts w:hint="eastAsia" w:ascii="宋体" w:hAnsi="宋体" w:eastAsia="宋体" w:cs="宋体"/>
                <w:kern w:val="0"/>
                <w:sz w:val="21"/>
                <w:szCs w:val="21"/>
                <w:lang w:val="en-US" w:eastAsia="zh-CN" w:bidi="ar-SA"/>
              </w:rPr>
              <w:t>有完善的售后服务</w:t>
            </w:r>
            <w:r>
              <w:rPr>
                <w:rFonts w:hint="eastAsia" w:ascii="宋体" w:hAnsi="宋体" w:cs="宋体"/>
                <w:kern w:val="0"/>
                <w:sz w:val="21"/>
                <w:szCs w:val="21"/>
                <w:lang w:val="en-US" w:eastAsia="zh-CN" w:bidi="ar-SA"/>
              </w:rPr>
              <w:t>方案（包含质量保证期内和质量保证期过后的售后服务内容）</w:t>
            </w:r>
            <w:r>
              <w:rPr>
                <w:rFonts w:hint="eastAsia" w:ascii="宋体" w:hAnsi="宋体" w:eastAsia="宋体" w:cs="宋体"/>
                <w:kern w:val="0"/>
                <w:sz w:val="21"/>
                <w:szCs w:val="21"/>
                <w:lang w:val="en-US" w:eastAsia="zh-CN" w:bidi="ar-SA"/>
              </w:rPr>
              <w:t>，</w:t>
            </w:r>
            <w:r>
              <w:rPr>
                <w:rFonts w:hint="eastAsia" w:asciiTheme="minorEastAsia" w:hAnsiTheme="minorEastAsia" w:eastAsiaTheme="minorEastAsia" w:cstheme="minorEastAsia"/>
                <w:kern w:val="0"/>
                <w:szCs w:val="21"/>
              </w:rPr>
              <w:t>根据</w:t>
            </w:r>
            <w:r>
              <w:rPr>
                <w:rFonts w:hint="eastAsia" w:ascii="宋体" w:hAnsi="宋体" w:eastAsia="宋体" w:cs="宋体"/>
                <w:kern w:val="0"/>
                <w:sz w:val="21"/>
                <w:szCs w:val="21"/>
                <w:lang w:val="en-US" w:eastAsia="zh-CN" w:bidi="ar-SA"/>
              </w:rPr>
              <w:t>售后服务</w:t>
            </w:r>
            <w:r>
              <w:rPr>
                <w:rFonts w:hint="eastAsia" w:ascii="宋体" w:hAnsi="宋体" w:cs="宋体"/>
                <w:kern w:val="0"/>
                <w:sz w:val="21"/>
                <w:szCs w:val="21"/>
                <w:lang w:val="en-US" w:eastAsia="zh-CN" w:bidi="ar-SA"/>
              </w:rPr>
              <w:t>方案</w:t>
            </w:r>
            <w:r>
              <w:rPr>
                <w:rFonts w:hint="eastAsia" w:asciiTheme="minorEastAsia" w:hAnsiTheme="minorEastAsia" w:eastAsiaTheme="minorEastAsia" w:cstheme="minorEastAsia"/>
                <w:kern w:val="0"/>
                <w:szCs w:val="21"/>
              </w:rPr>
              <w:t>的科学性、合理性</w:t>
            </w:r>
            <w:r>
              <w:rPr>
                <w:rFonts w:hint="eastAsia" w:asciiTheme="minorEastAsia" w:hAnsiTheme="minorEastAsia" w:eastAsiaTheme="minorEastAsia" w:cstheme="minorEastAsia"/>
                <w:kern w:val="0"/>
                <w:szCs w:val="21"/>
                <w:lang w:eastAsia="zh-CN"/>
              </w:rPr>
              <w:t>、可行性</w:t>
            </w:r>
            <w:r>
              <w:rPr>
                <w:rFonts w:hint="eastAsia" w:asciiTheme="minorEastAsia" w:hAnsiTheme="minorEastAsia" w:eastAsiaTheme="minorEastAsia" w:cstheme="minorEastAsia"/>
                <w:kern w:val="0"/>
                <w:szCs w:val="21"/>
              </w:rPr>
              <w:t>进行综合评比</w:t>
            </w:r>
            <w:r>
              <w:rPr>
                <w:rFonts w:hint="eastAsia" w:asciiTheme="minorEastAsia" w:hAnsiTheme="minorEastAsia" w:eastAsiaTheme="minorEastAsia" w:cstheme="minorEastAsia"/>
                <w:kern w:val="0"/>
                <w:szCs w:val="21"/>
                <w:lang w:eastAsia="zh-CN"/>
              </w:rPr>
              <w:t>，</w:t>
            </w:r>
            <w:r>
              <w:rPr>
                <w:rFonts w:hint="eastAsia" w:ascii="宋体" w:hAnsi="宋体" w:eastAsia="宋体" w:cs="宋体"/>
                <w:kern w:val="0"/>
                <w:sz w:val="21"/>
                <w:szCs w:val="21"/>
                <w:lang w:val="en-US" w:eastAsia="zh-CN" w:bidi="ar-SA"/>
              </w:rPr>
              <w:t>符合项目实际情况的得</w:t>
            </w:r>
            <w:r>
              <w:rPr>
                <w:rFonts w:hint="eastAsia" w:ascii="宋体" w:hAnsi="宋体" w:cs="宋体"/>
                <w:kern w:val="0"/>
                <w:sz w:val="21"/>
                <w:szCs w:val="21"/>
                <w:lang w:val="en-US" w:eastAsia="zh-CN" w:bidi="ar-SA"/>
              </w:rPr>
              <w:t>3-5</w:t>
            </w:r>
            <w:r>
              <w:rPr>
                <w:rFonts w:hint="eastAsia" w:ascii="宋体" w:hAnsi="宋体" w:eastAsia="宋体" w:cs="宋体"/>
                <w:kern w:val="0"/>
                <w:sz w:val="21"/>
                <w:szCs w:val="21"/>
                <w:lang w:val="en-US" w:eastAsia="zh-CN" w:bidi="ar-SA"/>
              </w:rPr>
              <w:t>分；承诺不具体的得</w:t>
            </w:r>
            <w:r>
              <w:rPr>
                <w:rFonts w:hint="eastAsia" w:ascii="宋体" w:hAnsi="宋体" w:cs="宋体"/>
                <w:kern w:val="0"/>
                <w:sz w:val="21"/>
                <w:szCs w:val="21"/>
                <w:lang w:val="en-US" w:eastAsia="zh-CN" w:bidi="ar-SA"/>
              </w:rPr>
              <w:t>1-3</w:t>
            </w:r>
            <w:r>
              <w:rPr>
                <w:rFonts w:hint="eastAsia" w:ascii="宋体" w:hAnsi="宋体" w:eastAsia="宋体" w:cs="宋体"/>
                <w:kern w:val="0"/>
                <w:sz w:val="21"/>
                <w:szCs w:val="21"/>
                <w:lang w:val="en-US" w:eastAsia="zh-CN" w:bidi="ar-SA"/>
              </w:rPr>
              <w:t>分；存在重大缺漏</w:t>
            </w:r>
            <w:r>
              <w:rPr>
                <w:rFonts w:hint="eastAsia" w:ascii="宋体" w:hAnsi="宋体" w:cs="宋体"/>
                <w:kern w:val="0"/>
                <w:sz w:val="21"/>
                <w:szCs w:val="21"/>
                <w:lang w:val="en-US" w:eastAsia="zh-CN" w:bidi="ar-SA"/>
              </w:rPr>
              <w:t>的得0-1分</w:t>
            </w:r>
            <w:r>
              <w:rPr>
                <w:rFonts w:hint="eastAsia" w:ascii="宋体" w:hAnsi="宋体" w:eastAsia="宋体" w:cs="宋体"/>
                <w:kern w:val="0"/>
                <w:sz w:val="21"/>
                <w:szCs w:val="21"/>
                <w:lang w:val="en-US" w:eastAsia="zh-CN" w:bidi="ar-SA"/>
              </w:rPr>
              <w:t>，没有具体承诺或没有响应的不得分。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6692" w:type="dxa"/>
            <w:shd w:val="clear" w:color="auto" w:fill="auto"/>
            <w:vAlign w:val="center"/>
          </w:tcPr>
          <w:p>
            <w:pPr>
              <w:pStyle w:val="44"/>
              <w:spacing w:before="86"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项目负责人现场阐述方案，并回答磋商小组提出的问题（答辩时间不超过</w:t>
            </w:r>
            <w:r>
              <w:rPr>
                <w:rFonts w:hint="eastAsia" w:cs="宋体"/>
                <w:kern w:val="0"/>
                <w:sz w:val="21"/>
                <w:szCs w:val="21"/>
                <w:highlight w:val="none"/>
                <w:lang w:val="en-US" w:eastAsia="zh-CN"/>
              </w:rPr>
              <w:t>5-8</w:t>
            </w:r>
            <w:r>
              <w:rPr>
                <w:rFonts w:hint="eastAsia" w:ascii="宋体" w:hAnsi="宋体" w:eastAsia="宋体" w:cs="宋体"/>
                <w:kern w:val="0"/>
                <w:sz w:val="21"/>
                <w:szCs w:val="21"/>
                <w:highlight w:val="none"/>
                <w:lang w:val="en-US" w:eastAsia="zh-CN"/>
              </w:rPr>
              <w:t>分钟</w:t>
            </w:r>
            <w:r>
              <w:rPr>
                <w:rFonts w:hint="eastAsia" w:ascii="宋体" w:hAnsi="宋体" w:eastAsia="宋体" w:cs="宋体"/>
                <w:kern w:val="0"/>
                <w:sz w:val="21"/>
                <w:szCs w:val="21"/>
                <w:highlight w:val="none"/>
                <w:lang w:eastAsia="zh-CN"/>
              </w:rPr>
              <w:t>），满分5分：</w:t>
            </w:r>
          </w:p>
          <w:p>
            <w:pPr>
              <w:pStyle w:val="44"/>
              <w:spacing w:before="86"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1、答辩流畅，针对性强、可操作性强得3-5分；</w:t>
            </w:r>
          </w:p>
          <w:p>
            <w:pPr>
              <w:pStyle w:val="44"/>
              <w:spacing w:before="86"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2、答辩良好，针对性一般、可操作性一般得1-3分；</w:t>
            </w:r>
          </w:p>
          <w:p>
            <w:pPr>
              <w:pStyle w:val="44"/>
              <w:spacing w:before="86" w:line="360" w:lineRule="auto"/>
              <w:rPr>
                <w:rFonts w:hint="default" w:asciiTheme="minorEastAsia" w:hAnsiTheme="minorEastAsia" w:eastAsiaTheme="minorEastAsia" w:cstheme="minorEastAsia"/>
                <w:kern w:val="0"/>
                <w:sz w:val="21"/>
                <w:szCs w:val="21"/>
                <w:highlight w:val="yellow"/>
                <w:lang w:val="en-US" w:eastAsia="zh-CN" w:bidi="ar-SA"/>
              </w:rPr>
            </w:pPr>
            <w:r>
              <w:rPr>
                <w:rFonts w:hint="eastAsia" w:ascii="宋体" w:hAnsi="宋体" w:eastAsia="宋体" w:cs="宋体"/>
                <w:kern w:val="0"/>
                <w:sz w:val="21"/>
                <w:szCs w:val="21"/>
                <w:highlight w:val="none"/>
                <w:lang w:eastAsia="zh-CN"/>
              </w:rPr>
              <w:t>3、答辩一般，方案简单、无针对性、不具备操作性得0-1分。</w:t>
            </w:r>
          </w:p>
        </w:tc>
        <w:tc>
          <w:tcPr>
            <w:tcW w:w="576"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kern w:val="0"/>
                <w:szCs w:val="21"/>
                <w:highlight w:val="yellow"/>
                <w:lang w:val="en-US" w:eastAsia="zh-CN"/>
              </w:rPr>
            </w:pPr>
            <w:r>
              <w:rPr>
                <w:rFonts w:hint="eastAsia" w:asciiTheme="minorEastAsia" w:hAnsiTheme="minorEastAsia" w:eastAsiaTheme="minorEastAsia" w:cstheme="minorEastAsia"/>
                <w:kern w:val="0"/>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8" w:hRule="atLeast"/>
        </w:trPr>
        <w:tc>
          <w:tcPr>
            <w:tcW w:w="666" w:type="dxa"/>
            <w:vMerge w:val="restart"/>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bCs/>
                <w:kern w:val="0"/>
                <w:szCs w:val="21"/>
                <w:lang w:val="en-US" w:eastAsia="zh-CN"/>
              </w:rPr>
            </w:pPr>
            <w:r>
              <w:rPr>
                <w:rFonts w:hint="eastAsia" w:asciiTheme="minorEastAsia" w:hAnsiTheme="minorEastAsia" w:eastAsiaTheme="minorEastAsia" w:cstheme="minorEastAsia"/>
                <w:bCs/>
                <w:kern w:val="0"/>
                <w:szCs w:val="21"/>
                <w:lang w:val="en-US" w:eastAsia="zh-CN"/>
              </w:rPr>
              <w:t>4</w:t>
            </w:r>
          </w:p>
        </w:tc>
        <w:tc>
          <w:tcPr>
            <w:tcW w:w="928" w:type="dxa"/>
            <w:vMerge w:val="restart"/>
            <w:shd w:val="clear" w:color="auto" w:fill="auto"/>
            <w:vAlign w:val="center"/>
          </w:tcPr>
          <w:p>
            <w:pPr>
              <w:widowControl/>
              <w:spacing w:line="360" w:lineRule="auto"/>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样品评比    （</w:t>
            </w:r>
            <w:r>
              <w:rPr>
                <w:rFonts w:hint="eastAsia" w:ascii="宋体" w:hAnsi="宋体" w:cs="宋体"/>
                <w:bCs/>
                <w:kern w:val="0"/>
                <w:sz w:val="21"/>
                <w:szCs w:val="21"/>
                <w:lang w:val="en-US" w:eastAsia="zh-CN"/>
              </w:rPr>
              <w:t>20</w:t>
            </w:r>
            <w:r>
              <w:rPr>
                <w:rFonts w:hint="eastAsia" w:ascii="宋体" w:hAnsi="宋体" w:eastAsia="宋体" w:cs="宋体"/>
                <w:bCs/>
                <w:kern w:val="0"/>
                <w:sz w:val="21"/>
                <w:szCs w:val="21"/>
              </w:rPr>
              <w:t>分）</w:t>
            </w:r>
          </w:p>
        </w:tc>
        <w:tc>
          <w:tcPr>
            <w:tcW w:w="6692" w:type="dxa"/>
            <w:shd w:val="clear" w:color="auto" w:fill="auto"/>
            <w:vAlign w:val="center"/>
          </w:tcPr>
          <w:p>
            <w:pPr>
              <w:widowControl/>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材质：</w:t>
            </w:r>
            <w:r>
              <w:rPr>
                <w:rFonts w:hint="eastAsia" w:ascii="宋体" w:hAnsi="宋体" w:cs="宋体"/>
                <w:kern w:val="0"/>
                <w:sz w:val="21"/>
                <w:szCs w:val="21"/>
                <w:lang w:eastAsia="zh-CN"/>
              </w:rPr>
              <w:t>供应商提供的</w:t>
            </w:r>
            <w:r>
              <w:rPr>
                <w:rFonts w:hint="eastAsia" w:ascii="宋体" w:hAnsi="宋体" w:eastAsia="宋体" w:cs="宋体"/>
                <w:kern w:val="0"/>
                <w:sz w:val="21"/>
                <w:szCs w:val="21"/>
              </w:rPr>
              <w:t>样品材质</w:t>
            </w:r>
            <w:r>
              <w:rPr>
                <w:rFonts w:hint="eastAsia" w:ascii="宋体" w:hAnsi="宋体" w:cs="宋体"/>
                <w:kern w:val="0"/>
                <w:sz w:val="21"/>
                <w:szCs w:val="21"/>
                <w:lang w:eastAsia="zh-CN"/>
              </w:rPr>
              <w:t>完全响应采购需求，各评委根据样品</w:t>
            </w:r>
            <w:r>
              <w:rPr>
                <w:rFonts w:hint="eastAsia" w:ascii="宋体" w:hAnsi="宋体" w:eastAsia="宋体" w:cs="宋体"/>
                <w:kern w:val="0"/>
                <w:sz w:val="21"/>
                <w:szCs w:val="21"/>
              </w:rPr>
              <w:t>进行</w:t>
            </w:r>
            <w:r>
              <w:rPr>
                <w:rFonts w:hint="eastAsia" w:ascii="宋体" w:hAnsi="宋体" w:cs="宋体"/>
                <w:kern w:val="0"/>
                <w:sz w:val="21"/>
                <w:szCs w:val="21"/>
                <w:lang w:eastAsia="zh-CN"/>
              </w:rPr>
              <w:t>横向对比</w:t>
            </w:r>
            <w:r>
              <w:rPr>
                <w:rFonts w:hint="eastAsia" w:ascii="宋体" w:hAnsi="宋体" w:eastAsia="宋体" w:cs="宋体"/>
                <w:kern w:val="0"/>
                <w:sz w:val="21"/>
                <w:szCs w:val="21"/>
              </w:rPr>
              <w:t>，</w:t>
            </w:r>
            <w:r>
              <w:rPr>
                <w:rFonts w:hint="eastAsia" w:asciiTheme="minorEastAsia" w:hAnsiTheme="minorEastAsia" w:eastAsiaTheme="minorEastAsia" w:cstheme="minorEastAsia"/>
                <w:kern w:val="0"/>
                <w:szCs w:val="21"/>
              </w:rPr>
              <w:t>优得（</w:t>
            </w:r>
            <w:r>
              <w:rPr>
                <w:rFonts w:hint="eastAsia" w:asciiTheme="minorEastAsia" w:hAnsiTheme="minorEastAsia" w:eastAsiaTheme="minorEastAsia" w:cstheme="minorEastAsia"/>
                <w:kern w:val="0"/>
                <w:szCs w:val="21"/>
                <w:lang w:val="en-US" w:eastAsia="zh-CN"/>
              </w:rPr>
              <w:t>3-5</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分，一般得(</w:t>
            </w:r>
            <w:r>
              <w:rPr>
                <w:rFonts w:hint="eastAsia" w:asciiTheme="minorEastAsia" w:hAnsiTheme="minorEastAsia" w:eastAsiaTheme="minorEastAsia" w:cstheme="minorEastAsia"/>
                <w:kern w:val="0"/>
                <w:szCs w:val="21"/>
                <w:lang w:val="en-US" w:eastAsia="zh-CN"/>
              </w:rPr>
              <w:t>1-3</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，较差得（0-</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分，不提供不得分。</w:t>
            </w:r>
          </w:p>
        </w:tc>
        <w:tc>
          <w:tcPr>
            <w:tcW w:w="576" w:type="dxa"/>
            <w:shd w:val="clear" w:color="auto" w:fill="auto"/>
            <w:vAlign w:val="center"/>
          </w:tcPr>
          <w:p>
            <w:pPr>
              <w:pStyle w:val="44"/>
              <w:spacing w:before="86" w:line="360" w:lineRule="auto"/>
              <w:jc w:val="center"/>
              <w:rPr>
                <w:rFonts w:hint="default" w:asciiTheme="minorEastAsia" w:hAnsiTheme="minorEastAsia" w:eastAsiaTheme="minorEastAsia" w:cstheme="minorEastAsia"/>
                <w:kern w:val="0"/>
                <w:szCs w:val="21"/>
                <w:lang w:val="en-US" w:eastAsia="zh-CN" w:bidi="ar-SA"/>
              </w:rPr>
            </w:pPr>
            <w:r>
              <w:rPr>
                <w:rFonts w:hint="eastAsia" w:asciiTheme="minorEastAsia" w:hAnsiTheme="minorEastAsia" w:eastAsiaTheme="minorEastAsia" w:cstheme="minorEastAsia"/>
                <w:kern w:val="0"/>
                <w:szCs w:val="21"/>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8"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hint="eastAsia" w:ascii="宋体" w:hAnsi="宋体" w:eastAsia="宋体" w:cs="宋体"/>
                <w:bCs/>
                <w:kern w:val="0"/>
                <w:sz w:val="21"/>
                <w:szCs w:val="21"/>
              </w:rPr>
            </w:pPr>
          </w:p>
        </w:tc>
        <w:tc>
          <w:tcPr>
            <w:tcW w:w="6692" w:type="dxa"/>
            <w:shd w:val="clear" w:color="auto" w:fill="auto"/>
            <w:vAlign w:val="center"/>
          </w:tcPr>
          <w:p>
            <w:pPr>
              <w:widowControl/>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工艺：</w:t>
            </w:r>
            <w:r>
              <w:rPr>
                <w:rFonts w:hint="eastAsia" w:ascii="宋体" w:hAnsi="宋体" w:cs="宋体"/>
                <w:kern w:val="0"/>
                <w:sz w:val="21"/>
                <w:szCs w:val="21"/>
                <w:lang w:eastAsia="zh-CN"/>
              </w:rPr>
              <w:t>评委</w:t>
            </w:r>
            <w:r>
              <w:rPr>
                <w:rFonts w:hint="eastAsia" w:ascii="宋体" w:hAnsi="宋体" w:eastAsia="宋体" w:cs="宋体"/>
                <w:kern w:val="0"/>
                <w:sz w:val="21"/>
                <w:szCs w:val="21"/>
              </w:rPr>
              <w:t>根据样品制作工艺（样品做工精细程度）进行</w:t>
            </w:r>
            <w:r>
              <w:rPr>
                <w:rFonts w:hint="eastAsia" w:ascii="宋体" w:hAnsi="宋体" w:cs="宋体"/>
                <w:kern w:val="0"/>
                <w:sz w:val="21"/>
                <w:szCs w:val="21"/>
                <w:lang w:eastAsia="zh-CN"/>
              </w:rPr>
              <w:t>横向对比</w:t>
            </w:r>
            <w:r>
              <w:rPr>
                <w:rFonts w:hint="eastAsia" w:ascii="宋体" w:hAnsi="宋体" w:eastAsia="宋体" w:cs="宋体"/>
                <w:kern w:val="0"/>
                <w:sz w:val="21"/>
                <w:szCs w:val="21"/>
              </w:rPr>
              <w:t>，</w:t>
            </w:r>
            <w:r>
              <w:rPr>
                <w:rFonts w:hint="eastAsia" w:asciiTheme="minorEastAsia" w:hAnsiTheme="minorEastAsia" w:eastAsiaTheme="minorEastAsia" w:cstheme="minorEastAsia"/>
                <w:kern w:val="0"/>
                <w:szCs w:val="21"/>
              </w:rPr>
              <w:t>优得（</w:t>
            </w:r>
            <w:r>
              <w:rPr>
                <w:rFonts w:hint="eastAsia" w:asciiTheme="minorEastAsia" w:hAnsiTheme="minorEastAsia" w:eastAsiaTheme="minorEastAsia" w:cstheme="minorEastAsia"/>
                <w:kern w:val="0"/>
                <w:szCs w:val="21"/>
                <w:lang w:val="en-US" w:eastAsia="zh-CN"/>
              </w:rPr>
              <w:t>3-5</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分，一般得(</w:t>
            </w:r>
            <w:r>
              <w:rPr>
                <w:rFonts w:hint="eastAsia" w:asciiTheme="minorEastAsia" w:hAnsiTheme="minorEastAsia" w:eastAsiaTheme="minorEastAsia" w:cstheme="minorEastAsia"/>
                <w:kern w:val="0"/>
                <w:szCs w:val="21"/>
                <w:lang w:val="en-US" w:eastAsia="zh-CN"/>
              </w:rPr>
              <w:t>1-3</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，较差得（0-</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分，不提供不得分。</w:t>
            </w:r>
          </w:p>
        </w:tc>
        <w:tc>
          <w:tcPr>
            <w:tcW w:w="576" w:type="dxa"/>
            <w:shd w:val="clear" w:color="auto" w:fill="auto"/>
            <w:vAlign w:val="center"/>
          </w:tcPr>
          <w:p>
            <w:pPr>
              <w:pStyle w:val="44"/>
              <w:spacing w:before="86" w:line="360" w:lineRule="auto"/>
              <w:jc w:val="center"/>
              <w:rPr>
                <w:rFonts w:hint="default" w:asciiTheme="minorEastAsia" w:hAnsiTheme="minorEastAsia" w:eastAsiaTheme="minorEastAsia" w:cstheme="minorEastAsia"/>
                <w:kern w:val="0"/>
                <w:szCs w:val="21"/>
                <w:lang w:val="en-US" w:eastAsia="zh-CN" w:bidi="ar-SA"/>
              </w:rPr>
            </w:pPr>
            <w:r>
              <w:rPr>
                <w:rFonts w:hint="eastAsia" w:asciiTheme="minorEastAsia" w:hAnsiTheme="minorEastAsia" w:eastAsiaTheme="minorEastAsia" w:cstheme="minorEastAsia"/>
                <w:kern w:val="0"/>
                <w:szCs w:val="21"/>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8"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hint="eastAsia" w:ascii="宋体" w:hAnsi="宋体" w:eastAsia="宋体" w:cs="宋体"/>
                <w:bCs/>
                <w:kern w:val="0"/>
                <w:sz w:val="21"/>
                <w:szCs w:val="21"/>
              </w:rPr>
            </w:pPr>
          </w:p>
        </w:tc>
        <w:tc>
          <w:tcPr>
            <w:tcW w:w="6692" w:type="dxa"/>
            <w:shd w:val="clear" w:color="auto" w:fill="auto"/>
            <w:vAlign w:val="center"/>
          </w:tcPr>
          <w:p>
            <w:pPr>
              <w:widowControl/>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外观：根据样品</w:t>
            </w:r>
            <w:r>
              <w:rPr>
                <w:rFonts w:hint="eastAsia" w:ascii="宋体" w:hAnsi="宋体" w:cs="宋体"/>
                <w:kern w:val="0"/>
                <w:sz w:val="21"/>
                <w:szCs w:val="21"/>
                <w:lang w:eastAsia="zh-CN"/>
              </w:rPr>
              <w:t>的</w:t>
            </w:r>
            <w:r>
              <w:rPr>
                <w:rFonts w:hint="eastAsia" w:ascii="宋体" w:hAnsi="宋体" w:eastAsia="宋体" w:cs="宋体"/>
                <w:kern w:val="0"/>
                <w:sz w:val="21"/>
                <w:szCs w:val="21"/>
              </w:rPr>
              <w:t>针脚线均匀平直，服装尺寸偏差小，标识和字体是否得体大方，服装整体效果是否整齐协调</w:t>
            </w:r>
            <w:r>
              <w:rPr>
                <w:rFonts w:hint="eastAsia" w:ascii="宋体" w:hAnsi="宋体" w:cs="宋体"/>
                <w:kern w:val="0"/>
                <w:sz w:val="21"/>
                <w:szCs w:val="21"/>
                <w:lang w:eastAsia="zh-CN"/>
              </w:rPr>
              <w:t>、</w:t>
            </w:r>
            <w:r>
              <w:rPr>
                <w:rFonts w:hint="eastAsia" w:ascii="宋体" w:hAnsi="宋体" w:eastAsia="宋体" w:cs="宋体"/>
                <w:kern w:val="0"/>
                <w:sz w:val="21"/>
                <w:szCs w:val="21"/>
              </w:rPr>
              <w:t>款式</w:t>
            </w:r>
            <w:r>
              <w:rPr>
                <w:rFonts w:hint="eastAsia" w:ascii="宋体" w:hAnsi="宋体" w:cs="宋体"/>
                <w:kern w:val="0"/>
                <w:sz w:val="21"/>
                <w:szCs w:val="21"/>
                <w:lang w:eastAsia="zh-CN"/>
              </w:rPr>
              <w:t>是否</w:t>
            </w:r>
            <w:r>
              <w:rPr>
                <w:rFonts w:hint="eastAsia" w:ascii="宋体" w:hAnsi="宋体" w:eastAsia="宋体" w:cs="宋体"/>
                <w:kern w:val="0"/>
                <w:sz w:val="21"/>
                <w:szCs w:val="21"/>
              </w:rPr>
              <w:t>完全符合技术标准要求</w:t>
            </w:r>
            <w:r>
              <w:rPr>
                <w:rFonts w:hint="eastAsia" w:ascii="宋体" w:hAnsi="宋体" w:cs="宋体"/>
                <w:kern w:val="0"/>
                <w:sz w:val="21"/>
                <w:szCs w:val="21"/>
                <w:lang w:eastAsia="zh-CN"/>
              </w:rPr>
              <w:t>进行综合评比</w:t>
            </w:r>
            <w:r>
              <w:rPr>
                <w:rFonts w:hint="eastAsia" w:ascii="宋体" w:hAnsi="宋体" w:eastAsia="宋体" w:cs="宋体"/>
                <w:kern w:val="0"/>
                <w:sz w:val="21"/>
                <w:szCs w:val="21"/>
              </w:rPr>
              <w:t>，</w:t>
            </w:r>
            <w:r>
              <w:rPr>
                <w:rFonts w:hint="eastAsia" w:asciiTheme="minorEastAsia" w:hAnsiTheme="minorEastAsia" w:eastAsiaTheme="minorEastAsia" w:cstheme="minorEastAsia"/>
                <w:kern w:val="0"/>
                <w:szCs w:val="21"/>
              </w:rPr>
              <w:t>优得（</w:t>
            </w:r>
            <w:r>
              <w:rPr>
                <w:rFonts w:hint="eastAsia" w:asciiTheme="minorEastAsia" w:hAnsiTheme="minorEastAsia" w:eastAsiaTheme="minorEastAsia" w:cstheme="minorEastAsia"/>
                <w:kern w:val="0"/>
                <w:szCs w:val="21"/>
                <w:lang w:val="en-US" w:eastAsia="zh-CN"/>
              </w:rPr>
              <w:t>3-5</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分，一般得(</w:t>
            </w:r>
            <w:r>
              <w:rPr>
                <w:rFonts w:hint="eastAsia" w:asciiTheme="minorEastAsia" w:hAnsiTheme="minorEastAsia" w:eastAsiaTheme="minorEastAsia" w:cstheme="minorEastAsia"/>
                <w:kern w:val="0"/>
                <w:szCs w:val="21"/>
                <w:lang w:val="en-US" w:eastAsia="zh-CN"/>
              </w:rPr>
              <w:t>1-3</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，较差得（0-</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分，不提供不得分。</w:t>
            </w:r>
          </w:p>
        </w:tc>
        <w:tc>
          <w:tcPr>
            <w:tcW w:w="576" w:type="dxa"/>
            <w:shd w:val="clear" w:color="auto" w:fill="auto"/>
            <w:vAlign w:val="center"/>
          </w:tcPr>
          <w:p>
            <w:pPr>
              <w:pStyle w:val="44"/>
              <w:spacing w:before="86" w:line="360" w:lineRule="auto"/>
              <w:jc w:val="center"/>
              <w:rPr>
                <w:rFonts w:hint="default" w:asciiTheme="minorEastAsia" w:hAnsiTheme="minorEastAsia" w:eastAsiaTheme="minorEastAsia" w:cstheme="minorEastAsia"/>
                <w:kern w:val="0"/>
                <w:szCs w:val="21"/>
                <w:lang w:val="en-US" w:eastAsia="zh-CN" w:bidi="ar-SA"/>
              </w:rPr>
            </w:pPr>
            <w:r>
              <w:rPr>
                <w:rFonts w:hint="eastAsia" w:asciiTheme="minorEastAsia" w:hAnsiTheme="minorEastAsia" w:eastAsiaTheme="minorEastAsia" w:cstheme="minorEastAsia"/>
                <w:kern w:val="0"/>
                <w:szCs w:val="21"/>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8" w:hRule="atLeast"/>
        </w:trPr>
        <w:tc>
          <w:tcPr>
            <w:tcW w:w="666" w:type="dxa"/>
            <w:vMerge w:val="continue"/>
            <w:shd w:val="clear" w:color="auto" w:fill="auto"/>
            <w:vAlign w:val="center"/>
          </w:tcPr>
          <w:p>
            <w:pPr>
              <w:widowControl/>
              <w:spacing w:line="360" w:lineRule="auto"/>
              <w:jc w:val="center"/>
              <w:textAlignment w:val="center"/>
              <w:rPr>
                <w:rFonts w:asciiTheme="minorEastAsia" w:hAnsiTheme="minorEastAsia" w:eastAsiaTheme="minorEastAsia" w:cstheme="minorEastAsia"/>
                <w:bCs/>
                <w:kern w:val="0"/>
                <w:szCs w:val="21"/>
              </w:rPr>
            </w:pPr>
          </w:p>
        </w:tc>
        <w:tc>
          <w:tcPr>
            <w:tcW w:w="928" w:type="dxa"/>
            <w:vMerge w:val="continue"/>
            <w:shd w:val="clear" w:color="auto" w:fill="auto"/>
            <w:vAlign w:val="center"/>
          </w:tcPr>
          <w:p>
            <w:pPr>
              <w:widowControl/>
              <w:spacing w:line="360" w:lineRule="auto"/>
              <w:jc w:val="center"/>
              <w:textAlignment w:val="center"/>
              <w:rPr>
                <w:rFonts w:hint="eastAsia" w:ascii="宋体" w:hAnsi="宋体" w:eastAsia="宋体" w:cs="宋体"/>
                <w:bCs/>
                <w:kern w:val="0"/>
                <w:sz w:val="21"/>
                <w:szCs w:val="21"/>
              </w:rPr>
            </w:pPr>
          </w:p>
        </w:tc>
        <w:tc>
          <w:tcPr>
            <w:tcW w:w="6692" w:type="dxa"/>
            <w:shd w:val="clear" w:color="auto" w:fill="auto"/>
            <w:vAlign w:val="center"/>
          </w:tcPr>
          <w:p>
            <w:pPr>
              <w:widowControl/>
              <w:spacing w:line="360" w:lineRule="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成分及颜色：</w:t>
            </w:r>
            <w:r>
              <w:rPr>
                <w:rFonts w:hint="eastAsia" w:ascii="宋体" w:hAnsi="宋体" w:cs="宋体"/>
                <w:kern w:val="0"/>
                <w:sz w:val="21"/>
                <w:szCs w:val="21"/>
                <w:lang w:eastAsia="zh-CN"/>
              </w:rPr>
              <w:t>根据供应商</w:t>
            </w:r>
            <w:r>
              <w:rPr>
                <w:rFonts w:hint="eastAsia" w:ascii="宋体" w:hAnsi="宋体" w:eastAsia="宋体" w:cs="宋体"/>
                <w:kern w:val="0"/>
                <w:sz w:val="21"/>
                <w:szCs w:val="21"/>
              </w:rPr>
              <w:t>所提供的货物不得使用有毒、有异味，可能导致过敏的染料、化学助剂、辅料及配件，并能经多次洗擦而不褪色、不易起毛、不易褶皱、无裂缝、无针洞、无走线、不变形、耐洗、耐磨</w:t>
            </w:r>
            <w:r>
              <w:rPr>
                <w:rFonts w:hint="eastAsia" w:ascii="宋体" w:hAnsi="宋体" w:cs="宋体"/>
                <w:kern w:val="0"/>
                <w:sz w:val="21"/>
                <w:szCs w:val="21"/>
                <w:lang w:eastAsia="zh-CN"/>
              </w:rPr>
              <w:t>进行综合评比</w:t>
            </w:r>
            <w:r>
              <w:rPr>
                <w:rFonts w:hint="eastAsia" w:ascii="宋体" w:hAnsi="宋体" w:eastAsia="宋体" w:cs="宋体"/>
                <w:kern w:val="0"/>
                <w:sz w:val="21"/>
                <w:szCs w:val="21"/>
              </w:rPr>
              <w:t>，</w:t>
            </w:r>
            <w:r>
              <w:rPr>
                <w:rFonts w:hint="eastAsia" w:asciiTheme="minorEastAsia" w:hAnsiTheme="minorEastAsia" w:eastAsiaTheme="minorEastAsia" w:cstheme="minorEastAsia"/>
                <w:kern w:val="0"/>
                <w:szCs w:val="21"/>
              </w:rPr>
              <w:t>优得（</w:t>
            </w:r>
            <w:r>
              <w:rPr>
                <w:rFonts w:hint="eastAsia" w:asciiTheme="minorEastAsia" w:hAnsiTheme="minorEastAsia" w:eastAsiaTheme="minorEastAsia" w:cstheme="minorEastAsia"/>
                <w:kern w:val="0"/>
                <w:szCs w:val="21"/>
                <w:lang w:val="en-US" w:eastAsia="zh-CN"/>
              </w:rPr>
              <w:t>3-5</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分，一般得(</w:t>
            </w:r>
            <w:r>
              <w:rPr>
                <w:rFonts w:hint="eastAsia" w:asciiTheme="minorEastAsia" w:hAnsiTheme="minorEastAsia" w:eastAsiaTheme="minorEastAsia" w:cstheme="minorEastAsia"/>
                <w:kern w:val="0"/>
                <w:szCs w:val="21"/>
                <w:lang w:val="en-US" w:eastAsia="zh-CN"/>
              </w:rPr>
              <w:t>1-3</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，较差得（0-</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bCs/>
                <w:kern w:val="0"/>
                <w:szCs w:val="21"/>
              </w:rPr>
              <w:t>）</w:t>
            </w:r>
            <w:r>
              <w:rPr>
                <w:rFonts w:hint="eastAsia" w:asciiTheme="minorEastAsia" w:hAnsiTheme="minorEastAsia" w:eastAsiaTheme="minorEastAsia" w:cstheme="minorEastAsia"/>
                <w:kern w:val="0"/>
                <w:szCs w:val="21"/>
              </w:rPr>
              <w:t>分，不提供不得分。</w:t>
            </w:r>
          </w:p>
        </w:tc>
        <w:tc>
          <w:tcPr>
            <w:tcW w:w="576" w:type="dxa"/>
            <w:shd w:val="clear" w:color="auto" w:fill="auto"/>
            <w:vAlign w:val="center"/>
          </w:tcPr>
          <w:p>
            <w:pPr>
              <w:pStyle w:val="44"/>
              <w:spacing w:before="86" w:line="360" w:lineRule="auto"/>
              <w:jc w:val="center"/>
              <w:rPr>
                <w:rFonts w:hint="default" w:asciiTheme="minorEastAsia" w:hAnsiTheme="minorEastAsia" w:eastAsiaTheme="minorEastAsia" w:cstheme="minorEastAsia"/>
                <w:kern w:val="0"/>
                <w:szCs w:val="21"/>
                <w:lang w:val="en-US" w:eastAsia="zh-CN" w:bidi="ar-SA"/>
              </w:rPr>
            </w:pPr>
            <w:r>
              <w:rPr>
                <w:rFonts w:hint="eastAsia" w:asciiTheme="minorEastAsia" w:hAnsiTheme="minorEastAsia" w:eastAsiaTheme="minorEastAsia" w:cstheme="minorEastAsia"/>
                <w:kern w:val="0"/>
                <w:szCs w:val="21"/>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rPr>
        <w:tc>
          <w:tcPr>
            <w:tcW w:w="666"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bCs/>
                <w:kern w:val="0"/>
                <w:szCs w:val="21"/>
                <w:lang w:eastAsia="zh-CN"/>
              </w:rPr>
            </w:pPr>
            <w:r>
              <w:rPr>
                <w:rFonts w:hint="eastAsia" w:asciiTheme="minorEastAsia" w:hAnsiTheme="minorEastAsia" w:eastAsiaTheme="minorEastAsia" w:cstheme="minorEastAsia"/>
                <w:bCs/>
                <w:kern w:val="0"/>
                <w:szCs w:val="21"/>
                <w:lang w:val="en-US" w:eastAsia="zh-CN"/>
              </w:rPr>
              <w:t>5</w:t>
            </w:r>
          </w:p>
        </w:tc>
        <w:tc>
          <w:tcPr>
            <w:tcW w:w="928" w:type="dxa"/>
            <w:shd w:val="clear" w:color="auto" w:fill="auto"/>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编制质量情况</w:t>
            </w:r>
          </w:p>
          <w:p>
            <w:pPr>
              <w:widowControl/>
              <w:spacing w:line="360" w:lineRule="auto"/>
              <w:jc w:val="left"/>
              <w:rPr>
                <w:rFonts w:hint="eastAsia" w:ascii="宋体" w:hAnsi="宋体" w:eastAsia="宋体" w:cs="宋体"/>
                <w:bCs/>
                <w:kern w:val="0"/>
                <w:szCs w:val="21"/>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c>
          <w:tcPr>
            <w:tcW w:w="6692" w:type="dxa"/>
            <w:shd w:val="clear" w:color="auto" w:fill="auto"/>
            <w:vAlign w:val="center"/>
          </w:tcPr>
          <w:p>
            <w:pPr>
              <w:widowControl/>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根据</w:t>
            </w: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条款和要求认真组织编写</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及相关工作。没有细微偏差且清晰表述完整的得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分，有一项偏差的扣1分，扣分扣至0分为止。</w:t>
            </w:r>
          </w:p>
        </w:tc>
        <w:tc>
          <w:tcPr>
            <w:tcW w:w="576" w:type="dxa"/>
            <w:shd w:val="clear" w:color="auto" w:fill="auto"/>
            <w:vAlign w:val="center"/>
          </w:tcPr>
          <w:p>
            <w:pPr>
              <w:widowControl/>
              <w:spacing w:line="360" w:lineRule="auto"/>
              <w:jc w:val="center"/>
              <w:rPr>
                <w:rFonts w:asciiTheme="minorEastAsia" w:hAnsiTheme="minorEastAsia" w:eastAsiaTheme="minorEastAsia" w:cstheme="minorEastAsia"/>
                <w:kern w:val="0"/>
                <w:szCs w:val="21"/>
              </w:rPr>
            </w:pPr>
            <w:r>
              <w:rPr>
                <w:rFonts w:hint="eastAsia" w:ascii="宋体" w:hAnsi="宋体" w:cs="宋体"/>
                <w:color w:val="auto"/>
                <w:kern w:val="0"/>
                <w:sz w:val="21"/>
                <w:szCs w:val="21"/>
                <w:highlight w:val="none"/>
              </w:rPr>
              <w:t>0-</w:t>
            </w:r>
            <w:r>
              <w:rPr>
                <w:rFonts w:hint="eastAsia" w:ascii="宋体" w:hAnsi="宋体" w:cs="宋体"/>
                <w:color w:val="auto"/>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8862" w:type="dxa"/>
            <w:gridSpan w:val="4"/>
            <w:shd w:val="clear" w:color="auto" w:fill="auto"/>
            <w:vAlign w:val="center"/>
          </w:tcPr>
          <w:p>
            <w:pPr>
              <w:widowControl/>
              <w:spacing w:line="360" w:lineRule="auto"/>
              <w:textAlignment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rPr>
              <w:t>注：评审得分合计100分，评分计算结果保留两位小数，第三位小数四舍五入。</w:t>
            </w:r>
          </w:p>
        </w:tc>
      </w:tr>
    </w:tbl>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注：政策性加分的相关说明：</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1、关于小微企业：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1.1按&lt;关于印发《政府采购促进中小企业发展暂行办法》的通知&gt;（</w:t>
      </w:r>
      <w:r>
        <w:rPr>
          <w:rFonts w:hint="eastAsia" w:ascii="宋体" w:hAnsi="宋体" w:cs="宋体"/>
          <w:bCs/>
          <w:kern w:val="0"/>
          <w:sz w:val="24"/>
          <w:szCs w:val="22"/>
        </w:rPr>
        <w:t>财库〔2020〕46号）</w:t>
      </w:r>
      <w:r>
        <w:rPr>
          <w:rFonts w:hint="eastAsia" w:asciiTheme="minorEastAsia" w:hAnsiTheme="minorEastAsia" w:eastAsiaTheme="minorEastAsia" w:cstheme="minorEastAsia"/>
          <w:sz w:val="24"/>
        </w:rPr>
        <w:t>之规定，中小企业的标准为：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1.1.1提供本企业制造的货物、承担的工程或者服务，或者提供其他中小企业制造的货物，不包括提供或使用大型企业注册商标的货物。</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1.1.2本规定所称中小企业划分标准，是指国务院有关部门根据企业从业人员、营业收入、资产总额等指标制定的中小企业划型标准（工信部联企业〔2011〕300号）。</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1.1.3小型、微型企业提供有中型企业制造的货物的，视同为中型企业；小型、微型、中型企业提供有大型企业制造的货物的，视同为大型企业。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1.2具体加分说明：</w:t>
      </w:r>
    </w:p>
    <w:p>
      <w:pPr>
        <w:spacing w:line="360" w:lineRule="auto"/>
        <w:ind w:firstLine="480" w:firstLineChars="200"/>
        <w:rPr>
          <w:rFonts w:asciiTheme="minorEastAsia" w:hAnsiTheme="minorEastAsia" w:eastAsiaTheme="minorEastAsia" w:cstheme="minorEastAsia"/>
          <w:b/>
          <w:bCs/>
          <w:sz w:val="24"/>
          <w:highlight w:val="green"/>
        </w:rPr>
      </w:pPr>
      <w:r>
        <w:rPr>
          <w:rFonts w:hint="eastAsia" w:asciiTheme="minorEastAsia" w:hAnsiTheme="minorEastAsia" w:eastAsiaTheme="minorEastAsia" w:cstheme="minorEastAsia"/>
          <w:sz w:val="24"/>
        </w:rPr>
        <w:t>1.2.1对小型和微型企业产品的价格给予6%-10%的扣除，用扣除后的价格参与评审。（对小型企业、微型企业给予6%的扣除（注册资金十五万及以下的微型企业给予10%的扣除））。</w:t>
      </w:r>
    </w:p>
    <w:p>
      <w:pPr>
        <w:spacing w:line="360" w:lineRule="auto"/>
        <w:ind w:firstLine="482" w:firstLineChars="200"/>
        <w:rPr>
          <w:rFonts w:asciiTheme="minorEastAsia" w:hAnsiTheme="minorEastAsia" w:eastAsiaTheme="minorEastAsia" w:cstheme="minorEastAsia"/>
          <w:b/>
          <w:bCs/>
          <w:sz w:val="24"/>
          <w:highlight w:val="green"/>
        </w:rPr>
      </w:pPr>
    </w:p>
    <w:sectPr>
      <w:headerReference r:id="rId7" w:type="default"/>
      <w:footerReference r:id="rId8" w:type="default"/>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- 25 -</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z4cMYBAACbAwAADgAAAGRycy9lMm9Eb2MueG1srVPNjtMwEL4j8Q6W&#10;7zTZIqEoaroCVYuQECAtPIDrOI0l22N53CZ9AXgDTly481x9DsZO0oXlsgcuzvz5m/k+Tza3ozXs&#10;pAJqcA2/WZWcKSeh1e7Q8C+f715UnGEUrhUGnGr4WSG/3T5/thl8rdbQg2lVYATisB58w/sYfV0U&#10;KHtlBa7AK0fJDoIVkdxwKNogBkK3pliX5atigND6AFIhUnQ3JfmMGJ4CCF2npdqBPFrl4oQalBGR&#10;KGGvPfJtnrbrlIwfuw5VZKbhxDTmk5qQvU9nsd2I+hCE77WcRxBPGeERJyu0o6ZXqJ2Igh2D/gfK&#10;ahkAoYsrCbaYiGRFiMVN+Uib+154lbmQ1OivouP/g5UfTp8C023DX3LmhKUHv3z/dvnx6/LzK6uS&#10;PIPHmqruPdXF8Q2MtDRLHCmYWI9dsOlLfBjlSdzzVVw1RibTpWpdVSWlJOUWh/CLh+s+YHyrwLJk&#10;NDzQ62VRxek9xql0KUndHNxpY/ILGvdXgDCniMorMN9OTKaJkxXH/TjT20N7JnYDrUHDHW09Z+ad&#10;I5XTxixGWIz9bKSO6F8fI42Rp0uoExSxSg69WeY371daij/9XPXw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kXPhwxgEAAJsDAAAOAAAAAAAAAAEAIAAAAB4BAABkcnMvZTJvRG9jLnht&#10;bFBLBQYAAAAABgAGAFkBAABW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- 49 -</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So2OsYBAACbAwAADgAAAGRycy9lMm9Eb2MueG1srVNLbtswEN0XyB0I&#10;7mMpXgSuYDloYSQoULQF0h6ApkYWAf7AoS35Au0Nuuqm+57L5+iQkpw23WTRDTU/Ps57M1rfDUaz&#10;IwRUztb8ZlFyBla6Rtl9zb98vr9ecYZR2EZoZ6HmJ0B+t7l6te59BUvXOd1AYARisep9zbsYfVUU&#10;KDswAhfOg6Vk64IRkdywL5ogekI3uliW5W3Ru9D44CQgUnQ7JvmEGF4C6NpWSdg6eTBg44gaQItI&#10;lLBTHvkmd9u2IOPHtkWITNecmMZ80iNk79JZbNai2gfhOyWnFsRLWnjGyQhl6dEL1FZEwQ5B/QNl&#10;lAwOXRsX0pliJJIVIRY35TNtHjvhIXMhqdFfRMf/Bys/HD8Fppqa09itMDTw8/dv5x+/zj+/stdJ&#10;nt5jRVWPnuri8NYNtDRzHCmYWA9tMOlLfBjlSdzTRVwYIpPp0mq5WpWUkpSbHcIvnq77gPEBnGHJ&#10;qHmg6WVRxfE9xrF0LkmvWXevtM4T1PavAGGOEcgrMN1OTMaOkxWH3TDR27nmROx6WoOaW9p6zvQ7&#10;SyqnjZmNMBu7yUgvon9ziNRG7i6hjlDEKjk0s8xv2q+0FH/6uerpn9r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KjY6xgEAAJsDAAAOAAAAAAAAAAEAIAAAAB4BAABkcnMvZTJvRG9jLnht&#10;bFBLBQYAAAAABgAGAFkBAABW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r>
      <w:rPr>
        <w:rFonts w:hint="eastAsia" w:eastAsia="方正大标宋简体"/>
        <w:color w:val="000000"/>
        <w:spacing w:val="20"/>
        <w:sz w:val="32"/>
      </w:rPr>
      <w:drawing>
        <wp:inline distT="0" distB="0" distL="114300" distR="114300">
          <wp:extent cx="4498975" cy="594360"/>
          <wp:effectExtent l="0" t="0" r="15875" b="15240"/>
          <wp:docPr id="4" name="图片 4"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69E68"/>
    <w:multiLevelType w:val="singleLevel"/>
    <w:tmpl w:val="94E69E68"/>
    <w:lvl w:ilvl="0" w:tentative="0">
      <w:start w:val="3"/>
      <w:numFmt w:val="chineseCounting"/>
      <w:suff w:val="nothing"/>
      <w:lvlText w:val="%1、"/>
      <w:lvlJc w:val="left"/>
      <w:rPr>
        <w:rFonts w:hint="eastAsia"/>
      </w:rPr>
    </w:lvl>
  </w:abstractNum>
  <w:abstractNum w:abstractNumId="1">
    <w:nsid w:val="AB9A85EC"/>
    <w:multiLevelType w:val="singleLevel"/>
    <w:tmpl w:val="AB9A85EC"/>
    <w:lvl w:ilvl="0" w:tentative="0">
      <w:start w:val="7"/>
      <w:numFmt w:val="chineseCounting"/>
      <w:suff w:val="nothing"/>
      <w:lvlText w:val="%1、"/>
      <w:lvlJc w:val="left"/>
      <w:rPr>
        <w:rFonts w:hint="eastAsia"/>
      </w:rPr>
    </w:lvl>
  </w:abstractNum>
  <w:abstractNum w:abstractNumId="2">
    <w:nsid w:val="E6EC9770"/>
    <w:multiLevelType w:val="singleLevel"/>
    <w:tmpl w:val="E6EC9770"/>
    <w:lvl w:ilvl="0" w:tentative="0">
      <w:start w:val="34"/>
      <w:numFmt w:val="decimal"/>
      <w:suff w:val="nothing"/>
      <w:lvlText w:val="%1、"/>
      <w:lvlJc w:val="left"/>
    </w:lvl>
  </w:abstractNum>
  <w:abstractNum w:abstractNumId="3">
    <w:nsid w:val="34A30D37"/>
    <w:multiLevelType w:val="multilevel"/>
    <w:tmpl w:val="34A30D37"/>
    <w:lvl w:ilvl="0" w:tentative="0">
      <w:start w:val="1"/>
      <w:numFmt w:val="decimal"/>
      <w:lvlText w:val="%1"/>
      <w:lvlJc w:val="left"/>
      <w:pPr>
        <w:tabs>
          <w:tab w:val="left" w:pos="1955"/>
        </w:tabs>
        <w:ind w:left="1955"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0707FAA"/>
    <w:multiLevelType w:val="singleLevel"/>
    <w:tmpl w:val="50707FAA"/>
    <w:lvl w:ilvl="0" w:tentative="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04A95"/>
    <w:rsid w:val="00007D04"/>
    <w:rsid w:val="0004637B"/>
    <w:rsid w:val="000C1451"/>
    <w:rsid w:val="00117249"/>
    <w:rsid w:val="00145F98"/>
    <w:rsid w:val="00197818"/>
    <w:rsid w:val="001A7343"/>
    <w:rsid w:val="002B66EF"/>
    <w:rsid w:val="003913B3"/>
    <w:rsid w:val="00421793"/>
    <w:rsid w:val="00452D36"/>
    <w:rsid w:val="004543AC"/>
    <w:rsid w:val="004D1134"/>
    <w:rsid w:val="006B08D6"/>
    <w:rsid w:val="006F5F12"/>
    <w:rsid w:val="007A2177"/>
    <w:rsid w:val="007A62B9"/>
    <w:rsid w:val="007D0169"/>
    <w:rsid w:val="009364C7"/>
    <w:rsid w:val="009B3ACF"/>
    <w:rsid w:val="00A7582F"/>
    <w:rsid w:val="00AF4A54"/>
    <w:rsid w:val="00C243E1"/>
    <w:rsid w:val="00C355FE"/>
    <w:rsid w:val="00C82A1E"/>
    <w:rsid w:val="00D4613E"/>
    <w:rsid w:val="00DE7270"/>
    <w:rsid w:val="00F226C0"/>
    <w:rsid w:val="00F428D9"/>
    <w:rsid w:val="00F43FB0"/>
    <w:rsid w:val="00F735C3"/>
    <w:rsid w:val="00F82AAE"/>
    <w:rsid w:val="00FC2C02"/>
    <w:rsid w:val="01D03419"/>
    <w:rsid w:val="02254726"/>
    <w:rsid w:val="024911DA"/>
    <w:rsid w:val="027B26FE"/>
    <w:rsid w:val="02965A65"/>
    <w:rsid w:val="02FE4054"/>
    <w:rsid w:val="034568D1"/>
    <w:rsid w:val="034C425B"/>
    <w:rsid w:val="036544B5"/>
    <w:rsid w:val="03C268A1"/>
    <w:rsid w:val="04781EA1"/>
    <w:rsid w:val="04CA1FF7"/>
    <w:rsid w:val="04DA2C26"/>
    <w:rsid w:val="04ED5290"/>
    <w:rsid w:val="04FF71AA"/>
    <w:rsid w:val="05225518"/>
    <w:rsid w:val="05421E3D"/>
    <w:rsid w:val="055F039E"/>
    <w:rsid w:val="05694F94"/>
    <w:rsid w:val="05803578"/>
    <w:rsid w:val="05B2713E"/>
    <w:rsid w:val="05E1620A"/>
    <w:rsid w:val="06765E66"/>
    <w:rsid w:val="06B54C53"/>
    <w:rsid w:val="06D41C21"/>
    <w:rsid w:val="07576FFF"/>
    <w:rsid w:val="077925AF"/>
    <w:rsid w:val="0779350E"/>
    <w:rsid w:val="078F5429"/>
    <w:rsid w:val="07AB2710"/>
    <w:rsid w:val="07B776EC"/>
    <w:rsid w:val="08131858"/>
    <w:rsid w:val="08132F25"/>
    <w:rsid w:val="082133C2"/>
    <w:rsid w:val="082D4884"/>
    <w:rsid w:val="082F5E1B"/>
    <w:rsid w:val="0859195C"/>
    <w:rsid w:val="086C2D34"/>
    <w:rsid w:val="08B06AE6"/>
    <w:rsid w:val="096545A8"/>
    <w:rsid w:val="09B661C4"/>
    <w:rsid w:val="09CD0B80"/>
    <w:rsid w:val="09F62820"/>
    <w:rsid w:val="0A5D2DE6"/>
    <w:rsid w:val="0A693CB1"/>
    <w:rsid w:val="0AA2391D"/>
    <w:rsid w:val="0AD70C7B"/>
    <w:rsid w:val="0AE439D8"/>
    <w:rsid w:val="0AF865C8"/>
    <w:rsid w:val="0B073E1A"/>
    <w:rsid w:val="0B5110C1"/>
    <w:rsid w:val="0B642816"/>
    <w:rsid w:val="0B9E1856"/>
    <w:rsid w:val="0BA84CCD"/>
    <w:rsid w:val="0BAF49D6"/>
    <w:rsid w:val="0BDC599B"/>
    <w:rsid w:val="0BF333DE"/>
    <w:rsid w:val="0BF65480"/>
    <w:rsid w:val="0C5B33A4"/>
    <w:rsid w:val="0C7E476D"/>
    <w:rsid w:val="0CE53C97"/>
    <w:rsid w:val="0D076ED1"/>
    <w:rsid w:val="0D855EF0"/>
    <w:rsid w:val="0DBB345F"/>
    <w:rsid w:val="0F2A659F"/>
    <w:rsid w:val="0F3F5F4E"/>
    <w:rsid w:val="0F727709"/>
    <w:rsid w:val="0F8060D8"/>
    <w:rsid w:val="0FB02B1B"/>
    <w:rsid w:val="0FB80486"/>
    <w:rsid w:val="0FDF1E12"/>
    <w:rsid w:val="103940D6"/>
    <w:rsid w:val="109D1709"/>
    <w:rsid w:val="11155316"/>
    <w:rsid w:val="11244F9E"/>
    <w:rsid w:val="11801B96"/>
    <w:rsid w:val="11BB0A89"/>
    <w:rsid w:val="11C06CF8"/>
    <w:rsid w:val="11D666C4"/>
    <w:rsid w:val="11D951D6"/>
    <w:rsid w:val="1213041C"/>
    <w:rsid w:val="12543DC0"/>
    <w:rsid w:val="125A35B7"/>
    <w:rsid w:val="129317A0"/>
    <w:rsid w:val="12FC7039"/>
    <w:rsid w:val="130B5CAA"/>
    <w:rsid w:val="130C73ED"/>
    <w:rsid w:val="130E6277"/>
    <w:rsid w:val="13166603"/>
    <w:rsid w:val="13273B73"/>
    <w:rsid w:val="13504303"/>
    <w:rsid w:val="13A47AF4"/>
    <w:rsid w:val="13AD3A0E"/>
    <w:rsid w:val="13D81E60"/>
    <w:rsid w:val="14606C13"/>
    <w:rsid w:val="14723763"/>
    <w:rsid w:val="14842F63"/>
    <w:rsid w:val="149B16E7"/>
    <w:rsid w:val="149B5650"/>
    <w:rsid w:val="14A52008"/>
    <w:rsid w:val="14B4685E"/>
    <w:rsid w:val="14BF5B27"/>
    <w:rsid w:val="14CF20B4"/>
    <w:rsid w:val="15110159"/>
    <w:rsid w:val="15506BD7"/>
    <w:rsid w:val="15833361"/>
    <w:rsid w:val="15B05E09"/>
    <w:rsid w:val="15C9701E"/>
    <w:rsid w:val="160D0226"/>
    <w:rsid w:val="16123E99"/>
    <w:rsid w:val="16281EEF"/>
    <w:rsid w:val="1672357B"/>
    <w:rsid w:val="169B262C"/>
    <w:rsid w:val="16A77652"/>
    <w:rsid w:val="16C50573"/>
    <w:rsid w:val="16E73E61"/>
    <w:rsid w:val="16F169C4"/>
    <w:rsid w:val="1748016B"/>
    <w:rsid w:val="175224E3"/>
    <w:rsid w:val="17617037"/>
    <w:rsid w:val="17DC2CCB"/>
    <w:rsid w:val="17F05399"/>
    <w:rsid w:val="18571F2A"/>
    <w:rsid w:val="186758E5"/>
    <w:rsid w:val="18A12F95"/>
    <w:rsid w:val="18A30349"/>
    <w:rsid w:val="18C2401A"/>
    <w:rsid w:val="1954465D"/>
    <w:rsid w:val="198454BD"/>
    <w:rsid w:val="19AF4A19"/>
    <w:rsid w:val="19E3432C"/>
    <w:rsid w:val="19F24936"/>
    <w:rsid w:val="19FC5F79"/>
    <w:rsid w:val="1A027C60"/>
    <w:rsid w:val="1A0C394D"/>
    <w:rsid w:val="1AAB25D1"/>
    <w:rsid w:val="1ACC15FD"/>
    <w:rsid w:val="1B0E6E75"/>
    <w:rsid w:val="1B295E11"/>
    <w:rsid w:val="1B325CD4"/>
    <w:rsid w:val="1B884D33"/>
    <w:rsid w:val="1B9642FD"/>
    <w:rsid w:val="1BD3618F"/>
    <w:rsid w:val="1BEC51B7"/>
    <w:rsid w:val="1BF652F6"/>
    <w:rsid w:val="1C6023B1"/>
    <w:rsid w:val="1C6E3215"/>
    <w:rsid w:val="1C7409FF"/>
    <w:rsid w:val="1C85238F"/>
    <w:rsid w:val="1C9124B9"/>
    <w:rsid w:val="1CB37D25"/>
    <w:rsid w:val="1CF343A2"/>
    <w:rsid w:val="1D4D2172"/>
    <w:rsid w:val="1D7E00C0"/>
    <w:rsid w:val="1D88366B"/>
    <w:rsid w:val="1DB90575"/>
    <w:rsid w:val="1DD57700"/>
    <w:rsid w:val="1DE76A19"/>
    <w:rsid w:val="1E215FDE"/>
    <w:rsid w:val="1E2E2BB7"/>
    <w:rsid w:val="1E434F96"/>
    <w:rsid w:val="1E562334"/>
    <w:rsid w:val="1EA2320D"/>
    <w:rsid w:val="1EA872CE"/>
    <w:rsid w:val="1EDB0A97"/>
    <w:rsid w:val="1EE513F5"/>
    <w:rsid w:val="1F016FEC"/>
    <w:rsid w:val="1F8C63A7"/>
    <w:rsid w:val="1FC748DB"/>
    <w:rsid w:val="20016663"/>
    <w:rsid w:val="2014032E"/>
    <w:rsid w:val="202347E1"/>
    <w:rsid w:val="20B635E6"/>
    <w:rsid w:val="20F61559"/>
    <w:rsid w:val="210B4648"/>
    <w:rsid w:val="21402E44"/>
    <w:rsid w:val="21414DB3"/>
    <w:rsid w:val="21415CFC"/>
    <w:rsid w:val="21AE1B87"/>
    <w:rsid w:val="21C65B59"/>
    <w:rsid w:val="21C929F2"/>
    <w:rsid w:val="21DD1027"/>
    <w:rsid w:val="21F53B28"/>
    <w:rsid w:val="221E30A5"/>
    <w:rsid w:val="224949D4"/>
    <w:rsid w:val="22B346F4"/>
    <w:rsid w:val="22CF79E7"/>
    <w:rsid w:val="22DB716E"/>
    <w:rsid w:val="22DC15BA"/>
    <w:rsid w:val="2360149A"/>
    <w:rsid w:val="23824899"/>
    <w:rsid w:val="23C7467A"/>
    <w:rsid w:val="23D4358A"/>
    <w:rsid w:val="241A480F"/>
    <w:rsid w:val="2448334F"/>
    <w:rsid w:val="247D138F"/>
    <w:rsid w:val="247F4E83"/>
    <w:rsid w:val="24AA4A44"/>
    <w:rsid w:val="24EC4A83"/>
    <w:rsid w:val="253142C2"/>
    <w:rsid w:val="253A7FD5"/>
    <w:rsid w:val="255631E3"/>
    <w:rsid w:val="25732A64"/>
    <w:rsid w:val="25780E35"/>
    <w:rsid w:val="259F3930"/>
    <w:rsid w:val="25AC4D35"/>
    <w:rsid w:val="25CB2F75"/>
    <w:rsid w:val="25F960F8"/>
    <w:rsid w:val="26DE5D1F"/>
    <w:rsid w:val="273364D7"/>
    <w:rsid w:val="273A46EA"/>
    <w:rsid w:val="2773426F"/>
    <w:rsid w:val="27A70420"/>
    <w:rsid w:val="28A52EDC"/>
    <w:rsid w:val="2935642C"/>
    <w:rsid w:val="29532C0A"/>
    <w:rsid w:val="29791DCD"/>
    <w:rsid w:val="297E391D"/>
    <w:rsid w:val="298F232A"/>
    <w:rsid w:val="29DA7026"/>
    <w:rsid w:val="2A534512"/>
    <w:rsid w:val="2B0173AB"/>
    <w:rsid w:val="2B3718B2"/>
    <w:rsid w:val="2B3A6FC3"/>
    <w:rsid w:val="2BD87616"/>
    <w:rsid w:val="2BF8558E"/>
    <w:rsid w:val="2C7D562D"/>
    <w:rsid w:val="2C7D5F77"/>
    <w:rsid w:val="2CD56C8F"/>
    <w:rsid w:val="2D0C02CC"/>
    <w:rsid w:val="2D126DF1"/>
    <w:rsid w:val="2D1E016C"/>
    <w:rsid w:val="2D2D302D"/>
    <w:rsid w:val="2D5351FC"/>
    <w:rsid w:val="2DC01092"/>
    <w:rsid w:val="2E0E70FE"/>
    <w:rsid w:val="2E1961AA"/>
    <w:rsid w:val="2E295DE0"/>
    <w:rsid w:val="2E4A7A07"/>
    <w:rsid w:val="2EB173AA"/>
    <w:rsid w:val="2F1C7329"/>
    <w:rsid w:val="2F1E6A16"/>
    <w:rsid w:val="2F5357A7"/>
    <w:rsid w:val="2F606488"/>
    <w:rsid w:val="2F625C39"/>
    <w:rsid w:val="2FB16F59"/>
    <w:rsid w:val="300748C4"/>
    <w:rsid w:val="30271F81"/>
    <w:rsid w:val="303934C0"/>
    <w:rsid w:val="303E4FF2"/>
    <w:rsid w:val="30995164"/>
    <w:rsid w:val="310F5FF1"/>
    <w:rsid w:val="31103CC5"/>
    <w:rsid w:val="312A523C"/>
    <w:rsid w:val="31CF0897"/>
    <w:rsid w:val="32092F90"/>
    <w:rsid w:val="322A0D97"/>
    <w:rsid w:val="325D7DA5"/>
    <w:rsid w:val="328462D9"/>
    <w:rsid w:val="329E7049"/>
    <w:rsid w:val="32AA7298"/>
    <w:rsid w:val="32B64752"/>
    <w:rsid w:val="32C9777E"/>
    <w:rsid w:val="32D75646"/>
    <w:rsid w:val="32E33E72"/>
    <w:rsid w:val="32EC46AE"/>
    <w:rsid w:val="32FA4805"/>
    <w:rsid w:val="3337155F"/>
    <w:rsid w:val="33476C8B"/>
    <w:rsid w:val="33501A2D"/>
    <w:rsid w:val="335807B3"/>
    <w:rsid w:val="335E41EA"/>
    <w:rsid w:val="33735217"/>
    <w:rsid w:val="338479CA"/>
    <w:rsid w:val="33E17280"/>
    <w:rsid w:val="33F0160D"/>
    <w:rsid w:val="33F41838"/>
    <w:rsid w:val="34262EEC"/>
    <w:rsid w:val="342B27BC"/>
    <w:rsid w:val="34314A3B"/>
    <w:rsid w:val="3482173C"/>
    <w:rsid w:val="348E24BF"/>
    <w:rsid w:val="34B1206D"/>
    <w:rsid w:val="34B61100"/>
    <w:rsid w:val="34D072D8"/>
    <w:rsid w:val="351078BF"/>
    <w:rsid w:val="3549083A"/>
    <w:rsid w:val="356D1D0A"/>
    <w:rsid w:val="3575434F"/>
    <w:rsid w:val="35851FE3"/>
    <w:rsid w:val="35BF7AA7"/>
    <w:rsid w:val="35F76A56"/>
    <w:rsid w:val="364F070D"/>
    <w:rsid w:val="377E1242"/>
    <w:rsid w:val="379600DA"/>
    <w:rsid w:val="38174D98"/>
    <w:rsid w:val="38423024"/>
    <w:rsid w:val="387E162E"/>
    <w:rsid w:val="38946770"/>
    <w:rsid w:val="38FA3210"/>
    <w:rsid w:val="39114139"/>
    <w:rsid w:val="39273A0B"/>
    <w:rsid w:val="392D66BE"/>
    <w:rsid w:val="39674E4A"/>
    <w:rsid w:val="39CD06E6"/>
    <w:rsid w:val="3A3C10EF"/>
    <w:rsid w:val="3A6D4693"/>
    <w:rsid w:val="3A7C1F9C"/>
    <w:rsid w:val="3B151D0B"/>
    <w:rsid w:val="3B52521D"/>
    <w:rsid w:val="3B6F4D8C"/>
    <w:rsid w:val="3B72418D"/>
    <w:rsid w:val="3BB02649"/>
    <w:rsid w:val="3BC35B39"/>
    <w:rsid w:val="3BD24A47"/>
    <w:rsid w:val="3C99635F"/>
    <w:rsid w:val="3CC84F02"/>
    <w:rsid w:val="3D562F1D"/>
    <w:rsid w:val="3D74487C"/>
    <w:rsid w:val="3D7539F3"/>
    <w:rsid w:val="3D99743A"/>
    <w:rsid w:val="3DAE2731"/>
    <w:rsid w:val="3DC82FD8"/>
    <w:rsid w:val="3DDF67D0"/>
    <w:rsid w:val="3DFD43BD"/>
    <w:rsid w:val="3E280279"/>
    <w:rsid w:val="3E42694D"/>
    <w:rsid w:val="3E495851"/>
    <w:rsid w:val="3E850635"/>
    <w:rsid w:val="3EC45D93"/>
    <w:rsid w:val="3EFB141B"/>
    <w:rsid w:val="3F4F411A"/>
    <w:rsid w:val="3FBF210B"/>
    <w:rsid w:val="4014633F"/>
    <w:rsid w:val="4092706C"/>
    <w:rsid w:val="40EB2E13"/>
    <w:rsid w:val="40ED65CA"/>
    <w:rsid w:val="41282E3B"/>
    <w:rsid w:val="41416411"/>
    <w:rsid w:val="417646D2"/>
    <w:rsid w:val="41856A5F"/>
    <w:rsid w:val="41912A36"/>
    <w:rsid w:val="419868C9"/>
    <w:rsid w:val="42B35002"/>
    <w:rsid w:val="42E47289"/>
    <w:rsid w:val="43671615"/>
    <w:rsid w:val="436D2FCA"/>
    <w:rsid w:val="43B147C6"/>
    <w:rsid w:val="43C65471"/>
    <w:rsid w:val="43E060FD"/>
    <w:rsid w:val="44152D75"/>
    <w:rsid w:val="44184330"/>
    <w:rsid w:val="44DC1442"/>
    <w:rsid w:val="44E67FFA"/>
    <w:rsid w:val="44EC6252"/>
    <w:rsid w:val="4515400F"/>
    <w:rsid w:val="451B4863"/>
    <w:rsid w:val="454C6BF7"/>
    <w:rsid w:val="456F4E33"/>
    <w:rsid w:val="45AC50DC"/>
    <w:rsid w:val="45D314A4"/>
    <w:rsid w:val="45DE18A5"/>
    <w:rsid w:val="45FC62AA"/>
    <w:rsid w:val="464F674F"/>
    <w:rsid w:val="4666755A"/>
    <w:rsid w:val="466D7EFE"/>
    <w:rsid w:val="46C77EC2"/>
    <w:rsid w:val="46FB7FB4"/>
    <w:rsid w:val="46FF5F7E"/>
    <w:rsid w:val="473E11AB"/>
    <w:rsid w:val="47656C02"/>
    <w:rsid w:val="481F1B55"/>
    <w:rsid w:val="4829584F"/>
    <w:rsid w:val="48566786"/>
    <w:rsid w:val="491B279C"/>
    <w:rsid w:val="49533CD9"/>
    <w:rsid w:val="49791BB0"/>
    <w:rsid w:val="49A0228C"/>
    <w:rsid w:val="49B85240"/>
    <w:rsid w:val="4A1323A4"/>
    <w:rsid w:val="4A48032F"/>
    <w:rsid w:val="4AAF1561"/>
    <w:rsid w:val="4B0C62B2"/>
    <w:rsid w:val="4B1152BC"/>
    <w:rsid w:val="4B5E76A1"/>
    <w:rsid w:val="4B861E0D"/>
    <w:rsid w:val="4C401B1A"/>
    <w:rsid w:val="4C496920"/>
    <w:rsid w:val="4C8B0BFB"/>
    <w:rsid w:val="4D014DD1"/>
    <w:rsid w:val="4D0633FC"/>
    <w:rsid w:val="4D09183C"/>
    <w:rsid w:val="4D20658B"/>
    <w:rsid w:val="4D957224"/>
    <w:rsid w:val="4DAA211C"/>
    <w:rsid w:val="4DC74ED3"/>
    <w:rsid w:val="4DD54EA2"/>
    <w:rsid w:val="4E21054A"/>
    <w:rsid w:val="4E8B7676"/>
    <w:rsid w:val="4EAC7E0E"/>
    <w:rsid w:val="4EAE36F2"/>
    <w:rsid w:val="4EB51578"/>
    <w:rsid w:val="4EC452A9"/>
    <w:rsid w:val="4ED951DA"/>
    <w:rsid w:val="4F271559"/>
    <w:rsid w:val="4F2C1DC0"/>
    <w:rsid w:val="4F9F022F"/>
    <w:rsid w:val="4FB20DA5"/>
    <w:rsid w:val="4FC34284"/>
    <w:rsid w:val="50004A95"/>
    <w:rsid w:val="501F5272"/>
    <w:rsid w:val="50315BEC"/>
    <w:rsid w:val="508B16E9"/>
    <w:rsid w:val="508D4AF5"/>
    <w:rsid w:val="50A27666"/>
    <w:rsid w:val="50E53587"/>
    <w:rsid w:val="50FB7CD3"/>
    <w:rsid w:val="510760DA"/>
    <w:rsid w:val="510A5DA3"/>
    <w:rsid w:val="511F1DEF"/>
    <w:rsid w:val="51251FA3"/>
    <w:rsid w:val="514E39D3"/>
    <w:rsid w:val="517C76EB"/>
    <w:rsid w:val="518C4349"/>
    <w:rsid w:val="51AA1D87"/>
    <w:rsid w:val="51AA591A"/>
    <w:rsid w:val="51AF3936"/>
    <w:rsid w:val="52923018"/>
    <w:rsid w:val="52B50F48"/>
    <w:rsid w:val="52BB55F9"/>
    <w:rsid w:val="52EC3699"/>
    <w:rsid w:val="53563FF9"/>
    <w:rsid w:val="535649D0"/>
    <w:rsid w:val="536B298A"/>
    <w:rsid w:val="538C0C05"/>
    <w:rsid w:val="53AB1466"/>
    <w:rsid w:val="5446070C"/>
    <w:rsid w:val="546D01CE"/>
    <w:rsid w:val="547722A4"/>
    <w:rsid w:val="548824F8"/>
    <w:rsid w:val="54940181"/>
    <w:rsid w:val="549E35CA"/>
    <w:rsid w:val="54A45761"/>
    <w:rsid w:val="54A948F7"/>
    <w:rsid w:val="54B96BE5"/>
    <w:rsid w:val="54F04832"/>
    <w:rsid w:val="55027A25"/>
    <w:rsid w:val="551E5264"/>
    <w:rsid w:val="553801B1"/>
    <w:rsid w:val="55612EE1"/>
    <w:rsid w:val="556A1904"/>
    <w:rsid w:val="559D4932"/>
    <w:rsid w:val="55A12572"/>
    <w:rsid w:val="55E17773"/>
    <w:rsid w:val="55EE16DA"/>
    <w:rsid w:val="564936DC"/>
    <w:rsid w:val="56A033DC"/>
    <w:rsid w:val="56AB0A6F"/>
    <w:rsid w:val="56C9249B"/>
    <w:rsid w:val="56D12583"/>
    <w:rsid w:val="56FB0D6B"/>
    <w:rsid w:val="5705211A"/>
    <w:rsid w:val="57055CC2"/>
    <w:rsid w:val="573C78BF"/>
    <w:rsid w:val="573F7601"/>
    <w:rsid w:val="575533B2"/>
    <w:rsid w:val="575B6F5B"/>
    <w:rsid w:val="579064D1"/>
    <w:rsid w:val="57983F7E"/>
    <w:rsid w:val="58211389"/>
    <w:rsid w:val="58A42627"/>
    <w:rsid w:val="58B1365B"/>
    <w:rsid w:val="58CD73F0"/>
    <w:rsid w:val="58F25192"/>
    <w:rsid w:val="592E5C8B"/>
    <w:rsid w:val="5A142BFD"/>
    <w:rsid w:val="5A295A1E"/>
    <w:rsid w:val="5A7551F0"/>
    <w:rsid w:val="5AE21575"/>
    <w:rsid w:val="5B267475"/>
    <w:rsid w:val="5B6920E1"/>
    <w:rsid w:val="5B7C4952"/>
    <w:rsid w:val="5BC26346"/>
    <w:rsid w:val="5BC623F5"/>
    <w:rsid w:val="5BCD47BD"/>
    <w:rsid w:val="5C3C1B52"/>
    <w:rsid w:val="5C42398A"/>
    <w:rsid w:val="5C863894"/>
    <w:rsid w:val="5C9F5FE6"/>
    <w:rsid w:val="5CC04511"/>
    <w:rsid w:val="5CD86F67"/>
    <w:rsid w:val="5CED1068"/>
    <w:rsid w:val="5CFE6618"/>
    <w:rsid w:val="5D1F019A"/>
    <w:rsid w:val="5D7C58CD"/>
    <w:rsid w:val="5D9C0ED5"/>
    <w:rsid w:val="5DB70557"/>
    <w:rsid w:val="5E035BD3"/>
    <w:rsid w:val="5E841EF2"/>
    <w:rsid w:val="5ED65219"/>
    <w:rsid w:val="5EE01142"/>
    <w:rsid w:val="5F03760E"/>
    <w:rsid w:val="5F7A5417"/>
    <w:rsid w:val="6009431E"/>
    <w:rsid w:val="60283E5C"/>
    <w:rsid w:val="6070030D"/>
    <w:rsid w:val="60777475"/>
    <w:rsid w:val="609864D9"/>
    <w:rsid w:val="60B779A0"/>
    <w:rsid w:val="60C232FF"/>
    <w:rsid w:val="615831A3"/>
    <w:rsid w:val="61BA63EE"/>
    <w:rsid w:val="61C775EF"/>
    <w:rsid w:val="621A1C7A"/>
    <w:rsid w:val="623A31CE"/>
    <w:rsid w:val="626F75E7"/>
    <w:rsid w:val="62C666BF"/>
    <w:rsid w:val="62CB5E4F"/>
    <w:rsid w:val="62F359D6"/>
    <w:rsid w:val="62F6494D"/>
    <w:rsid w:val="63046445"/>
    <w:rsid w:val="63296B7A"/>
    <w:rsid w:val="6389514D"/>
    <w:rsid w:val="63AE7336"/>
    <w:rsid w:val="64227BA4"/>
    <w:rsid w:val="64836707"/>
    <w:rsid w:val="64D80755"/>
    <w:rsid w:val="65834054"/>
    <w:rsid w:val="659E0E20"/>
    <w:rsid w:val="6601683A"/>
    <w:rsid w:val="660E5151"/>
    <w:rsid w:val="6620296E"/>
    <w:rsid w:val="6628431F"/>
    <w:rsid w:val="66510F74"/>
    <w:rsid w:val="666378FF"/>
    <w:rsid w:val="666727C6"/>
    <w:rsid w:val="66777625"/>
    <w:rsid w:val="669F29C9"/>
    <w:rsid w:val="66FC541B"/>
    <w:rsid w:val="670B5D1A"/>
    <w:rsid w:val="677A4081"/>
    <w:rsid w:val="677F4B3D"/>
    <w:rsid w:val="67B52C01"/>
    <w:rsid w:val="67DC4FA1"/>
    <w:rsid w:val="680B0026"/>
    <w:rsid w:val="680E169B"/>
    <w:rsid w:val="683E4589"/>
    <w:rsid w:val="68415476"/>
    <w:rsid w:val="68492A7C"/>
    <w:rsid w:val="68647CB3"/>
    <w:rsid w:val="689C6B36"/>
    <w:rsid w:val="68A31E5A"/>
    <w:rsid w:val="68C93FF6"/>
    <w:rsid w:val="68E02B96"/>
    <w:rsid w:val="69286C48"/>
    <w:rsid w:val="696A4039"/>
    <w:rsid w:val="698C1A55"/>
    <w:rsid w:val="69A86E39"/>
    <w:rsid w:val="6A17487E"/>
    <w:rsid w:val="6A9B436E"/>
    <w:rsid w:val="6ABE6D4A"/>
    <w:rsid w:val="6B221F70"/>
    <w:rsid w:val="6B273CA9"/>
    <w:rsid w:val="6B4008DB"/>
    <w:rsid w:val="6B4D6FB4"/>
    <w:rsid w:val="6B682826"/>
    <w:rsid w:val="6B867AE1"/>
    <w:rsid w:val="6BAB44C8"/>
    <w:rsid w:val="6BB1672B"/>
    <w:rsid w:val="6BC3504B"/>
    <w:rsid w:val="6BF91EC4"/>
    <w:rsid w:val="6C1950FF"/>
    <w:rsid w:val="6C20558F"/>
    <w:rsid w:val="6C34412C"/>
    <w:rsid w:val="6C5F3CA6"/>
    <w:rsid w:val="6C875CB5"/>
    <w:rsid w:val="6D035420"/>
    <w:rsid w:val="6D510F2F"/>
    <w:rsid w:val="6D5F3A64"/>
    <w:rsid w:val="6D6D0877"/>
    <w:rsid w:val="6DC70081"/>
    <w:rsid w:val="6DE90B45"/>
    <w:rsid w:val="6E071417"/>
    <w:rsid w:val="6E326006"/>
    <w:rsid w:val="6E82366F"/>
    <w:rsid w:val="6ECE27BA"/>
    <w:rsid w:val="6F055931"/>
    <w:rsid w:val="6F114EF6"/>
    <w:rsid w:val="6F53446B"/>
    <w:rsid w:val="6F75478E"/>
    <w:rsid w:val="6F895FB2"/>
    <w:rsid w:val="6FA468BA"/>
    <w:rsid w:val="6FCC06C7"/>
    <w:rsid w:val="6FCD682F"/>
    <w:rsid w:val="6FCF7432"/>
    <w:rsid w:val="6FE939E0"/>
    <w:rsid w:val="6FEA0DFA"/>
    <w:rsid w:val="709E0DDB"/>
    <w:rsid w:val="70A42908"/>
    <w:rsid w:val="70A57BA3"/>
    <w:rsid w:val="70EC20C7"/>
    <w:rsid w:val="70F345F8"/>
    <w:rsid w:val="70F52624"/>
    <w:rsid w:val="712C46D9"/>
    <w:rsid w:val="714722DC"/>
    <w:rsid w:val="715D0B65"/>
    <w:rsid w:val="71654FF4"/>
    <w:rsid w:val="716629DA"/>
    <w:rsid w:val="71692CA9"/>
    <w:rsid w:val="71730D49"/>
    <w:rsid w:val="71AB4D47"/>
    <w:rsid w:val="7202479D"/>
    <w:rsid w:val="72236013"/>
    <w:rsid w:val="726101EA"/>
    <w:rsid w:val="726D248E"/>
    <w:rsid w:val="728C2BF0"/>
    <w:rsid w:val="72B87E8B"/>
    <w:rsid w:val="72D120BA"/>
    <w:rsid w:val="72D276DF"/>
    <w:rsid w:val="731E158E"/>
    <w:rsid w:val="734667EB"/>
    <w:rsid w:val="7426150B"/>
    <w:rsid w:val="748E2D2D"/>
    <w:rsid w:val="74924809"/>
    <w:rsid w:val="74CF6993"/>
    <w:rsid w:val="75092E76"/>
    <w:rsid w:val="753516CB"/>
    <w:rsid w:val="75374C37"/>
    <w:rsid w:val="7556368F"/>
    <w:rsid w:val="75691945"/>
    <w:rsid w:val="75AC62C6"/>
    <w:rsid w:val="75B22A1A"/>
    <w:rsid w:val="76085DD4"/>
    <w:rsid w:val="760E348E"/>
    <w:rsid w:val="760F6B04"/>
    <w:rsid w:val="76815405"/>
    <w:rsid w:val="76D74D2B"/>
    <w:rsid w:val="77380CA8"/>
    <w:rsid w:val="784F420B"/>
    <w:rsid w:val="78566A72"/>
    <w:rsid w:val="7869107C"/>
    <w:rsid w:val="78866EAB"/>
    <w:rsid w:val="7908612C"/>
    <w:rsid w:val="797C3D9D"/>
    <w:rsid w:val="79BC2823"/>
    <w:rsid w:val="79BD61BB"/>
    <w:rsid w:val="79CB6C85"/>
    <w:rsid w:val="79E311CB"/>
    <w:rsid w:val="79F4337C"/>
    <w:rsid w:val="7A164076"/>
    <w:rsid w:val="7A197C2B"/>
    <w:rsid w:val="7AB94A6E"/>
    <w:rsid w:val="7ADE22DC"/>
    <w:rsid w:val="7AEC5514"/>
    <w:rsid w:val="7B875D8F"/>
    <w:rsid w:val="7B8E1711"/>
    <w:rsid w:val="7B9F63FE"/>
    <w:rsid w:val="7BA34456"/>
    <w:rsid w:val="7BB4786B"/>
    <w:rsid w:val="7BD244A8"/>
    <w:rsid w:val="7BF51348"/>
    <w:rsid w:val="7BF551FD"/>
    <w:rsid w:val="7C506DFC"/>
    <w:rsid w:val="7C5808AB"/>
    <w:rsid w:val="7CB72F89"/>
    <w:rsid w:val="7CC457D0"/>
    <w:rsid w:val="7CDE5B83"/>
    <w:rsid w:val="7CEA7748"/>
    <w:rsid w:val="7CF35C79"/>
    <w:rsid w:val="7D31246A"/>
    <w:rsid w:val="7D396535"/>
    <w:rsid w:val="7D4E24EE"/>
    <w:rsid w:val="7D6876FE"/>
    <w:rsid w:val="7D6A6880"/>
    <w:rsid w:val="7E517B74"/>
    <w:rsid w:val="7E534872"/>
    <w:rsid w:val="7E803C59"/>
    <w:rsid w:val="7E916828"/>
    <w:rsid w:val="7EC200C9"/>
    <w:rsid w:val="7ED15A38"/>
    <w:rsid w:val="7EED51BC"/>
    <w:rsid w:val="7F06361E"/>
    <w:rsid w:val="7F201F9A"/>
    <w:rsid w:val="7F472B75"/>
    <w:rsid w:val="7F5247AD"/>
    <w:rsid w:val="7FA36220"/>
    <w:rsid w:val="7FC27DFD"/>
    <w:rsid w:val="7FC324FA"/>
    <w:rsid w:val="7FC7650A"/>
    <w:rsid w:val="7FDE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3"/>
    <w:basedOn w:val="1"/>
    <w:next w:val="1"/>
    <w:qFormat/>
    <w:uiPriority w:val="0"/>
    <w:pPr>
      <w:keepNext/>
      <w:keepLines/>
      <w:spacing w:before="260" w:after="260" w:line="415" w:lineRule="auto"/>
      <w:outlineLvl w:val="2"/>
    </w:pPr>
    <w:rPr>
      <w:b/>
      <w:bCs/>
      <w:kern w:val="0"/>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Normal Indent"/>
    <w:basedOn w:val="1"/>
    <w:qFormat/>
    <w:uiPriority w:val="0"/>
    <w:pPr>
      <w:widowControl/>
      <w:ind w:firstLine="420"/>
      <w:jc w:val="left"/>
    </w:pPr>
    <w:rPr>
      <w:rFonts w:ascii="Calibri" w:hAnsi="Calibri" w:cs="黑体"/>
      <w:szCs w:val="22"/>
    </w:rPr>
  </w:style>
  <w:style w:type="paragraph" w:styleId="6">
    <w:name w:val="annotation text"/>
    <w:basedOn w:val="1"/>
    <w:qFormat/>
    <w:uiPriority w:val="0"/>
    <w:pPr>
      <w:jc w:val="left"/>
    </w:pPr>
  </w:style>
  <w:style w:type="paragraph" w:styleId="7">
    <w:name w:val="index 6"/>
    <w:basedOn w:val="1"/>
    <w:next w:val="1"/>
    <w:qFormat/>
    <w:uiPriority w:val="99"/>
    <w:pPr>
      <w:ind w:left="2100"/>
    </w:pPr>
  </w:style>
  <w:style w:type="paragraph" w:styleId="8">
    <w:name w:val="Body Text Indent"/>
    <w:basedOn w:val="1"/>
    <w:qFormat/>
    <w:uiPriority w:val="0"/>
    <w:pPr>
      <w:spacing w:line="360" w:lineRule="auto"/>
    </w:pPr>
    <w:rPr>
      <w:rFonts w:ascii="仿宋体" w:eastAsia="仿宋体"/>
      <w:sz w:val="24"/>
    </w:rPr>
  </w:style>
  <w:style w:type="paragraph" w:styleId="9">
    <w:name w:val="Plain Text"/>
    <w:basedOn w:val="1"/>
    <w:unhideWhenUsed/>
    <w:qFormat/>
    <w:uiPriority w:val="99"/>
    <w:rPr>
      <w:rFonts w:ascii="宋体" w:hAnsi="Courier New" w:cs="Courier New"/>
      <w:szCs w:val="21"/>
    </w:rPr>
  </w:style>
  <w:style w:type="paragraph" w:styleId="10">
    <w:name w:val="Date"/>
    <w:basedOn w:val="1"/>
    <w:next w:val="1"/>
    <w:qFormat/>
    <w:uiPriority w:val="0"/>
    <w:pPr>
      <w:ind w:left="100" w:leftChars="2500"/>
    </w:pPr>
    <w:rPr>
      <w:rFonts w:ascii="华文仿宋" w:hAnsi="华文仿宋" w:eastAsia="华文仿宋"/>
      <w:sz w:val="24"/>
    </w:rPr>
  </w:style>
  <w:style w:type="paragraph" w:styleId="11">
    <w:name w:val="Body Text Indent 2"/>
    <w:basedOn w:val="1"/>
    <w:qFormat/>
    <w:uiPriority w:val="0"/>
    <w:pPr>
      <w:spacing w:line="360" w:lineRule="auto"/>
      <w:ind w:left="839" w:hanging="839" w:hangingChars="355"/>
    </w:pPr>
    <w:rPr>
      <w:b/>
      <w:sz w:val="24"/>
    </w:rPr>
  </w:style>
  <w:style w:type="paragraph" w:styleId="12">
    <w:name w:val="Balloon Text"/>
    <w:basedOn w:val="1"/>
    <w:link w:val="4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9"/>
    <w:basedOn w:val="1"/>
    <w:next w:val="1"/>
    <w:unhideWhenUsed/>
    <w:qFormat/>
    <w:uiPriority w:val="39"/>
    <w:pPr>
      <w:ind w:left="1680"/>
      <w:jc w:val="left"/>
    </w:pPr>
    <w:rPr>
      <w:rFonts w:ascii="Calibri" w:hAnsi="Calibri" w:cs="Calibri"/>
      <w:sz w:val="18"/>
      <w:szCs w:val="18"/>
    </w:rPr>
  </w:style>
  <w:style w:type="paragraph" w:styleId="16">
    <w:name w:val="Body Text 2"/>
    <w:basedOn w:val="1"/>
    <w:qFormat/>
    <w:uiPriority w:val="99"/>
    <w:pPr>
      <w:spacing w:after="120" w:line="480" w:lineRule="auto"/>
    </w:pPr>
    <w:rPr>
      <w:rFonts w:ascii="Calibri" w:hAnsi="Calibri"/>
      <w:kern w:val="0"/>
      <w:sz w:val="20"/>
    </w:rPr>
  </w:style>
  <w:style w:type="paragraph" w:styleId="17">
    <w:name w:val="List Continue 2"/>
    <w:basedOn w:val="1"/>
    <w:qFormat/>
    <w:uiPriority w:val="0"/>
    <w:pPr>
      <w:spacing w:after="120"/>
      <w:ind w:left="840" w:leftChars="4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2"/>
    <w:qFormat/>
    <w:uiPriority w:val="0"/>
    <w:pPr>
      <w:ind w:firstLine="420" w:firstLineChars="100"/>
    </w:pPr>
    <w:rPr>
      <w:szCs w:val="21"/>
    </w:rPr>
  </w:style>
  <w:style w:type="paragraph" w:styleId="22">
    <w:name w:val="Body Text First Indent 2"/>
    <w:basedOn w:val="8"/>
    <w:qFormat/>
    <w:uiPriority w:val="0"/>
    <w:pPr>
      <w:ind w:firstLine="420" w:firstLineChars="200"/>
    </w:pPr>
  </w:style>
  <w:style w:type="table" w:styleId="24">
    <w:name w:val="Table Grid"/>
    <w:basedOn w:val="2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basedOn w:val="25"/>
    <w:qFormat/>
    <w:uiPriority w:val="0"/>
    <w:rPr>
      <w:color w:val="2687D0"/>
      <w:u w:val="single"/>
    </w:rPr>
  </w:style>
  <w:style w:type="character" w:styleId="29">
    <w:name w:val="HTML Definition"/>
    <w:basedOn w:val="25"/>
    <w:qFormat/>
    <w:uiPriority w:val="0"/>
    <w:rPr>
      <w:i/>
    </w:rPr>
  </w:style>
  <w:style w:type="character" w:styleId="30">
    <w:name w:val="Hyperlink"/>
    <w:basedOn w:val="25"/>
    <w:semiHidden/>
    <w:unhideWhenUsed/>
    <w:qFormat/>
    <w:uiPriority w:val="99"/>
    <w:rPr>
      <w:color w:val="0000FF"/>
      <w:u w:val="single"/>
    </w:rPr>
  </w:style>
  <w:style w:type="character" w:styleId="31">
    <w:name w:val="HTML Code"/>
    <w:basedOn w:val="25"/>
    <w:qFormat/>
    <w:uiPriority w:val="0"/>
    <w:rPr>
      <w:rFonts w:ascii="Consolas" w:hAnsi="Consolas" w:eastAsia="Consolas" w:cs="Consolas"/>
      <w:sz w:val="21"/>
      <w:szCs w:val="21"/>
    </w:rPr>
  </w:style>
  <w:style w:type="character" w:styleId="32">
    <w:name w:val="HTML Keyboard"/>
    <w:basedOn w:val="25"/>
    <w:qFormat/>
    <w:uiPriority w:val="0"/>
    <w:rPr>
      <w:rFonts w:hint="default" w:ascii="Consolas" w:hAnsi="Consolas" w:eastAsia="Consolas" w:cs="Consolas"/>
      <w:sz w:val="21"/>
      <w:szCs w:val="21"/>
    </w:rPr>
  </w:style>
  <w:style w:type="character" w:styleId="33">
    <w:name w:val="HTML Sample"/>
    <w:basedOn w:val="25"/>
    <w:qFormat/>
    <w:uiPriority w:val="0"/>
    <w:rPr>
      <w:rFonts w:hint="default" w:ascii="Consolas" w:hAnsi="Consolas" w:eastAsia="Consolas" w:cs="Consolas"/>
      <w:sz w:val="21"/>
      <w:szCs w:val="21"/>
    </w:rPr>
  </w:style>
  <w:style w:type="paragraph" w:customStyle="1" w:styleId="34">
    <w:name w:val="默认段落字体 Para Char"/>
    <w:basedOn w:val="1"/>
    <w:qFormat/>
    <w:uiPriority w:val="0"/>
    <w:pPr>
      <w:adjustRightInd w:val="0"/>
      <w:spacing w:line="360" w:lineRule="auto"/>
    </w:p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7">
    <w:name w:val="列出段落1"/>
    <w:basedOn w:val="1"/>
    <w:qFormat/>
    <w:uiPriority w:val="34"/>
    <w:pPr>
      <w:ind w:firstLine="420" w:firstLineChars="200"/>
    </w:pPr>
  </w:style>
  <w:style w:type="character" w:customStyle="1" w:styleId="38">
    <w:name w:val="font11"/>
    <w:basedOn w:val="25"/>
    <w:qFormat/>
    <w:uiPriority w:val="0"/>
    <w:rPr>
      <w:rFonts w:hint="default" w:ascii="Times New Roman" w:hAnsi="Times New Roman" w:cs="Times New Roman"/>
      <w:color w:val="000000"/>
      <w:sz w:val="24"/>
      <w:szCs w:val="24"/>
      <w:u w:val="none"/>
    </w:rPr>
  </w:style>
  <w:style w:type="character" w:customStyle="1" w:styleId="39">
    <w:name w:val="font31"/>
    <w:basedOn w:val="25"/>
    <w:qFormat/>
    <w:uiPriority w:val="0"/>
    <w:rPr>
      <w:rFonts w:hint="eastAsia" w:ascii="宋体" w:hAnsi="宋体" w:eastAsia="宋体" w:cs="宋体"/>
      <w:color w:val="000000"/>
      <w:sz w:val="24"/>
      <w:szCs w:val="24"/>
      <w:u w:val="none"/>
    </w:rPr>
  </w:style>
  <w:style w:type="paragraph" w:customStyle="1" w:styleId="40">
    <w:name w:val="WPS Plain"/>
    <w:qFormat/>
    <w:uiPriority w:val="0"/>
    <w:rPr>
      <w:rFonts w:ascii="Times New Roman" w:hAnsi="Times New Roman" w:eastAsia="宋体" w:cs="Times New Roman"/>
      <w:lang w:val="en-US" w:eastAsia="zh-CN" w:bidi="ar-SA"/>
    </w:rPr>
  </w:style>
  <w:style w:type="character" w:customStyle="1" w:styleId="41">
    <w:name w:val="批注框文本 Char"/>
    <w:basedOn w:val="25"/>
    <w:link w:val="12"/>
    <w:qFormat/>
    <w:uiPriority w:val="0"/>
    <w:rPr>
      <w:kern w:val="2"/>
      <w:sz w:val="18"/>
      <w:szCs w:val="18"/>
    </w:rPr>
  </w:style>
  <w:style w:type="paragraph" w:customStyle="1" w:styleId="4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3">
    <w:name w:val="apple-converted-space"/>
    <w:basedOn w:val="25"/>
    <w:qFormat/>
    <w:uiPriority w:val="0"/>
  </w:style>
  <w:style w:type="paragraph" w:customStyle="1" w:styleId="44">
    <w:name w:val="Table Paragraph"/>
    <w:basedOn w:val="1"/>
    <w:qFormat/>
    <w:uiPriority w:val="1"/>
    <w:rPr>
      <w:rFonts w:ascii="宋体" w:hAnsi="宋体" w:cs="宋体"/>
      <w:lang w:val="zh-CN" w:bidi="zh-CN"/>
    </w:rPr>
  </w:style>
  <w:style w:type="paragraph" w:customStyle="1" w:styleId="45">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46">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47">
    <w:name w:val="明显参考1"/>
    <w:basedOn w:val="25"/>
    <w:qFormat/>
    <w:uiPriority w:val="32"/>
    <w:rPr>
      <w:b/>
      <w:bCs/>
      <w:smallCaps/>
      <w:color w:val="C0504D"/>
      <w:spacing w:val="5"/>
      <w:u w:val="single"/>
    </w:rPr>
  </w:style>
  <w:style w:type="paragraph" w:styleId="48">
    <w:name w:val="List Paragraph"/>
    <w:basedOn w:val="1"/>
    <w:qFormat/>
    <w:uiPriority w:val="34"/>
    <w:pPr>
      <w:ind w:firstLine="420" w:firstLineChars="200"/>
    </w:pPr>
    <w:rPr>
      <w:rFonts w:ascii="Calibri" w:hAnsi="Calibri"/>
      <w:szCs w:val="22"/>
    </w:rPr>
  </w:style>
  <w:style w:type="character" w:customStyle="1" w:styleId="49">
    <w:name w:val="明显参考11"/>
    <w:basedOn w:val="25"/>
    <w:qFormat/>
    <w:uiPriority w:val="32"/>
    <w:rPr>
      <w:b/>
      <w:bCs/>
      <w:smallCaps/>
      <w:color w:val="C0504D"/>
      <w:spacing w:val="5"/>
      <w:u w:val="single"/>
    </w:rPr>
  </w:style>
  <w:style w:type="paragraph" w:customStyle="1" w:styleId="50">
    <w:name w:val="表格文字"/>
    <w:basedOn w:val="1"/>
    <w:qFormat/>
    <w:uiPriority w:val="0"/>
    <w:pPr>
      <w:jc w:val="left"/>
    </w:pPr>
    <w:rPr>
      <w:bCs/>
      <w:spacing w:val="10"/>
      <w:sz w:val="24"/>
    </w:rPr>
  </w:style>
  <w:style w:type="character" w:customStyle="1" w:styleId="51">
    <w:name w:val="cm-header"/>
    <w:basedOn w:val="25"/>
    <w:qFormat/>
    <w:uiPriority w:val="0"/>
    <w:rPr>
      <w:b/>
    </w:rPr>
  </w:style>
  <w:style w:type="character" w:customStyle="1" w:styleId="52">
    <w:name w:val="cm-header1"/>
    <w:basedOn w:val="25"/>
    <w:qFormat/>
    <w:uiPriority w:val="0"/>
    <w:rPr>
      <w:color w:val="AA00AA"/>
    </w:rPr>
  </w:style>
  <w:style w:type="character" w:customStyle="1" w:styleId="53">
    <w:name w:val="cm-em"/>
    <w:basedOn w:val="25"/>
    <w:qFormat/>
    <w:uiPriority w:val="0"/>
    <w:rPr>
      <w:i/>
    </w:rPr>
  </w:style>
  <w:style w:type="character" w:customStyle="1" w:styleId="54">
    <w:name w:val="search"/>
    <w:basedOn w:val="25"/>
    <w:qFormat/>
    <w:uiPriority w:val="0"/>
  </w:style>
  <w:style w:type="character" w:customStyle="1" w:styleId="55">
    <w:name w:val="search1"/>
    <w:basedOn w:val="25"/>
    <w:qFormat/>
    <w:uiPriority w:val="0"/>
  </w:style>
  <w:style w:type="character" w:customStyle="1" w:styleId="56">
    <w:name w:val="cm-string"/>
    <w:basedOn w:val="25"/>
    <w:qFormat/>
    <w:uiPriority w:val="0"/>
    <w:rPr>
      <w:color w:val="AA1111"/>
    </w:rPr>
  </w:style>
  <w:style w:type="character" w:customStyle="1" w:styleId="57">
    <w:name w:val="last-child"/>
    <w:basedOn w:val="25"/>
    <w:qFormat/>
    <w:uiPriority w:val="0"/>
  </w:style>
  <w:style w:type="character" w:customStyle="1" w:styleId="58">
    <w:name w:val="cm-error"/>
    <w:basedOn w:val="25"/>
    <w:qFormat/>
    <w:uiPriority w:val="0"/>
    <w:rPr>
      <w:color w:val="FF0000"/>
    </w:rPr>
  </w:style>
  <w:style w:type="character" w:customStyle="1" w:styleId="59">
    <w:name w:val="codemirror-matchingbracket"/>
    <w:basedOn w:val="25"/>
    <w:qFormat/>
    <w:uiPriority w:val="0"/>
    <w:rPr>
      <w:color w:val="00FF00"/>
    </w:rPr>
  </w:style>
  <w:style w:type="character" w:customStyle="1" w:styleId="60">
    <w:name w:val="caret4"/>
    <w:basedOn w:val="25"/>
    <w:qFormat/>
    <w:uiPriority w:val="0"/>
  </w:style>
  <w:style w:type="character" w:customStyle="1" w:styleId="61">
    <w:name w:val="codemirror-nonmatchingbracket"/>
    <w:basedOn w:val="25"/>
    <w:qFormat/>
    <w:uiPriority w:val="0"/>
    <w:rPr>
      <w:color w:val="FF2222"/>
    </w:rPr>
  </w:style>
  <w:style w:type="character" w:customStyle="1" w:styleId="62">
    <w:name w:val="cm-link"/>
    <w:basedOn w:val="25"/>
    <w:qFormat/>
    <w:uiPriority w:val="0"/>
    <w:rPr>
      <w:color w:val="0000CC"/>
    </w:rPr>
  </w:style>
  <w:style w:type="character" w:customStyle="1" w:styleId="63">
    <w:name w:val="current"/>
    <w:basedOn w:val="25"/>
    <w:qFormat/>
    <w:uiPriority w:val="0"/>
    <w:rPr>
      <w:color w:val="FFFFFF"/>
      <w:bdr w:val="single" w:color="197AFF" w:sz="6" w:space="0"/>
      <w:shd w:val="clear" w:color="auto" w:fill="197AFF"/>
    </w:rPr>
  </w:style>
  <w:style w:type="character" w:customStyle="1" w:styleId="64">
    <w:name w:val="current1"/>
    <w:basedOn w:val="25"/>
    <w:qFormat/>
    <w:uiPriority w:val="0"/>
    <w:rPr>
      <w:color w:val="FFFFFF"/>
      <w:bdr w:val="single" w:color="197AFF" w:sz="6" w:space="0"/>
      <w:shd w:val="clear" w:color="auto" w:fill="197AFF"/>
    </w:rPr>
  </w:style>
  <w:style w:type="character" w:customStyle="1" w:styleId="65">
    <w:name w:val="current2"/>
    <w:basedOn w:val="25"/>
    <w:qFormat/>
    <w:uiPriority w:val="0"/>
    <w:rPr>
      <w:color w:val="197AFF"/>
      <w:shd w:val="clear" w:color="auto" w:fill="EBECF0"/>
    </w:rPr>
  </w:style>
  <w:style w:type="character" w:customStyle="1" w:styleId="66">
    <w:name w:val="cm-strong"/>
    <w:basedOn w:val="25"/>
    <w:qFormat/>
    <w:uiPriority w:val="0"/>
    <w:rPr>
      <w:b/>
    </w:rPr>
  </w:style>
  <w:style w:type="character" w:customStyle="1" w:styleId="67">
    <w:name w:val="icon-zcy86"/>
    <w:basedOn w:val="25"/>
    <w:qFormat/>
    <w:uiPriority w:val="0"/>
    <w:rPr>
      <w:color w:val="EEEEEE"/>
    </w:rPr>
  </w:style>
  <w:style w:type="character" w:customStyle="1" w:styleId="68">
    <w:name w:val="error"/>
    <w:basedOn w:val="25"/>
    <w:qFormat/>
    <w:uiPriority w:val="0"/>
    <w:rPr>
      <w:color w:val="FF625C"/>
    </w:rPr>
  </w:style>
  <w:style w:type="character" w:customStyle="1" w:styleId="69">
    <w:name w:val="error1"/>
    <w:basedOn w:val="25"/>
    <w:qFormat/>
    <w:uiPriority w:val="0"/>
    <w:rPr>
      <w:color w:val="FF625C"/>
    </w:rPr>
  </w:style>
  <w:style w:type="character" w:customStyle="1" w:styleId="70">
    <w:name w:val="next-item"/>
    <w:basedOn w:val="25"/>
    <w:qFormat/>
    <w:uiPriority w:val="0"/>
    <w:rPr>
      <w:color w:val="333333"/>
      <w:bdr w:val="single" w:color="CCD0D6" w:sz="6" w:space="0"/>
    </w:rPr>
  </w:style>
  <w:style w:type="character" w:customStyle="1" w:styleId="71">
    <w:name w:val="cm-qualifier"/>
    <w:basedOn w:val="25"/>
    <w:qFormat/>
    <w:uiPriority w:val="0"/>
    <w:rPr>
      <w:color w:val="555555"/>
    </w:rPr>
  </w:style>
  <w:style w:type="character" w:customStyle="1" w:styleId="72">
    <w:name w:val="modal-title40"/>
    <w:basedOn w:val="25"/>
    <w:qFormat/>
    <w:uiPriority w:val="0"/>
    <w:rPr>
      <w:b/>
      <w:sz w:val="30"/>
      <w:szCs w:val="30"/>
    </w:rPr>
  </w:style>
  <w:style w:type="character" w:customStyle="1" w:styleId="73">
    <w:name w:val="danger6"/>
    <w:basedOn w:val="25"/>
    <w:qFormat/>
    <w:uiPriority w:val="0"/>
    <w:rPr>
      <w:color w:val="FF2200"/>
    </w:rPr>
  </w:style>
  <w:style w:type="character" w:customStyle="1" w:styleId="74">
    <w:name w:val="danger7"/>
    <w:basedOn w:val="25"/>
    <w:qFormat/>
    <w:uiPriority w:val="0"/>
    <w:rPr>
      <w:color w:val="FF2200"/>
    </w:rPr>
  </w:style>
  <w:style w:type="character" w:customStyle="1" w:styleId="75">
    <w:name w:val="success6"/>
    <w:basedOn w:val="25"/>
    <w:qFormat/>
    <w:uiPriority w:val="0"/>
    <w:rPr>
      <w:color w:val="2DC12D"/>
    </w:rPr>
  </w:style>
  <w:style w:type="character" w:customStyle="1" w:styleId="76">
    <w:name w:val="success7"/>
    <w:basedOn w:val="25"/>
    <w:qFormat/>
    <w:uiPriority w:val="0"/>
    <w:rPr>
      <w:color w:val="2DC12D"/>
    </w:rPr>
  </w:style>
  <w:style w:type="character" w:customStyle="1" w:styleId="77">
    <w:name w:val="cm-comment"/>
    <w:basedOn w:val="25"/>
    <w:qFormat/>
    <w:uiPriority w:val="0"/>
    <w:rPr>
      <w:color w:val="AA5500"/>
    </w:rPr>
  </w:style>
  <w:style w:type="character" w:customStyle="1" w:styleId="78">
    <w:name w:val="cm-variable-2"/>
    <w:basedOn w:val="25"/>
    <w:qFormat/>
    <w:uiPriority w:val="0"/>
    <w:rPr>
      <w:color w:val="0055AA"/>
    </w:rPr>
  </w:style>
  <w:style w:type="character" w:customStyle="1" w:styleId="79">
    <w:name w:val="mark"/>
    <w:basedOn w:val="25"/>
    <w:qFormat/>
    <w:uiPriority w:val="0"/>
    <w:rPr>
      <w:bdr w:val="single" w:color="CCD0D6" w:sz="6" w:space="0"/>
      <w:shd w:val="clear" w:color="auto" w:fill="FFFFFF"/>
    </w:rPr>
  </w:style>
  <w:style w:type="character" w:customStyle="1" w:styleId="80">
    <w:name w:val="mark1"/>
    <w:basedOn w:val="25"/>
    <w:qFormat/>
    <w:uiPriority w:val="0"/>
    <w:rPr>
      <w:bdr w:val="single" w:color="2D88CD" w:sz="6" w:space="0"/>
      <w:shd w:val="clear" w:color="auto" w:fill="2D88CD"/>
    </w:rPr>
  </w:style>
  <w:style w:type="character" w:customStyle="1" w:styleId="81">
    <w:name w:val="parallel4"/>
    <w:basedOn w:val="25"/>
    <w:qFormat/>
    <w:uiPriority w:val="0"/>
  </w:style>
  <w:style w:type="character" w:customStyle="1" w:styleId="82">
    <w:name w:val="name4"/>
    <w:basedOn w:val="25"/>
    <w:qFormat/>
    <w:uiPriority w:val="0"/>
    <w:rPr>
      <w:color w:val="32465A"/>
    </w:rPr>
  </w:style>
  <w:style w:type="character" w:customStyle="1" w:styleId="83">
    <w:name w:val="edui-unclickable"/>
    <w:basedOn w:val="25"/>
    <w:qFormat/>
    <w:uiPriority w:val="0"/>
    <w:rPr>
      <w:color w:val="808080"/>
    </w:rPr>
  </w:style>
  <w:style w:type="character" w:customStyle="1" w:styleId="84">
    <w:name w:val="edui-clickable"/>
    <w:basedOn w:val="25"/>
    <w:qFormat/>
    <w:uiPriority w:val="0"/>
    <w:rPr>
      <w:color w:val="0000FF"/>
      <w:u w:val="single"/>
    </w:rPr>
  </w:style>
  <w:style w:type="character" w:customStyle="1" w:styleId="85">
    <w:name w:val="codemirror-selected"/>
    <w:basedOn w:val="25"/>
    <w:qFormat/>
    <w:uiPriority w:val="0"/>
    <w:rPr>
      <w:shd w:val="clear" w:color="auto" w:fill="D2DCF8"/>
    </w:rPr>
  </w:style>
  <w:style w:type="character" w:customStyle="1" w:styleId="86">
    <w:name w:val="codemirror-selected1"/>
    <w:basedOn w:val="25"/>
    <w:qFormat/>
    <w:uiPriority w:val="0"/>
    <w:rPr>
      <w:shd w:val="clear" w:color="auto" w:fill="D9D9D9"/>
    </w:rPr>
  </w:style>
  <w:style w:type="character" w:customStyle="1" w:styleId="87">
    <w:name w:val="cm-keyword"/>
    <w:basedOn w:val="25"/>
    <w:qFormat/>
    <w:uiPriority w:val="0"/>
    <w:rPr>
      <w:color w:val="770088"/>
    </w:rPr>
  </w:style>
  <w:style w:type="character" w:customStyle="1" w:styleId="88">
    <w:name w:val="cm-atom"/>
    <w:basedOn w:val="25"/>
    <w:qFormat/>
    <w:uiPriority w:val="0"/>
    <w:rPr>
      <w:color w:val="221199"/>
    </w:rPr>
  </w:style>
  <w:style w:type="character" w:customStyle="1" w:styleId="89">
    <w:name w:val="cm-bracket"/>
    <w:basedOn w:val="25"/>
    <w:qFormat/>
    <w:uiPriority w:val="0"/>
    <w:rPr>
      <w:color w:val="CCCC77"/>
    </w:rPr>
  </w:style>
  <w:style w:type="character" w:customStyle="1" w:styleId="90">
    <w:name w:val="cm-number"/>
    <w:basedOn w:val="25"/>
    <w:qFormat/>
    <w:uiPriority w:val="0"/>
    <w:rPr>
      <w:color w:val="116644"/>
    </w:rPr>
  </w:style>
  <w:style w:type="character" w:customStyle="1" w:styleId="91">
    <w:name w:val="cm-def"/>
    <w:basedOn w:val="25"/>
    <w:qFormat/>
    <w:uiPriority w:val="0"/>
    <w:rPr>
      <w:color w:val="0000FF"/>
    </w:rPr>
  </w:style>
  <w:style w:type="character" w:customStyle="1" w:styleId="92">
    <w:name w:val="cm-property"/>
    <w:basedOn w:val="25"/>
    <w:qFormat/>
    <w:uiPriority w:val="0"/>
    <w:rPr>
      <w:color w:val="000000"/>
    </w:rPr>
  </w:style>
  <w:style w:type="character" w:customStyle="1" w:styleId="93">
    <w:name w:val="cm-variable"/>
    <w:basedOn w:val="25"/>
    <w:qFormat/>
    <w:uiPriority w:val="0"/>
    <w:rPr>
      <w:color w:val="000000"/>
    </w:rPr>
  </w:style>
  <w:style w:type="character" w:customStyle="1" w:styleId="94">
    <w:name w:val="cm-tag"/>
    <w:basedOn w:val="25"/>
    <w:qFormat/>
    <w:uiPriority w:val="0"/>
    <w:rPr>
      <w:color w:val="117700"/>
    </w:rPr>
  </w:style>
  <w:style w:type="character" w:customStyle="1" w:styleId="95">
    <w:name w:val="cm-operator"/>
    <w:basedOn w:val="25"/>
    <w:qFormat/>
    <w:uiPriority w:val="0"/>
    <w:rPr>
      <w:color w:val="000000"/>
    </w:rPr>
  </w:style>
  <w:style w:type="character" w:customStyle="1" w:styleId="96">
    <w:name w:val="cm-variable-3"/>
    <w:basedOn w:val="25"/>
    <w:qFormat/>
    <w:uiPriority w:val="0"/>
    <w:rPr>
      <w:color w:val="008855"/>
    </w:rPr>
  </w:style>
  <w:style w:type="character" w:customStyle="1" w:styleId="97">
    <w:name w:val="cm-string-2"/>
    <w:basedOn w:val="25"/>
    <w:qFormat/>
    <w:uiPriority w:val="0"/>
    <w:rPr>
      <w:color w:val="FF5500"/>
    </w:rPr>
  </w:style>
  <w:style w:type="character" w:customStyle="1" w:styleId="98">
    <w:name w:val="cm-meta"/>
    <w:basedOn w:val="25"/>
    <w:qFormat/>
    <w:uiPriority w:val="0"/>
    <w:rPr>
      <w:color w:val="555555"/>
    </w:rPr>
  </w:style>
  <w:style w:type="character" w:customStyle="1" w:styleId="99">
    <w:name w:val="cm-builtin"/>
    <w:basedOn w:val="25"/>
    <w:qFormat/>
    <w:uiPriority w:val="0"/>
    <w:rPr>
      <w:color w:val="3300AA"/>
    </w:rPr>
  </w:style>
  <w:style w:type="character" w:customStyle="1" w:styleId="100">
    <w:name w:val="cm-attribute"/>
    <w:basedOn w:val="25"/>
    <w:qFormat/>
    <w:uiPriority w:val="0"/>
    <w:rPr>
      <w:color w:val="0000CC"/>
    </w:rPr>
  </w:style>
  <w:style w:type="character" w:customStyle="1" w:styleId="101">
    <w:name w:val="cm-quote"/>
    <w:basedOn w:val="25"/>
    <w:qFormat/>
    <w:uiPriority w:val="0"/>
    <w:rPr>
      <w:color w:val="009900"/>
    </w:rPr>
  </w:style>
  <w:style w:type="character" w:customStyle="1" w:styleId="102">
    <w:name w:val="cm-hr"/>
    <w:basedOn w:val="25"/>
    <w:qFormat/>
    <w:uiPriority w:val="0"/>
    <w:rPr>
      <w:color w:val="999999"/>
    </w:rPr>
  </w:style>
  <w:style w:type="character" w:customStyle="1" w:styleId="103">
    <w:name w:val="cm-emstrong"/>
    <w:basedOn w:val="25"/>
    <w:qFormat/>
    <w:uiPriority w:val="0"/>
    <w:rPr>
      <w:b/>
      <w:i/>
    </w:rPr>
  </w:style>
  <w:style w:type="character" w:customStyle="1" w:styleId="104">
    <w:name w:val="success"/>
    <w:basedOn w:val="25"/>
    <w:qFormat/>
    <w:uiPriority w:val="0"/>
    <w:rPr>
      <w:color w:val="2DC12D"/>
    </w:rPr>
  </w:style>
  <w:style w:type="character" w:customStyle="1" w:styleId="105">
    <w:name w:val="success1"/>
    <w:basedOn w:val="25"/>
    <w:qFormat/>
    <w:uiPriority w:val="0"/>
    <w:rPr>
      <w:color w:val="2DC12D"/>
    </w:rPr>
  </w:style>
  <w:style w:type="character" w:customStyle="1" w:styleId="106">
    <w:name w:val="danger"/>
    <w:basedOn w:val="25"/>
    <w:qFormat/>
    <w:uiPriority w:val="0"/>
    <w:rPr>
      <w:color w:val="FF2200"/>
    </w:rPr>
  </w:style>
  <w:style w:type="character" w:customStyle="1" w:styleId="107">
    <w:name w:val="danger1"/>
    <w:basedOn w:val="25"/>
    <w:qFormat/>
    <w:uiPriority w:val="0"/>
    <w:rPr>
      <w:color w:val="FF2200"/>
    </w:rPr>
  </w:style>
  <w:style w:type="paragraph" w:customStyle="1" w:styleId="108">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09">
    <w:name w:val="网格型11"/>
    <w:basedOn w:val="2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0">
    <w:name w:val="表 靠左"/>
    <w:basedOn w:val="111"/>
    <w:qFormat/>
    <w:uiPriority w:val="0"/>
    <w:pPr>
      <w:jc w:val="left"/>
    </w:pPr>
    <w:rPr>
      <w:rFonts w:ascii="等线" w:hAnsi="等线" w:eastAsia="等线"/>
    </w:rPr>
  </w:style>
  <w:style w:type="paragraph" w:customStyle="1" w:styleId="111">
    <w:name w:val="表"/>
    <w:basedOn w:val="1"/>
    <w:next w:val="1"/>
    <w:qFormat/>
    <w:uiPriority w:val="0"/>
    <w:pPr>
      <w:jc w:val="center"/>
    </w:pPr>
    <w:rPr>
      <w:szCs w:val="21"/>
    </w:rPr>
  </w:style>
  <w:style w:type="paragraph" w:customStyle="1" w:styleId="112">
    <w:name w:val="纯文本1"/>
    <w:basedOn w:val="1"/>
    <w:qFormat/>
    <w:uiPriority w:val="0"/>
    <w:rPr>
      <w:rFonts w:ascii="宋体" w:hAnsi="Courier New"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jpeg"/><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24781</Words>
  <Characters>26412</Characters>
  <Lines>194</Lines>
  <Paragraphs>54</Paragraphs>
  <TotalTime>1</TotalTime>
  <ScaleCrop>false</ScaleCrop>
  <LinksUpToDate>false</LinksUpToDate>
  <CharactersWithSpaces>27992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Mirror1420873407</cp:lastModifiedBy>
  <cp:lastPrinted>2019-06-06T11:13:00Z</cp:lastPrinted>
  <dcterms:modified xsi:type="dcterms:W3CDTF">2021-09-28T10:01:30Z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11B12BFA8B4E42B7A0A2C33EB3640BCF</vt:lpwstr>
  </property>
</Properties>
</file>