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insoku w:val="0"/>
        <w:overflowPunct w:val="0"/>
        <w:spacing w:before="0" w:line="580" w:lineRule="exact"/>
        <w:ind w:left="74" w:right="-58"/>
        <w:rPr>
          <w:rFonts w:hint="eastAsia" w:ascii="宋体" w:hAnsi="宋体" w:eastAsia="宋体" w:cs="宋体"/>
          <w:b/>
          <w:bCs/>
          <w:sz w:val="32"/>
          <w:szCs w:val="32"/>
          <w:highlight w:val="none"/>
        </w:rPr>
      </w:pPr>
    </w:p>
    <w:p>
      <w:pPr>
        <w:pStyle w:val="9"/>
        <w:kinsoku w:val="0"/>
        <w:overflowPunct w:val="0"/>
        <w:spacing w:before="0" w:line="580" w:lineRule="exact"/>
        <w:ind w:left="0" w:right="-58"/>
        <w:rPr>
          <w:rFonts w:hint="eastAsia" w:ascii="宋体" w:hAnsi="宋体" w:eastAsia="宋体" w:cs="宋体"/>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56"/>
          <w:szCs w:val="56"/>
          <w:highlight w:val="none"/>
        </w:rPr>
      </w:pPr>
      <w:r>
        <w:rPr>
          <w:rFonts w:hint="eastAsia" w:ascii="宋体" w:hAnsi="宋体" w:eastAsia="宋体" w:cs="宋体"/>
          <w:b/>
          <w:bCs/>
          <w:sz w:val="56"/>
          <w:szCs w:val="56"/>
          <w:highlight w:val="none"/>
        </w:rPr>
        <w:t>2021-2022年度新疆旅游统计数据管理及分析研究项目</w:t>
      </w:r>
    </w:p>
    <w:p>
      <w:pPr>
        <w:pStyle w:val="21"/>
        <w:rPr>
          <w:rFonts w:hint="eastAsia" w:ascii="宋体" w:hAnsi="宋体" w:eastAsia="宋体" w:cs="宋体"/>
          <w:b/>
          <w:bCs/>
          <w:sz w:val="56"/>
          <w:szCs w:val="56"/>
          <w:highlight w:val="none"/>
        </w:rPr>
      </w:pPr>
    </w:p>
    <w:p>
      <w:pPr>
        <w:pStyle w:val="21"/>
        <w:ind w:left="0" w:leftChars="0" w:firstLine="0" w:firstLineChars="0"/>
        <w:rPr>
          <w:rFonts w:hint="eastAsia" w:ascii="宋体" w:hAnsi="宋体" w:eastAsia="宋体" w:cs="宋体"/>
          <w:b/>
          <w:bCs/>
          <w:sz w:val="56"/>
          <w:szCs w:val="56"/>
          <w:highlight w:val="none"/>
          <w:lang w:eastAsia="zh-CN"/>
        </w:rPr>
      </w:pPr>
    </w:p>
    <w:p>
      <w:pPr>
        <w:pStyle w:val="21"/>
        <w:rPr>
          <w:rFonts w:hint="eastAsia" w:ascii="宋体" w:hAnsi="宋体" w:eastAsia="宋体" w:cs="宋体"/>
          <w:b/>
          <w:bCs/>
          <w:sz w:val="56"/>
          <w:szCs w:val="56"/>
          <w:highlight w:val="none"/>
          <w:lang w:eastAsia="zh-CN"/>
        </w:rPr>
      </w:pPr>
    </w:p>
    <w:p>
      <w:pPr>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lang w:eastAsia="zh-CN"/>
        </w:rPr>
        <w:t>竞争性磋商</w:t>
      </w:r>
      <w:r>
        <w:rPr>
          <w:rFonts w:hint="eastAsia" w:ascii="宋体" w:hAnsi="宋体" w:eastAsia="宋体" w:cs="宋体"/>
          <w:b/>
          <w:bCs/>
          <w:sz w:val="72"/>
          <w:szCs w:val="72"/>
          <w:highlight w:val="none"/>
        </w:rPr>
        <w:t>文件</w:t>
      </w:r>
    </w:p>
    <w:p>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项目编号：XJXECWLMQ-20210</w:t>
      </w:r>
      <w:r>
        <w:rPr>
          <w:rFonts w:hint="eastAsia" w:ascii="宋体" w:hAnsi="宋体" w:eastAsia="宋体" w:cs="宋体"/>
          <w:sz w:val="28"/>
          <w:szCs w:val="28"/>
          <w:highlight w:val="none"/>
          <w:lang w:val="en-US" w:eastAsia="zh-CN"/>
        </w:rPr>
        <w:t>30</w:t>
      </w:r>
    </w:p>
    <w:p>
      <w:pPr>
        <w:pStyle w:val="7"/>
        <w:rPr>
          <w:rFonts w:hint="eastAsia" w:ascii="宋体" w:hAnsi="宋体" w:eastAsia="宋体" w:cs="宋体"/>
          <w:highlight w:val="none"/>
        </w:rPr>
      </w:pPr>
    </w:p>
    <w:p>
      <w:pPr>
        <w:pStyle w:val="8"/>
        <w:ind w:left="0" w:leftChars="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drawing>
          <wp:inline distT="0" distB="0" distL="114300" distR="114300">
            <wp:extent cx="1787525" cy="1371600"/>
            <wp:effectExtent l="0" t="0" r="3175" b="0"/>
            <wp:docPr id="124"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 descr="1"/>
                    <pic:cNvPicPr>
                      <a:picLocks noChangeAspect="1"/>
                    </pic:cNvPicPr>
                  </pic:nvPicPr>
                  <pic:blipFill>
                    <a:blip r:embed="rId11"/>
                    <a:stretch>
                      <a:fillRect/>
                    </a:stretch>
                  </pic:blipFill>
                  <pic:spPr>
                    <a:xfrm>
                      <a:off x="0" y="0"/>
                      <a:ext cx="1787525" cy="1371600"/>
                    </a:xfrm>
                    <a:prstGeom prst="rect">
                      <a:avLst/>
                    </a:prstGeom>
                    <a:noFill/>
                    <a:ln>
                      <a:noFill/>
                    </a:ln>
                  </pic:spPr>
                </pic:pic>
              </a:graphicData>
            </a:graphic>
          </wp:inline>
        </w:drawing>
      </w:r>
    </w:p>
    <w:p>
      <w:pPr>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ind w:firstLine="360"/>
        <w:rPr>
          <w:rFonts w:hint="eastAsia" w:ascii="宋体" w:hAnsi="宋体" w:eastAsia="宋体" w:cs="宋体"/>
          <w:sz w:val="18"/>
          <w:szCs w:val="18"/>
          <w:highlight w:val="none"/>
        </w:rPr>
      </w:pPr>
    </w:p>
    <w:p>
      <w:pPr>
        <w:pStyle w:val="8"/>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9"/>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9"/>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9"/>
        <w:ind w:left="0" w:leftChars="0" w:firstLine="0" w:firstLineChars="0"/>
        <w:rPr>
          <w:rFonts w:hint="eastAsia" w:ascii="宋体" w:hAnsi="宋体" w:eastAsia="宋体" w:cs="宋体"/>
          <w:highlight w:val="none"/>
        </w:rPr>
      </w:pPr>
    </w:p>
    <w:p>
      <w:pPr>
        <w:pStyle w:val="7"/>
        <w:ind w:firstLine="360"/>
        <w:rPr>
          <w:rFonts w:hint="eastAsia" w:ascii="宋体" w:hAnsi="宋体" w:eastAsia="宋体" w:cs="宋体"/>
          <w:sz w:val="18"/>
          <w:szCs w:val="18"/>
          <w:highlight w:val="none"/>
        </w:rPr>
      </w:pPr>
    </w:p>
    <w:p>
      <w:pPr>
        <w:pStyle w:val="7"/>
        <w:ind w:firstLine="360"/>
        <w:rPr>
          <w:rFonts w:hint="eastAsia" w:ascii="宋体" w:hAnsi="宋体" w:eastAsia="宋体" w:cs="宋体"/>
          <w:sz w:val="18"/>
          <w:szCs w:val="18"/>
          <w:highlight w:val="none"/>
        </w:rPr>
      </w:pPr>
    </w:p>
    <w:p>
      <w:pPr>
        <w:pStyle w:val="7"/>
        <w:spacing w:line="360" w:lineRule="auto"/>
        <w:ind w:left="420" w:leftChars="200" w:firstLine="0" w:firstLineChars="0"/>
        <w:rPr>
          <w:rFonts w:hint="eastAsia"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lang w:eastAsia="zh-CN"/>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购</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人</w:t>
      </w:r>
      <w:r>
        <w:rPr>
          <w:rFonts w:hint="eastAsia" w:ascii="宋体" w:hAnsi="宋体" w:eastAsia="宋体" w:cs="宋体"/>
          <w:b/>
          <w:bCs/>
          <w:sz w:val="32"/>
          <w:szCs w:val="32"/>
          <w:highlight w:val="none"/>
        </w:rPr>
        <w:t>：</w:t>
      </w:r>
      <w:r>
        <w:rPr>
          <w:rFonts w:hint="eastAsia" w:ascii="宋体" w:hAnsi="宋体" w:eastAsia="宋体" w:cs="宋体"/>
          <w:b/>
          <w:bCs/>
          <w:color w:val="000000"/>
          <w:sz w:val="32"/>
          <w:szCs w:val="32"/>
          <w:highlight w:val="none"/>
          <w:u w:val="none"/>
          <w:lang w:eastAsia="zh-CN"/>
        </w:rPr>
        <w:t>新疆维吾尔自治区文化和旅游厅</w:t>
      </w:r>
      <w:r>
        <w:rPr>
          <w:rFonts w:hint="eastAsia" w:ascii="宋体" w:hAnsi="宋体" w:eastAsia="宋体" w:cs="宋体"/>
          <w:b/>
          <w:bCs/>
          <w:sz w:val="32"/>
          <w:szCs w:val="32"/>
          <w:highlight w:val="none"/>
          <w:u w:val="none"/>
          <w:lang w:val="en-US" w:eastAsia="zh-CN"/>
        </w:rPr>
        <w:t xml:space="preserve"> </w:t>
      </w:r>
    </w:p>
    <w:p>
      <w:pPr>
        <w:spacing w:line="360" w:lineRule="auto"/>
        <w:ind w:left="420" w:leftChars="200"/>
        <w:rPr>
          <w:rFonts w:hint="eastAsia" w:ascii="宋体" w:hAnsi="宋体" w:eastAsia="宋体" w:cs="宋体"/>
          <w:b/>
          <w:bCs/>
          <w:sz w:val="32"/>
          <w:szCs w:val="32"/>
          <w:highlight w:val="none"/>
          <w:u w:val="none"/>
        </w:rPr>
      </w:pPr>
      <w:r>
        <w:rPr>
          <w:rFonts w:hint="eastAsia" w:ascii="宋体" w:hAnsi="宋体" w:eastAsia="宋体" w:cs="宋体"/>
          <w:b/>
          <w:bCs/>
          <w:sz w:val="32"/>
          <w:szCs w:val="32"/>
          <w:highlight w:val="none"/>
          <w:u w:val="none"/>
          <w:lang w:eastAsia="zh-CN"/>
        </w:rPr>
        <w:t>采购</w:t>
      </w:r>
      <w:r>
        <w:rPr>
          <w:rFonts w:hint="eastAsia" w:ascii="宋体" w:hAnsi="宋体" w:eastAsia="宋体" w:cs="宋体"/>
          <w:b/>
          <w:bCs/>
          <w:sz w:val="32"/>
          <w:szCs w:val="32"/>
          <w:highlight w:val="none"/>
          <w:u w:val="none"/>
        </w:rPr>
        <w:t xml:space="preserve">代理机构：新疆信尔成工程项目管理有限公司  </w:t>
      </w:r>
    </w:p>
    <w:p>
      <w:pPr>
        <w:spacing w:line="360" w:lineRule="auto"/>
        <w:ind w:left="420" w:leftChars="200"/>
        <w:jc w:val="center"/>
        <w:rPr>
          <w:rFonts w:hint="eastAsia" w:ascii="宋体" w:hAnsi="宋体" w:eastAsia="宋体" w:cs="宋体"/>
          <w:szCs w:val="21"/>
          <w:highlight w:val="none"/>
          <w:u w:val="none"/>
        </w:rPr>
      </w:pPr>
      <w:r>
        <w:rPr>
          <w:rFonts w:hint="eastAsia" w:ascii="宋体" w:hAnsi="宋体" w:eastAsia="宋体" w:cs="宋体"/>
          <w:b/>
          <w:bCs/>
          <w:sz w:val="32"/>
          <w:szCs w:val="32"/>
          <w:highlight w:val="none"/>
          <w:u w:val="none"/>
          <w:lang w:val="en-US" w:eastAsia="zh-CN"/>
        </w:rPr>
        <w:t>2021年</w:t>
      </w:r>
      <w:r>
        <w:rPr>
          <w:rFonts w:hint="eastAsia" w:ascii="宋体" w:hAnsi="宋体" w:cs="宋体"/>
          <w:b/>
          <w:bCs/>
          <w:sz w:val="32"/>
          <w:szCs w:val="32"/>
          <w:highlight w:val="none"/>
          <w:u w:val="none"/>
          <w:lang w:val="en-US" w:eastAsia="zh-CN"/>
        </w:rPr>
        <w:t>10</w:t>
      </w:r>
      <w:r>
        <w:rPr>
          <w:rFonts w:hint="eastAsia" w:ascii="宋体" w:hAnsi="宋体" w:eastAsia="宋体" w:cs="宋体"/>
          <w:b/>
          <w:bCs/>
          <w:sz w:val="32"/>
          <w:szCs w:val="32"/>
          <w:highlight w:val="none"/>
          <w:u w:val="none"/>
          <w:lang w:val="en-US" w:eastAsia="zh-CN"/>
        </w:rPr>
        <w:t>月</w:t>
      </w:r>
      <w:bookmarkStart w:id="0" w:name="_Toc179632527"/>
      <w:bookmarkStart w:id="1" w:name="_Toc363119275"/>
    </w:p>
    <w:bookmarkEnd w:id="0"/>
    <w:bookmarkEnd w:id="1"/>
    <w:p>
      <w:pPr>
        <w:pStyle w:val="9"/>
        <w:kinsoku w:val="0"/>
        <w:overflowPunct w:val="0"/>
        <w:spacing w:before="0"/>
        <w:ind w:left="0"/>
        <w:rPr>
          <w:rFonts w:hint="eastAsia" w:ascii="宋体" w:hAnsi="宋体" w:eastAsia="宋体" w:cs="宋体"/>
          <w:b/>
          <w:bCs/>
          <w:sz w:val="20"/>
          <w:szCs w:val="20"/>
          <w:highlight w:val="none"/>
        </w:rPr>
      </w:pPr>
    </w:p>
    <w:p>
      <w:pPr>
        <w:pStyle w:val="9"/>
        <w:kinsoku w:val="0"/>
        <w:overflowPunct w:val="0"/>
        <w:spacing w:before="0"/>
        <w:ind w:left="0"/>
        <w:rPr>
          <w:rFonts w:hint="eastAsia" w:ascii="宋体" w:hAnsi="宋体" w:eastAsia="宋体" w:cs="宋体"/>
          <w:b/>
          <w:bCs/>
          <w:sz w:val="20"/>
          <w:szCs w:val="20"/>
          <w:highlight w:val="none"/>
        </w:rPr>
      </w:pPr>
    </w:p>
    <w:p>
      <w:pPr>
        <w:pStyle w:val="9"/>
        <w:kinsoku w:val="0"/>
        <w:overflowPunct w:val="0"/>
        <w:spacing w:before="0"/>
        <w:ind w:left="0"/>
        <w:rPr>
          <w:rFonts w:hint="eastAsia" w:ascii="宋体" w:hAnsi="宋体" w:eastAsia="宋体" w:cs="宋体"/>
          <w:b/>
          <w:bCs/>
          <w:sz w:val="20"/>
          <w:szCs w:val="20"/>
          <w:highlight w:val="none"/>
        </w:rPr>
      </w:pPr>
    </w:p>
    <w:p>
      <w:pPr>
        <w:pStyle w:val="9"/>
        <w:tabs>
          <w:tab w:val="left" w:pos="1204"/>
        </w:tabs>
        <w:kinsoku w:val="0"/>
        <w:overflowPunct w:val="0"/>
        <w:spacing w:before="0" w:line="501" w:lineRule="exact"/>
        <w:ind w:left="1"/>
        <w:jc w:val="center"/>
        <w:rPr>
          <w:rFonts w:hint="eastAsia" w:ascii="宋体" w:hAnsi="宋体" w:eastAsia="宋体" w:cs="宋体"/>
          <w:b/>
          <w:bCs/>
          <w:w w:val="95"/>
          <w:sz w:val="36"/>
          <w:szCs w:val="36"/>
          <w:highlight w:val="none"/>
        </w:rPr>
        <w:sectPr>
          <w:headerReference r:id="rId4" w:type="first"/>
          <w:footerReference r:id="rId6" w:type="first"/>
          <w:headerReference r:id="rId3" w:type="default"/>
          <w:footerReference r:id="rId5"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start="0"/>
          <w:cols w:space="720" w:num="1"/>
          <w:titlePg/>
          <w:docGrid w:linePitch="286" w:charSpace="0"/>
        </w:sectPr>
      </w:pPr>
    </w:p>
    <w:p>
      <w:pPr>
        <w:pStyle w:val="9"/>
        <w:tabs>
          <w:tab w:val="left" w:pos="1204"/>
        </w:tabs>
        <w:kinsoku w:val="0"/>
        <w:overflowPunct w:val="0"/>
        <w:spacing w:before="0" w:line="501" w:lineRule="exact"/>
        <w:ind w:left="1"/>
        <w:jc w:val="center"/>
        <w:rPr>
          <w:rFonts w:hint="eastAsia" w:ascii="宋体" w:hAnsi="宋体" w:eastAsia="宋体" w:cs="宋体"/>
          <w:sz w:val="36"/>
          <w:szCs w:val="36"/>
          <w:highlight w:val="none"/>
        </w:rPr>
      </w:pPr>
      <w:r>
        <w:rPr>
          <w:rFonts w:hint="eastAsia" w:ascii="宋体" w:hAnsi="宋体" w:eastAsia="宋体" w:cs="宋体"/>
          <w:b/>
          <w:bCs/>
          <w:w w:val="95"/>
          <w:sz w:val="36"/>
          <w:szCs w:val="36"/>
          <w:highlight w:val="none"/>
        </w:rPr>
        <w:t>目</w:t>
      </w:r>
      <w:r>
        <w:rPr>
          <w:rFonts w:hint="eastAsia" w:ascii="宋体" w:hAnsi="宋体" w:eastAsia="宋体" w:cs="宋体"/>
          <w:b/>
          <w:bCs/>
          <w:w w:val="95"/>
          <w:sz w:val="36"/>
          <w:szCs w:val="36"/>
          <w:highlight w:val="none"/>
        </w:rPr>
        <w:tab/>
      </w:r>
      <w:r>
        <w:rPr>
          <w:rFonts w:hint="eastAsia" w:ascii="宋体" w:hAnsi="宋体" w:eastAsia="宋体" w:cs="宋体"/>
          <w:b/>
          <w:bCs/>
          <w:sz w:val="36"/>
          <w:szCs w:val="36"/>
          <w:highlight w:val="none"/>
        </w:rPr>
        <w:t>录</w:t>
      </w:r>
    </w:p>
    <w:p>
      <w:pPr>
        <w:pStyle w:val="13"/>
        <w:tabs>
          <w:tab w:val="right" w:leader="dot" w:pos="9541"/>
          <w:tab w:val="clear" w:pos="9400"/>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TOC \o "1-3" \h \z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_Toc6155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投标邀请书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_Toc6155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3"/>
        <w:tabs>
          <w:tab w:val="right" w:leader="dot" w:pos="9541"/>
          <w:tab w:val="clear" w:pos="9400"/>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_Toc15730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竞争性磋商公告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_Toc15730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3"/>
        <w:tabs>
          <w:tab w:val="right" w:pos="2400"/>
          <w:tab w:val="right" w:leader="dot" w:pos="9541"/>
          <w:tab w:val="clear" w:pos="9400"/>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_Toc25669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w:t>
      </w:r>
      <w:r>
        <w:rPr>
          <w:rFonts w:hint="eastAsia" w:ascii="宋体" w:hAnsi="宋体" w:eastAsia="宋体" w:cs="宋体"/>
          <w:sz w:val="24"/>
          <w:szCs w:val="24"/>
          <w:highlight w:val="none"/>
        </w:rPr>
        <w:tab/>
      </w:r>
      <w:r>
        <w:rPr>
          <w:rFonts w:hint="eastAsia" w:ascii="宋体" w:hAnsi="宋体" w:eastAsia="宋体" w:cs="宋体"/>
          <w:w w:val="95"/>
          <w:sz w:val="24"/>
          <w:szCs w:val="24"/>
          <w:highlight w:val="none"/>
          <w:lang w:val="en-US" w:eastAsia="zh-CN"/>
        </w:rPr>
        <w:t xml:space="preserve"> </w:t>
      </w:r>
      <w:r>
        <w:rPr>
          <w:rFonts w:hint="eastAsia" w:ascii="宋体" w:hAnsi="宋体" w:eastAsia="宋体" w:cs="宋体"/>
          <w:sz w:val="24"/>
          <w:szCs w:val="24"/>
          <w:highlight w:val="none"/>
        </w:rPr>
        <w:t>供应商须知及前附表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_Toc25669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_Toc7077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（一）供应商须知前附表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_Toc7077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_Toc24361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_Toc24361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_Toc20516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（三）《竞争性磋商文件》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_Toc20516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_Toc8528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（四）《磋商响应性文件》的编制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_Toc8528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_Toc32099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（五）磋商响应性文件的提交及相关事项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_Toc32099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_Toc1690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_Toc1690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_Toc11796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）定标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_Toc11796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_Toc23542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）合同签订及履行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_Toc23542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_Toc23631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九</w:t>
      </w:r>
      <w:r>
        <w:rPr>
          <w:rFonts w:hint="eastAsia" w:ascii="宋体" w:hAnsi="宋体" w:eastAsia="宋体" w:cs="宋体"/>
          <w:sz w:val="24"/>
          <w:szCs w:val="24"/>
          <w:highlight w:val="none"/>
        </w:rPr>
        <w:t>）重新招标和不再招标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_Toc23631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_Toc6269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（十）纪律和监督</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_Toc6269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_Toc23224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（十</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）无效投标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_Toc23224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_Toc25703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（十</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）废标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_Toc25703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_Toc30761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（十</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）质疑和投诉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_Toc30761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3"/>
        <w:tabs>
          <w:tab w:val="right" w:leader="dot" w:pos="9541"/>
          <w:tab w:val="clear" w:pos="9400"/>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_Toc1184 </w:instrText>
      </w:r>
      <w:r>
        <w:rPr>
          <w:rFonts w:hint="eastAsia" w:ascii="宋体" w:hAnsi="宋体" w:eastAsia="宋体" w:cs="宋体"/>
          <w:sz w:val="24"/>
          <w:szCs w:val="24"/>
          <w:highlight w:val="none"/>
        </w:rPr>
        <w:fldChar w:fldCharType="separate"/>
      </w:r>
      <w:r>
        <w:rPr>
          <w:rFonts w:hint="eastAsia" w:ascii="宋体" w:hAnsi="宋体" w:eastAsia="宋体" w:cs="宋体"/>
          <w:spacing w:val="1"/>
          <w:sz w:val="24"/>
          <w:szCs w:val="24"/>
          <w:highlight w:val="none"/>
        </w:rPr>
        <w:t>第三章</w:t>
      </w:r>
      <w:r>
        <w:rPr>
          <w:rFonts w:hint="eastAsia" w:ascii="宋体" w:hAnsi="宋体" w:eastAsia="宋体" w:cs="宋体"/>
          <w:w w:val="95"/>
          <w:sz w:val="24"/>
          <w:szCs w:val="24"/>
          <w:highlight w:val="none"/>
          <w:lang w:val="en-US" w:eastAsia="zh-CN"/>
        </w:rPr>
        <w:t xml:space="preserve"> </w:t>
      </w:r>
      <w:r>
        <w:rPr>
          <w:rFonts w:hint="eastAsia" w:ascii="宋体" w:hAnsi="宋体" w:eastAsia="宋体" w:cs="宋体"/>
          <w:spacing w:val="1"/>
          <w:sz w:val="24"/>
          <w:szCs w:val="24"/>
          <w:highlight w:val="none"/>
        </w:rPr>
        <w:t>评标办法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_Toc1184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3"/>
        <w:tabs>
          <w:tab w:val="right" w:leader="dot" w:pos="9541"/>
          <w:tab w:val="clear" w:pos="9400"/>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_Toc14707 </w:instrText>
      </w:r>
      <w:r>
        <w:rPr>
          <w:rFonts w:hint="eastAsia" w:ascii="宋体" w:hAnsi="宋体" w:eastAsia="宋体" w:cs="宋体"/>
          <w:sz w:val="24"/>
          <w:szCs w:val="24"/>
          <w:highlight w:val="none"/>
        </w:rPr>
        <w:fldChar w:fldCharType="separate"/>
      </w:r>
      <w:r>
        <w:rPr>
          <w:rFonts w:hint="eastAsia" w:ascii="宋体" w:hAnsi="宋体" w:eastAsia="宋体" w:cs="宋体"/>
          <w:spacing w:val="1"/>
          <w:sz w:val="24"/>
          <w:szCs w:val="24"/>
          <w:highlight w:val="none"/>
        </w:rPr>
        <w:t>第四章 磋商内容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_Toc14707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3"/>
        <w:tabs>
          <w:tab w:val="right" w:pos="2400"/>
          <w:tab w:val="right" w:leader="dot" w:pos="9541"/>
          <w:tab w:val="clear" w:pos="9400"/>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_Toc14342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ab/>
      </w:r>
      <w:r>
        <w:rPr>
          <w:rFonts w:hint="eastAsia" w:ascii="宋体" w:hAnsi="宋体" w:eastAsia="宋体" w:cs="宋体"/>
          <w:sz w:val="24"/>
          <w:szCs w:val="24"/>
          <w:highlight w:val="none"/>
        </w:rPr>
        <w:t>合同条款及合同格式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_Toc14342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3"/>
        <w:tabs>
          <w:tab w:val="right" w:pos="2400"/>
          <w:tab w:val="right" w:leader="dot" w:pos="9541"/>
          <w:tab w:val="clear" w:pos="9400"/>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_Toc8733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第六章</w:t>
      </w:r>
      <w:r>
        <w:rPr>
          <w:rFonts w:hint="eastAsia" w:ascii="宋体" w:hAnsi="宋体" w:eastAsia="宋体" w:cs="宋体"/>
          <w:w w:val="95"/>
          <w:sz w:val="24"/>
          <w:szCs w:val="24"/>
          <w:highlight w:val="none"/>
        </w:rPr>
        <w:tab/>
      </w:r>
      <w:r>
        <w:rPr>
          <w:rFonts w:hint="eastAsia" w:ascii="宋体" w:hAnsi="宋体" w:eastAsia="宋体" w:cs="宋体"/>
          <w:w w:val="95"/>
          <w:sz w:val="24"/>
          <w:szCs w:val="24"/>
          <w:highlight w:val="none"/>
          <w:lang w:val="en-US" w:eastAsia="zh-CN"/>
        </w:rPr>
        <w:t xml:space="preserve"> </w:t>
      </w:r>
      <w:r>
        <w:rPr>
          <w:rFonts w:hint="eastAsia" w:ascii="宋体" w:hAnsi="宋体" w:eastAsia="宋体" w:cs="宋体"/>
          <w:sz w:val="24"/>
          <w:szCs w:val="24"/>
          <w:highlight w:val="none"/>
        </w:rPr>
        <w:t>磋商响应性文件格式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_Toc8733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4"/>
        <w:rPr>
          <w:rFonts w:hint="eastAsia" w:ascii="宋体" w:hAnsi="宋体" w:eastAsia="宋体" w:cs="宋体"/>
          <w:highlight w:val="none"/>
        </w:rPr>
      </w:pPr>
      <w:r>
        <w:rPr>
          <w:rFonts w:hint="eastAsia" w:ascii="宋体" w:hAnsi="宋体" w:eastAsia="宋体" w:cs="宋体"/>
          <w:sz w:val="24"/>
          <w:szCs w:val="24"/>
          <w:highlight w:val="none"/>
        </w:rPr>
        <w:fldChar w:fldCharType="end"/>
      </w:r>
      <w:bookmarkStart w:id="2" w:name="_Toc6155"/>
      <w:r>
        <w:rPr>
          <w:rFonts w:hint="eastAsia" w:ascii="宋体" w:hAnsi="宋体" w:eastAsia="宋体" w:cs="宋体"/>
          <w:highlight w:val="none"/>
        </w:rPr>
        <w:br w:type="page"/>
      </w:r>
      <w:r>
        <w:rPr>
          <w:rFonts w:hint="eastAsia" w:ascii="宋体" w:hAnsi="宋体" w:eastAsia="宋体" w:cs="宋体"/>
          <w:highlight w:val="none"/>
        </w:rPr>
        <w:t xml:space="preserve"> </w:t>
      </w:r>
      <w:r>
        <w:rPr>
          <w:rFonts w:hint="eastAsia" w:ascii="宋体" w:hAnsi="宋体" w:eastAsia="宋体" w:cs="宋体"/>
          <w:w w:val="95"/>
          <w:highlight w:val="none"/>
        </w:rPr>
        <w:t>第一章</w:t>
      </w:r>
      <w:r>
        <w:rPr>
          <w:rFonts w:hint="eastAsia" w:ascii="宋体" w:hAnsi="宋体" w:eastAsia="宋体" w:cs="宋体"/>
          <w:highlight w:val="none"/>
        </w:rPr>
        <w:t>投标邀请书</w:t>
      </w:r>
      <w:bookmarkEnd w:id="2"/>
    </w:p>
    <w:p>
      <w:pPr>
        <w:pStyle w:val="4"/>
        <w:tabs>
          <w:tab w:val="left" w:pos="0"/>
        </w:tabs>
        <w:autoSpaceDE w:val="0"/>
        <w:autoSpaceDN w:val="0"/>
        <w:adjustRightInd w:val="0"/>
        <w:spacing w:before="0" w:after="0" w:line="360" w:lineRule="auto"/>
        <w:jc w:val="center"/>
        <w:rPr>
          <w:rFonts w:hint="eastAsia" w:ascii="宋体" w:hAnsi="宋体" w:eastAsia="宋体" w:cs="宋体"/>
          <w:highlight w:val="none"/>
        </w:rPr>
      </w:pPr>
      <w:bookmarkStart w:id="3" w:name="_Toc35393797"/>
      <w:bookmarkStart w:id="4" w:name="_Toc28359011"/>
      <w:bookmarkStart w:id="5" w:name="_Toc15730"/>
      <w:r>
        <w:rPr>
          <w:rFonts w:hint="eastAsia" w:ascii="宋体" w:hAnsi="宋体" w:eastAsia="宋体" w:cs="宋体"/>
          <w:highlight w:val="none"/>
        </w:rPr>
        <w:t>竞争性磋商公告</w:t>
      </w:r>
      <w:bookmarkEnd w:id="3"/>
      <w:bookmarkEnd w:id="4"/>
      <w:bookmarkEnd w:id="5"/>
    </w:p>
    <w:p>
      <w:pPr>
        <w:rPr>
          <w:rFonts w:hint="eastAsia" w:ascii="宋体" w:hAnsi="宋体" w:eastAsia="宋体" w:cs="宋体"/>
          <w:highlight w:val="none"/>
        </w:rPr>
      </w:pP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u w:val="single"/>
          <w:lang w:eastAsia="zh-CN"/>
        </w:rPr>
        <w:t>2021-2022年度新疆旅游统计数据管理及分析研究项目</w:t>
      </w:r>
      <w:r>
        <w:rPr>
          <w:rFonts w:hint="eastAsia" w:ascii="宋体" w:hAnsi="宋体" w:eastAsia="宋体" w:cs="宋体"/>
          <w:sz w:val="28"/>
          <w:szCs w:val="28"/>
          <w:highlight w:val="none"/>
        </w:rPr>
        <w:t>采购项目的潜在供应商应在</w:t>
      </w:r>
      <w:r>
        <w:rPr>
          <w:rFonts w:hint="eastAsia" w:ascii="宋体" w:hAnsi="宋体" w:eastAsia="宋体" w:cs="宋体"/>
          <w:sz w:val="28"/>
          <w:szCs w:val="28"/>
          <w:highlight w:val="none"/>
          <w:u w:val="single"/>
        </w:rPr>
        <w:t>新疆维吾尔自治区乌鲁木齐市水磨沟区会展大道1119号大成尔雅生活广场第一栋第十八层A座1806号房</w:t>
      </w:r>
      <w:r>
        <w:rPr>
          <w:rFonts w:hint="eastAsia" w:ascii="宋体" w:hAnsi="宋体" w:eastAsia="宋体" w:cs="宋体"/>
          <w:sz w:val="28"/>
          <w:szCs w:val="28"/>
          <w:highlight w:val="none"/>
        </w:rPr>
        <w:t>获取采购文件，并于</w:t>
      </w:r>
      <w:r>
        <w:rPr>
          <w:rFonts w:hint="eastAsia" w:ascii="宋体" w:hAnsi="宋体" w:eastAsia="宋体" w:cs="宋体"/>
          <w:bCs/>
          <w:sz w:val="28"/>
          <w:szCs w:val="28"/>
          <w:highlight w:val="none"/>
          <w:u w:val="single"/>
          <w:lang w:val="en-US" w:eastAsia="zh-CN"/>
        </w:rPr>
        <w:t>2021</w:t>
      </w:r>
      <w:r>
        <w:rPr>
          <w:rFonts w:hint="eastAsia" w:ascii="宋体" w:hAnsi="宋体" w:eastAsia="宋体" w:cs="宋体"/>
          <w:bCs/>
          <w:sz w:val="28"/>
          <w:szCs w:val="28"/>
          <w:highlight w:val="none"/>
          <w:u w:val="single"/>
        </w:rPr>
        <w:t>年</w:t>
      </w:r>
      <w:r>
        <w:rPr>
          <w:rFonts w:hint="eastAsia" w:ascii="宋体" w:hAnsi="宋体" w:cs="宋体"/>
          <w:bCs/>
          <w:sz w:val="28"/>
          <w:szCs w:val="28"/>
          <w:highlight w:val="none"/>
          <w:u w:val="single"/>
          <w:lang w:val="en-US" w:eastAsia="zh-CN"/>
        </w:rPr>
        <w:t>10</w:t>
      </w:r>
      <w:r>
        <w:rPr>
          <w:rFonts w:hint="eastAsia" w:ascii="宋体" w:hAnsi="宋体" w:eastAsia="宋体" w:cs="宋体"/>
          <w:bCs/>
          <w:sz w:val="28"/>
          <w:szCs w:val="28"/>
          <w:highlight w:val="none"/>
          <w:u w:val="single"/>
        </w:rPr>
        <w:t>月</w:t>
      </w:r>
      <w:r>
        <w:rPr>
          <w:rFonts w:hint="eastAsia" w:ascii="宋体" w:hAnsi="宋体" w:eastAsia="宋体" w:cs="宋体"/>
          <w:bCs/>
          <w:sz w:val="28"/>
          <w:szCs w:val="28"/>
          <w:highlight w:val="yellow"/>
          <w:u w:val="single"/>
          <w:lang w:val="en-US" w:eastAsia="zh-CN"/>
        </w:rPr>
        <w:t xml:space="preserve"> </w:t>
      </w:r>
      <w:r>
        <w:rPr>
          <w:rFonts w:hint="eastAsia" w:ascii="宋体" w:hAnsi="宋体" w:cs="宋体"/>
          <w:bCs/>
          <w:sz w:val="28"/>
          <w:szCs w:val="28"/>
          <w:highlight w:val="yellow"/>
          <w:u w:val="single"/>
          <w:lang w:val="en-US" w:eastAsia="zh-CN"/>
        </w:rPr>
        <w:t>09</w:t>
      </w:r>
      <w:r>
        <w:rPr>
          <w:rFonts w:hint="eastAsia" w:ascii="宋体" w:hAnsi="宋体" w:eastAsia="宋体" w:cs="宋体"/>
          <w:bCs/>
          <w:sz w:val="28"/>
          <w:szCs w:val="28"/>
          <w:highlight w:val="none"/>
          <w:u w:val="single"/>
        </w:rPr>
        <w:t>日</w:t>
      </w:r>
      <w:r>
        <w:rPr>
          <w:rFonts w:hint="eastAsia" w:ascii="宋体" w:hAnsi="宋体" w:eastAsia="宋体" w:cs="宋体"/>
          <w:bCs/>
          <w:sz w:val="28"/>
          <w:szCs w:val="28"/>
          <w:highlight w:val="none"/>
          <w:u w:val="single"/>
          <w:lang w:val="en-US" w:eastAsia="zh-CN"/>
        </w:rPr>
        <w:t>11</w:t>
      </w:r>
      <w:r>
        <w:rPr>
          <w:rFonts w:hint="eastAsia" w:ascii="宋体" w:hAnsi="宋体" w:eastAsia="宋体" w:cs="宋体"/>
          <w:bCs/>
          <w:sz w:val="28"/>
          <w:szCs w:val="28"/>
          <w:highlight w:val="none"/>
          <w:u w:val="single"/>
        </w:rPr>
        <w:t>点</w:t>
      </w:r>
      <w:r>
        <w:rPr>
          <w:rFonts w:hint="eastAsia" w:ascii="宋体" w:hAnsi="宋体" w:eastAsia="宋体" w:cs="宋体"/>
          <w:bCs/>
          <w:sz w:val="28"/>
          <w:szCs w:val="28"/>
          <w:highlight w:val="none"/>
          <w:u w:val="single"/>
          <w:lang w:val="en-US" w:eastAsia="zh-CN"/>
        </w:rPr>
        <w:t>00</w:t>
      </w:r>
      <w:r>
        <w:rPr>
          <w:rFonts w:hint="eastAsia" w:ascii="宋体" w:hAnsi="宋体" w:eastAsia="宋体" w:cs="宋体"/>
          <w:bCs/>
          <w:sz w:val="28"/>
          <w:szCs w:val="28"/>
          <w:highlight w:val="none"/>
          <w:u w:val="single"/>
        </w:rPr>
        <w:t>分</w:t>
      </w:r>
      <w:r>
        <w:rPr>
          <w:rFonts w:hint="eastAsia" w:ascii="宋体" w:hAnsi="宋体" w:eastAsia="宋体" w:cs="宋体"/>
          <w:bCs/>
          <w:sz w:val="28"/>
          <w:szCs w:val="28"/>
          <w:highlight w:val="none"/>
        </w:rPr>
        <w:t>（北京时间）前提交响应文件</w:t>
      </w:r>
      <w:r>
        <w:rPr>
          <w:rFonts w:hint="eastAsia" w:ascii="宋体" w:hAnsi="宋体" w:eastAsia="宋体" w:cs="宋体"/>
          <w:sz w:val="28"/>
          <w:szCs w:val="28"/>
          <w:highlight w:val="none"/>
        </w:rPr>
        <w:t>。</w:t>
      </w:r>
    </w:p>
    <w:p>
      <w:pPr>
        <w:rPr>
          <w:rFonts w:hint="eastAsia" w:ascii="宋体" w:hAnsi="宋体" w:eastAsia="宋体" w:cs="宋体"/>
          <w:highlight w:val="none"/>
        </w:rPr>
      </w:pPr>
    </w:p>
    <w:p>
      <w:pPr>
        <w:spacing w:line="360" w:lineRule="auto"/>
        <w:jc w:val="left"/>
        <w:outlineLvl w:val="9"/>
        <w:rPr>
          <w:rFonts w:hint="eastAsia" w:ascii="宋体" w:hAnsi="宋体" w:eastAsia="宋体" w:cs="宋体"/>
          <w:b/>
          <w:bCs w:val="0"/>
          <w:sz w:val="28"/>
          <w:szCs w:val="28"/>
          <w:highlight w:val="none"/>
        </w:rPr>
      </w:pPr>
      <w:bookmarkStart w:id="6" w:name="_Toc35393629"/>
      <w:bookmarkStart w:id="7" w:name="_Toc35393798"/>
      <w:bookmarkStart w:id="8" w:name="_Toc28359012"/>
      <w:bookmarkStart w:id="9" w:name="_Toc28359089"/>
      <w:r>
        <w:rPr>
          <w:rFonts w:hint="eastAsia" w:ascii="宋体" w:hAnsi="宋体" w:eastAsia="宋体" w:cs="宋体"/>
          <w:b/>
          <w:bCs w:val="0"/>
          <w:sz w:val="28"/>
          <w:szCs w:val="28"/>
          <w:highlight w:val="none"/>
        </w:rPr>
        <w:t>一、项目基本情况</w:t>
      </w:r>
      <w:bookmarkEnd w:id="6"/>
      <w:bookmarkEnd w:id="7"/>
      <w:bookmarkEnd w:id="8"/>
      <w:bookmarkEnd w:id="9"/>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项目编号：</w:t>
      </w:r>
      <w:r>
        <w:rPr>
          <w:rFonts w:hint="eastAsia" w:ascii="宋体" w:hAnsi="宋体" w:eastAsia="宋体" w:cs="宋体"/>
          <w:b w:val="0"/>
          <w:bCs w:val="0"/>
          <w:i w:val="0"/>
          <w:iCs w:val="0"/>
          <w:sz w:val="24"/>
          <w:szCs w:val="24"/>
          <w:highlight w:val="none"/>
          <w:lang w:val="en-US" w:eastAsia="zh-CN"/>
        </w:rPr>
        <w:t>XJXECWLMQ-2021030</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项目名称：</w:t>
      </w:r>
      <w:r>
        <w:rPr>
          <w:rFonts w:hint="eastAsia" w:ascii="宋体" w:hAnsi="宋体" w:eastAsia="宋体" w:cs="宋体"/>
          <w:b w:val="0"/>
          <w:bCs w:val="0"/>
          <w:i w:val="0"/>
          <w:iCs w:val="0"/>
          <w:sz w:val="24"/>
          <w:szCs w:val="24"/>
          <w:highlight w:val="yellow"/>
          <w:lang w:val="en-US" w:eastAsia="zh-CN"/>
        </w:rPr>
        <w:t>2021-2022年度新疆旅游统计数据管理及分析研究项目</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采购方式：</w:t>
      </w:r>
      <w:r>
        <w:rPr>
          <w:rFonts w:hint="eastAsia" w:ascii="宋体" w:hAnsi="宋体" w:eastAsia="宋体" w:cs="宋体"/>
          <w:b w:val="0"/>
          <w:bCs w:val="0"/>
          <w:i w:val="0"/>
          <w:iCs w:val="0"/>
          <w:sz w:val="24"/>
          <w:szCs w:val="24"/>
          <w:highlight w:val="none"/>
          <w:lang w:val="en-US" w:eastAsia="zh-CN"/>
        </w:rPr>
        <w:t xml:space="preserve">□竞争性谈判 </w:t>
      </w:r>
      <w:r>
        <w:rPr>
          <w:rFonts w:hint="eastAsia" w:ascii="宋体" w:hAnsi="宋体" w:eastAsia="宋体" w:cs="宋体"/>
          <w:b w:val="0"/>
          <w:bCs w:val="0"/>
          <w:i w:val="0"/>
          <w:iCs w:val="0"/>
          <w:sz w:val="24"/>
          <w:szCs w:val="24"/>
          <w:highlight w:val="none"/>
          <w:lang w:val="en-US" w:eastAsia="zh-CN"/>
        </w:rPr>
        <w:sym w:font="Wingdings 2" w:char="0052"/>
      </w:r>
      <w:r>
        <w:rPr>
          <w:rFonts w:hint="eastAsia" w:ascii="宋体" w:hAnsi="宋体" w:eastAsia="宋体" w:cs="宋体"/>
          <w:b w:val="0"/>
          <w:bCs w:val="0"/>
          <w:i w:val="0"/>
          <w:iCs w:val="0"/>
          <w:sz w:val="24"/>
          <w:szCs w:val="24"/>
          <w:highlight w:val="none"/>
          <w:lang w:val="en-US" w:eastAsia="zh-CN"/>
        </w:rPr>
        <w:t>竞争性磋商 □询价</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预算金额：</w:t>
      </w:r>
      <w:r>
        <w:rPr>
          <w:rFonts w:hint="eastAsia" w:ascii="宋体" w:hAnsi="宋体" w:eastAsia="宋体" w:cs="宋体"/>
          <w:b w:val="0"/>
          <w:bCs w:val="0"/>
          <w:i w:val="0"/>
          <w:iCs w:val="0"/>
          <w:sz w:val="24"/>
          <w:szCs w:val="24"/>
          <w:highlight w:val="yellow"/>
          <w:lang w:val="en-US" w:eastAsia="zh-CN"/>
        </w:rPr>
        <w:t>75.00</w:t>
      </w:r>
      <w:r>
        <w:rPr>
          <w:rFonts w:hint="eastAsia" w:ascii="宋体" w:hAnsi="宋体" w:eastAsia="宋体" w:cs="宋体"/>
          <w:b w:val="0"/>
          <w:bCs w:val="0"/>
          <w:i w:val="0"/>
          <w:iCs w:val="0"/>
          <w:sz w:val="24"/>
          <w:szCs w:val="24"/>
          <w:highlight w:val="none"/>
          <w:lang w:val="en-US" w:eastAsia="zh-CN"/>
        </w:rPr>
        <w:t>万元</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最高限价：</w:t>
      </w:r>
      <w:r>
        <w:rPr>
          <w:rFonts w:hint="eastAsia" w:ascii="宋体" w:hAnsi="宋体" w:eastAsia="宋体" w:cs="宋体"/>
          <w:b w:val="0"/>
          <w:bCs w:val="0"/>
          <w:i w:val="0"/>
          <w:iCs w:val="0"/>
          <w:sz w:val="24"/>
          <w:szCs w:val="24"/>
          <w:highlight w:val="none"/>
          <w:lang w:val="en-US" w:eastAsia="zh-CN"/>
        </w:rPr>
        <w:t>75.00万元</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采购需求：</w:t>
      </w:r>
      <w:r>
        <w:rPr>
          <w:rFonts w:hint="eastAsia" w:ascii="宋体" w:hAnsi="宋体" w:eastAsia="宋体" w:cs="宋体"/>
          <w:b w:val="0"/>
          <w:bCs w:val="0"/>
          <w:i w:val="0"/>
          <w:iCs w:val="0"/>
          <w:sz w:val="24"/>
          <w:szCs w:val="24"/>
          <w:highlight w:val="yellow"/>
          <w:lang w:val="en-US" w:eastAsia="zh-CN"/>
        </w:rPr>
        <w:t>为确保新疆旅游统计数据的客观性、真实性、科学性和统计工作的专业性、系统性和有效性，特委托第三方专业机构开展新疆旅游统计数据管理、新疆旅游统计及分析研究服务、新疆旅游经济运行分析及其配套服务（详细说明见磋商文件）。</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合同履行期限：</w:t>
      </w:r>
      <w:r>
        <w:rPr>
          <w:rFonts w:hint="eastAsia" w:ascii="宋体" w:hAnsi="宋体" w:eastAsia="宋体" w:cs="宋体"/>
          <w:b w:val="0"/>
          <w:bCs w:val="0"/>
          <w:i w:val="0"/>
          <w:iCs w:val="0"/>
          <w:sz w:val="24"/>
          <w:szCs w:val="24"/>
          <w:highlight w:val="yellow"/>
          <w:lang w:val="en-US" w:eastAsia="zh-CN"/>
        </w:rPr>
        <w:t>服务周期为12个月，具体时间以合同约定为准。</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val="0"/>
          <w:bCs w:val="0"/>
          <w:i w:val="0"/>
          <w:iCs w:val="0"/>
          <w:sz w:val="24"/>
          <w:szCs w:val="24"/>
          <w:highlight w:val="none"/>
          <w:lang w:val="en-US" w:eastAsia="zh-CN"/>
        </w:rPr>
        <w:t>本项目不接受联合体。</w:t>
      </w:r>
    </w:p>
    <w:p>
      <w:pPr>
        <w:pStyle w:val="2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注：为保证本项目相关数据管理工作的独立性和客观性，参与新疆旅游统计大数据平台建设运行，以及各地州市国内游客抽样调查和旅游统计指标测算工作的供应商不得参与本项目的投标活动。</w:t>
      </w:r>
    </w:p>
    <w:p>
      <w:pPr>
        <w:spacing w:line="360" w:lineRule="auto"/>
        <w:jc w:val="both"/>
        <w:outlineLvl w:val="9"/>
        <w:rPr>
          <w:rFonts w:hint="eastAsia" w:ascii="宋体" w:hAnsi="宋体" w:eastAsia="宋体" w:cs="宋体"/>
          <w:b/>
          <w:bCs w:val="0"/>
          <w:sz w:val="28"/>
          <w:szCs w:val="28"/>
          <w:highlight w:val="none"/>
        </w:rPr>
      </w:pPr>
      <w:bookmarkStart w:id="10" w:name="_Toc28359013"/>
      <w:bookmarkStart w:id="11" w:name="_Toc35393799"/>
      <w:bookmarkStart w:id="12" w:name="_Toc28359090"/>
      <w:bookmarkStart w:id="13" w:name="_Toc35393630"/>
      <w:r>
        <w:rPr>
          <w:rFonts w:hint="eastAsia" w:ascii="宋体" w:hAnsi="宋体" w:eastAsia="宋体" w:cs="宋体"/>
          <w:b/>
          <w:bCs w:val="0"/>
          <w:sz w:val="28"/>
          <w:szCs w:val="28"/>
          <w:highlight w:val="none"/>
        </w:rPr>
        <w:t>二、申请人的资格要求：</w:t>
      </w:r>
      <w:bookmarkEnd w:id="10"/>
      <w:bookmarkEnd w:id="11"/>
      <w:bookmarkEnd w:id="12"/>
      <w:bookmarkEnd w:id="13"/>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lang w:eastAsia="zh-CN"/>
        </w:rPr>
      </w:pPr>
      <w:bookmarkStart w:id="14" w:name="_Toc35393631"/>
      <w:bookmarkStart w:id="15" w:name="_Toc28359091"/>
      <w:bookmarkStart w:id="16" w:name="_Toc35393800"/>
      <w:bookmarkStart w:id="17" w:name="_Toc28359014"/>
      <w:r>
        <w:rPr>
          <w:rFonts w:hint="eastAsia" w:ascii="宋体" w:hAnsi="宋体" w:eastAsia="宋体" w:cs="宋体"/>
          <w:b/>
          <w:bCs/>
          <w:i w:val="0"/>
          <w:iCs w:val="0"/>
          <w:sz w:val="24"/>
          <w:szCs w:val="24"/>
          <w:highlight w:val="none"/>
        </w:rPr>
        <w:t>1.满足《中华人民共和国政府采购法》第二十二条规定</w:t>
      </w:r>
      <w:r>
        <w:rPr>
          <w:rFonts w:hint="eastAsia" w:ascii="宋体" w:hAnsi="宋体" w:eastAsia="宋体" w:cs="宋体"/>
          <w:b/>
          <w:bCs/>
          <w:i w:val="0"/>
          <w:iCs w:val="0"/>
          <w:sz w:val="24"/>
          <w:szCs w:val="24"/>
          <w:highlight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（1）</w:t>
      </w:r>
      <w:r>
        <w:rPr>
          <w:rFonts w:hint="eastAsia" w:ascii="宋体" w:hAnsi="宋体" w:eastAsia="宋体" w:cs="宋体"/>
          <w:b w:val="0"/>
          <w:bCs w:val="0"/>
          <w:i w:val="0"/>
          <w:iCs w:val="0"/>
          <w:color w:val="auto"/>
          <w:sz w:val="24"/>
          <w:szCs w:val="24"/>
          <w:highlight w:val="none"/>
          <w:lang w:val="en-US" w:eastAsia="zh-CN"/>
        </w:rPr>
        <w:t>依法注册、具有合法的法人资格及独立承担民事责任的能力；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sz w:val="24"/>
          <w:szCs w:val="24"/>
          <w:highlight w:val="none"/>
          <w:u w:val="none"/>
          <w:lang w:val="en-US" w:eastAsia="zh-CN"/>
        </w:rPr>
        <w:t>2</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具有良好的商业信誉和健全的财务会计制度；</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sz w:val="24"/>
          <w:szCs w:val="24"/>
          <w:highlight w:val="none"/>
          <w:u w:val="none"/>
          <w:lang w:val="en-US" w:eastAsia="zh-CN"/>
        </w:rPr>
        <w:t>3</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有依法缴纳税收和社会保障资金的良好纪录；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FF0000"/>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sz w:val="24"/>
          <w:szCs w:val="24"/>
          <w:highlight w:val="none"/>
          <w:u w:val="none"/>
          <w:lang w:val="en-US" w:eastAsia="zh-CN"/>
        </w:rPr>
        <w:t>4</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具有履行合同所必需的专业技术能力</w:t>
      </w:r>
      <w:r>
        <w:rPr>
          <w:rFonts w:hint="eastAsia" w:ascii="宋体" w:hAnsi="宋体" w:eastAsia="宋体" w:cs="宋体"/>
          <w:b w:val="0"/>
          <w:bCs w:val="0"/>
          <w:i w:val="0"/>
          <w:iCs w:val="0"/>
          <w:color w:val="FF0000"/>
          <w:sz w:val="24"/>
          <w:szCs w:val="24"/>
          <w:highlight w:val="none"/>
          <w:lang w:val="en-US"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sz w:val="24"/>
          <w:szCs w:val="24"/>
          <w:highlight w:val="none"/>
          <w:u w:val="none"/>
          <w:lang w:val="en-US" w:eastAsia="zh-CN"/>
        </w:rPr>
        <w:t>5</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参加采购活动前三年内，在经营活动中没有重大违法记录；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highlight w:val="none"/>
          <w:lang w:eastAsia="zh-CN"/>
        </w:rPr>
      </w:pP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sz w:val="24"/>
          <w:szCs w:val="24"/>
          <w:highlight w:val="none"/>
          <w:u w:val="none"/>
          <w:lang w:val="en-US" w:eastAsia="zh-CN"/>
        </w:rPr>
        <w:t>6</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符合国家有关法律法规的规定；</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2.落实政府采购政策需满足的资格要求：</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（1）采购政策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政府采购应当优先采购本国货物、工程和服务，并执行节能产品、环境标志产品、中小企业、残疾人福利性单位、监狱企业等适宜本项目的政府采购政策。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（2）政策依据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2）财政部、生态环境部《关于印发环境标志产品政府采购品目清单的通知》（财库[2019]18号文）；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3）财政部、发展改革委《关于印发节能产品政府采购品目清单的通知》（财库[2019]19号文）；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4）市场监管总局《市场监管总局关于发布参与实施政府采购节能产品、环境标志产品认证机构名录的公告》（2019年第16号）；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sz w:val="24"/>
          <w:szCs w:val="24"/>
          <w:highlight w:val="none"/>
          <w:u w:val="none"/>
        </w:rPr>
        <w:t>5）财政部、工业和信息化部关于印</w:t>
      </w:r>
      <w:r>
        <w:rPr>
          <w:rFonts w:hint="eastAsia" w:ascii="宋体" w:hAnsi="宋体" w:eastAsia="宋体" w:cs="宋体"/>
          <w:b w:val="0"/>
          <w:bCs w:val="0"/>
          <w:i w:val="0"/>
          <w:iCs w:val="0"/>
          <w:color w:val="auto"/>
          <w:sz w:val="24"/>
          <w:szCs w:val="24"/>
          <w:highlight w:val="none"/>
          <w:u w:val="none"/>
        </w:rPr>
        <w:t>发《政府采购促进中小企业发展管理办法》的通知（财库﹝2020﹞46 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6）财政部、民政部、中国残疾人联合会《关于促进残疾人就业政府采购政策的通知》（财库[2017]141号）；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7）财政部、司法部《关于政府采购支持监狱企业发展有关问题的通知》（财库[2014]68号文）。</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3.本项目的特</w:t>
      </w:r>
      <w:r>
        <w:rPr>
          <w:rFonts w:hint="eastAsia" w:ascii="宋体" w:hAnsi="宋体" w:eastAsia="宋体" w:cs="宋体"/>
          <w:b/>
          <w:bCs/>
          <w:i w:val="0"/>
          <w:iCs w:val="0"/>
          <w:sz w:val="24"/>
          <w:szCs w:val="24"/>
          <w:highlight w:val="none"/>
          <w:lang w:val="en-US" w:eastAsia="zh-CN"/>
        </w:rPr>
        <w:t>定资</w:t>
      </w:r>
      <w:r>
        <w:rPr>
          <w:rFonts w:hint="eastAsia" w:ascii="宋体" w:hAnsi="宋体" w:eastAsia="宋体" w:cs="宋体"/>
          <w:b/>
          <w:bCs/>
          <w:i w:val="0"/>
          <w:iCs w:val="0"/>
          <w:sz w:val="24"/>
          <w:szCs w:val="24"/>
          <w:highlight w:val="none"/>
        </w:rPr>
        <w:t>格要求</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val="en-US" w:eastAsia="zh-CN"/>
        </w:rPr>
      </w:pPr>
      <w:r>
        <w:rPr>
          <w:rFonts w:hint="eastAsia" w:ascii="宋体" w:hAnsi="宋体" w:eastAsia="宋体" w:cs="宋体"/>
          <w:i w:val="0"/>
          <w:iCs w:val="0"/>
          <w:sz w:val="24"/>
          <w:szCs w:val="24"/>
          <w:highlight w:val="none"/>
          <w:u w:val="none"/>
        </w:rPr>
        <w:t>（</w:t>
      </w:r>
      <w:r>
        <w:rPr>
          <w:rFonts w:hint="eastAsia" w:ascii="宋体" w:hAnsi="宋体" w:eastAsia="宋体" w:cs="宋体"/>
          <w:i w:val="0"/>
          <w:iCs w:val="0"/>
          <w:sz w:val="24"/>
          <w:szCs w:val="24"/>
          <w:highlight w:val="none"/>
          <w:u w:val="none"/>
          <w:lang w:val="en-US" w:eastAsia="zh-CN"/>
        </w:rPr>
        <w:t>1</w:t>
      </w:r>
      <w:r>
        <w:rPr>
          <w:rFonts w:hint="eastAsia" w:ascii="宋体" w:hAnsi="宋体" w:eastAsia="宋体" w:cs="宋体"/>
          <w:i w:val="0"/>
          <w:iCs w:val="0"/>
          <w:sz w:val="24"/>
          <w:szCs w:val="24"/>
          <w:highlight w:val="none"/>
          <w:u w:val="none"/>
        </w:rPr>
        <w:t>）</w:t>
      </w:r>
      <w:r>
        <w:rPr>
          <w:rFonts w:hint="eastAsia" w:ascii="宋体" w:hAnsi="宋体" w:eastAsia="宋体" w:cs="宋体"/>
          <w:bCs/>
          <w:sz w:val="24"/>
          <w:szCs w:val="24"/>
          <w:lang w:eastAsia="zh-CN"/>
        </w:rPr>
        <w:t>供应商</w:t>
      </w:r>
      <w:r>
        <w:rPr>
          <w:rFonts w:hint="eastAsia" w:ascii="宋体" w:hAnsi="宋体" w:eastAsia="宋体" w:cs="宋体"/>
          <w:bCs/>
          <w:sz w:val="24"/>
          <w:szCs w:val="24"/>
        </w:rPr>
        <w:t>需在中华人民共和国境内注册，具有信誉良好的独立法人资格，事业单位法人证书或工商营业执照通过年检合格有效</w:t>
      </w:r>
      <w:r>
        <w:rPr>
          <w:rFonts w:hint="eastAsia" w:ascii="宋体" w:hAnsi="宋体" w:eastAsia="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eastAsia="zh-CN"/>
        </w:rPr>
      </w:pPr>
      <w:r>
        <w:rPr>
          <w:rFonts w:hint="eastAsia" w:ascii="宋体" w:hAnsi="宋体" w:eastAsia="宋体" w:cs="宋体"/>
          <w:i w:val="0"/>
          <w:iCs w:val="0"/>
          <w:sz w:val="24"/>
          <w:szCs w:val="24"/>
          <w:highlight w:val="none"/>
          <w:u w:val="none"/>
        </w:rPr>
        <w:t>（</w:t>
      </w:r>
      <w:r>
        <w:rPr>
          <w:rFonts w:hint="eastAsia" w:ascii="宋体" w:hAnsi="宋体" w:eastAsia="宋体" w:cs="宋体"/>
          <w:i w:val="0"/>
          <w:iCs w:val="0"/>
          <w:sz w:val="24"/>
          <w:szCs w:val="24"/>
          <w:highlight w:val="none"/>
          <w:u w:val="none"/>
          <w:lang w:val="en-US" w:eastAsia="zh-CN"/>
        </w:rPr>
        <w:t>2</w:t>
      </w:r>
      <w:r>
        <w:rPr>
          <w:rFonts w:hint="eastAsia" w:ascii="宋体" w:hAnsi="宋体" w:eastAsia="宋体" w:cs="宋体"/>
          <w:i w:val="0"/>
          <w:iCs w:val="0"/>
          <w:sz w:val="24"/>
          <w:szCs w:val="24"/>
          <w:highlight w:val="none"/>
          <w:u w:val="none"/>
        </w:rPr>
        <w:t>）供应商应在“信用中国”网站（</w:t>
      </w:r>
      <w:r>
        <w:rPr>
          <w:rFonts w:hint="eastAsia" w:ascii="宋体" w:hAnsi="宋体" w:eastAsia="宋体" w:cs="宋体"/>
          <w:highlight w:val="none"/>
        </w:rPr>
        <w:t>www.creditchina.gov.cn）</w:t>
      </w:r>
      <w:r>
        <w:rPr>
          <w:rFonts w:hint="eastAsia" w:ascii="宋体" w:hAnsi="宋体" w:eastAsia="宋体" w:cs="宋体"/>
          <w:i w:val="0"/>
          <w:iCs w:val="0"/>
          <w:sz w:val="24"/>
          <w:szCs w:val="24"/>
          <w:highlight w:val="none"/>
          <w:u w:val="none"/>
        </w:rPr>
        <w:t>未被列入失信被执行人记录、重大税收违法案件当事人名单且在中国政府采购网</w:t>
      </w:r>
      <w:r>
        <w:rPr>
          <w:rFonts w:hint="eastAsia" w:ascii="宋体" w:hAnsi="宋体" w:eastAsia="宋体" w:cs="宋体"/>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加盖投标人公章为准</w:t>
      </w:r>
      <w:r>
        <w:rPr>
          <w:rFonts w:hint="eastAsia" w:ascii="宋体" w:hAnsi="宋体" w:eastAsia="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sz w:val="24"/>
          <w:szCs w:val="24"/>
          <w:highlight w:val="none"/>
          <w:u w:val="none"/>
        </w:rPr>
        <w:t>（</w:t>
      </w:r>
      <w:r>
        <w:rPr>
          <w:rFonts w:hint="eastAsia" w:ascii="宋体" w:hAnsi="宋体" w:eastAsia="宋体" w:cs="宋体"/>
          <w:i w:val="0"/>
          <w:iCs w:val="0"/>
          <w:sz w:val="24"/>
          <w:szCs w:val="24"/>
          <w:highlight w:val="none"/>
          <w:u w:val="none"/>
          <w:lang w:val="en-US" w:eastAsia="zh-CN"/>
        </w:rPr>
        <w:t>3</w:t>
      </w:r>
      <w:r>
        <w:rPr>
          <w:rFonts w:hint="eastAsia" w:ascii="宋体" w:hAnsi="宋体" w:eastAsia="宋体" w:cs="宋体"/>
          <w:i w:val="0"/>
          <w:iCs w:val="0"/>
          <w:sz w:val="24"/>
          <w:szCs w:val="24"/>
          <w:highlight w:val="none"/>
          <w:u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宋体" w:hAnsi="宋体" w:eastAsia="宋体" w:cs="宋体"/>
          <w:i w:val="0"/>
          <w:iCs w:val="0"/>
          <w:sz w:val="24"/>
          <w:szCs w:val="24"/>
          <w:highlight w:val="none"/>
          <w:u w:val="none"/>
          <w:lang w:eastAsia="zh-CN"/>
        </w:rPr>
        <w:t>。</w:t>
      </w:r>
    </w:p>
    <w:p>
      <w:pPr>
        <w:spacing w:line="360" w:lineRule="auto"/>
        <w:jc w:val="both"/>
        <w:outlineLvl w:val="9"/>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三、获取采购文件</w:t>
      </w:r>
      <w:bookmarkEnd w:id="14"/>
      <w:bookmarkEnd w:id="15"/>
      <w:bookmarkEnd w:id="16"/>
      <w:bookmarkEnd w:id="17"/>
    </w:p>
    <w:p>
      <w:pPr>
        <w:spacing w:line="360" w:lineRule="auto"/>
        <w:ind w:firstLine="540"/>
        <w:rPr>
          <w:rFonts w:hint="eastAsia" w:ascii="宋体" w:hAnsi="宋体" w:eastAsia="宋体" w:cs="宋体"/>
          <w:sz w:val="28"/>
          <w:szCs w:val="28"/>
          <w:highlight w:val="none"/>
        </w:rPr>
      </w:pPr>
      <w:r>
        <w:rPr>
          <w:rFonts w:hint="eastAsia" w:ascii="宋体" w:hAnsi="宋体" w:eastAsia="宋体" w:cs="宋体"/>
          <w:b/>
          <w:bCs/>
          <w:sz w:val="24"/>
          <w:szCs w:val="24"/>
          <w:highlight w:val="none"/>
        </w:rPr>
        <w:t>时间：</w:t>
      </w:r>
      <w:r>
        <w:rPr>
          <w:rFonts w:hint="eastAsia" w:ascii="宋体" w:hAnsi="宋体" w:eastAsia="宋体" w:cs="宋体"/>
          <w:i w:val="0"/>
          <w:iCs w:val="0"/>
          <w:sz w:val="24"/>
          <w:szCs w:val="24"/>
          <w:highlight w:val="none"/>
          <w:u w:val="single"/>
          <w:lang w:val="en-US" w:eastAsia="zh-CN"/>
        </w:rPr>
        <w:t>2021</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10</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none"/>
          <w:u w:val="single"/>
          <w:lang w:val="en-US" w:eastAsia="zh-CN"/>
        </w:rPr>
        <w:t>0</w:t>
      </w:r>
      <w:r>
        <w:rPr>
          <w:rFonts w:hint="eastAsia" w:ascii="宋体" w:hAnsi="宋体" w:cs="宋体"/>
          <w:i w:val="0"/>
          <w:iCs w:val="0"/>
          <w:sz w:val="24"/>
          <w:szCs w:val="24"/>
          <w:highlight w:val="yellow"/>
          <w:u w:val="single"/>
          <w:lang w:val="en-US" w:eastAsia="zh-CN"/>
        </w:rPr>
        <w:t>9</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2021</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10</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yellow"/>
          <w:u w:val="single"/>
          <w:lang w:val="en-US" w:eastAsia="zh-CN"/>
        </w:rPr>
        <w:t>14</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，每天上午</w:t>
      </w:r>
      <w:r>
        <w:rPr>
          <w:rFonts w:hint="eastAsia" w:ascii="宋体" w:hAnsi="宋体" w:eastAsia="宋体" w:cs="宋体"/>
          <w:i w:val="0"/>
          <w:iCs w:val="0"/>
          <w:sz w:val="24"/>
          <w:szCs w:val="24"/>
          <w:highlight w:val="none"/>
          <w:u w:val="single"/>
          <w:lang w:val="en-US" w:eastAsia="zh-CN"/>
        </w:rPr>
        <w:t xml:space="preserve"> 10:00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13:30</w:t>
      </w:r>
      <w:r>
        <w:rPr>
          <w:rFonts w:hint="eastAsia" w:ascii="宋体" w:hAnsi="宋体" w:eastAsia="宋体" w:cs="宋体"/>
          <w:i w:val="0"/>
          <w:iCs w:val="0"/>
          <w:sz w:val="24"/>
          <w:szCs w:val="24"/>
          <w:highlight w:val="none"/>
        </w:rPr>
        <w:t>，下午</w:t>
      </w:r>
      <w:r>
        <w:rPr>
          <w:rFonts w:hint="eastAsia" w:ascii="宋体" w:hAnsi="宋体" w:eastAsia="宋体" w:cs="宋体"/>
          <w:i w:val="0"/>
          <w:iCs w:val="0"/>
          <w:sz w:val="24"/>
          <w:szCs w:val="24"/>
          <w:highlight w:val="none"/>
          <w:u w:val="single"/>
          <w:lang w:val="en-US" w:eastAsia="zh-CN"/>
        </w:rPr>
        <w:t>15:30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lang w:val="en-US" w:eastAsia="zh-CN"/>
        </w:rPr>
        <w:t>19</w:t>
      </w:r>
      <w:r>
        <w:rPr>
          <w:rFonts w:hint="eastAsia" w:ascii="宋体" w:hAnsi="宋体" w:eastAsia="宋体" w:cs="宋体"/>
          <w:i w:val="0"/>
          <w:iCs w:val="0"/>
          <w:sz w:val="24"/>
          <w:szCs w:val="24"/>
          <w:highlight w:val="none"/>
          <w:u w:val="single"/>
          <w:lang w:val="en-US" w:eastAsia="zh-CN"/>
        </w:rPr>
        <w:t>:30</w:t>
      </w:r>
      <w:r>
        <w:rPr>
          <w:rFonts w:hint="eastAsia" w:ascii="宋体" w:hAnsi="宋体" w:eastAsia="宋体" w:cs="宋体"/>
          <w:i w:val="0"/>
          <w:iCs w:val="0"/>
          <w:sz w:val="24"/>
          <w:szCs w:val="24"/>
          <w:highlight w:val="none"/>
        </w:rPr>
        <w:t>（北京时间，法定节假日除外 ）</w:t>
      </w:r>
    </w:p>
    <w:p>
      <w:pPr>
        <w:spacing w:line="360" w:lineRule="auto"/>
        <w:ind w:firstLine="540"/>
        <w:rPr>
          <w:rFonts w:hint="eastAsia" w:ascii="宋体" w:hAnsi="宋体" w:eastAsia="宋体" w:cs="宋体"/>
          <w:i w:val="0"/>
          <w:iCs w:val="0"/>
          <w:sz w:val="24"/>
          <w:szCs w:val="24"/>
          <w:highlight w:val="none"/>
          <w:lang w:eastAsia="zh-CN"/>
        </w:rPr>
      </w:pPr>
      <w:r>
        <w:rPr>
          <w:rFonts w:hint="eastAsia" w:ascii="宋体" w:hAnsi="宋体" w:eastAsia="宋体" w:cs="宋体"/>
          <w:b/>
          <w:bCs/>
          <w:sz w:val="24"/>
          <w:szCs w:val="24"/>
          <w:highlight w:val="none"/>
        </w:rPr>
        <w:t>地点：</w:t>
      </w:r>
      <w:r>
        <w:rPr>
          <w:rFonts w:hint="eastAsia" w:ascii="宋体" w:hAnsi="宋体" w:eastAsia="宋体" w:cs="宋体"/>
          <w:i w:val="0"/>
          <w:iCs w:val="0"/>
          <w:sz w:val="24"/>
          <w:szCs w:val="24"/>
          <w:highlight w:val="none"/>
        </w:rPr>
        <w:t>新疆乌鲁木齐市水磨沟区会展大道1119号大成尔雅第一栋第十八层A座1806号房</w:t>
      </w:r>
    </w:p>
    <w:p>
      <w:pPr>
        <w:spacing w:line="360" w:lineRule="auto"/>
        <w:ind w:firstLine="540"/>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方式：</w:t>
      </w:r>
      <w:r>
        <w:rPr>
          <w:rFonts w:hint="eastAsia" w:ascii="宋体" w:hAnsi="宋体" w:eastAsia="宋体" w:cs="宋体"/>
          <w:i w:val="0"/>
          <w:iCs w:val="0"/>
          <w:color w:val="auto"/>
          <w:sz w:val="24"/>
          <w:szCs w:val="24"/>
          <w:highlight w:val="none"/>
          <w:lang w:val="en-US" w:eastAsia="zh-CN"/>
        </w:rPr>
        <w:t>领取磋商文件时</w:t>
      </w:r>
      <w:r>
        <w:rPr>
          <w:rFonts w:hint="eastAsia" w:ascii="宋体" w:hAnsi="宋体" w:eastAsia="宋体" w:cs="宋体"/>
          <w:i w:val="0"/>
          <w:iCs w:val="0"/>
          <w:color w:val="auto"/>
          <w:sz w:val="24"/>
          <w:szCs w:val="24"/>
          <w:highlight w:val="none"/>
        </w:rPr>
        <w:t>需携带</w:t>
      </w:r>
      <w:r>
        <w:rPr>
          <w:rFonts w:hint="eastAsia" w:ascii="宋体" w:hAnsi="宋体" w:eastAsia="宋体" w:cs="宋体"/>
          <w:i w:val="0"/>
          <w:iCs w:val="0"/>
          <w:color w:val="auto"/>
          <w:sz w:val="24"/>
          <w:szCs w:val="24"/>
          <w:highlight w:val="none"/>
          <w:lang w:val="en-US" w:eastAsia="zh-CN"/>
        </w:rPr>
        <w:t>以下</w:t>
      </w:r>
      <w:r>
        <w:rPr>
          <w:rFonts w:hint="eastAsia" w:ascii="宋体" w:hAnsi="宋体" w:eastAsia="宋体" w:cs="宋体"/>
          <w:i w:val="0"/>
          <w:iCs w:val="0"/>
          <w:color w:val="auto"/>
          <w:sz w:val="24"/>
          <w:szCs w:val="24"/>
          <w:highlight w:val="none"/>
        </w:rPr>
        <w:t>原件（能通过互联网或者相关信息系统查询的信息除外）查验、加盖公章的 A4 纸复印件</w:t>
      </w:r>
      <w:r>
        <w:rPr>
          <w:rFonts w:hint="eastAsia" w:ascii="宋体" w:hAnsi="宋体" w:eastAsia="宋体" w:cs="宋体"/>
          <w:i w:val="0"/>
          <w:iCs w:val="0"/>
          <w:color w:val="auto"/>
          <w:sz w:val="24"/>
          <w:szCs w:val="24"/>
          <w:highlight w:val="none"/>
          <w:lang w:eastAsia="zh-CN"/>
        </w:rPr>
        <w:t>一</w:t>
      </w:r>
      <w:r>
        <w:rPr>
          <w:rFonts w:hint="eastAsia" w:ascii="宋体" w:hAnsi="宋体" w:eastAsia="宋体" w:cs="宋体"/>
          <w:i w:val="0"/>
          <w:iCs w:val="0"/>
          <w:color w:val="auto"/>
          <w:sz w:val="24"/>
          <w:szCs w:val="24"/>
          <w:highlight w:val="none"/>
        </w:rPr>
        <w:t>套，复印件为单面复印，按先后顺序装订，不接受公证件。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w:t>
      </w:r>
      <w:r>
        <w:rPr>
          <w:rFonts w:hint="eastAsia" w:ascii="宋体" w:hAnsi="宋体" w:eastAsia="宋体" w:cs="宋体"/>
          <w:i w:val="0"/>
          <w:iCs w:val="0"/>
          <w:color w:val="auto"/>
          <w:sz w:val="24"/>
          <w:szCs w:val="24"/>
          <w:highlight w:val="none"/>
        </w:rPr>
        <w:t>法人授权委托书和被授权人有效身份证（法人直接参加的需出示法人</w:t>
      </w:r>
      <w:r>
        <w:rPr>
          <w:rFonts w:hint="eastAsia" w:ascii="宋体" w:hAnsi="宋体" w:eastAsia="宋体" w:cs="宋体"/>
          <w:i w:val="0"/>
          <w:iCs w:val="0"/>
          <w:color w:val="auto"/>
          <w:sz w:val="24"/>
          <w:szCs w:val="24"/>
          <w:highlight w:val="none"/>
          <w:lang w:eastAsia="zh-CN"/>
        </w:rPr>
        <w:t>身份证明及</w:t>
      </w:r>
      <w:r>
        <w:rPr>
          <w:rFonts w:hint="eastAsia" w:ascii="宋体" w:hAnsi="宋体" w:eastAsia="宋体" w:cs="宋体"/>
          <w:i w:val="0"/>
          <w:iCs w:val="0"/>
          <w:color w:val="auto"/>
          <w:sz w:val="24"/>
          <w:szCs w:val="24"/>
          <w:highlight w:val="none"/>
        </w:rPr>
        <w:t>身份证原件）</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（2）</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eastAsia="zh-CN"/>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3</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特定资格：</w:t>
      </w:r>
      <w:r>
        <w:rPr>
          <w:rFonts w:hint="eastAsia" w:ascii="宋体" w:hAnsi="宋体" w:eastAsia="宋体" w:cs="宋体"/>
          <w:color w:val="auto"/>
          <w:sz w:val="24"/>
          <w:szCs w:val="24"/>
          <w:highlight w:val="none"/>
          <w:lang w:val="en-US"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4</w:t>
      </w:r>
      <w:r>
        <w:rPr>
          <w:rFonts w:hint="eastAsia" w:ascii="宋体" w:hAnsi="宋体" w:eastAsia="宋体" w:cs="宋体"/>
          <w:i w:val="0"/>
          <w:iCs w:val="0"/>
          <w:sz w:val="24"/>
          <w:szCs w:val="24"/>
          <w:highlight w:val="none"/>
        </w:rPr>
        <w:t>）社会保障资金缴纳证明：供应商提供近半年内已缴存的至少一个月的社会保障资金缴存单据或社保机构开具的社会保险参保缴费情况证明，依法不需要缴纳社会保障资金的供应商应提供相关文件证明；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5</w:t>
      </w:r>
      <w:r>
        <w:rPr>
          <w:rFonts w:hint="eastAsia" w:ascii="宋体" w:hAnsi="宋体" w:eastAsia="宋体" w:cs="宋体"/>
          <w:i w:val="0"/>
          <w:iCs w:val="0"/>
          <w:sz w:val="24"/>
          <w:szCs w:val="24"/>
          <w:highlight w:val="none"/>
        </w:rPr>
        <w:t>）财务状况报告：供应商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6</w:t>
      </w:r>
      <w:r>
        <w:rPr>
          <w:rFonts w:hint="eastAsia" w:ascii="宋体" w:hAnsi="宋体" w:eastAsia="宋体" w:cs="宋体"/>
          <w:i w:val="0"/>
          <w:iCs w:val="0"/>
          <w:sz w:val="24"/>
          <w:szCs w:val="24"/>
          <w:highlight w:val="none"/>
        </w:rPr>
        <w:t>）税收缴纳证明：供应商提供近半年内已缴纳的至少一个月的纳税证明或完税证明，纳税证明或完税证明上应有代收机构或税务机关的公章，依法免税的供应商应提供相关文件证明；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7</w:t>
      </w:r>
      <w:r>
        <w:rPr>
          <w:rFonts w:hint="eastAsia" w:ascii="宋体" w:hAnsi="宋体" w:eastAsia="宋体" w:cs="宋体"/>
          <w:i w:val="0"/>
          <w:iCs w:val="0"/>
          <w:sz w:val="24"/>
          <w:szCs w:val="24"/>
          <w:highlight w:val="none"/>
        </w:rPr>
        <w:t>）供应商应具备良好的商业信誉，提供参加政府采购活动前3年内在经营活动中没有重大违法记录的书面声明；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sz w:val="28"/>
          <w:szCs w:val="28"/>
          <w:highlight w:val="none"/>
          <w:u w:val="singl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8</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none"/>
        </w:rPr>
        <w:t>供应商应在“信用中国”网站（</w:t>
      </w:r>
      <w:r>
        <w:rPr>
          <w:rFonts w:hint="eastAsia" w:ascii="宋体" w:hAnsi="宋体" w:eastAsia="宋体" w:cs="宋体"/>
          <w:highlight w:val="none"/>
        </w:rPr>
        <w:t>www.creditchina.gov.cn）</w:t>
      </w:r>
      <w:r>
        <w:rPr>
          <w:rFonts w:hint="eastAsia" w:ascii="宋体" w:hAnsi="宋体" w:eastAsia="宋体" w:cs="宋体"/>
          <w:i w:val="0"/>
          <w:iCs w:val="0"/>
          <w:sz w:val="24"/>
          <w:szCs w:val="24"/>
          <w:highlight w:val="none"/>
          <w:u w:val="none"/>
        </w:rPr>
        <w:t>未被列入失信被执行人记录、重大税收违法案件当事人名单且在中国政府采购网</w:t>
      </w:r>
      <w:r>
        <w:rPr>
          <w:rFonts w:hint="eastAsia" w:ascii="宋体" w:hAnsi="宋体" w:eastAsia="宋体" w:cs="宋体"/>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w:t>
      </w:r>
      <w:r>
        <w:rPr>
          <w:rFonts w:hint="eastAsia" w:ascii="宋体" w:hAnsi="宋体" w:eastAsia="宋体" w:cs="宋体"/>
          <w:i w:val="0"/>
          <w:iCs w:val="0"/>
          <w:sz w:val="24"/>
          <w:szCs w:val="24"/>
          <w:highlight w:val="none"/>
          <w:u w:val="none"/>
          <w:lang w:val="en-US" w:eastAsia="zh-CN"/>
        </w:rPr>
        <w:t>供应商</w:t>
      </w:r>
      <w:r>
        <w:rPr>
          <w:rFonts w:hint="eastAsia" w:ascii="宋体" w:hAnsi="宋体" w:eastAsia="宋体" w:cs="宋体"/>
          <w:i w:val="0"/>
          <w:iCs w:val="0"/>
          <w:sz w:val="24"/>
          <w:szCs w:val="24"/>
          <w:highlight w:val="none"/>
          <w:u w:val="none"/>
        </w:rPr>
        <w:t>公章为准</w:t>
      </w:r>
      <w:r>
        <w:rPr>
          <w:rFonts w:hint="eastAsia" w:ascii="宋体" w:hAnsi="宋体" w:eastAsia="宋体" w:cs="宋体"/>
          <w:i w:val="0"/>
          <w:iCs w:val="0"/>
          <w:sz w:val="24"/>
          <w:szCs w:val="24"/>
          <w:highlight w:val="none"/>
          <w:u w:val="none"/>
          <w:lang w:eastAsia="zh-CN"/>
        </w:rPr>
        <w:t>；</w:t>
      </w:r>
    </w:p>
    <w:p>
      <w:pPr>
        <w:spacing w:line="360" w:lineRule="auto"/>
        <w:ind w:firstLine="540"/>
        <w:rPr>
          <w:rFonts w:hint="eastAsia" w:ascii="宋体" w:hAnsi="宋体" w:eastAsia="宋体" w:cs="宋体"/>
          <w:sz w:val="28"/>
          <w:szCs w:val="28"/>
          <w:highlight w:val="none"/>
        </w:rPr>
      </w:pPr>
      <w:r>
        <w:rPr>
          <w:rFonts w:hint="eastAsia" w:ascii="宋体" w:hAnsi="宋体" w:eastAsia="宋体" w:cs="宋体"/>
          <w:b/>
          <w:bCs/>
          <w:sz w:val="28"/>
          <w:szCs w:val="28"/>
          <w:highlight w:val="none"/>
        </w:rPr>
        <w:t>售价：</w:t>
      </w:r>
      <w:r>
        <w:rPr>
          <w:rFonts w:hint="eastAsia" w:ascii="宋体" w:hAnsi="宋体" w:eastAsia="宋体" w:cs="宋体"/>
          <w:i w:val="0"/>
          <w:iCs w:val="0"/>
          <w:sz w:val="24"/>
          <w:szCs w:val="24"/>
          <w:highlight w:val="none"/>
          <w:lang w:val="en-US" w:eastAsia="zh-CN"/>
        </w:rPr>
        <w:t>3</w:t>
      </w:r>
      <w:r>
        <w:rPr>
          <w:rFonts w:hint="eastAsia" w:ascii="宋体" w:hAnsi="宋体" w:eastAsia="宋体" w:cs="宋体"/>
          <w:i w:val="0"/>
          <w:iCs w:val="0"/>
          <w:sz w:val="24"/>
          <w:szCs w:val="24"/>
          <w:highlight w:val="none"/>
        </w:rPr>
        <w:t>00元/本，逾期不售、售后不退。</w:t>
      </w:r>
    </w:p>
    <w:p>
      <w:pPr>
        <w:spacing w:line="360" w:lineRule="auto"/>
        <w:jc w:val="left"/>
        <w:outlineLvl w:val="9"/>
        <w:rPr>
          <w:rFonts w:hint="eastAsia" w:ascii="宋体" w:hAnsi="宋体" w:eastAsia="宋体" w:cs="宋体"/>
          <w:b/>
          <w:bCs w:val="0"/>
          <w:sz w:val="28"/>
          <w:szCs w:val="28"/>
          <w:highlight w:val="none"/>
        </w:rPr>
      </w:pPr>
      <w:bookmarkStart w:id="18" w:name="_Toc35393801"/>
      <w:bookmarkStart w:id="19" w:name="_Toc35393632"/>
      <w:bookmarkStart w:id="20" w:name="_Toc28359092"/>
      <w:bookmarkStart w:id="21" w:name="_Toc28359015"/>
      <w:r>
        <w:rPr>
          <w:rFonts w:hint="eastAsia" w:ascii="宋体" w:hAnsi="宋体" w:eastAsia="宋体" w:cs="宋体"/>
          <w:b/>
          <w:bCs w:val="0"/>
          <w:sz w:val="28"/>
          <w:szCs w:val="28"/>
          <w:highlight w:val="none"/>
        </w:rPr>
        <w:t>四、响应文件提交</w:t>
      </w:r>
      <w:bookmarkEnd w:id="18"/>
      <w:bookmarkEnd w:id="19"/>
      <w:bookmarkEnd w:id="20"/>
      <w:bookmarkEnd w:id="21"/>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rPr>
      </w:pPr>
      <w:r>
        <w:rPr>
          <w:rFonts w:hint="eastAsia" w:ascii="宋体" w:hAnsi="宋体" w:eastAsia="宋体" w:cs="宋体"/>
          <w:b/>
          <w:bCs/>
          <w:i w:val="0"/>
          <w:iCs w:val="0"/>
          <w:sz w:val="24"/>
          <w:szCs w:val="24"/>
          <w:highlight w:val="none"/>
        </w:rPr>
        <w:t>截止时间：</w:t>
      </w:r>
      <w:r>
        <w:rPr>
          <w:rFonts w:hint="eastAsia" w:ascii="宋体" w:hAnsi="宋体" w:eastAsia="宋体" w:cs="宋体"/>
          <w:i w:val="0"/>
          <w:iCs w:val="0"/>
          <w:sz w:val="24"/>
          <w:szCs w:val="24"/>
          <w:highlight w:val="none"/>
          <w:u w:val="single"/>
          <w:lang w:val="en-US" w:eastAsia="zh-CN"/>
        </w:rPr>
        <w:t>2021</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w:t>
      </w:r>
      <w:r>
        <w:rPr>
          <w:rFonts w:hint="eastAsia" w:ascii="宋体" w:hAnsi="宋体" w:eastAsia="宋体" w:cs="宋体"/>
          <w:bCs/>
          <w:i w:val="0"/>
          <w:iCs w:val="0"/>
          <w:sz w:val="24"/>
          <w:szCs w:val="24"/>
          <w:highlight w:val="none"/>
          <w:u w:val="single"/>
        </w:rPr>
        <w:t>月</w:t>
      </w:r>
      <w:r>
        <w:rPr>
          <w:rFonts w:hint="eastAsia" w:ascii="宋体" w:hAnsi="宋体" w:cs="宋体"/>
          <w:i w:val="0"/>
          <w:iCs w:val="0"/>
          <w:sz w:val="24"/>
          <w:szCs w:val="24"/>
          <w:highlight w:val="yellow"/>
          <w:u w:val="single"/>
          <w:lang w:val="en-US" w:eastAsia="zh-CN"/>
        </w:rPr>
        <w:t>19</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none"/>
          <w:u w:val="single"/>
          <w:lang w:val="en-US" w:eastAsia="zh-CN"/>
        </w:rPr>
        <w:t>11</w:t>
      </w:r>
      <w:r>
        <w:rPr>
          <w:rFonts w:hint="eastAsia" w:ascii="宋体" w:hAnsi="宋体" w:eastAsia="宋体" w:cs="宋体"/>
          <w:bCs/>
          <w:i w:val="0"/>
          <w:iCs w:val="0"/>
          <w:sz w:val="24"/>
          <w:szCs w:val="24"/>
          <w:highlight w:val="none"/>
          <w:u w:val="single"/>
        </w:rPr>
        <w:t>点</w:t>
      </w:r>
      <w:r>
        <w:rPr>
          <w:rFonts w:hint="eastAsia" w:ascii="宋体" w:hAnsi="宋体" w:eastAsia="宋体" w:cs="宋体"/>
          <w:bCs/>
          <w:i w:val="0"/>
          <w:iCs w:val="0"/>
          <w:sz w:val="24"/>
          <w:szCs w:val="24"/>
          <w:highlight w:val="none"/>
          <w:u w:val="single"/>
          <w:lang w:val="en-US" w:eastAsia="zh-CN"/>
        </w:rPr>
        <w:t>00</w:t>
      </w:r>
      <w:r>
        <w:rPr>
          <w:rFonts w:hint="eastAsia" w:ascii="宋体" w:hAnsi="宋体" w:eastAsia="宋体" w:cs="宋体"/>
          <w:bCs/>
          <w:i w:val="0"/>
          <w:iCs w:val="0"/>
          <w:sz w:val="24"/>
          <w:szCs w:val="24"/>
          <w:highlight w:val="none"/>
          <w:u w:val="single"/>
        </w:rPr>
        <w:t>分</w:t>
      </w:r>
      <w:r>
        <w:rPr>
          <w:rFonts w:hint="eastAsia" w:ascii="宋体" w:hAnsi="宋体" w:eastAsia="宋体" w:cs="宋体"/>
          <w:bCs/>
          <w:i w:val="0"/>
          <w:iCs w:val="0"/>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sz w:val="28"/>
          <w:szCs w:val="28"/>
          <w:highlight w:val="none"/>
          <w:u w:val="single"/>
        </w:rPr>
      </w:pPr>
      <w:r>
        <w:rPr>
          <w:rFonts w:hint="eastAsia" w:ascii="宋体" w:hAnsi="宋体" w:eastAsia="宋体" w:cs="宋体"/>
          <w:b/>
          <w:bCs/>
          <w:i w:val="0"/>
          <w:iCs w:val="0"/>
          <w:sz w:val="24"/>
          <w:szCs w:val="24"/>
          <w:highlight w:val="none"/>
        </w:rPr>
        <w:t>地点：</w:t>
      </w:r>
      <w:r>
        <w:rPr>
          <w:rFonts w:hint="eastAsia" w:ascii="宋体" w:hAnsi="宋体" w:eastAsia="宋体" w:cs="宋体"/>
          <w:i w:val="0"/>
          <w:iCs w:val="0"/>
          <w:sz w:val="24"/>
          <w:szCs w:val="24"/>
          <w:highlight w:val="none"/>
          <w:u w:val="none"/>
          <w:lang w:val="en-US" w:eastAsia="zh-CN"/>
        </w:rPr>
        <w:t xml:space="preserve"> 新疆乌鲁木齐市水磨沟区会展大道1119号大成尔雅B座（乌鲁木齐晚报大厦）七楼702号房</w:t>
      </w:r>
    </w:p>
    <w:p>
      <w:pPr>
        <w:spacing w:line="360" w:lineRule="auto"/>
        <w:jc w:val="both"/>
        <w:outlineLvl w:val="9"/>
        <w:rPr>
          <w:rFonts w:hint="eastAsia" w:ascii="宋体" w:hAnsi="宋体" w:eastAsia="宋体" w:cs="宋体"/>
          <w:b/>
          <w:bCs w:val="0"/>
          <w:sz w:val="28"/>
          <w:szCs w:val="28"/>
          <w:highlight w:val="none"/>
        </w:rPr>
      </w:pPr>
      <w:bookmarkStart w:id="22" w:name="_Toc28359016"/>
      <w:bookmarkStart w:id="23" w:name="_Toc28359093"/>
      <w:bookmarkStart w:id="24" w:name="_Toc35393633"/>
      <w:bookmarkStart w:id="25" w:name="_Toc35393802"/>
      <w:r>
        <w:rPr>
          <w:rFonts w:hint="eastAsia" w:ascii="宋体" w:hAnsi="宋体" w:eastAsia="宋体" w:cs="宋体"/>
          <w:b/>
          <w:bCs w:val="0"/>
          <w:sz w:val="28"/>
          <w:szCs w:val="28"/>
          <w:highlight w:val="none"/>
        </w:rPr>
        <w:t>五、开启</w:t>
      </w:r>
      <w:bookmarkEnd w:id="22"/>
      <w:bookmarkEnd w:id="23"/>
      <w:bookmarkEnd w:id="24"/>
      <w:bookmarkEnd w:id="25"/>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u w:val="single"/>
        </w:rPr>
      </w:pPr>
      <w:bookmarkStart w:id="26" w:name="_Toc28359094"/>
      <w:bookmarkStart w:id="27" w:name="_Toc28359017"/>
      <w:bookmarkStart w:id="28" w:name="_Toc35393634"/>
      <w:bookmarkStart w:id="29" w:name="_Toc35393803"/>
      <w:r>
        <w:rPr>
          <w:rFonts w:hint="eastAsia" w:ascii="宋体" w:hAnsi="宋体" w:eastAsia="宋体" w:cs="宋体"/>
          <w:b/>
          <w:bCs/>
          <w:i w:val="0"/>
          <w:iCs w:val="0"/>
          <w:sz w:val="24"/>
          <w:szCs w:val="24"/>
          <w:highlight w:val="none"/>
        </w:rPr>
        <w:t>时间：</w:t>
      </w:r>
      <w:r>
        <w:rPr>
          <w:rFonts w:hint="eastAsia" w:ascii="宋体" w:hAnsi="宋体" w:eastAsia="宋体" w:cs="宋体"/>
          <w:i w:val="0"/>
          <w:iCs w:val="0"/>
          <w:sz w:val="24"/>
          <w:szCs w:val="24"/>
          <w:highlight w:val="none"/>
          <w:u w:val="single"/>
          <w:lang w:val="en-US" w:eastAsia="zh-CN"/>
        </w:rPr>
        <w:t>2021</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w:t>
      </w:r>
      <w:r>
        <w:rPr>
          <w:rFonts w:hint="eastAsia" w:ascii="宋体" w:hAnsi="宋体" w:eastAsia="宋体" w:cs="宋体"/>
          <w:bCs/>
          <w:i w:val="0"/>
          <w:iCs w:val="0"/>
          <w:sz w:val="24"/>
          <w:szCs w:val="24"/>
          <w:highlight w:val="none"/>
          <w:u w:val="single"/>
        </w:rPr>
        <w:t>月</w:t>
      </w:r>
      <w:r>
        <w:rPr>
          <w:rFonts w:hint="eastAsia" w:ascii="宋体" w:hAnsi="宋体" w:cs="宋体"/>
          <w:i w:val="0"/>
          <w:iCs w:val="0"/>
          <w:sz w:val="24"/>
          <w:szCs w:val="24"/>
          <w:highlight w:val="yellow"/>
          <w:u w:val="single"/>
          <w:lang w:val="en-US" w:eastAsia="zh-CN"/>
        </w:rPr>
        <w:t>19</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none"/>
          <w:u w:val="single"/>
          <w:lang w:val="en-US" w:eastAsia="zh-CN"/>
        </w:rPr>
        <w:t>11</w:t>
      </w:r>
      <w:r>
        <w:rPr>
          <w:rFonts w:hint="eastAsia" w:ascii="宋体" w:hAnsi="宋体" w:eastAsia="宋体" w:cs="宋体"/>
          <w:bCs/>
          <w:i w:val="0"/>
          <w:iCs w:val="0"/>
          <w:sz w:val="24"/>
          <w:szCs w:val="24"/>
          <w:highlight w:val="none"/>
          <w:u w:val="single"/>
        </w:rPr>
        <w:t>点</w:t>
      </w:r>
      <w:r>
        <w:rPr>
          <w:rFonts w:hint="eastAsia" w:ascii="宋体" w:hAnsi="宋体" w:eastAsia="宋体" w:cs="宋体"/>
          <w:bCs/>
          <w:i w:val="0"/>
          <w:iCs w:val="0"/>
          <w:sz w:val="24"/>
          <w:szCs w:val="24"/>
          <w:highlight w:val="none"/>
          <w:u w:val="single"/>
          <w:lang w:val="en-US" w:eastAsia="zh-CN"/>
        </w:rPr>
        <w:t>00</w:t>
      </w:r>
      <w:r>
        <w:rPr>
          <w:rFonts w:hint="eastAsia" w:ascii="宋体" w:hAnsi="宋体" w:eastAsia="宋体" w:cs="宋体"/>
          <w:bCs/>
          <w:i w:val="0"/>
          <w:iCs w:val="0"/>
          <w:sz w:val="24"/>
          <w:szCs w:val="24"/>
          <w:highlight w:val="none"/>
          <w:u w:val="single"/>
        </w:rPr>
        <w:t>分</w:t>
      </w:r>
      <w:r>
        <w:rPr>
          <w:rFonts w:hint="eastAsia" w:ascii="宋体" w:hAnsi="宋体" w:eastAsia="宋体" w:cs="宋体"/>
          <w:bCs/>
          <w:i w:val="0"/>
          <w:iCs w:val="0"/>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u w:val="none"/>
          <w:lang w:val="en-US" w:eastAsia="zh-CN"/>
        </w:rPr>
      </w:pPr>
      <w:r>
        <w:rPr>
          <w:rFonts w:hint="eastAsia" w:ascii="宋体" w:hAnsi="宋体" w:eastAsia="宋体" w:cs="宋体"/>
          <w:b/>
          <w:bCs/>
          <w:i w:val="0"/>
          <w:iCs w:val="0"/>
          <w:sz w:val="24"/>
          <w:szCs w:val="24"/>
          <w:highlight w:val="none"/>
        </w:rPr>
        <w:t>地点：</w:t>
      </w:r>
      <w:r>
        <w:rPr>
          <w:rFonts w:hint="eastAsia" w:ascii="宋体" w:hAnsi="宋体" w:eastAsia="宋体" w:cs="宋体"/>
          <w:i w:val="0"/>
          <w:iCs w:val="0"/>
          <w:sz w:val="24"/>
          <w:szCs w:val="24"/>
          <w:highlight w:val="none"/>
          <w:u w:val="none"/>
          <w:lang w:val="en-US" w:eastAsia="zh-CN"/>
        </w:rPr>
        <w:t xml:space="preserve"> 新疆乌鲁木齐市水磨沟区会展大道1119号大成尔雅B座（乌鲁木齐晚报大厦）七楼701号房</w:t>
      </w:r>
    </w:p>
    <w:p>
      <w:pPr>
        <w:spacing w:line="360" w:lineRule="auto"/>
        <w:jc w:val="both"/>
        <w:outlineLvl w:val="9"/>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六、公告期限</w:t>
      </w:r>
      <w:bookmarkEnd w:id="26"/>
      <w:bookmarkEnd w:id="27"/>
      <w:bookmarkEnd w:id="28"/>
      <w:bookmarkEnd w:id="29"/>
    </w:p>
    <w:p>
      <w:pPr>
        <w:spacing w:line="240" w:lineRule="auto"/>
        <w:ind w:firstLine="480" w:firstLineChars="200"/>
        <w:rPr>
          <w:rFonts w:hint="eastAsia" w:ascii="宋体" w:hAnsi="宋体" w:eastAsia="宋体" w:cs="宋体"/>
          <w:b w:val="0"/>
          <w:bCs w:val="0"/>
          <w:i w:val="0"/>
          <w:iCs w:val="0"/>
          <w:kern w:val="2"/>
          <w:sz w:val="24"/>
          <w:szCs w:val="24"/>
          <w:highlight w:val="none"/>
          <w:u w:val="none"/>
          <w:lang w:val="en-US" w:eastAsia="zh-CN" w:bidi="ar-SA"/>
        </w:rPr>
      </w:pPr>
      <w:r>
        <w:rPr>
          <w:rFonts w:hint="eastAsia" w:ascii="宋体" w:hAnsi="宋体" w:eastAsia="宋体" w:cs="宋体"/>
          <w:b w:val="0"/>
          <w:bCs w:val="0"/>
          <w:i w:val="0"/>
          <w:iCs w:val="0"/>
          <w:kern w:val="2"/>
          <w:sz w:val="24"/>
          <w:szCs w:val="24"/>
          <w:highlight w:val="none"/>
          <w:u w:val="none"/>
          <w:lang w:val="en-US" w:eastAsia="zh-CN" w:bidi="ar-SA"/>
        </w:rPr>
        <w:t>自本公告发布之日起3个工作日。</w:t>
      </w:r>
    </w:p>
    <w:p>
      <w:pPr>
        <w:spacing w:line="360" w:lineRule="auto"/>
        <w:jc w:val="both"/>
        <w:outlineLvl w:val="9"/>
        <w:rPr>
          <w:rFonts w:hint="eastAsia" w:ascii="宋体" w:hAnsi="宋体" w:eastAsia="宋体" w:cs="宋体"/>
          <w:b w:val="0"/>
          <w:bCs w:val="0"/>
          <w:i w:val="0"/>
          <w:iCs w:val="0"/>
          <w:kern w:val="2"/>
          <w:sz w:val="24"/>
          <w:szCs w:val="24"/>
          <w:highlight w:val="none"/>
          <w:u w:val="none"/>
          <w:lang w:val="en-US" w:eastAsia="zh-CN" w:bidi="ar-SA"/>
        </w:rPr>
      </w:pPr>
      <w:bookmarkStart w:id="30" w:name="_Toc35393635"/>
      <w:bookmarkStart w:id="31" w:name="_Toc35393804"/>
      <w:r>
        <w:rPr>
          <w:rFonts w:hint="eastAsia" w:ascii="宋体" w:hAnsi="宋体" w:eastAsia="宋体" w:cs="宋体"/>
          <w:b/>
          <w:bCs w:val="0"/>
          <w:sz w:val="28"/>
          <w:szCs w:val="28"/>
          <w:highlight w:val="none"/>
          <w:lang w:val="en-US" w:eastAsia="zh-CN"/>
        </w:rPr>
        <w:t>七、其他补充事宜</w:t>
      </w:r>
      <w:bookmarkEnd w:id="30"/>
      <w:bookmarkEnd w:id="31"/>
      <w:r>
        <w:rPr>
          <w:rFonts w:hint="eastAsia" w:ascii="宋体" w:hAnsi="宋体" w:eastAsia="宋体" w:cs="宋体"/>
          <w:b/>
          <w:bCs w:val="0"/>
          <w:sz w:val="28"/>
          <w:szCs w:val="28"/>
          <w:highlight w:val="none"/>
          <w:lang w:val="en-US" w:eastAsia="zh-CN"/>
        </w:rPr>
        <w:t xml:space="preserve">  </w:t>
      </w:r>
      <w:r>
        <w:rPr>
          <w:rFonts w:hint="eastAsia" w:ascii="宋体" w:hAnsi="宋体" w:eastAsia="宋体" w:cs="宋体"/>
          <w:b w:val="0"/>
          <w:bCs w:val="0"/>
          <w:i w:val="0"/>
          <w:iCs w:val="0"/>
          <w:kern w:val="2"/>
          <w:sz w:val="24"/>
          <w:szCs w:val="24"/>
          <w:highlight w:val="none"/>
          <w:u w:val="none"/>
          <w:lang w:val="en-US" w:eastAsia="zh-CN" w:bidi="ar-SA"/>
        </w:rPr>
        <w:t>无</w:t>
      </w:r>
    </w:p>
    <w:p>
      <w:pPr>
        <w:spacing w:line="240" w:lineRule="auto"/>
        <w:jc w:val="both"/>
        <w:outlineLvl w:val="9"/>
        <w:rPr>
          <w:rFonts w:hint="eastAsia" w:ascii="宋体" w:hAnsi="宋体" w:eastAsia="宋体" w:cs="宋体"/>
          <w:b/>
          <w:bCs w:val="0"/>
          <w:sz w:val="28"/>
          <w:szCs w:val="28"/>
          <w:highlight w:val="none"/>
        </w:rPr>
      </w:pPr>
      <w:bookmarkStart w:id="32" w:name="_Toc35393636"/>
      <w:bookmarkStart w:id="33" w:name="_Toc28359095"/>
      <w:bookmarkStart w:id="34" w:name="_Toc28359018"/>
      <w:bookmarkStart w:id="35" w:name="_Toc35393805"/>
      <w:r>
        <w:rPr>
          <w:rFonts w:hint="eastAsia" w:ascii="宋体" w:hAnsi="宋体" w:eastAsia="宋体" w:cs="宋体"/>
          <w:b/>
          <w:bCs w:val="0"/>
          <w:sz w:val="28"/>
          <w:szCs w:val="28"/>
          <w:highlight w:val="none"/>
        </w:rPr>
        <w:t>八、凡对本次采购提出询问，请按以下方式联系。</w:t>
      </w:r>
      <w:bookmarkEnd w:id="32"/>
      <w:bookmarkEnd w:id="33"/>
      <w:bookmarkEnd w:id="34"/>
      <w:bookmarkEnd w:id="35"/>
    </w:p>
    <w:p>
      <w:pPr>
        <w:pStyle w:val="5"/>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i w:val="0"/>
          <w:iCs w:val="0"/>
          <w:color w:val="auto"/>
          <w:sz w:val="24"/>
          <w:szCs w:val="24"/>
          <w:highlight w:val="none"/>
        </w:rPr>
      </w:pPr>
      <w:bookmarkStart w:id="36" w:name="_Toc28359096"/>
      <w:bookmarkStart w:id="37" w:name="_Toc35393637"/>
      <w:bookmarkStart w:id="38" w:name="_Toc35393806"/>
      <w:bookmarkStart w:id="39" w:name="_Toc28359019"/>
      <w:r>
        <w:rPr>
          <w:rFonts w:hint="eastAsia" w:ascii="宋体" w:hAnsi="宋体" w:eastAsia="宋体" w:cs="宋体"/>
          <w:b w:val="0"/>
          <w:i w:val="0"/>
          <w:iCs w:val="0"/>
          <w:color w:val="auto"/>
          <w:sz w:val="24"/>
          <w:szCs w:val="24"/>
          <w:highlight w:val="none"/>
        </w:rPr>
        <w:t>1.采购人信息</w:t>
      </w:r>
      <w:bookmarkEnd w:id="36"/>
      <w:bookmarkEnd w:id="37"/>
      <w:bookmarkEnd w:id="38"/>
      <w:bookmarkEnd w:id="39"/>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名    称：</w:t>
      </w:r>
      <w:r>
        <w:rPr>
          <w:rFonts w:hint="eastAsia" w:ascii="宋体" w:hAnsi="宋体" w:eastAsia="宋体" w:cs="宋体"/>
          <w:i w:val="0"/>
          <w:iCs w:val="0"/>
          <w:color w:val="auto"/>
          <w:sz w:val="24"/>
          <w:szCs w:val="24"/>
          <w:highlight w:val="none"/>
          <w:u w:val="single"/>
        </w:rPr>
        <w:t>新疆维吾尔自治区文化和旅游厅</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lang w:val="en-US" w:eastAsia="zh-CN"/>
        </w:rPr>
        <w:t>乌鲁木齐市金银路143号</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i w:val="0"/>
          <w:iCs w:val="0"/>
          <w:color w:val="auto"/>
          <w:sz w:val="24"/>
          <w:szCs w:val="24"/>
          <w:highlight w:val="none"/>
        </w:rPr>
        <w:t>联</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系</w:t>
      </w:r>
      <w:r>
        <w:rPr>
          <w:rFonts w:hint="eastAsia" w:ascii="宋体" w:hAnsi="宋体" w:eastAsia="宋体" w:cs="宋体"/>
          <w:i w:val="0"/>
          <w:iCs w:val="0"/>
          <w:color w:val="auto"/>
          <w:sz w:val="24"/>
          <w:szCs w:val="24"/>
          <w:highlight w:val="none"/>
          <w:lang w:val="en-US" w:eastAsia="zh-CN"/>
        </w:rPr>
        <w:t xml:space="preserve"> 人：</w:t>
      </w:r>
      <w:r>
        <w:rPr>
          <w:rFonts w:hint="eastAsia" w:ascii="宋体" w:hAnsi="宋体" w:eastAsia="宋体" w:cs="宋体"/>
          <w:i w:val="0"/>
          <w:iCs w:val="0"/>
          <w:color w:val="auto"/>
          <w:sz w:val="24"/>
          <w:szCs w:val="24"/>
          <w:highlight w:val="none"/>
          <w:u w:val="single"/>
          <w:lang w:val="en-US" w:eastAsia="zh-CN"/>
        </w:rPr>
        <w:t xml:space="preserve">高玉红       </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联系方式：</w:t>
      </w:r>
      <w:r>
        <w:rPr>
          <w:rFonts w:hint="eastAsia" w:ascii="宋体" w:hAnsi="宋体" w:eastAsia="宋体" w:cs="宋体"/>
          <w:i w:val="0"/>
          <w:iCs w:val="0"/>
          <w:color w:val="auto"/>
          <w:sz w:val="24"/>
          <w:szCs w:val="24"/>
          <w:highlight w:val="none"/>
          <w:u w:val="single"/>
          <w:lang w:val="en-US" w:eastAsia="zh-CN"/>
        </w:rPr>
        <w:t>18997901995</w:t>
      </w:r>
    </w:p>
    <w:p>
      <w:pPr>
        <w:pStyle w:val="5"/>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i w:val="0"/>
          <w:iCs w:val="0"/>
          <w:color w:val="auto"/>
          <w:sz w:val="24"/>
          <w:szCs w:val="24"/>
          <w:highlight w:val="none"/>
        </w:rPr>
      </w:pPr>
      <w:bookmarkStart w:id="40" w:name="_Toc35393807"/>
      <w:bookmarkStart w:id="41" w:name="_Toc28359020"/>
      <w:bookmarkStart w:id="42" w:name="_Toc35393638"/>
      <w:bookmarkStart w:id="43" w:name="_Toc28359097"/>
      <w:r>
        <w:rPr>
          <w:rFonts w:hint="eastAsia" w:ascii="宋体" w:hAnsi="宋体" w:eastAsia="宋体" w:cs="宋体"/>
          <w:b w:val="0"/>
          <w:i w:val="0"/>
          <w:iCs w:val="0"/>
          <w:color w:val="auto"/>
          <w:sz w:val="24"/>
          <w:szCs w:val="24"/>
          <w:highlight w:val="none"/>
        </w:rPr>
        <w:t>2.采购代理机构信息</w:t>
      </w:r>
      <w:bookmarkEnd w:id="40"/>
      <w:bookmarkEnd w:id="41"/>
      <w:bookmarkEnd w:id="42"/>
      <w:bookmarkEnd w:id="43"/>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名    称：</w:t>
      </w:r>
      <w:r>
        <w:rPr>
          <w:rFonts w:hint="eastAsia" w:ascii="宋体" w:hAnsi="宋体" w:eastAsia="宋体" w:cs="宋体"/>
          <w:i w:val="0"/>
          <w:iCs w:val="0"/>
          <w:color w:val="auto"/>
          <w:sz w:val="24"/>
          <w:szCs w:val="24"/>
          <w:highlight w:val="none"/>
          <w:u w:val="single"/>
        </w:rPr>
        <w:t>新疆信尔成工程项目管理有限公司</w:t>
      </w:r>
      <w:r>
        <w:rPr>
          <w:rFonts w:hint="eastAsia" w:ascii="宋体" w:hAnsi="宋体" w:eastAsia="宋体" w:cs="宋体"/>
          <w:i w:val="0"/>
          <w:iCs w:val="0"/>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1919" w:leftChars="228" w:hanging="1440" w:hangingChars="6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新疆乌鲁木齐市水磨沟区会展大道1119号大成尔雅第一栋第十八层A座1806号房</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i w:val="0"/>
          <w:iCs w:val="0"/>
          <w:color w:val="auto"/>
          <w:sz w:val="24"/>
          <w:szCs w:val="24"/>
          <w:highlight w:val="none"/>
        </w:rPr>
        <w:t>联</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系</w:t>
      </w:r>
      <w:r>
        <w:rPr>
          <w:rFonts w:hint="eastAsia" w:ascii="宋体" w:hAnsi="宋体" w:eastAsia="宋体" w:cs="宋体"/>
          <w:i w:val="0"/>
          <w:iCs w:val="0"/>
          <w:color w:val="auto"/>
          <w:sz w:val="24"/>
          <w:szCs w:val="24"/>
          <w:highlight w:val="none"/>
          <w:lang w:val="en-US" w:eastAsia="zh-CN"/>
        </w:rPr>
        <w:t xml:space="preserve"> 人：</w:t>
      </w:r>
      <w:r>
        <w:rPr>
          <w:rFonts w:hint="eastAsia" w:ascii="宋体" w:hAnsi="宋体" w:eastAsia="宋体" w:cs="宋体"/>
          <w:i w:val="0"/>
          <w:iCs w:val="0"/>
          <w:color w:val="auto"/>
          <w:sz w:val="24"/>
          <w:szCs w:val="24"/>
          <w:highlight w:val="none"/>
          <w:u w:val="single"/>
          <w:lang w:val="en-US" w:eastAsia="zh-CN"/>
        </w:rPr>
        <w:t xml:space="preserve">张玉伟      </w:t>
      </w:r>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联系方式：</w:t>
      </w:r>
      <w:r>
        <w:rPr>
          <w:rFonts w:hint="eastAsia" w:ascii="宋体" w:hAnsi="宋体" w:eastAsia="宋体" w:cs="宋体"/>
          <w:i w:val="0"/>
          <w:iCs w:val="0"/>
          <w:color w:val="auto"/>
          <w:sz w:val="24"/>
          <w:szCs w:val="24"/>
          <w:highlight w:val="none"/>
          <w:u w:val="single"/>
        </w:rPr>
        <w:t xml:space="preserve">18140907575 </w:t>
      </w:r>
    </w:p>
    <w:p>
      <w:pPr>
        <w:pStyle w:val="5"/>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3.项目联系方式</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项目联系人：</w:t>
      </w:r>
      <w:r>
        <w:rPr>
          <w:rFonts w:hint="eastAsia" w:ascii="宋体" w:hAnsi="宋体" w:eastAsia="宋体" w:cs="宋体"/>
          <w:i w:val="0"/>
          <w:iCs w:val="0"/>
          <w:color w:val="auto"/>
          <w:sz w:val="24"/>
          <w:szCs w:val="24"/>
          <w:highlight w:val="none"/>
          <w:u w:val="single"/>
          <w:lang w:val="en-US" w:eastAsia="zh-CN"/>
        </w:rPr>
        <w:t xml:space="preserve">张玉伟    </w:t>
      </w:r>
    </w:p>
    <w:p>
      <w:pPr>
        <w:spacing w:line="360" w:lineRule="auto"/>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联系方式</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18140907575</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 xml:space="preserve"> </w:t>
      </w:r>
    </w:p>
    <w:p>
      <w:pPr>
        <w:rPr>
          <w:rFonts w:hint="eastAsia" w:ascii="宋体" w:hAnsi="宋体" w:eastAsia="宋体" w:cs="宋体"/>
          <w:w w:val="95"/>
          <w:highlight w:val="none"/>
        </w:rPr>
      </w:pPr>
      <w:bookmarkStart w:id="44" w:name="_Toc25669"/>
      <w:r>
        <w:rPr>
          <w:rFonts w:hint="eastAsia" w:ascii="宋体" w:hAnsi="宋体" w:eastAsia="宋体" w:cs="宋体"/>
          <w:w w:val="95"/>
          <w:highlight w:val="none"/>
        </w:rPr>
        <w:br w:type="page"/>
      </w:r>
    </w:p>
    <w:p>
      <w:pPr>
        <w:pStyle w:val="4"/>
        <w:rPr>
          <w:rFonts w:hint="eastAsia" w:ascii="宋体" w:hAnsi="宋体" w:eastAsia="宋体" w:cs="宋体"/>
          <w:highlight w:val="none"/>
        </w:rPr>
      </w:pPr>
      <w:r>
        <w:rPr>
          <w:rFonts w:hint="eastAsia" w:ascii="宋体" w:hAnsi="宋体" w:eastAsia="宋体" w:cs="宋体"/>
          <w:w w:val="95"/>
          <w:highlight w:val="none"/>
        </w:rPr>
        <w:t>第</w:t>
      </w:r>
      <w:bookmarkStart w:id="45" w:name="bookmark2"/>
      <w:bookmarkEnd w:id="45"/>
      <w:bookmarkStart w:id="46" w:name="（一）供应商须知前附表"/>
      <w:bookmarkEnd w:id="46"/>
      <w:r>
        <w:rPr>
          <w:rFonts w:hint="eastAsia" w:ascii="宋体" w:hAnsi="宋体" w:eastAsia="宋体" w:cs="宋体"/>
          <w:w w:val="95"/>
          <w:highlight w:val="none"/>
        </w:rPr>
        <w:t>二章</w:t>
      </w:r>
      <w:r>
        <w:rPr>
          <w:rFonts w:hint="eastAsia" w:ascii="宋体" w:hAnsi="宋体" w:eastAsia="宋体" w:cs="宋体"/>
          <w:w w:val="95"/>
          <w:highlight w:val="none"/>
        </w:rPr>
        <w:tab/>
      </w:r>
      <w:r>
        <w:rPr>
          <w:rFonts w:hint="eastAsia" w:ascii="宋体" w:hAnsi="宋体" w:eastAsia="宋体" w:cs="宋体"/>
          <w:highlight w:val="none"/>
        </w:rPr>
        <w:t>供应商须知及前附表</w:t>
      </w:r>
      <w:bookmarkEnd w:id="44"/>
    </w:p>
    <w:p>
      <w:pPr>
        <w:pStyle w:val="5"/>
        <w:rPr>
          <w:rFonts w:hint="eastAsia" w:ascii="宋体" w:hAnsi="宋体" w:eastAsia="宋体" w:cs="宋体"/>
          <w:highlight w:val="none"/>
        </w:rPr>
      </w:pPr>
      <w:bookmarkStart w:id="47" w:name="_Toc7077"/>
      <w:r>
        <w:rPr>
          <w:rFonts w:hint="eastAsia" w:ascii="宋体" w:hAnsi="宋体" w:eastAsia="宋体" w:cs="宋体"/>
          <w:highlight w:val="none"/>
        </w:rPr>
        <w:t>（一）供应商须知前附表</w:t>
      </w:r>
      <w:bookmarkEnd w:id="47"/>
    </w:p>
    <w:tbl>
      <w:tblPr>
        <w:tblStyle w:val="17"/>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672" w:type="dxa"/>
            <w:noWrap w:val="0"/>
            <w:vAlign w:val="top"/>
          </w:tcPr>
          <w:p>
            <w:pPr>
              <w:pStyle w:val="23"/>
              <w:kinsoku w:val="0"/>
              <w:overflowPunct w:val="0"/>
              <w:spacing w:before="74"/>
              <w:ind w:left="130"/>
              <w:rPr>
                <w:rFonts w:hint="eastAsia" w:ascii="宋体" w:hAnsi="宋体" w:eastAsia="宋体" w:cs="宋体"/>
                <w:highlight w:val="none"/>
              </w:rPr>
            </w:pPr>
            <w:r>
              <w:rPr>
                <w:rFonts w:hint="eastAsia" w:ascii="宋体" w:hAnsi="宋体" w:eastAsia="宋体" w:cs="宋体"/>
                <w:b/>
                <w:bCs/>
                <w:highlight w:val="none"/>
              </w:rPr>
              <w:t>序号</w:t>
            </w:r>
          </w:p>
        </w:tc>
        <w:tc>
          <w:tcPr>
            <w:tcW w:w="8475" w:type="dxa"/>
            <w:tcBorders>
              <w:bottom w:val="single" w:color="auto" w:sz="4" w:space="0"/>
            </w:tcBorders>
            <w:noWrap w:val="0"/>
            <w:vAlign w:val="top"/>
          </w:tcPr>
          <w:p>
            <w:pPr>
              <w:pStyle w:val="23"/>
              <w:tabs>
                <w:tab w:val="left" w:pos="627"/>
                <w:tab w:val="left" w:pos="1227"/>
                <w:tab w:val="left" w:pos="1832"/>
              </w:tabs>
              <w:kinsoku w:val="0"/>
              <w:overflowPunct w:val="0"/>
              <w:spacing w:before="74"/>
              <w:ind w:left="25"/>
              <w:jc w:val="center"/>
              <w:rPr>
                <w:rFonts w:hint="eastAsia" w:ascii="宋体" w:hAnsi="宋体" w:eastAsia="宋体" w:cs="宋体"/>
                <w:highlight w:val="none"/>
              </w:rPr>
            </w:pPr>
            <w:r>
              <w:rPr>
                <w:rFonts w:hint="eastAsia" w:ascii="宋体" w:hAnsi="宋体" w:eastAsia="宋体" w:cs="宋体"/>
                <w:b/>
                <w:bCs/>
                <w:w w:val="95"/>
                <w:highlight w:val="none"/>
              </w:rPr>
              <w:t>内</w:t>
            </w:r>
            <w:r>
              <w:rPr>
                <w:rFonts w:hint="eastAsia" w:ascii="宋体" w:hAnsi="宋体" w:eastAsia="宋体" w:cs="宋体"/>
                <w:b/>
                <w:bCs/>
                <w:w w:val="95"/>
                <w:highlight w:val="none"/>
              </w:rPr>
              <w:tab/>
            </w:r>
            <w:r>
              <w:rPr>
                <w:rFonts w:hint="eastAsia" w:ascii="宋体" w:hAnsi="宋体" w:eastAsia="宋体" w:cs="宋体"/>
                <w:b/>
                <w:bCs/>
                <w:w w:val="95"/>
                <w:highlight w:val="none"/>
              </w:rPr>
              <w:t>容</w:t>
            </w:r>
            <w:r>
              <w:rPr>
                <w:rFonts w:hint="eastAsia" w:ascii="宋体" w:hAnsi="宋体" w:eastAsia="宋体" w:cs="宋体"/>
                <w:b/>
                <w:bCs/>
                <w:w w:val="95"/>
                <w:highlight w:val="none"/>
              </w:rPr>
              <w:tab/>
            </w:r>
            <w:r>
              <w:rPr>
                <w:rFonts w:hint="eastAsia" w:ascii="宋体" w:hAnsi="宋体" w:eastAsia="宋体" w:cs="宋体"/>
                <w:b/>
                <w:bCs/>
                <w:w w:val="95"/>
                <w:highlight w:val="none"/>
              </w:rPr>
              <w:t>规</w:t>
            </w:r>
            <w:r>
              <w:rPr>
                <w:rFonts w:hint="eastAsia" w:ascii="宋体" w:hAnsi="宋体" w:eastAsia="宋体" w:cs="宋体"/>
                <w:b/>
                <w:bCs/>
                <w:w w:val="95"/>
                <w:highlight w:val="none"/>
              </w:rPr>
              <w:tab/>
            </w:r>
            <w:r>
              <w:rPr>
                <w:rFonts w:hint="eastAsia" w:ascii="宋体" w:hAnsi="宋体" w:eastAsia="宋体" w:cs="宋体"/>
                <w:b/>
                <w:bCs/>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672" w:type="dxa"/>
            <w:vMerge w:val="restart"/>
            <w:noWrap w:val="0"/>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1</w:t>
            </w:r>
          </w:p>
        </w:tc>
        <w:tc>
          <w:tcPr>
            <w:tcW w:w="8475" w:type="dxa"/>
            <w:tcBorders>
              <w:bottom w:val="nil"/>
            </w:tcBorders>
            <w:noWrap w:val="0"/>
            <w:vAlign w:val="top"/>
          </w:tcPr>
          <w:p>
            <w:pPr>
              <w:pStyle w:val="23"/>
              <w:kinsoku w:val="0"/>
              <w:overflowPunct w:val="0"/>
              <w:spacing w:before="57"/>
              <w:ind w:left="102"/>
              <w:rPr>
                <w:rFonts w:hint="eastAsia" w:ascii="宋体" w:hAnsi="宋体" w:eastAsia="宋体" w:cs="宋体"/>
                <w:b/>
                <w:bCs/>
                <w:highlight w:val="none"/>
              </w:rPr>
            </w:pPr>
            <w:r>
              <w:rPr>
                <w:rFonts w:hint="eastAsia" w:ascii="宋体" w:hAnsi="宋体" w:eastAsia="宋体" w:cs="宋体"/>
                <w:b/>
                <w:bCs/>
                <w:highlight w:val="none"/>
              </w:rPr>
              <w:t>采 购 人：</w:t>
            </w:r>
            <w:r>
              <w:rPr>
                <w:rFonts w:hint="eastAsia" w:ascii="宋体" w:hAnsi="宋体" w:eastAsia="宋体" w:cs="宋体"/>
                <w:i w:val="0"/>
                <w:iCs w:val="0"/>
                <w:color w:val="auto"/>
                <w:sz w:val="24"/>
                <w:szCs w:val="24"/>
                <w:highlight w:val="none"/>
                <w:u w:val="none"/>
              </w:rPr>
              <w:t>新疆维吾尔自治区文化和旅游厅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672" w:type="dxa"/>
            <w:vMerge w:val="continue"/>
            <w:noWrap w:val="0"/>
            <w:vAlign w:val="center"/>
          </w:tcPr>
          <w:p>
            <w:pPr>
              <w:pStyle w:val="23"/>
              <w:kinsoku w:val="0"/>
              <w:overflowPunct w:val="0"/>
              <w:spacing w:before="57"/>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3"/>
              <w:kinsoku w:val="0"/>
              <w:overflowPunct w:val="0"/>
              <w:spacing w:before="57"/>
              <w:ind w:left="102"/>
              <w:rPr>
                <w:rFonts w:hint="eastAsia" w:ascii="宋体" w:hAnsi="宋体" w:eastAsia="宋体" w:cs="宋体"/>
                <w:b/>
                <w:bCs/>
                <w:highlight w:val="none"/>
                <w:u w:val="none"/>
              </w:rPr>
            </w:pPr>
            <w:r>
              <w:rPr>
                <w:rFonts w:hint="eastAsia" w:ascii="宋体" w:hAnsi="宋体" w:eastAsia="宋体" w:cs="宋体"/>
                <w:b/>
                <w:bCs/>
                <w:highlight w:val="none"/>
                <w:u w:val="none"/>
              </w:rPr>
              <w:t>地</w:t>
            </w:r>
            <w:r>
              <w:rPr>
                <w:rFonts w:hint="eastAsia" w:ascii="宋体" w:hAnsi="宋体" w:eastAsia="宋体" w:cs="宋体"/>
                <w:b/>
                <w:bCs/>
                <w:highlight w:val="none"/>
                <w:u w:val="none"/>
              </w:rPr>
              <w:tab/>
            </w:r>
            <w:r>
              <w:rPr>
                <w:rFonts w:hint="eastAsia" w:ascii="宋体" w:hAnsi="宋体" w:eastAsia="宋体" w:cs="宋体"/>
                <w:b/>
                <w:bCs/>
                <w:highlight w:val="none"/>
                <w:u w:val="none"/>
              </w:rPr>
              <w:t xml:space="preserve">   址：</w:t>
            </w:r>
            <w:r>
              <w:rPr>
                <w:rFonts w:hint="eastAsia" w:ascii="宋体" w:hAnsi="宋体" w:eastAsia="宋体" w:cs="宋体"/>
                <w:bCs/>
                <w:szCs w:val="21"/>
                <w:highlight w:val="none"/>
                <w:u w:val="none"/>
              </w:rPr>
              <w:t xml:space="preserve">乌鲁木齐市金银路143号  </w:t>
            </w:r>
          </w:p>
          <w:p>
            <w:pPr>
              <w:pStyle w:val="23"/>
              <w:kinsoku w:val="0"/>
              <w:overflowPunct w:val="0"/>
              <w:spacing w:before="57"/>
              <w:ind w:left="102"/>
              <w:rPr>
                <w:rFonts w:hint="eastAsia" w:ascii="宋体" w:hAnsi="宋体" w:eastAsia="宋体" w:cs="宋体"/>
                <w:color w:val="FF0000"/>
                <w:highlight w:val="none"/>
                <w:u w:val="none"/>
                <w:lang w:val="en-US"/>
              </w:rPr>
            </w:pPr>
            <w:r>
              <w:rPr>
                <w:rFonts w:hint="eastAsia" w:ascii="宋体" w:hAnsi="宋体" w:eastAsia="宋体" w:cs="宋体"/>
                <w:b/>
                <w:bCs/>
                <w:highlight w:val="none"/>
                <w:u w:val="none"/>
              </w:rPr>
              <w:t>联 系 人：</w:t>
            </w:r>
            <w:r>
              <w:rPr>
                <w:rFonts w:hint="eastAsia" w:ascii="宋体" w:hAnsi="宋体" w:eastAsia="宋体" w:cs="宋体"/>
                <w:b w:val="0"/>
                <w:bCs w:val="0"/>
                <w:highlight w:val="none"/>
                <w:u w:val="none"/>
                <w:lang w:val="en-US" w:eastAsia="zh-CN"/>
              </w:rPr>
              <w:t>高玉红</w:t>
            </w:r>
            <w:r>
              <w:rPr>
                <w:rFonts w:hint="eastAsia" w:ascii="宋体" w:hAnsi="宋体" w:eastAsia="宋体" w:cs="宋体"/>
                <w:b w:val="0"/>
                <w:bCs w:val="0"/>
                <w:i w:val="0"/>
                <w:iCs w:val="0"/>
                <w:color w:val="auto"/>
                <w:sz w:val="24"/>
                <w:szCs w:val="24"/>
                <w:highlight w:val="none"/>
                <w:u w:val="none"/>
                <w:lang w:val="en-US" w:eastAsia="zh-CN"/>
              </w:rPr>
              <w:t xml:space="preserve"> </w:t>
            </w:r>
          </w:p>
          <w:p>
            <w:pPr>
              <w:pStyle w:val="23"/>
              <w:kinsoku w:val="0"/>
              <w:overflowPunct w:val="0"/>
              <w:spacing w:before="57"/>
              <w:ind w:left="102"/>
              <w:rPr>
                <w:rFonts w:hint="eastAsia" w:ascii="宋体" w:hAnsi="宋体" w:eastAsia="宋体" w:cs="宋体"/>
                <w:b/>
                <w:bCs/>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672" w:type="dxa"/>
            <w:vMerge w:val="continue"/>
            <w:noWrap w:val="0"/>
            <w:vAlign w:val="center"/>
          </w:tcPr>
          <w:p>
            <w:pPr>
              <w:pStyle w:val="23"/>
              <w:tabs>
                <w:tab w:val="left" w:pos="824"/>
              </w:tabs>
              <w:kinsoku w:val="0"/>
              <w:overflowPunct w:val="0"/>
              <w:spacing w:before="16" w:line="320" w:lineRule="auto"/>
              <w:ind w:left="102" w:right="4066"/>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3"/>
              <w:kinsoku w:val="0"/>
              <w:overflowPunct w:val="0"/>
              <w:spacing w:before="57"/>
              <w:ind w:left="102"/>
              <w:rPr>
                <w:rFonts w:hint="eastAsia" w:ascii="宋体" w:hAnsi="宋体" w:eastAsia="宋体" w:cs="宋体"/>
                <w:b/>
                <w:bCs/>
                <w:highlight w:val="none"/>
                <w:u w:val="none"/>
                <w:lang w:val="en-US" w:eastAsia="zh-CN"/>
              </w:rPr>
            </w:pPr>
            <w:r>
              <w:rPr>
                <w:rFonts w:hint="eastAsia" w:ascii="宋体" w:hAnsi="宋体" w:eastAsia="宋体" w:cs="宋体"/>
                <w:b/>
                <w:bCs/>
                <w:highlight w:val="none"/>
                <w:u w:val="none"/>
              </w:rPr>
              <w:t>联系电话：</w:t>
            </w:r>
            <w:r>
              <w:rPr>
                <w:rFonts w:hint="eastAsia" w:ascii="宋体" w:hAnsi="宋体" w:eastAsia="宋体" w:cs="宋体"/>
                <w:i w:val="0"/>
                <w:iCs w:val="0"/>
                <w:color w:val="auto"/>
                <w:sz w:val="24"/>
                <w:szCs w:val="24"/>
                <w:highlight w:val="none"/>
                <w:u w:val="none"/>
                <w:lang w:val="en-US" w:eastAsia="zh-CN"/>
              </w:rPr>
              <w:t>18997901995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noWrap w:val="0"/>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2</w:t>
            </w:r>
          </w:p>
        </w:tc>
        <w:tc>
          <w:tcPr>
            <w:tcW w:w="8475" w:type="dxa"/>
            <w:tcBorders>
              <w:bottom w:val="nil"/>
            </w:tcBorders>
            <w:noWrap w:val="0"/>
            <w:vAlign w:val="top"/>
          </w:tcPr>
          <w:p>
            <w:pPr>
              <w:pStyle w:val="23"/>
              <w:kinsoku w:val="0"/>
              <w:overflowPunct w:val="0"/>
              <w:spacing w:before="56"/>
              <w:ind w:left="102"/>
              <w:rPr>
                <w:rFonts w:hint="eastAsia" w:ascii="宋体" w:hAnsi="宋体" w:eastAsia="宋体" w:cs="宋体"/>
                <w:b/>
                <w:bCs/>
                <w:highlight w:val="none"/>
              </w:rPr>
            </w:pPr>
            <w:r>
              <w:rPr>
                <w:rFonts w:hint="eastAsia" w:ascii="宋体" w:hAnsi="宋体" w:eastAsia="宋体" w:cs="宋体"/>
                <w:b/>
                <w:bCs/>
                <w:highlight w:val="none"/>
              </w:rPr>
              <w:t>代理机构：</w:t>
            </w:r>
            <w:r>
              <w:rPr>
                <w:rFonts w:hint="eastAsia" w:ascii="宋体" w:hAnsi="宋体" w:eastAsia="宋体" w:cs="宋体"/>
                <w:highlight w:val="none"/>
              </w:rPr>
              <w:t>新疆信尔成工程项目管理有限公司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exact"/>
          <w:jc w:val="center"/>
        </w:trPr>
        <w:tc>
          <w:tcPr>
            <w:tcW w:w="672" w:type="dxa"/>
            <w:vMerge w:val="continue"/>
            <w:noWrap w:val="0"/>
            <w:vAlign w:val="center"/>
          </w:tcPr>
          <w:p>
            <w:pPr>
              <w:pStyle w:val="23"/>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3"/>
              <w:kinsoku w:val="0"/>
              <w:overflowPunct w:val="0"/>
              <w:spacing w:before="56"/>
              <w:ind w:left="102"/>
              <w:rPr>
                <w:rFonts w:hint="eastAsia" w:ascii="宋体" w:hAnsi="宋体" w:eastAsia="宋体" w:cs="宋体"/>
                <w:b/>
                <w:bCs/>
                <w:highlight w:val="none"/>
              </w:rPr>
            </w:pPr>
            <w:r>
              <w:rPr>
                <w:rFonts w:hint="eastAsia" w:ascii="宋体" w:hAnsi="宋体" w:eastAsia="宋体" w:cs="宋体"/>
                <w:b/>
                <w:bCs/>
                <w:highlight w:val="none"/>
              </w:rPr>
              <w:t xml:space="preserve">地  </w:t>
            </w:r>
            <w:r>
              <w:rPr>
                <w:rFonts w:hint="eastAsia" w:ascii="宋体" w:hAnsi="宋体" w:eastAsia="宋体" w:cs="宋体"/>
                <w:b/>
                <w:bCs/>
                <w:highlight w:val="none"/>
              </w:rPr>
              <w:tab/>
            </w:r>
            <w:r>
              <w:rPr>
                <w:rFonts w:hint="eastAsia" w:ascii="宋体" w:hAnsi="宋体" w:eastAsia="宋体" w:cs="宋体"/>
                <w:b/>
                <w:bCs/>
                <w:highlight w:val="none"/>
              </w:rPr>
              <w:t>址：</w:t>
            </w:r>
            <w:r>
              <w:rPr>
                <w:rFonts w:hint="eastAsia" w:ascii="宋体" w:hAnsi="宋体" w:eastAsia="宋体" w:cs="宋体"/>
                <w:highlight w:val="none"/>
              </w:rPr>
              <w:t>新疆维吾尔自治区乌鲁木齐市水磨沟区会展大道1119号大成尔雅生活广场第一栋第十八层A座1806号房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3"/>
              <w:tabs>
                <w:tab w:val="left" w:pos="824"/>
              </w:tabs>
              <w:kinsoku w:val="0"/>
              <w:overflowPunct w:val="0"/>
              <w:spacing w:before="1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3"/>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联 系 人：</w:t>
            </w:r>
            <w:r>
              <w:rPr>
                <w:rFonts w:hint="eastAsia" w:ascii="宋体" w:hAnsi="宋体" w:eastAsia="宋体" w:cs="宋体"/>
                <w:highlight w:val="none"/>
                <w:lang w:eastAsia="zh-CN"/>
              </w:rPr>
              <w:t>张玉伟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3"/>
              <w:kinsoku w:val="0"/>
              <w:overflowPunct w:val="0"/>
              <w:spacing w:before="16"/>
              <w:ind w:left="102"/>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3"/>
              <w:kinsoku w:val="0"/>
              <w:overflowPunct w:val="0"/>
              <w:spacing w:before="56"/>
              <w:ind w:left="102"/>
              <w:rPr>
                <w:rFonts w:hint="eastAsia" w:ascii="宋体" w:hAnsi="宋体" w:eastAsia="宋体" w:cs="宋体"/>
                <w:b/>
                <w:bCs/>
                <w:highlight w:val="none"/>
                <w:lang w:val="en-US" w:eastAsia="zh-CN"/>
              </w:rPr>
            </w:pPr>
            <w:r>
              <w:rPr>
                <w:rFonts w:hint="eastAsia" w:ascii="宋体" w:hAnsi="宋体" w:eastAsia="宋体" w:cs="宋体"/>
                <w:b/>
                <w:bCs/>
                <w:highlight w:val="none"/>
              </w:rPr>
              <w:t>联系电话：</w:t>
            </w:r>
            <w:r>
              <w:rPr>
                <w:rFonts w:hint="eastAsia" w:ascii="宋体" w:hAnsi="宋体" w:eastAsia="宋体" w:cs="宋体"/>
                <w:highlight w:val="none"/>
              </w:rPr>
              <w:t>1</w:t>
            </w:r>
            <w:r>
              <w:rPr>
                <w:rFonts w:hint="eastAsia" w:ascii="宋体" w:hAnsi="宋体" w:eastAsia="宋体" w:cs="宋体"/>
                <w:highlight w:val="none"/>
                <w:lang w:val="en-US" w:eastAsia="zh-CN"/>
              </w:rPr>
              <w:t>8140907575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noWrap w:val="0"/>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3</w:t>
            </w:r>
          </w:p>
        </w:tc>
        <w:tc>
          <w:tcPr>
            <w:tcW w:w="8475" w:type="dxa"/>
            <w:tcBorders>
              <w:bottom w:val="nil"/>
            </w:tcBorders>
            <w:noWrap w:val="0"/>
            <w:vAlign w:val="top"/>
          </w:tcPr>
          <w:p>
            <w:pPr>
              <w:pStyle w:val="23"/>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exact"/>
          <w:jc w:val="center"/>
        </w:trPr>
        <w:tc>
          <w:tcPr>
            <w:tcW w:w="672" w:type="dxa"/>
            <w:vMerge w:val="continue"/>
            <w:noWrap w:val="0"/>
            <w:vAlign w:val="center"/>
          </w:tcPr>
          <w:p>
            <w:pPr>
              <w:pStyle w:val="23"/>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3"/>
              <w:kinsoku w:val="0"/>
              <w:overflowPunct w:val="0"/>
              <w:spacing w:before="16" w:line="320" w:lineRule="auto"/>
              <w:ind w:left="1704" w:leftChars="48" w:right="77" w:hanging="1603" w:hangingChars="700"/>
              <w:rPr>
                <w:rFonts w:hint="eastAsia" w:ascii="宋体" w:hAnsi="宋体" w:eastAsia="宋体" w:cs="宋体"/>
                <w:b/>
                <w:bCs/>
                <w:w w:val="95"/>
                <w:highlight w:val="none"/>
              </w:rPr>
            </w:pPr>
            <w:r>
              <w:rPr>
                <w:rFonts w:hint="eastAsia" w:ascii="宋体" w:hAnsi="宋体" w:eastAsia="宋体" w:cs="宋体"/>
                <w:b/>
                <w:bCs/>
                <w:w w:val="95"/>
                <w:highlight w:val="none"/>
              </w:rPr>
              <w:t>1、项目名称：</w:t>
            </w:r>
            <w:r>
              <w:rPr>
                <w:rFonts w:hint="eastAsia" w:ascii="宋体" w:hAnsi="宋体" w:eastAsia="宋体" w:cs="宋体"/>
                <w:b w:val="0"/>
                <w:bCs w:val="0"/>
                <w:i w:val="0"/>
                <w:iCs w:val="0"/>
                <w:sz w:val="24"/>
                <w:szCs w:val="24"/>
                <w:highlight w:val="yellow"/>
                <w:lang w:val="en-US" w:eastAsia="zh-CN"/>
              </w:rPr>
              <w:t>2021-2022年度新疆旅游统计数据管理及分析研究项目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72" w:type="dxa"/>
            <w:vMerge w:val="continue"/>
            <w:noWrap w:val="0"/>
            <w:vAlign w:val="center"/>
          </w:tcPr>
          <w:p>
            <w:pPr>
              <w:pStyle w:val="23"/>
              <w:kinsoku w:val="0"/>
              <w:overflowPunct w:val="0"/>
              <w:spacing w:before="16" w:line="320" w:lineRule="auto"/>
              <w:ind w:left="102" w:right="77"/>
              <w:jc w:val="center"/>
              <w:rPr>
                <w:rFonts w:hint="eastAsia" w:ascii="宋体" w:hAnsi="宋体" w:eastAsia="宋体" w:cs="宋体"/>
                <w:highlight w:val="none"/>
              </w:rPr>
            </w:pPr>
          </w:p>
        </w:tc>
        <w:tc>
          <w:tcPr>
            <w:tcW w:w="8475" w:type="dxa"/>
            <w:tcBorders>
              <w:top w:val="nil"/>
            </w:tcBorders>
            <w:noWrap w:val="0"/>
            <w:vAlign w:val="top"/>
          </w:tcPr>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2、磋商文件编号：</w:t>
            </w:r>
            <w:r>
              <w:rPr>
                <w:rFonts w:hint="eastAsia" w:ascii="宋体" w:hAnsi="宋体" w:eastAsia="宋体" w:cs="宋体"/>
                <w:b w:val="0"/>
                <w:bCs w:val="0"/>
                <w:i w:val="0"/>
                <w:iCs w:val="0"/>
                <w:sz w:val="24"/>
                <w:szCs w:val="24"/>
                <w:highlight w:val="none"/>
                <w:lang w:val="en-US" w:eastAsia="zh-CN"/>
              </w:rPr>
              <w:t>XJXECWLMQ-2021030</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672" w:type="dxa"/>
            <w:noWrap w:val="0"/>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4</w:t>
            </w:r>
          </w:p>
        </w:tc>
        <w:tc>
          <w:tcPr>
            <w:tcW w:w="8475" w:type="dxa"/>
            <w:noWrap w:val="0"/>
            <w:vAlign w:val="top"/>
          </w:tcPr>
          <w:p>
            <w:pPr>
              <w:pStyle w:val="23"/>
              <w:kinsoku w:val="0"/>
              <w:overflowPunct w:val="0"/>
              <w:spacing w:line="276" w:lineRule="exact"/>
              <w:ind w:left="102"/>
              <w:rPr>
                <w:rFonts w:hint="eastAsia" w:ascii="宋体" w:hAnsi="宋体" w:eastAsia="宋体" w:cs="宋体"/>
                <w:highlight w:val="none"/>
              </w:rPr>
            </w:pPr>
            <w:r>
              <w:rPr>
                <w:rFonts w:hint="eastAsia" w:ascii="宋体" w:hAnsi="宋体" w:eastAsia="宋体" w:cs="宋体"/>
                <w:b/>
                <w:bCs/>
                <w:highlight w:val="none"/>
              </w:rPr>
              <w:t>磋商内容：</w:t>
            </w:r>
          </w:p>
          <w:p>
            <w:pPr>
              <w:pStyle w:val="23"/>
              <w:kinsoku w:val="0"/>
              <w:overflowPunct w:val="0"/>
              <w:spacing w:before="8"/>
              <w:ind w:left="102"/>
              <w:rPr>
                <w:rFonts w:hint="eastAsia" w:ascii="宋体" w:hAnsi="宋体" w:eastAsia="宋体" w:cs="宋体"/>
                <w:highlight w:val="none"/>
              </w:rPr>
            </w:pPr>
            <w:r>
              <w:rPr>
                <w:rFonts w:hint="eastAsia" w:ascii="宋体" w:hAnsi="宋体" w:eastAsia="宋体" w:cs="宋体"/>
                <w:b/>
                <w:bCs/>
                <w:highlight w:val="none"/>
              </w:rPr>
              <w:t>1、主要磋商内容：</w:t>
            </w:r>
          </w:p>
          <w:p>
            <w:pPr>
              <w:pStyle w:val="23"/>
              <w:kinsoku w:val="0"/>
              <w:overflowPunct w:val="0"/>
              <w:spacing w:before="16"/>
              <w:ind w:left="102"/>
              <w:rPr>
                <w:rFonts w:hint="eastAsia" w:ascii="宋体" w:hAnsi="宋体" w:eastAsia="宋体" w:cs="宋体"/>
                <w:b w:val="0"/>
                <w:bCs w:val="0"/>
                <w:i w:val="0"/>
                <w:iCs w:val="0"/>
                <w:sz w:val="24"/>
                <w:szCs w:val="24"/>
                <w:highlight w:val="yellow"/>
                <w:lang w:val="en-US" w:eastAsia="zh-CN"/>
              </w:rPr>
            </w:pPr>
            <w:r>
              <w:rPr>
                <w:rFonts w:hint="eastAsia" w:ascii="宋体" w:hAnsi="宋体" w:eastAsia="宋体" w:cs="宋体"/>
                <w:b w:val="0"/>
                <w:bCs w:val="0"/>
                <w:i w:val="0"/>
                <w:iCs w:val="0"/>
                <w:sz w:val="24"/>
                <w:szCs w:val="24"/>
                <w:highlight w:val="yellow"/>
                <w:lang w:val="en-US" w:eastAsia="zh-CN"/>
              </w:rPr>
              <w:t>为确保新疆旅游统计数据的客观性、真实性、科学性和统计工作的专业性、系统性和有效性，特委托第三方专业机构开展新疆旅游统计数据管理、新疆旅游统计及分析研究服务、新疆旅游经济运行分析及其配套服务（详细说明见磋商文件）。</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2、服务期限：</w:t>
            </w:r>
            <w:r>
              <w:rPr>
                <w:rFonts w:hint="eastAsia" w:ascii="宋体" w:hAnsi="宋体" w:eastAsia="宋体" w:cs="宋体"/>
                <w:b w:val="0"/>
                <w:bCs w:val="0"/>
                <w:i w:val="0"/>
                <w:iCs w:val="0"/>
                <w:sz w:val="24"/>
                <w:szCs w:val="24"/>
                <w:highlight w:val="yellow"/>
                <w:lang w:val="en-US" w:eastAsia="zh-CN"/>
              </w:rPr>
              <w:t>服务周期为12个月（具体时间以合同约定为准）。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72" w:type="dxa"/>
            <w:noWrap w:val="0"/>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5</w:t>
            </w:r>
          </w:p>
        </w:tc>
        <w:tc>
          <w:tcPr>
            <w:tcW w:w="8475" w:type="dxa"/>
            <w:noWrap w:val="0"/>
            <w:vAlign w:val="top"/>
          </w:tcPr>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b/>
                <w:bCs/>
                <w:highlight w:val="none"/>
              </w:rPr>
              <w:t>项目采购预算：</w:t>
            </w:r>
            <w:r>
              <w:rPr>
                <w:rFonts w:hint="eastAsia" w:ascii="宋体" w:hAnsi="宋体" w:eastAsia="宋体" w:cs="宋体"/>
                <w:highlight w:val="yellow"/>
                <w:lang w:val="en-US" w:eastAsia="zh-CN"/>
              </w:rPr>
              <w:t>7500</w:t>
            </w:r>
            <w:r>
              <w:rPr>
                <w:rFonts w:hint="eastAsia" w:ascii="宋体" w:hAnsi="宋体" w:eastAsia="宋体" w:cs="宋体"/>
                <w:highlight w:val="yellow"/>
              </w:rPr>
              <w:t>00.00</w:t>
            </w:r>
            <w:r>
              <w:rPr>
                <w:rFonts w:hint="eastAsia" w:ascii="宋体" w:hAnsi="宋体" w:eastAsia="宋体" w:cs="宋体"/>
                <w:spacing w:val="-65"/>
                <w:highlight w:val="yellow"/>
              </w:rPr>
              <w:t xml:space="preserve"> </w:t>
            </w:r>
            <w:r>
              <w:rPr>
                <w:rFonts w:hint="eastAsia" w:ascii="宋体" w:hAnsi="宋体" w:eastAsia="宋体" w:cs="宋体"/>
                <w:highlight w:val="none"/>
              </w:rPr>
              <w:t>元（大写</w:t>
            </w:r>
            <w:r>
              <w:rPr>
                <w:rFonts w:hint="eastAsia" w:ascii="宋体" w:hAnsi="宋体" w:eastAsia="宋体" w:cs="宋体"/>
                <w:highlight w:val="none"/>
                <w:lang w:val="en-US" w:eastAsia="zh-CN"/>
              </w:rPr>
              <w:t>:柒拾伍万</w:t>
            </w:r>
            <w:r>
              <w:rPr>
                <w:rFonts w:hint="eastAsia" w:ascii="宋体" w:hAnsi="宋体" w:eastAsia="宋体" w:cs="宋体"/>
                <w:highlight w:val="none"/>
              </w:rPr>
              <w:t>元整）</w:t>
            </w:r>
          </w:p>
          <w:p>
            <w:pPr>
              <w:pStyle w:val="23"/>
              <w:kinsoku w:val="0"/>
              <w:overflowPunct w:val="0"/>
              <w:spacing w:line="276" w:lineRule="exact"/>
              <w:ind w:left="102"/>
              <w:rPr>
                <w:rFonts w:hint="eastAsia" w:ascii="宋体" w:hAnsi="宋体" w:eastAsia="宋体" w:cs="宋体"/>
                <w:b/>
                <w:bCs/>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供应商的投标报价超过采购预算的按无效投标处理。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jc w:val="center"/>
        </w:trPr>
        <w:tc>
          <w:tcPr>
            <w:tcW w:w="672" w:type="dxa"/>
            <w:noWrap w:val="0"/>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6</w:t>
            </w:r>
          </w:p>
        </w:tc>
        <w:tc>
          <w:tcPr>
            <w:tcW w:w="8475" w:type="dxa"/>
            <w:noWrap w:val="0"/>
            <w:vAlign w:val="top"/>
          </w:tcPr>
          <w:p>
            <w:pPr>
              <w:pStyle w:val="23"/>
              <w:kinsoku w:val="0"/>
              <w:overflowPunct w:val="0"/>
              <w:spacing w:before="122"/>
              <w:ind w:left="102"/>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资格要求：</w:t>
            </w:r>
          </w:p>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（1）符合《中华人民共和国政府采购法》第二十二条的相关规定；</w:t>
            </w:r>
          </w:p>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（2）在中华人民共和国境内注册的法人、其他组织或者自然人，且有承担本项目能力的供应商；</w:t>
            </w:r>
          </w:p>
          <w:p>
            <w:pPr>
              <w:pStyle w:val="23"/>
              <w:kinsoku w:val="0"/>
              <w:overflowPunct w:val="0"/>
              <w:spacing w:before="122"/>
              <w:ind w:left="102"/>
              <w:rPr>
                <w:rFonts w:hint="eastAsia" w:ascii="宋体" w:hAnsi="宋体" w:eastAsia="宋体" w:cs="宋体"/>
                <w:i w:val="0"/>
                <w:iCs w:val="0"/>
                <w:sz w:val="24"/>
                <w:szCs w:val="24"/>
                <w:highlight w:val="none"/>
                <w:u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r>
              <w:rPr>
                <w:rFonts w:hint="eastAsia" w:ascii="宋体" w:hAnsi="宋体" w:eastAsia="宋体" w:cs="宋体"/>
                <w:highlight w:val="none"/>
              </w:rPr>
              <w:t>；</w:t>
            </w:r>
          </w:p>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）具有良好的商业信誉和健全的财务会计制度以及内部管理机制，且有较强的风险控制能力；</w:t>
            </w:r>
          </w:p>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）财务稳健，资本充足率、不良贷款率、拨备覆盖率、流动性比例等指标达到监管标准；</w:t>
            </w:r>
          </w:p>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）经信用中国（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"http://www.creditchina.gov.xn--cn)(www-0o3fu69vuosgftrgs7o1fgtwb3oo.ccgp.gov.xn--cn)-x33e002goji19wjl4almi/" \t "_blank" </w:instrText>
            </w:r>
            <w:r>
              <w:rPr>
                <w:rFonts w:hint="eastAsia" w:ascii="宋体" w:hAnsi="宋体" w:eastAsia="宋体" w:cs="宋体"/>
                <w:highlight w:val="none"/>
              </w:rPr>
              <w:fldChar w:fldCharType="separate"/>
            </w:r>
            <w:r>
              <w:rPr>
                <w:rFonts w:hint="eastAsia" w:ascii="宋体" w:hAnsi="宋体" w:eastAsia="宋体" w:cs="宋体"/>
                <w:highlight w:val="none"/>
              </w:rPr>
              <w:t>www.creditchina.gov.cn）、中国政府采购网（www.ccgp.gov.cn）等渠道查询后</w:t>
            </w:r>
            <w:r>
              <w:rPr>
                <w:rFonts w:hint="eastAsia" w:ascii="宋体" w:hAnsi="宋体" w:eastAsia="宋体" w:cs="宋体"/>
                <w:highlight w:val="none"/>
              </w:rPr>
              <w:fldChar w:fldCharType="end"/>
            </w:r>
            <w:r>
              <w:rPr>
                <w:rFonts w:hint="eastAsia" w:ascii="宋体" w:hAnsi="宋体" w:eastAsia="宋体" w:cs="宋体"/>
                <w:highlight w:val="none"/>
              </w:rPr>
              <w:t>，列入失信被执行人、重大税收违法案件当事人名单、政府采购严重违法失信行为记录名单的，取消投标资格。（提供“信用中国”网站无任何不良记录的查询截图并加盖公章）；</w:t>
            </w:r>
          </w:p>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）为充分保证完善的售后服务，本项目不接受联合体投标。</w:t>
            </w:r>
          </w:p>
          <w:p>
            <w:pPr>
              <w:pStyle w:val="23"/>
              <w:kinsoku w:val="0"/>
              <w:overflowPunct w:val="0"/>
              <w:spacing w:before="122"/>
              <w:ind w:left="102"/>
              <w:rPr>
                <w:rFonts w:hint="eastAsia" w:ascii="宋体" w:hAnsi="宋体" w:eastAsia="宋体" w:cs="宋体"/>
                <w:b/>
                <w:bCs/>
                <w:w w:val="95"/>
                <w:highlight w:val="none"/>
              </w:rPr>
            </w:pPr>
            <w:r>
              <w:rPr>
                <w:rFonts w:hint="eastAsia" w:ascii="宋体" w:hAnsi="宋体" w:eastAsia="宋体" w:cs="宋体"/>
                <w:b/>
                <w:bCs/>
                <w:w w:val="95"/>
                <w:highlight w:val="none"/>
              </w:rPr>
              <w:t>★</w:t>
            </w:r>
            <w:r>
              <w:rPr>
                <w:rFonts w:hint="eastAsia" w:ascii="宋体" w:hAnsi="宋体" w:eastAsia="宋体" w:cs="宋体"/>
                <w:b/>
                <w:bCs/>
                <w:spacing w:val="1"/>
                <w:w w:val="95"/>
                <w:highlight w:val="none"/>
              </w:rPr>
              <w:t>2</w:t>
            </w:r>
            <w:r>
              <w:rPr>
                <w:rFonts w:hint="eastAsia" w:ascii="宋体" w:hAnsi="宋体" w:eastAsia="宋体" w:cs="宋体"/>
                <w:b/>
                <w:bCs/>
                <w:w w:val="95"/>
                <w:highlight w:val="none"/>
              </w:rPr>
              <w:t>.响应人</w:t>
            </w:r>
            <w:r>
              <w:rPr>
                <w:rFonts w:hint="eastAsia" w:ascii="宋体" w:hAnsi="宋体" w:eastAsia="宋体" w:cs="宋体"/>
                <w:b/>
                <w:bCs/>
                <w:spacing w:val="1"/>
                <w:w w:val="95"/>
                <w:highlight w:val="none"/>
              </w:rPr>
              <w:t>须</w:t>
            </w:r>
            <w:r>
              <w:rPr>
                <w:rFonts w:hint="eastAsia" w:ascii="宋体" w:hAnsi="宋体" w:eastAsia="宋体" w:cs="宋体"/>
                <w:b/>
                <w:bCs/>
                <w:w w:val="95"/>
                <w:highlight w:val="none"/>
              </w:rPr>
              <w:t>递交</w:t>
            </w:r>
            <w:r>
              <w:rPr>
                <w:rFonts w:hint="eastAsia" w:ascii="宋体" w:hAnsi="宋体" w:eastAsia="宋体" w:cs="宋体"/>
                <w:b/>
                <w:bCs/>
                <w:spacing w:val="1"/>
                <w:w w:val="95"/>
                <w:highlight w:val="none"/>
              </w:rPr>
              <w:t>备</w:t>
            </w:r>
            <w:r>
              <w:rPr>
                <w:rFonts w:hint="eastAsia" w:ascii="宋体" w:hAnsi="宋体" w:eastAsia="宋体" w:cs="宋体"/>
                <w:b/>
                <w:bCs/>
                <w:w w:val="95"/>
                <w:highlight w:val="none"/>
              </w:rPr>
              <w:t>查</w:t>
            </w:r>
            <w:r>
              <w:rPr>
                <w:rFonts w:hint="eastAsia" w:ascii="宋体" w:hAnsi="宋体" w:eastAsia="宋体" w:cs="宋体"/>
                <w:b/>
                <w:bCs/>
                <w:spacing w:val="1"/>
                <w:w w:val="95"/>
                <w:highlight w:val="none"/>
              </w:rPr>
              <w:t>的</w:t>
            </w:r>
            <w:r>
              <w:rPr>
                <w:rFonts w:hint="eastAsia" w:ascii="宋体" w:hAnsi="宋体" w:eastAsia="宋体" w:cs="宋体"/>
                <w:b/>
                <w:bCs/>
                <w:w w:val="95"/>
                <w:highlight w:val="none"/>
              </w:rPr>
              <w:t>资质</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书原</w:t>
            </w:r>
            <w:r>
              <w:rPr>
                <w:rFonts w:hint="eastAsia" w:ascii="宋体" w:hAnsi="宋体" w:eastAsia="宋体" w:cs="宋体"/>
                <w:b/>
                <w:bCs/>
                <w:spacing w:val="-56"/>
                <w:w w:val="95"/>
                <w:highlight w:val="none"/>
              </w:rPr>
              <w:t>件</w:t>
            </w:r>
            <w:r>
              <w:rPr>
                <w:rFonts w:hint="eastAsia" w:ascii="宋体" w:hAnsi="宋体" w:eastAsia="宋体" w:cs="宋体"/>
                <w:b/>
                <w:bCs/>
                <w:w w:val="95"/>
                <w:highlight w:val="none"/>
              </w:rPr>
              <w:t>（不提供视为无效磋商响应性文件）：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sz w:val="24"/>
                <w:szCs w:val="24"/>
              </w:rPr>
              <w:t>法人授权委托书和被授权人有效身份证（法人直接参加的需出示法人身份</w:t>
            </w:r>
            <w:r>
              <w:rPr>
                <w:rFonts w:hint="eastAsia" w:ascii="宋体" w:hAnsi="宋体" w:eastAsia="宋体" w:cs="宋体"/>
                <w:b/>
                <w:bCs/>
                <w:sz w:val="24"/>
                <w:szCs w:val="24"/>
                <w:lang w:eastAsia="zh-CN"/>
              </w:rPr>
              <w:t>证明及身份</w:t>
            </w:r>
            <w:r>
              <w:rPr>
                <w:rFonts w:hint="eastAsia" w:ascii="宋体" w:hAnsi="宋体" w:eastAsia="宋体" w:cs="宋体"/>
                <w:b/>
                <w:bCs/>
                <w:sz w:val="24"/>
                <w:szCs w:val="24"/>
              </w:rPr>
              <w:t>证原件）</w:t>
            </w:r>
            <w:r>
              <w:rPr>
                <w:rFonts w:hint="eastAsia" w:ascii="宋体" w:hAnsi="宋体" w:eastAsia="宋体" w:cs="宋体"/>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i w:val="0"/>
                <w:iCs w:val="0"/>
                <w:sz w:val="24"/>
                <w:szCs w:val="24"/>
                <w:highlight w:val="none"/>
                <w:u w:val="none"/>
                <w:lang w:eastAsia="zh-CN"/>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sz w:val="24"/>
                <w:szCs w:val="24"/>
                <w:highlight w:val="none"/>
                <w:lang w:eastAsia="zh-CN"/>
              </w:rPr>
              <w:t>供应商为企业法人应提供合法有效的标识有统一社会信用代码的营业执照</w:t>
            </w:r>
            <w:r>
              <w:rPr>
                <w:rFonts w:hint="eastAsia" w:ascii="宋体" w:hAnsi="宋体" w:eastAsia="宋体" w:cs="宋体"/>
                <w:b/>
                <w:bCs/>
                <w:i w:val="0"/>
                <w:iCs w:val="0"/>
                <w:sz w:val="24"/>
                <w:szCs w:val="24"/>
                <w:highlight w:val="none"/>
                <w:lang w:eastAsia="zh-CN"/>
              </w:rPr>
              <w:t>；事业法人应提供事业单位法人证书；其他组织应提供合法登记证明文件</w:t>
            </w:r>
            <w:r>
              <w:rPr>
                <w:rFonts w:hint="eastAsia" w:ascii="宋体" w:hAnsi="宋体" w:eastAsia="宋体" w:cs="宋体"/>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color w:val="auto"/>
                <w:kern w:val="0"/>
                <w:sz w:val="24"/>
                <w:szCs w:val="24"/>
                <w:highlight w:val="none"/>
                <w:lang w:val="zh-CN" w:eastAsia="zh-CN"/>
              </w:rPr>
            </w:pPr>
            <w:r>
              <w:rPr>
                <w:rFonts w:hint="eastAsia" w:ascii="宋体" w:hAnsi="宋体" w:eastAsia="宋体" w:cs="宋体"/>
                <w:b/>
                <w:bCs/>
                <w:i w:val="0"/>
                <w:iCs w:val="0"/>
                <w:sz w:val="24"/>
                <w:szCs w:val="24"/>
                <w:highlight w:val="none"/>
                <w:u w:val="none"/>
                <w:lang w:val="en-US" w:eastAsia="zh-CN"/>
              </w:rPr>
              <w:t>3、</w:t>
            </w:r>
            <w:r>
              <w:rPr>
                <w:rFonts w:hint="eastAsia" w:ascii="宋体" w:hAnsi="宋体" w:eastAsia="宋体" w:cs="宋体"/>
                <w:b/>
                <w:bCs/>
                <w:color w:val="auto"/>
                <w:kern w:val="0"/>
                <w:sz w:val="24"/>
                <w:szCs w:val="24"/>
                <w:highlight w:val="none"/>
                <w:lang w:val="zh-CN" w:eastAsia="zh-CN"/>
              </w:rPr>
              <w:t>供应商</w:t>
            </w:r>
            <w:r>
              <w:rPr>
                <w:rFonts w:hint="eastAsia" w:ascii="宋体" w:hAnsi="宋体" w:eastAsia="宋体" w:cs="宋体"/>
                <w:b/>
                <w:bCs/>
                <w:sz w:val="24"/>
                <w:szCs w:val="24"/>
              </w:rPr>
              <w:t>提供近半年内已缴存的至少一个月的社会保障资金缴存单据或社保机构开具的社会保险参保缴费情况证明，依法不需要缴纳社会保障资金的投标人应提供相关文件证明</w:t>
            </w:r>
            <w:r>
              <w:rPr>
                <w:rFonts w:hint="eastAsia" w:ascii="宋体" w:hAnsi="宋体" w:eastAsia="宋体" w:cs="宋体"/>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right="0" w:rightChars="0"/>
              <w:textAlignment w:val="auto"/>
              <w:rPr>
                <w:rFonts w:hint="eastAsia" w:ascii="宋体" w:hAnsi="宋体" w:eastAsia="宋体" w:cs="宋体"/>
                <w:b/>
                <w:bCs/>
                <w:color w:val="auto"/>
                <w:kern w:val="0"/>
                <w:sz w:val="24"/>
                <w:szCs w:val="24"/>
                <w:highlight w:val="none"/>
                <w:lang w:val="zh-CN" w:eastAsia="zh-CN"/>
              </w:rPr>
            </w:pP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lang w:val="zh-CN" w:eastAsia="zh-CN"/>
              </w:rPr>
              <w:t>2019年或</w:t>
            </w:r>
            <w:r>
              <w:rPr>
                <w:rFonts w:hint="eastAsia" w:ascii="宋体" w:hAnsi="宋体" w:eastAsia="宋体" w:cs="宋体"/>
                <w:b/>
                <w:bCs/>
                <w:color w:val="auto"/>
                <w:kern w:val="0"/>
                <w:sz w:val="24"/>
                <w:szCs w:val="24"/>
                <w:highlight w:val="none"/>
                <w:lang w:val="en-US" w:eastAsia="zh-CN"/>
              </w:rPr>
              <w:t>2020年</w:t>
            </w:r>
            <w:r>
              <w:rPr>
                <w:rFonts w:hint="eastAsia" w:ascii="宋体" w:hAnsi="宋体" w:eastAsia="宋体" w:cs="宋体"/>
                <w:b/>
                <w:bCs/>
                <w:color w:val="auto"/>
                <w:kern w:val="0"/>
                <w:sz w:val="24"/>
                <w:szCs w:val="24"/>
                <w:highlight w:val="none"/>
                <w:lang w:val="zh-CN" w:eastAsia="zh-CN"/>
              </w:rPr>
              <w:t>审计报告（供应商成立不足1年的，提供有关财务报表（不需审计））或基本开户银行出具的资信证明文件；</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lang w:val="zh-CN" w:eastAsia="zh-CN"/>
              </w:rPr>
              <w:t>供应商</w:t>
            </w:r>
            <w:r>
              <w:rPr>
                <w:rFonts w:hint="eastAsia" w:ascii="宋体" w:hAnsi="宋体" w:eastAsia="宋体" w:cs="宋体"/>
                <w:b/>
                <w:bCs/>
                <w:sz w:val="24"/>
                <w:szCs w:val="24"/>
              </w:rPr>
              <w:t>提供近半年内已缴纳的至少一个月的纳税证明或完税证明，纳税证明或完税证明上应有代收机构或税务机关的公章，依法免税的投标人应提供相关文件证明；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color w:val="auto"/>
                <w:kern w:val="0"/>
                <w:sz w:val="24"/>
                <w:szCs w:val="24"/>
                <w:highlight w:val="none"/>
                <w:lang w:val="zh-CN" w:eastAsia="zh-CN"/>
              </w:rPr>
            </w:pP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lang w:val="zh-CN" w:eastAsia="zh-CN"/>
              </w:rPr>
              <w:t>提供保证金缴纳</w:t>
            </w:r>
            <w:r>
              <w:rPr>
                <w:rFonts w:hint="eastAsia" w:ascii="宋体" w:hAnsi="宋体" w:eastAsia="宋体" w:cs="宋体"/>
                <w:b/>
                <w:bCs/>
                <w:color w:val="auto"/>
                <w:kern w:val="0"/>
                <w:sz w:val="24"/>
                <w:szCs w:val="24"/>
                <w:highlight w:val="none"/>
                <w:lang w:val="en-US" w:eastAsia="zh-CN"/>
              </w:rPr>
              <w:t>凭证</w:t>
            </w:r>
            <w:r>
              <w:rPr>
                <w:rFonts w:hint="eastAsia" w:ascii="宋体" w:hAnsi="宋体" w:eastAsia="宋体" w:cs="宋体"/>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kern w:val="0"/>
                <w:sz w:val="24"/>
                <w:szCs w:val="24"/>
                <w:highlight w:val="none"/>
                <w:lang w:val="zh-CN" w:eastAsia="zh-CN" w:bidi="ar-SA"/>
              </w:rPr>
              <w:t>参加政府采购活动前三年内，在经营活动中没有重大违法记录；近三年经营活动中没有重大违法记录声明函原件；</w:t>
            </w:r>
          </w:p>
          <w:p>
            <w:pPr>
              <w:pageBreakBefore w:val="0"/>
              <w:widowControl w:val="0"/>
              <w:kinsoku/>
              <w:wordWrap/>
              <w:overflowPunct/>
              <w:topLinePunct w:val="0"/>
              <w:bidi w:val="0"/>
              <w:snapToGrid/>
              <w:spacing w:line="360" w:lineRule="auto"/>
              <w:textAlignment w:val="auto"/>
              <w:rPr>
                <w:rFonts w:hint="eastAsia" w:ascii="宋体" w:hAnsi="宋体" w:eastAsia="宋体" w:cs="宋体"/>
                <w:i w:val="0"/>
                <w:caps w:val="0"/>
                <w:spacing w:val="0"/>
                <w:sz w:val="21"/>
                <w:szCs w:val="21"/>
                <w:highlight w:val="none"/>
              </w:rPr>
            </w:pPr>
            <w:r>
              <w:rPr>
                <w:rFonts w:hint="eastAsia" w:ascii="宋体" w:hAnsi="宋体" w:eastAsia="宋体" w:cs="宋体"/>
                <w:b/>
                <w:bCs/>
                <w:kern w:val="0"/>
                <w:sz w:val="24"/>
                <w:szCs w:val="24"/>
                <w:highlight w:val="none"/>
                <w:lang w:val="en-US" w:eastAsia="zh-CN" w:bidi="ar-SA"/>
              </w:rPr>
              <w:t>8、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 　</w:t>
            </w:r>
            <w:r>
              <w:rPr>
                <w:rFonts w:hint="eastAsia" w:ascii="宋体" w:hAnsi="宋体" w:eastAsia="宋体" w:cs="宋体"/>
                <w:i w:val="0"/>
                <w:caps w:val="0"/>
                <w:spacing w:val="0"/>
                <w:sz w:val="31"/>
                <w:szCs w:val="31"/>
                <w:highlight w:val="none"/>
                <w:shd w:val="clear" w:fill="FFFFFF"/>
              </w:rPr>
              <w:t>　</w:t>
            </w:r>
          </w:p>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7</w:t>
            </w:r>
          </w:p>
        </w:tc>
        <w:tc>
          <w:tcPr>
            <w:tcW w:w="8475" w:type="dxa"/>
            <w:noWrap w:val="0"/>
            <w:vAlign w:val="top"/>
          </w:tcPr>
          <w:p>
            <w:pPr>
              <w:pStyle w:val="23"/>
              <w:kinsoku w:val="0"/>
              <w:overflowPunct w:val="0"/>
              <w:spacing w:before="122"/>
              <w:ind w:left="102"/>
              <w:rPr>
                <w:rFonts w:hint="eastAsia" w:ascii="宋体" w:hAnsi="宋体" w:eastAsia="宋体" w:cs="宋体"/>
                <w:b/>
                <w:bCs/>
                <w:highlight w:val="none"/>
                <w:lang w:eastAsia="zh-CN"/>
              </w:rPr>
            </w:pPr>
            <w:r>
              <w:rPr>
                <w:rFonts w:hint="eastAsia" w:ascii="宋体" w:hAnsi="宋体" w:eastAsia="宋体" w:cs="宋体"/>
                <w:b/>
                <w:bCs/>
                <w:highlight w:val="none"/>
              </w:rPr>
              <w:t>资格审查方式：</w:t>
            </w:r>
            <w:r>
              <w:rPr>
                <w:rFonts w:hint="eastAsia" w:ascii="宋体" w:hAnsi="宋体" w:eastAsia="宋体" w:cs="宋体"/>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3"/>
              <w:kinsoku w:val="0"/>
              <w:overflowPunct w:val="0"/>
              <w:spacing w:before="73"/>
              <w:ind w:right="14"/>
              <w:jc w:val="center"/>
              <w:rPr>
                <w:rFonts w:hint="eastAsia" w:ascii="宋体" w:hAnsi="宋体" w:eastAsia="宋体" w:cs="宋体"/>
                <w:highlight w:val="none"/>
              </w:rPr>
            </w:pPr>
            <w:r>
              <w:rPr>
                <w:rFonts w:hint="eastAsia" w:ascii="宋体" w:hAnsi="宋体" w:eastAsia="宋体" w:cs="宋体"/>
                <w:highlight w:val="none"/>
              </w:rPr>
              <w:t>8</w:t>
            </w:r>
          </w:p>
        </w:tc>
        <w:tc>
          <w:tcPr>
            <w:tcW w:w="8475" w:type="dxa"/>
            <w:noWrap w:val="0"/>
            <w:vAlign w:val="top"/>
          </w:tcPr>
          <w:p>
            <w:pPr>
              <w:pStyle w:val="23"/>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投标语言：</w:t>
            </w:r>
            <w:r>
              <w:rPr>
                <w:rFonts w:hint="eastAsia" w:ascii="宋体" w:hAnsi="宋体" w:eastAsia="宋体" w:cs="宋体"/>
                <w:highlight w:val="none"/>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3"/>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9</w:t>
            </w:r>
          </w:p>
        </w:tc>
        <w:tc>
          <w:tcPr>
            <w:tcW w:w="8475" w:type="dxa"/>
            <w:noWrap w:val="0"/>
            <w:vAlign w:val="top"/>
          </w:tcPr>
          <w:p>
            <w:pPr>
              <w:pStyle w:val="23"/>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投标有效期：</w:t>
            </w:r>
            <w:r>
              <w:rPr>
                <w:rFonts w:hint="eastAsia" w:ascii="宋体" w:hAnsi="宋体" w:eastAsia="宋体" w:cs="宋体"/>
                <w:highlight w:val="none"/>
                <w:lang w:val="en-US" w:eastAsia="zh-CN"/>
              </w:rPr>
              <w:t>9</w:t>
            </w:r>
            <w:r>
              <w:rPr>
                <w:rFonts w:hint="eastAsia" w:ascii="宋体" w:hAnsi="宋体" w:eastAsia="宋体" w:cs="宋体"/>
                <w:highlight w:val="none"/>
              </w:rPr>
              <w:t>0</w:t>
            </w:r>
            <w:r>
              <w:rPr>
                <w:rFonts w:hint="eastAsia" w:ascii="宋体" w:hAnsi="宋体" w:eastAsia="宋体" w:cs="宋体"/>
                <w:spacing w:val="-75"/>
                <w:highlight w:val="none"/>
              </w:rPr>
              <w:t xml:space="preserve"> </w:t>
            </w:r>
            <w:r>
              <w:rPr>
                <w:rFonts w:hint="eastAsia" w:ascii="宋体" w:hAnsi="宋体" w:eastAsia="宋体" w:cs="宋体"/>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3"/>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10</w:t>
            </w:r>
          </w:p>
        </w:tc>
        <w:tc>
          <w:tcPr>
            <w:tcW w:w="8475" w:type="dxa"/>
            <w:noWrap w:val="0"/>
            <w:vAlign w:val="top"/>
          </w:tcPr>
          <w:p>
            <w:pPr>
              <w:pStyle w:val="23"/>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投标截止时间：</w:t>
            </w:r>
            <w:r>
              <w:rPr>
                <w:rFonts w:hint="eastAsia" w:ascii="宋体" w:hAnsi="宋体" w:eastAsia="宋体" w:cs="宋体"/>
                <w:b/>
                <w:bCs/>
                <w:spacing w:val="-3"/>
                <w:highlight w:val="none"/>
              </w:rPr>
              <w:t xml:space="preserve"> </w:t>
            </w:r>
            <w:r>
              <w:rPr>
                <w:rFonts w:hint="eastAsia" w:ascii="宋体" w:hAnsi="宋体" w:eastAsia="宋体" w:cs="宋体"/>
                <w:highlight w:val="none"/>
              </w:rPr>
              <w:t>20</w:t>
            </w:r>
            <w:r>
              <w:rPr>
                <w:rFonts w:hint="eastAsia" w:ascii="宋体" w:hAnsi="宋体" w:eastAsia="宋体" w:cs="宋体"/>
                <w:highlight w:val="none"/>
                <w:lang w:val="en-US" w:eastAsia="zh-CN"/>
              </w:rPr>
              <w:t>21</w:t>
            </w:r>
            <w:r>
              <w:rPr>
                <w:rFonts w:hint="eastAsia" w:ascii="宋体" w:hAnsi="宋体" w:eastAsia="宋体" w:cs="宋体"/>
                <w:highlight w:val="none"/>
              </w:rPr>
              <w:t>年</w:t>
            </w:r>
            <w:r>
              <w:rPr>
                <w:rFonts w:hint="eastAsia" w:ascii="宋体" w:hAnsi="宋体" w:cs="宋体"/>
                <w:highlight w:val="none"/>
                <w:lang w:val="en-US" w:eastAsia="zh-CN"/>
              </w:rPr>
              <w:t>10</w:t>
            </w:r>
            <w:r>
              <w:rPr>
                <w:rFonts w:hint="eastAsia" w:ascii="宋体" w:hAnsi="宋体" w:eastAsia="宋体" w:cs="宋体"/>
                <w:highlight w:val="none"/>
              </w:rPr>
              <w:t>月</w:t>
            </w:r>
            <w:r>
              <w:rPr>
                <w:rFonts w:hint="eastAsia" w:ascii="宋体" w:hAnsi="宋体" w:cs="宋体"/>
                <w:highlight w:val="yellow"/>
                <w:lang w:val="en-US" w:eastAsia="zh-CN"/>
              </w:rPr>
              <w:t>19</w:t>
            </w:r>
            <w:r>
              <w:rPr>
                <w:rFonts w:hint="eastAsia" w:ascii="宋体" w:hAnsi="宋体" w:eastAsia="宋体" w:cs="宋体"/>
                <w:highlight w:val="none"/>
              </w:rPr>
              <w:t>日1</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0</w:t>
            </w:r>
            <w:r>
              <w:rPr>
                <w:rFonts w:hint="eastAsia" w:ascii="宋体" w:hAnsi="宋体" w:eastAsia="宋体" w:cs="宋体"/>
                <w:highlight w:val="none"/>
              </w:rPr>
              <w:t>0</w:t>
            </w:r>
            <w:r>
              <w:rPr>
                <w:rFonts w:hint="eastAsia" w:ascii="宋体" w:hAnsi="宋体" w:eastAsia="宋体" w:cs="宋体"/>
                <w:spacing w:val="-62"/>
                <w:highlight w:val="none"/>
              </w:rPr>
              <w:t xml:space="preserve"> </w:t>
            </w:r>
            <w:r>
              <w:rPr>
                <w:rFonts w:hint="eastAsia" w:ascii="宋体" w:hAnsi="宋体" w:eastAsia="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3"/>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11</w:t>
            </w:r>
          </w:p>
        </w:tc>
        <w:tc>
          <w:tcPr>
            <w:tcW w:w="8475" w:type="dxa"/>
            <w:noWrap w:val="0"/>
            <w:vAlign w:val="top"/>
          </w:tcPr>
          <w:p>
            <w:pPr>
              <w:pStyle w:val="23"/>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 xml:space="preserve">是否退还磋商响应性文件：否（磋商文件售价 </w:t>
            </w:r>
            <w:r>
              <w:rPr>
                <w:rFonts w:hint="eastAsia" w:ascii="宋体" w:hAnsi="宋体" w:eastAsia="宋体" w:cs="宋体"/>
                <w:b/>
                <w:bCs/>
                <w:highlight w:val="none"/>
                <w:lang w:val="en-US" w:eastAsia="zh-CN"/>
              </w:rPr>
              <w:t>3</w:t>
            </w:r>
            <w:r>
              <w:rPr>
                <w:rFonts w:hint="eastAsia" w:ascii="宋体" w:hAnsi="宋体" w:eastAsia="宋体" w:cs="宋体"/>
                <w:b/>
                <w:bCs/>
                <w:highlight w:val="none"/>
              </w:rPr>
              <w:t>00元 ，</w:t>
            </w:r>
            <w:r>
              <w:rPr>
                <w:rFonts w:hint="eastAsia" w:ascii="宋体" w:hAnsi="宋体" w:eastAsia="宋体" w:cs="宋体"/>
                <w:b/>
                <w:bCs/>
                <w:highlight w:val="none"/>
                <w:lang w:eastAsia="zh-CN"/>
              </w:rPr>
              <w:t>过期不售，售后不退</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3"/>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12</w:t>
            </w:r>
          </w:p>
        </w:tc>
        <w:tc>
          <w:tcPr>
            <w:tcW w:w="8475" w:type="dxa"/>
            <w:noWrap w:val="0"/>
            <w:vAlign w:val="top"/>
          </w:tcPr>
          <w:p>
            <w:pPr>
              <w:pStyle w:val="23"/>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联合投标：</w:t>
            </w:r>
            <w:r>
              <w:rPr>
                <w:rFonts w:hint="eastAsia" w:ascii="宋体" w:hAnsi="宋体" w:eastAsia="宋体" w:cs="宋体"/>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3"/>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13</w:t>
            </w:r>
          </w:p>
        </w:tc>
        <w:tc>
          <w:tcPr>
            <w:tcW w:w="8475" w:type="dxa"/>
            <w:noWrap w:val="0"/>
            <w:vAlign w:val="top"/>
          </w:tcPr>
          <w:p>
            <w:pPr>
              <w:pStyle w:val="23"/>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投标报价货币</w:t>
            </w:r>
            <w:r>
              <w:rPr>
                <w:rFonts w:hint="eastAsia" w:ascii="宋体" w:hAnsi="宋体" w:eastAsia="宋体" w:cs="宋体"/>
                <w:highlight w:val="none"/>
              </w:rPr>
              <w:t>:</w:t>
            </w:r>
            <w:r>
              <w:rPr>
                <w:rFonts w:hint="eastAsia" w:ascii="宋体" w:hAnsi="宋体" w:eastAsia="宋体" w:cs="宋体"/>
                <w:spacing w:val="-15"/>
                <w:highlight w:val="none"/>
              </w:rPr>
              <w:t xml:space="preserve"> </w:t>
            </w:r>
            <w:r>
              <w:rPr>
                <w:rFonts w:hint="eastAsia" w:ascii="宋体" w:hAnsi="宋体" w:eastAsia="宋体" w:cs="宋体"/>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3"/>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14</w:t>
            </w:r>
          </w:p>
        </w:tc>
        <w:tc>
          <w:tcPr>
            <w:tcW w:w="8475" w:type="dxa"/>
            <w:noWrap w:val="0"/>
            <w:vAlign w:val="top"/>
          </w:tcPr>
          <w:p>
            <w:pPr>
              <w:pStyle w:val="23"/>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采购方式：</w:t>
            </w:r>
            <w:r>
              <w:rPr>
                <w:rFonts w:hint="eastAsia" w:ascii="宋体" w:hAnsi="宋体" w:eastAsia="宋体" w:cs="宋体"/>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3"/>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15</w:t>
            </w:r>
          </w:p>
        </w:tc>
        <w:tc>
          <w:tcPr>
            <w:tcW w:w="8475" w:type="dxa"/>
            <w:noWrap w:val="0"/>
            <w:vAlign w:val="top"/>
          </w:tcPr>
          <w:p>
            <w:pPr>
              <w:pStyle w:val="23"/>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评标办法：</w:t>
            </w:r>
            <w:r>
              <w:rPr>
                <w:rFonts w:hint="eastAsia" w:ascii="宋体" w:hAnsi="宋体" w:eastAsia="宋体" w:cs="宋体"/>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672" w:type="dxa"/>
            <w:noWrap w:val="0"/>
            <w:vAlign w:val="center"/>
          </w:tcPr>
          <w:p>
            <w:pPr>
              <w:pStyle w:val="23"/>
              <w:kinsoku w:val="0"/>
              <w:overflowPunct w:val="0"/>
              <w:spacing w:before="201"/>
              <w:jc w:val="center"/>
              <w:rPr>
                <w:rFonts w:hint="eastAsia" w:ascii="宋体" w:hAnsi="宋体" w:eastAsia="宋体" w:cs="宋体"/>
                <w:highlight w:val="none"/>
              </w:rPr>
            </w:pPr>
            <w:r>
              <w:rPr>
                <w:rFonts w:hint="eastAsia" w:ascii="宋体" w:hAnsi="宋体" w:eastAsia="宋体" w:cs="宋体"/>
                <w:highlight w:val="none"/>
              </w:rPr>
              <w:t>16</w:t>
            </w:r>
          </w:p>
        </w:tc>
        <w:tc>
          <w:tcPr>
            <w:tcW w:w="8475" w:type="dxa"/>
            <w:noWrap w:val="0"/>
            <w:vAlign w:val="top"/>
          </w:tcPr>
          <w:p>
            <w:pPr>
              <w:pStyle w:val="23"/>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磋商小组的组建：/</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磋商小组构成：</w:t>
            </w:r>
            <w:r>
              <w:rPr>
                <w:rFonts w:hint="eastAsia" w:ascii="宋体" w:hAnsi="宋体" w:eastAsia="宋体" w:cs="宋体"/>
                <w:highlight w:val="none"/>
              </w:rPr>
              <w:t>共 3人，由</w:t>
            </w:r>
            <w:r>
              <w:rPr>
                <w:rFonts w:hint="eastAsia" w:ascii="宋体" w:hAnsi="宋体" w:eastAsia="宋体" w:cs="宋体"/>
                <w:highlight w:val="none"/>
                <w:lang w:val="en-US" w:eastAsia="zh-CN"/>
              </w:rPr>
              <w:t>采购人</w:t>
            </w:r>
            <w:r>
              <w:rPr>
                <w:rFonts w:hint="eastAsia" w:ascii="宋体" w:hAnsi="宋体" w:eastAsia="宋体" w:cs="宋体"/>
                <w:highlight w:val="none"/>
                <w:lang w:eastAsia="zh-CN"/>
              </w:rPr>
              <w:t>专家</w:t>
            </w:r>
            <w:r>
              <w:rPr>
                <w:rFonts w:hint="eastAsia" w:ascii="宋体" w:hAnsi="宋体" w:eastAsia="宋体" w:cs="宋体"/>
                <w:highlight w:val="none"/>
              </w:rPr>
              <w:t>代表与技术、经济等方面的专家组成。</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磋商小组确定方式：</w:t>
            </w:r>
            <w:r>
              <w:rPr>
                <w:rFonts w:hint="eastAsia" w:ascii="宋体" w:hAnsi="宋体" w:eastAsia="宋体" w:cs="宋体"/>
                <w:highlight w:val="none"/>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3"/>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17</w:t>
            </w:r>
          </w:p>
        </w:tc>
        <w:tc>
          <w:tcPr>
            <w:tcW w:w="8475" w:type="dxa"/>
            <w:noWrap w:val="0"/>
            <w:vAlign w:val="top"/>
          </w:tcPr>
          <w:p>
            <w:pPr>
              <w:pStyle w:val="23"/>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分包（转让）：</w:t>
            </w:r>
            <w:r>
              <w:rPr>
                <w:rFonts w:hint="eastAsia" w:ascii="宋体" w:hAnsi="宋体" w:eastAsia="宋体" w:cs="宋体"/>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3"/>
              <w:kinsoku w:val="0"/>
              <w:overflowPunct w:val="0"/>
              <w:jc w:val="center"/>
              <w:rPr>
                <w:rFonts w:hint="eastAsia" w:ascii="宋体" w:hAnsi="宋体" w:eastAsia="宋体" w:cs="宋体"/>
                <w:highlight w:val="none"/>
              </w:rPr>
            </w:pPr>
            <w:r>
              <w:rPr>
                <w:rFonts w:hint="eastAsia" w:ascii="宋体" w:hAnsi="宋体" w:eastAsia="宋体" w:cs="宋体"/>
                <w:highlight w:val="none"/>
              </w:rPr>
              <w:t>18</w:t>
            </w:r>
          </w:p>
        </w:tc>
        <w:tc>
          <w:tcPr>
            <w:tcW w:w="8475" w:type="dxa"/>
            <w:noWrap w:val="0"/>
            <w:vAlign w:val="top"/>
          </w:tcPr>
          <w:p>
            <w:pPr>
              <w:pStyle w:val="23"/>
              <w:kinsoku w:val="0"/>
              <w:overflowPunct w:val="0"/>
              <w:spacing w:before="55"/>
              <w:ind w:left="102"/>
              <w:rPr>
                <w:rFonts w:hint="eastAsia" w:ascii="宋体" w:hAnsi="宋体" w:eastAsia="宋体" w:cs="宋体"/>
                <w:highlight w:val="none"/>
              </w:rPr>
            </w:pPr>
            <w:r>
              <w:rPr>
                <w:rFonts w:hint="eastAsia" w:ascii="宋体" w:hAnsi="宋体" w:eastAsia="宋体" w:cs="宋体"/>
                <w:b/>
                <w:bCs/>
                <w:highlight w:val="none"/>
              </w:rPr>
              <w:t>考察现场、磋商前答疑会：</w:t>
            </w:r>
            <w:r>
              <w:rPr>
                <w:rFonts w:hint="eastAsia" w:ascii="宋体" w:hAnsi="宋体" w:eastAsia="宋体" w:cs="宋体"/>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3"/>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19</w:t>
            </w:r>
          </w:p>
        </w:tc>
        <w:tc>
          <w:tcPr>
            <w:tcW w:w="8475" w:type="dxa"/>
            <w:noWrap w:val="0"/>
            <w:vAlign w:val="top"/>
          </w:tcPr>
          <w:p>
            <w:pPr>
              <w:pStyle w:val="23"/>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构成竞争性磋商文件的其他文件：</w:t>
            </w:r>
            <w:r>
              <w:rPr>
                <w:rFonts w:hint="eastAsia" w:ascii="宋体" w:hAnsi="宋体" w:eastAsia="宋体" w:cs="宋体"/>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3"/>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20</w:t>
            </w:r>
          </w:p>
        </w:tc>
        <w:tc>
          <w:tcPr>
            <w:tcW w:w="8475" w:type="dxa"/>
            <w:noWrap w:val="0"/>
            <w:vAlign w:val="top"/>
          </w:tcPr>
          <w:p>
            <w:pPr>
              <w:pStyle w:val="23"/>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w:t>
            </w:r>
          </w:p>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eastAsia="宋体" w:cs="宋体"/>
                <w:kern w:val="0"/>
                <w:sz w:val="24"/>
                <w:szCs w:val="24"/>
                <w:highlight w:val="none"/>
                <w:lang w:eastAsia="zh-CN"/>
              </w:rPr>
              <w:t>，</w:t>
            </w:r>
            <w:r>
              <w:rPr>
                <w:rFonts w:hint="eastAsia" w:ascii="宋体" w:hAnsi="宋体" w:eastAsia="宋体" w:cs="宋体"/>
                <w:color w:val="auto"/>
                <w:sz w:val="24"/>
                <w:highlight w:val="none"/>
              </w:rPr>
              <w:t>均应从基本账户转出</w:t>
            </w:r>
            <w:r>
              <w:rPr>
                <w:rFonts w:hint="eastAsia" w:ascii="宋体" w:hAnsi="宋体" w:eastAsia="宋体" w:cs="宋体"/>
                <w:color w:val="auto"/>
                <w:sz w:val="24"/>
                <w:highlight w:val="none"/>
                <w:lang w:eastAsia="zh-CN"/>
              </w:rPr>
              <w:t>。</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eastAsia="宋体" w:cs="宋体"/>
                <w:kern w:val="0"/>
                <w:sz w:val="24"/>
                <w:szCs w:val="24"/>
                <w:highlight w:val="none"/>
                <w:lang w:val="en-US" w:eastAsia="zh-CN"/>
              </w:rPr>
              <w:t>15000</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lang w:val="en-US" w:eastAsia="zh-CN"/>
              </w:rPr>
              <w:t>壹万伍仟</w:t>
            </w:r>
            <w:r>
              <w:rPr>
                <w:rFonts w:hint="eastAsia" w:ascii="宋体" w:hAnsi="宋体" w:eastAsia="宋体" w:cs="宋体"/>
                <w:kern w:val="0"/>
                <w:sz w:val="24"/>
                <w:szCs w:val="24"/>
                <w:highlight w:val="none"/>
              </w:rPr>
              <w:t>圆整）</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投标保证金必须在开标前一天缴纳至以下账号：</w:t>
            </w:r>
          </w:p>
          <w:p>
            <w:pPr>
              <w:pStyle w:val="23"/>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单位名称：新疆信尔成工程项目管理有限公司</w:t>
            </w:r>
          </w:p>
          <w:p>
            <w:pPr>
              <w:pStyle w:val="23"/>
              <w:spacing w:before="132" w:line="345" w:lineRule="auto"/>
              <w:ind w:right="152"/>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开户银行：中国工商银行股份有限公司乌鲁木齐长春路支行</w:t>
            </w:r>
          </w:p>
          <w:p>
            <w:pPr>
              <w:pStyle w:val="23"/>
              <w:spacing w:line="343" w:lineRule="auto"/>
              <w:ind w:right="1952"/>
              <w:rPr>
                <w:rFonts w:hint="eastAsia" w:ascii="宋体" w:hAnsi="宋体" w:eastAsia="宋体" w:cs="宋体"/>
                <w:color w:val="auto"/>
                <w:sz w:val="24"/>
                <w:highlight w:val="none"/>
              </w:rPr>
            </w:pPr>
            <w:r>
              <w:rPr>
                <w:rFonts w:hint="eastAsia" w:ascii="宋体" w:hAnsi="宋体" w:eastAsia="宋体" w:cs="宋体"/>
                <w:color w:val="auto"/>
                <w:sz w:val="24"/>
                <w:highlight w:val="none"/>
              </w:rPr>
              <w:t>银行账号：3002 0301 0910 0074 747 行号：102881003011</w:t>
            </w:r>
          </w:p>
          <w:p>
            <w:pPr>
              <w:rPr>
                <w:rFonts w:hint="eastAsia" w:ascii="宋体" w:hAnsi="宋体" w:eastAsia="宋体" w:cs="宋体"/>
                <w:b/>
                <w:bCs/>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3"/>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21</w:t>
            </w:r>
          </w:p>
        </w:tc>
        <w:tc>
          <w:tcPr>
            <w:tcW w:w="8475" w:type="dxa"/>
            <w:noWrap w:val="0"/>
            <w:vAlign w:val="top"/>
          </w:tcPr>
          <w:p>
            <w:pPr>
              <w:pStyle w:val="23"/>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投标保证金退还：</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未中标供应商的投标保证金，在中标结果公示期满后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标代理机构退还。</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中标供应商的投标保证金，在签订合同后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个工作日内由招标代理机构</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退还。</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如供应商有下列情形之一的，投标保证金不予退还</w:t>
            </w:r>
            <w:r>
              <w:rPr>
                <w:rFonts w:hint="eastAsia" w:ascii="宋体" w:hAnsi="宋体" w:eastAsia="宋体" w:cs="宋体"/>
                <w:highlight w:val="none"/>
              </w:rPr>
              <w:t>：</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(1)供应商未按规定的时间、地点参加投标或者开标后投标方撤标的；</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(2)中标人在规定期限内未能按规定签订合同的；</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(3)供应商在磋商响应性文件中提供虚假资质或证明材料</w:t>
            </w:r>
            <w:r>
              <w:rPr>
                <w:rFonts w:hint="eastAsia" w:ascii="宋体" w:hAnsi="宋体" w:eastAsia="宋体" w:cs="宋体"/>
                <w:spacing w:val="-94"/>
                <w:highlight w:val="none"/>
              </w:rPr>
              <w:t>，</w:t>
            </w:r>
            <w:r>
              <w:rPr>
                <w:rFonts w:hint="eastAsia" w:ascii="宋体" w:hAnsi="宋体" w:eastAsia="宋体" w:cs="宋体"/>
                <w:highlight w:val="none"/>
              </w:rPr>
              <w:t>进行无效投标</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的；</w:t>
            </w:r>
          </w:p>
          <w:p>
            <w:pPr>
              <w:pStyle w:val="23"/>
              <w:kinsoku w:val="0"/>
              <w:overflowPunct w:val="0"/>
              <w:spacing w:before="57"/>
              <w:ind w:left="102" w:firstLine="480" w:firstLineChars="200"/>
              <w:rPr>
                <w:rFonts w:hint="eastAsia" w:ascii="宋体" w:hAnsi="宋体" w:eastAsia="宋体" w:cs="宋体"/>
                <w:highlight w:val="none"/>
              </w:rPr>
            </w:pPr>
            <w:r>
              <w:rPr>
                <w:rFonts w:hint="eastAsia" w:ascii="宋体" w:hAnsi="宋体" w:eastAsia="宋体" w:cs="宋体"/>
                <w:highlight w:val="none"/>
              </w:rPr>
              <w:t>(4)有证据证明供应商参与了串标、商业贿赂等违法、违规行为的；</w:t>
            </w:r>
          </w:p>
          <w:p>
            <w:pPr>
              <w:pStyle w:val="23"/>
              <w:kinsoku w:val="0"/>
              <w:overflowPunct w:val="0"/>
              <w:spacing w:before="23"/>
              <w:ind w:left="58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spacing w:val="4"/>
                <w:kern w:val="2"/>
                <w:sz w:val="21"/>
                <w:szCs w:val="22"/>
                <w:highlight w:val="none"/>
              </w:rPr>
              <w:t xml:space="preserve"> </w:t>
            </w:r>
            <w:r>
              <w:rPr>
                <w:rFonts w:hint="eastAsia" w:ascii="宋体" w:hAnsi="宋体" w:eastAsia="宋体" w:cs="宋体"/>
                <w:highlight w:val="none"/>
              </w:rPr>
              <w:t>缴纳投标保证金的供应商无正当理由不参加投标，且开标前</w:t>
            </w:r>
            <w:r>
              <w:rPr>
                <w:rFonts w:hint="eastAsia" w:ascii="宋体" w:hAnsi="宋体" w:eastAsia="宋体" w:cs="宋体"/>
                <w:spacing w:val="-60"/>
                <w:highlight w:val="none"/>
              </w:rPr>
              <w:t xml:space="preserve"> </w:t>
            </w:r>
            <w:r>
              <w:rPr>
                <w:rFonts w:hint="eastAsia" w:ascii="宋体" w:hAnsi="宋体" w:eastAsia="宋体" w:cs="宋体"/>
                <w:highlight w:val="none"/>
              </w:rPr>
              <w:t>24</w:t>
            </w:r>
            <w:r>
              <w:rPr>
                <w:rFonts w:hint="eastAsia" w:ascii="宋体" w:hAnsi="宋体" w:eastAsia="宋体" w:cs="宋体"/>
                <w:spacing w:val="-60"/>
                <w:highlight w:val="none"/>
              </w:rPr>
              <w:t xml:space="preserve"> </w:t>
            </w:r>
            <w:r>
              <w:rPr>
                <w:rFonts w:hint="eastAsia" w:ascii="宋体" w:hAnsi="宋体" w:eastAsia="宋体" w:cs="宋体"/>
                <w:highlight w:val="none"/>
              </w:rPr>
              <w:t>小时</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之前未书面通知招标机构的；</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(6)供应商被通知中标后</w:t>
            </w:r>
            <w:r>
              <w:rPr>
                <w:rFonts w:hint="eastAsia" w:ascii="宋体" w:hAnsi="宋体" w:eastAsia="宋体" w:cs="宋体"/>
                <w:spacing w:val="-94"/>
                <w:highlight w:val="none"/>
              </w:rPr>
              <w:t>，</w:t>
            </w:r>
            <w:r>
              <w:rPr>
                <w:rFonts w:hint="eastAsia" w:ascii="宋体" w:hAnsi="宋体" w:eastAsia="宋体" w:cs="宋体"/>
                <w:highlight w:val="none"/>
              </w:rPr>
              <w:t>不按规定的时间或拒绝按中标状态签订合同的</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（即不按中标时规定的技术要求，投标报价，保修服务等签订合同）；</w:t>
            </w:r>
          </w:p>
          <w:p>
            <w:pPr>
              <w:pStyle w:val="23"/>
              <w:kinsoku w:val="0"/>
              <w:overflowPunct w:val="0"/>
              <w:spacing w:before="57"/>
              <w:ind w:left="102" w:firstLine="480" w:firstLineChars="200"/>
              <w:rPr>
                <w:rFonts w:hint="eastAsia" w:ascii="宋体" w:hAnsi="宋体" w:eastAsia="宋体" w:cs="宋体"/>
                <w:b/>
                <w:bCs/>
                <w:highlight w:val="none"/>
              </w:rPr>
            </w:pPr>
            <w:r>
              <w:rPr>
                <w:rFonts w:hint="eastAsia" w:ascii="宋体" w:hAnsi="宋体" w:eastAsia="宋体" w:cs="宋体"/>
                <w:highlight w:val="none"/>
              </w:rPr>
              <w:t>(7)《竞争性磋商文件》规定的其它情形。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3"/>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22</w:t>
            </w:r>
          </w:p>
        </w:tc>
        <w:tc>
          <w:tcPr>
            <w:tcW w:w="8475" w:type="dxa"/>
            <w:noWrap w:val="0"/>
            <w:vAlign w:val="top"/>
          </w:tcPr>
          <w:p>
            <w:pPr>
              <w:pStyle w:val="23"/>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《磋商响应性文件》递交份数、时间及地点：</w:t>
            </w:r>
          </w:p>
          <w:p>
            <w:pPr>
              <w:pStyle w:val="23"/>
              <w:kinsoku w:val="0"/>
              <w:overflowPunct w:val="0"/>
              <w:spacing w:before="16"/>
              <w:ind w:left="582" w:right="-34"/>
              <w:rPr>
                <w:rFonts w:hint="eastAsia" w:ascii="宋体" w:hAnsi="宋体" w:eastAsia="宋体" w:cs="宋体"/>
                <w:highlight w:val="none"/>
              </w:rPr>
            </w:pPr>
            <w:r>
              <w:rPr>
                <w:rFonts w:hint="eastAsia" w:ascii="宋体" w:hAnsi="宋体" w:eastAsia="宋体" w:cs="宋体"/>
                <w:b/>
                <w:bCs/>
                <w:spacing w:val="-5"/>
                <w:highlight w:val="none"/>
              </w:rPr>
              <w:t>1、份数：</w:t>
            </w:r>
            <w:r>
              <w:rPr>
                <w:rFonts w:hint="eastAsia" w:ascii="宋体" w:hAnsi="宋体" w:eastAsia="宋体" w:cs="宋体"/>
                <w:spacing w:val="-4"/>
                <w:highlight w:val="none"/>
              </w:rPr>
              <w:t>正本</w:t>
            </w:r>
            <w:r>
              <w:rPr>
                <w:rFonts w:hint="eastAsia" w:ascii="宋体" w:hAnsi="宋体" w:eastAsia="宋体" w:cs="宋体"/>
                <w:highlight w:val="none"/>
              </w:rPr>
              <w:t xml:space="preserve"> 1 份,副本</w:t>
            </w:r>
            <w:r>
              <w:rPr>
                <w:rFonts w:hint="eastAsia" w:ascii="宋体" w:hAnsi="宋体" w:eastAsia="宋体" w:cs="宋体"/>
                <w:highlight w:val="none"/>
                <w:lang w:val="en-US" w:eastAsia="zh-CN"/>
              </w:rPr>
              <w:t>4</w:t>
            </w:r>
            <w:r>
              <w:rPr>
                <w:rFonts w:hint="eastAsia" w:ascii="宋体" w:hAnsi="宋体" w:eastAsia="宋体" w:cs="宋体"/>
                <w:highlight w:val="none"/>
              </w:rPr>
              <w:t xml:space="preserve"> 份，电子版 </w:t>
            </w:r>
            <w:r>
              <w:rPr>
                <w:rFonts w:hint="eastAsia" w:ascii="宋体" w:hAnsi="宋体" w:eastAsia="宋体" w:cs="宋体"/>
                <w:highlight w:val="none"/>
                <w:lang w:val="en-US" w:eastAsia="zh-CN"/>
              </w:rPr>
              <w:t>2</w:t>
            </w:r>
            <w:r>
              <w:rPr>
                <w:rFonts w:hint="eastAsia" w:ascii="宋体" w:hAnsi="宋体" w:eastAsia="宋体" w:cs="宋体"/>
                <w:highlight w:val="none"/>
              </w:rPr>
              <w:t xml:space="preserve"> 份</w:t>
            </w:r>
            <w:r>
              <w:rPr>
                <w:rFonts w:hint="eastAsia" w:ascii="宋体" w:hAnsi="宋体" w:eastAsia="宋体" w:cs="宋体"/>
                <w:spacing w:val="-6"/>
                <w:highlight w:val="none"/>
              </w:rPr>
              <w:t>（U</w:t>
            </w:r>
            <w:r>
              <w:rPr>
                <w:rFonts w:hint="eastAsia" w:ascii="宋体" w:hAnsi="宋体" w:eastAsia="宋体" w:cs="宋体"/>
                <w:spacing w:val="-61"/>
                <w:highlight w:val="none"/>
              </w:rPr>
              <w:t xml:space="preserve"> </w:t>
            </w:r>
            <w:r>
              <w:rPr>
                <w:rFonts w:hint="eastAsia" w:ascii="宋体" w:hAnsi="宋体" w:eastAsia="宋体" w:cs="宋体"/>
                <w:spacing w:val="-3"/>
                <w:highlight w:val="none"/>
              </w:rPr>
              <w:t>盘，含所有签章的正本扫描件、格式：PDF、一份），</w:t>
            </w:r>
            <w:r>
              <w:rPr>
                <w:rFonts w:hint="eastAsia" w:ascii="宋体" w:hAnsi="宋体" w:eastAsia="宋体" w:cs="宋体"/>
                <w:spacing w:val="-3"/>
                <w:highlight w:val="none"/>
                <w:lang w:val="en-US" w:eastAsia="zh-CN"/>
              </w:rPr>
              <w:t>报价一览表1份，</w:t>
            </w:r>
            <w:r>
              <w:rPr>
                <w:rFonts w:hint="eastAsia" w:ascii="宋体" w:hAnsi="宋体" w:eastAsia="宋体" w:cs="宋体"/>
                <w:highlight w:val="none"/>
              </w:rPr>
              <w:t>所有文件递交不退。</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b/>
                <w:bCs/>
                <w:spacing w:val="2"/>
                <w:highlight w:val="none"/>
              </w:rPr>
              <w:t>特</w:t>
            </w:r>
            <w:r>
              <w:rPr>
                <w:rFonts w:hint="eastAsia" w:ascii="宋体" w:hAnsi="宋体" w:eastAsia="宋体" w:cs="宋体"/>
                <w:b/>
                <w:bCs/>
                <w:highlight w:val="none"/>
              </w:rPr>
              <w:t>别</w:t>
            </w:r>
            <w:r>
              <w:rPr>
                <w:rFonts w:hint="eastAsia" w:ascii="宋体" w:hAnsi="宋体" w:eastAsia="宋体" w:cs="宋体"/>
                <w:b/>
                <w:bCs/>
                <w:spacing w:val="2"/>
                <w:highlight w:val="none"/>
              </w:rPr>
              <w:t>提示</w:t>
            </w:r>
            <w:r>
              <w:rPr>
                <w:rFonts w:hint="eastAsia" w:ascii="宋体" w:hAnsi="宋体" w:eastAsia="宋体" w:cs="宋体"/>
                <w:b/>
                <w:bCs/>
                <w:spacing w:val="-30"/>
                <w:highlight w:val="none"/>
              </w:rPr>
              <w:t>：</w:t>
            </w:r>
            <w:r>
              <w:rPr>
                <w:rFonts w:hint="eastAsia" w:ascii="宋体" w:hAnsi="宋体" w:eastAsia="宋体" w:cs="宋体"/>
                <w:b/>
                <w:bCs/>
                <w:spacing w:val="2"/>
                <w:highlight w:val="none"/>
              </w:rPr>
              <w:t>电</w:t>
            </w:r>
            <w:r>
              <w:rPr>
                <w:rFonts w:hint="eastAsia" w:ascii="宋体" w:hAnsi="宋体" w:eastAsia="宋体" w:cs="宋体"/>
                <w:b/>
                <w:bCs/>
                <w:highlight w:val="none"/>
              </w:rPr>
              <w:t>子</w:t>
            </w:r>
            <w:r>
              <w:rPr>
                <w:rFonts w:hint="eastAsia" w:ascii="宋体" w:hAnsi="宋体" w:eastAsia="宋体" w:cs="宋体"/>
                <w:b/>
                <w:bCs/>
                <w:spacing w:val="-28"/>
                <w:highlight w:val="none"/>
              </w:rPr>
              <w:t>版</w:t>
            </w:r>
            <w:r>
              <w:rPr>
                <w:rFonts w:hint="eastAsia" w:ascii="宋体" w:hAnsi="宋体" w:eastAsia="宋体" w:cs="宋体"/>
                <w:b/>
                <w:bCs/>
                <w:highlight w:val="none"/>
              </w:rPr>
              <w:t>《</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w:t>
            </w:r>
            <w:r>
              <w:rPr>
                <w:rFonts w:hint="eastAsia" w:ascii="宋体" w:hAnsi="宋体" w:eastAsia="宋体" w:cs="宋体"/>
                <w:b/>
                <w:bCs/>
                <w:spacing w:val="2"/>
                <w:highlight w:val="none"/>
              </w:rPr>
              <w:t>件</w:t>
            </w:r>
            <w:r>
              <w:rPr>
                <w:rFonts w:hint="eastAsia" w:ascii="宋体" w:hAnsi="宋体" w:eastAsia="宋体" w:cs="宋体"/>
                <w:b/>
                <w:bCs/>
                <w:spacing w:val="-30"/>
                <w:highlight w:val="none"/>
              </w:rPr>
              <w:t>》</w:t>
            </w:r>
            <w:r>
              <w:rPr>
                <w:rFonts w:hint="eastAsia" w:ascii="宋体" w:hAnsi="宋体" w:eastAsia="宋体" w:cs="宋体"/>
                <w:b/>
                <w:bCs/>
                <w:spacing w:val="2"/>
                <w:highlight w:val="none"/>
              </w:rPr>
              <w:t>必</w:t>
            </w:r>
            <w:r>
              <w:rPr>
                <w:rFonts w:hint="eastAsia" w:ascii="宋体" w:hAnsi="宋体" w:eastAsia="宋体" w:cs="宋体"/>
                <w:b/>
                <w:bCs/>
                <w:highlight w:val="none"/>
              </w:rPr>
              <w:t>须</w:t>
            </w:r>
            <w:r>
              <w:rPr>
                <w:rFonts w:hint="eastAsia" w:ascii="宋体" w:hAnsi="宋体" w:eastAsia="宋体" w:cs="宋体"/>
                <w:b/>
                <w:bCs/>
                <w:spacing w:val="2"/>
                <w:highlight w:val="none"/>
              </w:rPr>
              <w:t>与纸质</w:t>
            </w:r>
            <w:r>
              <w:rPr>
                <w:rFonts w:hint="eastAsia" w:ascii="宋体" w:hAnsi="宋体" w:eastAsia="宋体" w:cs="宋体"/>
                <w:b/>
                <w:bCs/>
                <w:spacing w:val="-30"/>
                <w:highlight w:val="none"/>
              </w:rPr>
              <w:t>版</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文件》</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完全一致。</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2、递交截止时间：</w:t>
            </w:r>
            <w:r>
              <w:rPr>
                <w:rFonts w:hint="eastAsia" w:ascii="宋体" w:hAnsi="宋体" w:eastAsia="宋体" w:cs="宋体"/>
                <w:highlight w:val="none"/>
              </w:rPr>
              <w:t>20</w:t>
            </w:r>
            <w:r>
              <w:rPr>
                <w:rFonts w:hint="eastAsia" w:ascii="宋体" w:hAnsi="宋体" w:eastAsia="宋体" w:cs="宋体"/>
                <w:highlight w:val="none"/>
                <w:lang w:val="en-US" w:eastAsia="zh-CN"/>
              </w:rPr>
              <w:t>21</w:t>
            </w:r>
            <w:r>
              <w:rPr>
                <w:rFonts w:hint="eastAsia" w:ascii="宋体" w:hAnsi="宋体" w:eastAsia="宋体" w:cs="宋体"/>
                <w:highlight w:val="none"/>
              </w:rPr>
              <w:t>年</w:t>
            </w:r>
            <w:r>
              <w:rPr>
                <w:rFonts w:hint="eastAsia" w:ascii="宋体" w:hAnsi="宋体" w:cs="宋体"/>
                <w:highlight w:val="none"/>
                <w:lang w:val="en-US" w:eastAsia="zh-CN"/>
              </w:rPr>
              <w:t>10</w:t>
            </w:r>
            <w:r>
              <w:rPr>
                <w:rFonts w:hint="eastAsia" w:ascii="宋体" w:hAnsi="宋体" w:eastAsia="宋体" w:cs="宋体"/>
                <w:highlight w:val="none"/>
              </w:rPr>
              <w:t>月</w:t>
            </w:r>
            <w:r>
              <w:rPr>
                <w:rFonts w:hint="eastAsia" w:ascii="宋体" w:hAnsi="宋体" w:cs="宋体"/>
                <w:highlight w:val="yellow"/>
                <w:lang w:val="en-US" w:eastAsia="zh-CN"/>
              </w:rPr>
              <w:t>19</w:t>
            </w:r>
            <w:r>
              <w:rPr>
                <w:rFonts w:hint="eastAsia" w:ascii="宋体" w:hAnsi="宋体" w:eastAsia="宋体" w:cs="宋体"/>
                <w:highlight w:val="none"/>
              </w:rPr>
              <w:t>日</w:t>
            </w:r>
            <w:r>
              <w:rPr>
                <w:rFonts w:hint="eastAsia" w:ascii="宋体" w:hAnsi="宋体" w:eastAsia="宋体" w:cs="宋体"/>
                <w:highlight w:val="none"/>
                <w:lang w:val="en-US" w:eastAsia="zh-CN"/>
              </w:rPr>
              <w:t>11</w:t>
            </w:r>
            <w:r>
              <w:rPr>
                <w:rFonts w:hint="eastAsia" w:ascii="宋体" w:hAnsi="宋体" w:eastAsia="宋体" w:cs="宋体"/>
                <w:highlight w:val="none"/>
              </w:rPr>
              <w:t>:</w:t>
            </w:r>
            <w:r>
              <w:rPr>
                <w:rFonts w:hint="eastAsia" w:ascii="宋体" w:hAnsi="宋体" w:eastAsia="宋体" w:cs="宋体"/>
                <w:highlight w:val="none"/>
                <w:lang w:val="en-US" w:eastAsia="zh-CN"/>
              </w:rPr>
              <w:t>0</w:t>
            </w:r>
            <w:r>
              <w:rPr>
                <w:rFonts w:hint="eastAsia" w:ascii="宋体" w:hAnsi="宋体" w:eastAsia="宋体" w:cs="宋体"/>
                <w:highlight w:val="none"/>
              </w:rPr>
              <w:t>0 （北京时间）</w:t>
            </w:r>
          </w:p>
          <w:p>
            <w:pPr>
              <w:pStyle w:val="23"/>
              <w:kinsoku w:val="0"/>
              <w:overflowPunct w:val="0"/>
              <w:spacing w:before="16"/>
              <w:ind w:left="582"/>
              <w:rPr>
                <w:rFonts w:hint="eastAsia" w:ascii="宋体" w:hAnsi="宋体" w:eastAsia="宋体" w:cs="宋体"/>
                <w:b/>
                <w:bCs/>
                <w:highlight w:val="none"/>
              </w:rPr>
            </w:pPr>
            <w:r>
              <w:rPr>
                <w:rFonts w:hint="eastAsia" w:ascii="宋体" w:hAnsi="宋体" w:eastAsia="宋体" w:cs="宋体"/>
                <w:b/>
                <w:bCs/>
                <w:highlight w:val="none"/>
              </w:rPr>
              <w:t>3、递交</w:t>
            </w:r>
            <w:bookmarkStart w:id="75" w:name="_GoBack"/>
            <w:bookmarkEnd w:id="75"/>
            <w:r>
              <w:rPr>
                <w:rFonts w:hint="eastAsia" w:ascii="宋体" w:hAnsi="宋体" w:eastAsia="宋体" w:cs="宋体"/>
                <w:b/>
                <w:bCs/>
                <w:highlight w:val="none"/>
              </w:rPr>
              <w:t>地点：</w:t>
            </w:r>
            <w:r>
              <w:rPr>
                <w:rFonts w:hint="eastAsia" w:ascii="宋体" w:hAnsi="宋体" w:eastAsia="宋体" w:cs="宋体"/>
                <w:color w:val="auto"/>
                <w:sz w:val="24"/>
                <w:szCs w:val="24"/>
                <w:highlight w:val="none"/>
              </w:rPr>
              <w:t>新疆乌鲁木齐市水磨沟区会展大道1119号大成尔雅B座（乌鲁木齐晚报大厦）七楼702号房</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3"/>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23</w:t>
            </w:r>
          </w:p>
        </w:tc>
        <w:tc>
          <w:tcPr>
            <w:tcW w:w="8475" w:type="dxa"/>
            <w:noWrap w:val="0"/>
            <w:vAlign w:val="top"/>
          </w:tcPr>
          <w:p>
            <w:pPr>
              <w:pStyle w:val="23"/>
              <w:kinsoku w:val="0"/>
              <w:overflowPunct w:val="0"/>
              <w:spacing w:line="277" w:lineRule="exact"/>
              <w:ind w:left="102"/>
              <w:rPr>
                <w:rFonts w:hint="eastAsia" w:ascii="宋体" w:hAnsi="宋体" w:eastAsia="宋体" w:cs="宋体"/>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磋商响应性文件的密封和标记</w:t>
            </w:r>
          </w:p>
          <w:p>
            <w:pPr>
              <w:pStyle w:val="23"/>
              <w:kinsoku w:val="0"/>
              <w:overflowPunct w:val="0"/>
              <w:spacing w:before="38"/>
              <w:ind w:left="102" w:right="-43"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1、磋商响应性文件正本与副本应</w:t>
            </w:r>
            <w:r>
              <w:rPr>
                <w:rFonts w:hint="eastAsia" w:ascii="宋体" w:hAnsi="宋体" w:eastAsia="宋体" w:cs="宋体"/>
                <w:spacing w:val="-2"/>
                <w:highlight w:val="none"/>
                <w:lang w:val="en-US" w:eastAsia="zh-CN"/>
              </w:rPr>
              <w:t>分别</w:t>
            </w:r>
            <w:r>
              <w:rPr>
                <w:rFonts w:hint="eastAsia" w:ascii="宋体" w:hAnsi="宋体" w:eastAsia="宋体" w:cs="宋体"/>
                <w:spacing w:val="-2"/>
                <w:highlight w:val="none"/>
              </w:rPr>
              <w:t>密封，并加贴“密封”字样封条，在封套的封口处应加盖单位公章。供应商未按此要求采用其他包装的，将造成磋商响应性文件被拒收。</w:t>
            </w:r>
          </w:p>
          <w:p>
            <w:pPr>
              <w:pStyle w:val="23"/>
              <w:tabs>
                <w:tab w:val="left" w:pos="5415"/>
                <w:tab w:val="left" w:pos="6023"/>
                <w:tab w:val="left" w:pos="6627"/>
                <w:tab w:val="left" w:pos="7232"/>
                <w:tab w:val="left" w:pos="7839"/>
              </w:tabs>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2、在封套上注明项目名称、项目编号及“在</w:t>
            </w:r>
            <w:r>
              <w:rPr>
                <w:rFonts w:hint="eastAsia" w:ascii="宋体" w:hAnsi="宋体" w:eastAsia="宋体" w:cs="宋体"/>
                <w:spacing w:val="-2"/>
                <w:highlight w:val="none"/>
              </w:rPr>
              <w:tab/>
            </w:r>
            <w:r>
              <w:rPr>
                <w:rFonts w:hint="eastAsia" w:ascii="宋体" w:hAnsi="宋体" w:eastAsia="宋体" w:cs="宋体"/>
                <w:spacing w:val="-2"/>
                <w:highlight w:val="none"/>
              </w:rPr>
              <w:t>年</w:t>
            </w:r>
            <w:r>
              <w:rPr>
                <w:rFonts w:hint="eastAsia" w:ascii="宋体" w:hAnsi="宋体" w:eastAsia="宋体" w:cs="宋体"/>
                <w:spacing w:val="-2"/>
                <w:highlight w:val="none"/>
              </w:rPr>
              <w:tab/>
            </w:r>
            <w:r>
              <w:rPr>
                <w:rFonts w:hint="eastAsia" w:ascii="宋体" w:hAnsi="宋体" w:eastAsia="宋体" w:cs="宋体"/>
                <w:spacing w:val="-2"/>
                <w:highlight w:val="none"/>
              </w:rPr>
              <w:t>月</w:t>
            </w:r>
            <w:r>
              <w:rPr>
                <w:rFonts w:hint="eastAsia" w:ascii="宋体" w:hAnsi="宋体" w:eastAsia="宋体" w:cs="宋体"/>
                <w:spacing w:val="-2"/>
                <w:highlight w:val="none"/>
              </w:rPr>
              <w:tab/>
            </w:r>
            <w:r>
              <w:rPr>
                <w:rFonts w:hint="eastAsia" w:ascii="宋体" w:hAnsi="宋体" w:eastAsia="宋体" w:cs="宋体"/>
                <w:spacing w:val="-2"/>
                <w:highlight w:val="none"/>
              </w:rPr>
              <w:t>日</w:t>
            </w:r>
            <w:r>
              <w:rPr>
                <w:rFonts w:hint="eastAsia" w:ascii="宋体" w:hAnsi="宋体" w:eastAsia="宋体" w:cs="宋体"/>
                <w:spacing w:val="-2"/>
                <w:highlight w:val="none"/>
              </w:rPr>
              <w:tab/>
            </w:r>
            <w:r>
              <w:rPr>
                <w:rFonts w:hint="eastAsia" w:ascii="宋体" w:hAnsi="宋体" w:eastAsia="宋体" w:cs="宋体"/>
                <w:spacing w:val="-2"/>
                <w:highlight w:val="none"/>
              </w:rPr>
              <w:t>时</w:t>
            </w:r>
            <w:r>
              <w:rPr>
                <w:rFonts w:hint="eastAsia" w:ascii="宋体" w:hAnsi="宋体" w:eastAsia="宋体" w:cs="宋体"/>
                <w:spacing w:val="-2"/>
                <w:highlight w:val="none"/>
              </w:rPr>
              <w:tab/>
            </w:r>
            <w:r>
              <w:rPr>
                <w:rFonts w:hint="eastAsia" w:ascii="宋体" w:hAnsi="宋体" w:eastAsia="宋体" w:cs="宋体"/>
                <w:spacing w:val="-2"/>
                <w:highlight w:val="none"/>
              </w:rPr>
              <w:t>分</w:t>
            </w:r>
          </w:p>
          <w:p>
            <w:pPr>
              <w:pStyle w:val="23"/>
              <w:kinsoku w:val="0"/>
              <w:overflowPunct w:val="0"/>
              <w:spacing w:before="127"/>
              <w:ind w:left="102"/>
              <w:rPr>
                <w:rFonts w:hint="eastAsia" w:ascii="宋体" w:hAnsi="宋体" w:eastAsia="宋体" w:cs="宋体"/>
                <w:spacing w:val="-2"/>
                <w:highlight w:val="none"/>
              </w:rPr>
            </w:pPr>
            <w:r>
              <w:rPr>
                <w:rFonts w:hint="eastAsia" w:ascii="宋体" w:hAnsi="宋体" w:eastAsia="宋体" w:cs="宋体"/>
                <w:spacing w:val="-2"/>
                <w:highlight w:val="none"/>
              </w:rPr>
              <w:t>之前不得启封”字样。</w:t>
            </w:r>
          </w:p>
          <w:p>
            <w:pPr>
              <w:pStyle w:val="23"/>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3、未按本章第 1 项或 2 项密封和加写标记的磋商响应性文件, 造成磋商响应性文件被拒收的不利后果由供应商自行承担。</w:t>
            </w:r>
          </w:p>
          <w:p>
            <w:pPr>
              <w:pStyle w:val="23"/>
              <w:kinsoku w:val="0"/>
              <w:overflowPunct w:val="0"/>
              <w:spacing w:before="86"/>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4、供应商必须将“电子版</w:t>
            </w:r>
            <w:r>
              <w:rPr>
                <w:rFonts w:hint="eastAsia" w:ascii="宋体" w:hAnsi="宋体" w:eastAsia="宋体" w:cs="宋体"/>
                <w:spacing w:val="-60"/>
                <w:highlight w:val="none"/>
              </w:rPr>
              <w:t xml:space="preserve"> </w:t>
            </w:r>
            <w:r>
              <w:rPr>
                <w:rFonts w:hint="eastAsia" w:ascii="宋体" w:hAnsi="宋体" w:eastAsia="宋体" w:cs="宋体"/>
                <w:highlight w:val="none"/>
              </w:rPr>
              <w:t>U</w:t>
            </w:r>
            <w:r>
              <w:rPr>
                <w:rFonts w:hint="eastAsia" w:ascii="宋体" w:hAnsi="宋体" w:eastAsia="宋体" w:cs="宋体"/>
                <w:spacing w:val="-60"/>
                <w:highlight w:val="none"/>
              </w:rPr>
              <w:t xml:space="preserve"> </w:t>
            </w:r>
            <w:r>
              <w:rPr>
                <w:rFonts w:hint="eastAsia" w:ascii="宋体" w:hAnsi="宋体" w:eastAsia="宋体" w:cs="宋体"/>
                <w:spacing w:val="-2"/>
                <w:highlight w:val="none"/>
              </w:rPr>
              <w:t>盘”与“</w:t>
            </w:r>
            <w:r>
              <w:rPr>
                <w:rFonts w:hint="eastAsia" w:ascii="宋体" w:hAnsi="宋体" w:eastAsia="宋体" w:cs="宋体"/>
                <w:spacing w:val="-4"/>
                <w:highlight w:val="none"/>
              </w:rPr>
              <w:t>正本</w:t>
            </w:r>
            <w:r>
              <w:rPr>
                <w:rFonts w:hint="eastAsia" w:ascii="宋体" w:hAnsi="宋体" w:eastAsia="宋体" w:cs="宋体"/>
                <w:spacing w:val="-2"/>
                <w:highlight w:val="none"/>
              </w:rPr>
              <w:t>”</w:t>
            </w:r>
            <w:r>
              <w:rPr>
                <w:rFonts w:hint="eastAsia" w:ascii="宋体" w:hAnsi="宋体" w:eastAsia="宋体" w:cs="宋体"/>
                <w:spacing w:val="-2"/>
                <w:highlight w:val="none"/>
                <w:lang w:eastAsia="zh-CN"/>
              </w:rPr>
              <w:t>共同</w:t>
            </w:r>
            <w:r>
              <w:rPr>
                <w:rFonts w:hint="eastAsia" w:ascii="宋体" w:hAnsi="宋体" w:eastAsia="宋体" w:cs="宋体"/>
                <w:spacing w:val="-2"/>
                <w:highlight w:val="none"/>
              </w:rPr>
              <w:t>密封提交，并在封面上注明</w:t>
            </w:r>
            <w:r>
              <w:rPr>
                <w:rFonts w:hint="eastAsia" w:ascii="宋体" w:hAnsi="宋体" w:eastAsia="宋体" w:cs="宋体"/>
                <w:highlight w:val="none"/>
              </w:rPr>
              <w:t>项目名称</w:t>
            </w:r>
            <w:r>
              <w:rPr>
                <w:rFonts w:hint="eastAsia" w:ascii="宋体" w:hAnsi="宋体" w:eastAsia="宋体" w:cs="宋体"/>
                <w:spacing w:val="-65"/>
                <w:highlight w:val="none"/>
              </w:rPr>
              <w:t>、</w:t>
            </w:r>
            <w:r>
              <w:rPr>
                <w:rFonts w:hint="eastAsia" w:ascii="宋体" w:hAnsi="宋体" w:eastAsia="宋体" w:cs="宋体"/>
                <w:highlight w:val="none"/>
              </w:rPr>
              <w:t>项目编号</w:t>
            </w:r>
            <w:r>
              <w:rPr>
                <w:rFonts w:hint="eastAsia" w:ascii="宋体" w:hAnsi="宋体" w:eastAsia="宋体" w:cs="宋体"/>
                <w:spacing w:val="-65"/>
                <w:highlight w:val="none"/>
              </w:rPr>
              <w:t>、</w:t>
            </w:r>
            <w:r>
              <w:rPr>
                <w:rFonts w:hint="eastAsia" w:ascii="宋体" w:hAnsi="宋体" w:eastAsia="宋体" w:cs="宋体"/>
                <w:highlight w:val="none"/>
              </w:rPr>
              <w:t>投标单位名</w:t>
            </w:r>
            <w:r>
              <w:rPr>
                <w:rFonts w:hint="eastAsia" w:ascii="宋体" w:hAnsi="宋体" w:eastAsia="宋体" w:cs="宋体"/>
                <w:spacing w:val="-63"/>
                <w:highlight w:val="none"/>
              </w:rPr>
              <w:t>称</w:t>
            </w:r>
            <w:r>
              <w:rPr>
                <w:rFonts w:hint="eastAsia" w:ascii="宋体" w:hAnsi="宋体" w:eastAsia="宋体" w:cs="宋体"/>
                <w:highlight w:val="none"/>
              </w:rPr>
              <w:t>（并加盖公章</w:t>
            </w:r>
            <w:r>
              <w:rPr>
                <w:rFonts w:hint="eastAsia" w:ascii="宋体" w:hAnsi="宋体" w:eastAsia="宋体" w:cs="宋体"/>
                <w:spacing w:val="-65"/>
                <w:highlight w:val="none"/>
              </w:rPr>
              <w:t>）</w:t>
            </w:r>
            <w:r>
              <w:rPr>
                <w:rFonts w:hint="eastAsia" w:ascii="宋体" w:hAnsi="宋体" w:eastAsia="宋体" w:cs="宋体"/>
                <w:spacing w:val="-63"/>
                <w:highlight w:val="none"/>
              </w:rPr>
              <w:t>及</w:t>
            </w:r>
            <w:r>
              <w:rPr>
                <w:rFonts w:hint="eastAsia" w:ascii="宋体" w:hAnsi="宋体" w:eastAsia="宋体" w:cs="宋体"/>
                <w:spacing w:val="-8"/>
                <w:highlight w:val="none"/>
              </w:rPr>
              <w:t>“</w:t>
            </w:r>
            <w:r>
              <w:rPr>
                <w:rFonts w:hint="eastAsia" w:ascii="宋体" w:hAnsi="宋体" w:eastAsia="宋体" w:cs="宋体"/>
                <w:spacing w:val="-1"/>
                <w:highlight w:val="none"/>
              </w:rPr>
              <w:t>在</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w w:val="95"/>
                <w:highlight w:val="none"/>
              </w:rPr>
              <w:t>年</w:t>
            </w:r>
            <w:r>
              <w:rPr>
                <w:rFonts w:hint="eastAsia" w:ascii="宋体" w:hAnsi="宋体" w:eastAsia="宋体" w:cs="宋体"/>
                <w:spacing w:val="-1"/>
                <w:w w:val="95"/>
                <w:highlight w:val="none"/>
                <w:u w:val="single"/>
              </w:rPr>
              <w:tab/>
            </w:r>
            <w:r>
              <w:rPr>
                <w:rFonts w:hint="eastAsia" w:ascii="宋体" w:hAnsi="宋体" w:eastAsia="宋体" w:cs="宋体"/>
                <w:spacing w:val="-1"/>
                <w:w w:val="95"/>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spacing w:val="-1"/>
                <w:highlight w:val="none"/>
              </w:rPr>
              <w:t>日</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时</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分之前不得启封”字样</w:t>
            </w:r>
            <w:r>
              <w:rPr>
                <w:rFonts w:hint="eastAsia" w:ascii="宋体" w:hAnsi="宋体" w:eastAsia="宋体" w:cs="宋体"/>
                <w:spacing w:val="-1"/>
                <w:highlight w:val="none"/>
                <w:lang w:eastAsia="zh-CN"/>
              </w:rPr>
              <w:t>，</w:t>
            </w:r>
            <w:r>
              <w:rPr>
                <w:rFonts w:hint="eastAsia" w:ascii="宋体" w:hAnsi="宋体" w:eastAsia="宋体" w:cs="宋体"/>
                <w:spacing w:val="-3"/>
                <w:highlight w:val="none"/>
                <w:lang w:val="en-US" w:eastAsia="zh-CN"/>
              </w:rPr>
              <w:t>报价</w:t>
            </w:r>
            <w:r>
              <w:rPr>
                <w:rFonts w:hint="eastAsia" w:ascii="宋体" w:hAnsi="宋体" w:eastAsia="宋体" w:cs="宋体"/>
                <w:spacing w:val="-1"/>
                <w:highlight w:val="none"/>
                <w:lang w:val="en-US" w:eastAsia="zh-CN"/>
              </w:rPr>
              <w:t>一览表单独密封</w:t>
            </w:r>
            <w:r>
              <w:rPr>
                <w:rFonts w:hint="eastAsia" w:ascii="宋体" w:hAnsi="宋体" w:eastAsia="宋体" w:cs="宋体"/>
                <w:spacing w:val="-1"/>
                <w:highlight w:val="none"/>
              </w:rPr>
              <w:t>。密封后粘贴密封条。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3"/>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24</w:t>
            </w:r>
          </w:p>
        </w:tc>
        <w:tc>
          <w:tcPr>
            <w:tcW w:w="8475" w:type="dxa"/>
            <w:noWrap w:val="0"/>
            <w:vAlign w:val="top"/>
          </w:tcPr>
          <w:p>
            <w:pPr>
              <w:pStyle w:val="23"/>
              <w:kinsoku w:val="0"/>
              <w:overflowPunct w:val="0"/>
              <w:spacing w:before="56"/>
              <w:rPr>
                <w:rFonts w:hint="eastAsia" w:ascii="宋体" w:hAnsi="宋体" w:eastAsia="宋体" w:cs="宋体"/>
                <w:highlight w:val="none"/>
                <w:lang w:eastAsia="zh-CN"/>
              </w:rPr>
            </w:pPr>
            <w:r>
              <w:rPr>
                <w:rFonts w:hint="eastAsia" w:ascii="宋体" w:hAnsi="宋体" w:eastAsia="宋体" w:cs="宋体"/>
                <w:b/>
                <w:bCs/>
                <w:highlight w:val="none"/>
              </w:rPr>
              <w:t>开标时间及地点</w:t>
            </w:r>
            <w:r>
              <w:rPr>
                <w:rFonts w:hint="eastAsia" w:ascii="宋体" w:hAnsi="宋体" w:eastAsia="宋体" w:cs="宋体"/>
                <w:b/>
                <w:bCs/>
                <w:highlight w:val="none"/>
                <w:lang w:eastAsia="zh-CN"/>
              </w:rPr>
              <w:t>：</w:t>
            </w:r>
          </w:p>
          <w:p>
            <w:pPr>
              <w:pStyle w:val="23"/>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开标时间：</w:t>
            </w:r>
            <w:r>
              <w:rPr>
                <w:rFonts w:hint="eastAsia" w:ascii="宋体" w:hAnsi="宋体" w:eastAsia="宋体" w:cs="宋体"/>
                <w:highlight w:val="none"/>
              </w:rPr>
              <w:t>同磋商响应性文件递交截止时间</w:t>
            </w:r>
          </w:p>
          <w:p>
            <w:pPr>
              <w:pStyle w:val="23"/>
              <w:kinsoku w:val="0"/>
              <w:overflowPunct w:val="0"/>
              <w:spacing w:before="38"/>
              <w:rPr>
                <w:rFonts w:hint="eastAsia" w:ascii="宋体" w:hAnsi="宋体" w:eastAsia="宋体" w:cs="宋体"/>
                <w:sz w:val="22"/>
                <w:szCs w:val="22"/>
                <w:highlight w:val="none"/>
              </w:rPr>
            </w:pPr>
            <w:r>
              <w:rPr>
                <w:rFonts w:hint="eastAsia" w:ascii="宋体" w:hAnsi="宋体" w:eastAsia="宋体" w:cs="宋体"/>
                <w:b/>
                <w:bCs/>
                <w:spacing w:val="-2"/>
                <w:highlight w:val="none"/>
              </w:rPr>
              <w:t>开标地点：</w:t>
            </w:r>
            <w:r>
              <w:rPr>
                <w:rFonts w:hint="eastAsia" w:ascii="宋体" w:hAnsi="宋体" w:eastAsia="宋体" w:cs="宋体"/>
                <w:highlight w:val="none"/>
              </w:rPr>
              <w:t>同磋商响应性文件递交地点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3"/>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25</w:t>
            </w:r>
          </w:p>
        </w:tc>
        <w:tc>
          <w:tcPr>
            <w:tcW w:w="8475" w:type="dxa"/>
            <w:noWrap w:val="0"/>
            <w:vAlign w:val="top"/>
          </w:tcPr>
          <w:p>
            <w:pPr>
              <w:pStyle w:val="23"/>
              <w:kinsoku w:val="0"/>
              <w:overflowPunct w:val="0"/>
              <w:spacing w:before="56"/>
              <w:ind w:left="102"/>
              <w:rPr>
                <w:rFonts w:hint="eastAsia" w:ascii="宋体" w:hAnsi="宋体" w:eastAsia="宋体" w:cs="宋体"/>
                <w:highlight w:val="none"/>
                <w:lang w:val="en-US" w:eastAsia="zh-CN"/>
              </w:rPr>
            </w:pPr>
            <w:r>
              <w:rPr>
                <w:rFonts w:hint="eastAsia" w:ascii="宋体" w:hAnsi="宋体" w:eastAsia="宋体" w:cs="宋体"/>
                <w:b/>
                <w:bCs/>
                <w:highlight w:val="none"/>
              </w:rPr>
              <w:t>付款方式：</w:t>
            </w:r>
            <w:r>
              <w:rPr>
                <w:rFonts w:hint="eastAsia" w:ascii="宋体" w:hAnsi="宋体" w:eastAsia="宋体" w:cs="宋体"/>
                <w:highlight w:val="none"/>
                <w:lang w:val="en-US" w:eastAsia="zh-CN"/>
              </w:rPr>
              <w:t>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3"/>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26</w:t>
            </w:r>
          </w:p>
        </w:tc>
        <w:tc>
          <w:tcPr>
            <w:tcW w:w="8475" w:type="dxa"/>
            <w:noWrap w:val="0"/>
            <w:vAlign w:val="top"/>
          </w:tcPr>
          <w:p>
            <w:pPr>
              <w:pStyle w:val="23"/>
              <w:kinsoku w:val="0"/>
              <w:overflowPunct w:val="0"/>
              <w:spacing w:line="277" w:lineRule="exact"/>
              <w:ind w:left="102"/>
              <w:rPr>
                <w:rFonts w:hint="eastAsia" w:ascii="宋体" w:hAnsi="宋体" w:eastAsia="宋体" w:cs="宋体"/>
                <w:highlight w:val="none"/>
                <w:lang w:val="en-US" w:eastAsia="zh-CN"/>
              </w:rPr>
            </w:pPr>
            <w:r>
              <w:rPr>
                <w:rFonts w:hint="eastAsia" w:ascii="宋体" w:hAnsi="宋体" w:eastAsia="宋体" w:cs="宋体"/>
                <w:b/>
                <w:bCs/>
                <w:highlight w:val="none"/>
              </w:rPr>
              <w:t>★履约保证金：</w:t>
            </w:r>
            <w:r>
              <w:rPr>
                <w:rFonts w:hint="eastAsia" w:ascii="宋体" w:hAnsi="宋体" w:eastAsia="宋体" w:cs="宋体"/>
                <w:b/>
                <w:bCs/>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72" w:type="dxa"/>
            <w:noWrap w:val="0"/>
            <w:vAlign w:val="center"/>
          </w:tcPr>
          <w:p>
            <w:pPr>
              <w:pStyle w:val="23"/>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27</w:t>
            </w:r>
          </w:p>
        </w:tc>
        <w:tc>
          <w:tcPr>
            <w:tcW w:w="8475" w:type="dxa"/>
            <w:noWrap w:val="0"/>
            <w:vAlign w:val="top"/>
          </w:tcPr>
          <w:p>
            <w:pPr>
              <w:pStyle w:val="23"/>
              <w:kinsoku w:val="0"/>
              <w:overflowPunct w:val="0"/>
              <w:spacing w:line="274" w:lineRule="exact"/>
              <w:ind w:left="102"/>
              <w:rPr>
                <w:rFonts w:hint="eastAsia" w:ascii="宋体" w:hAnsi="宋体" w:eastAsia="宋体" w:cs="宋体"/>
                <w:highlight w:val="none"/>
              </w:rPr>
            </w:pPr>
            <w:r>
              <w:rPr>
                <w:rFonts w:hint="eastAsia" w:ascii="宋体" w:hAnsi="宋体" w:eastAsia="宋体" w:cs="宋体"/>
                <w:b/>
                <w:bCs/>
                <w:highlight w:val="none"/>
              </w:rPr>
              <w:t>代理服务费</w:t>
            </w:r>
            <w:r>
              <w:rPr>
                <w:rFonts w:hint="eastAsia" w:ascii="宋体" w:hAnsi="宋体" w:eastAsia="宋体" w:cs="宋体"/>
                <w:highlight w:val="none"/>
              </w:rPr>
              <w:t>：</w:t>
            </w:r>
          </w:p>
          <w:p>
            <w:pPr>
              <w:pStyle w:val="23"/>
              <w:kinsoku w:val="0"/>
              <w:overflowPunct w:val="0"/>
              <w:spacing w:line="276" w:lineRule="exact"/>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参照国家计委《招标代理服务收费管理暂行办法》(计价格﹝2002﹞1980 号)所规定</w:t>
            </w:r>
            <w:r>
              <w:rPr>
                <w:rFonts w:hint="eastAsia" w:ascii="宋体" w:hAnsi="宋体" w:eastAsia="宋体" w:cs="宋体"/>
                <w:spacing w:val="-2"/>
                <w:highlight w:val="none"/>
                <w:lang w:val="en-US" w:eastAsia="zh-CN"/>
              </w:rPr>
              <w:t>及与采购方签订合同所规定的费率</w:t>
            </w:r>
            <w:r>
              <w:rPr>
                <w:rFonts w:hint="eastAsia" w:ascii="宋体" w:hAnsi="宋体" w:eastAsia="宋体" w:cs="宋体"/>
                <w:spacing w:val="-2"/>
                <w:highlight w:val="none"/>
              </w:rPr>
              <w:t>取费，由中标人支付，该代理服务费在中标人领取中标通知书时向招标代理机构缴纳。此费由投标人综合考虑到投标报价中，不再单独列项。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3"/>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28</w:t>
            </w:r>
          </w:p>
        </w:tc>
        <w:tc>
          <w:tcPr>
            <w:tcW w:w="8475" w:type="dxa"/>
            <w:noWrap w:val="0"/>
            <w:vAlign w:val="top"/>
          </w:tcPr>
          <w:p>
            <w:pPr>
              <w:pStyle w:val="23"/>
              <w:kinsoku w:val="0"/>
              <w:overflowPunct w:val="0"/>
              <w:spacing w:line="277" w:lineRule="exact"/>
              <w:ind w:left="102"/>
              <w:rPr>
                <w:rFonts w:hint="eastAsia" w:ascii="宋体" w:hAnsi="宋体" w:eastAsia="宋体" w:cs="宋体"/>
                <w:highlight w:val="none"/>
              </w:rPr>
            </w:pPr>
            <w:r>
              <w:rPr>
                <w:rFonts w:hint="eastAsia" w:ascii="宋体" w:hAnsi="宋体" w:eastAsia="宋体" w:cs="宋体"/>
                <w:b/>
                <w:bCs/>
                <w:highlight w:val="none"/>
              </w:rPr>
              <w:t>采购项目需要落实的政府采购政策:</w:t>
            </w:r>
          </w:p>
          <w:p>
            <w:pPr>
              <w:pStyle w:val="23"/>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和工信部联企业〔2011〕300 号文件规定，对小型和微型企业产品的价格给予 6%-10%的扣除，用扣除后的价格参与评审；大中型企业和其他自然人、法人或者其他组织与小型、微型企业组成联合体共同参加非专门面向中小企业的政府采购活动的，小微企业的合同金额占联合体协议合同总金额 30%以上的，给予联合体 2%-3%的价格扣除，用扣除后的价格参与评审。具体办法详见竞争性磋商文件评标办法和标准；</w:t>
            </w:r>
          </w:p>
          <w:p>
            <w:pPr>
              <w:pStyle w:val="23"/>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6%-10%后参与评审。具体办法详见竞争性磋商文件评标办法和标准。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3"/>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29</w:t>
            </w:r>
          </w:p>
        </w:tc>
        <w:tc>
          <w:tcPr>
            <w:tcW w:w="8475" w:type="dxa"/>
            <w:noWrap w:val="0"/>
            <w:vAlign w:val="top"/>
          </w:tcPr>
          <w:p>
            <w:pPr>
              <w:pStyle w:val="23"/>
              <w:kinsoku w:val="0"/>
              <w:overflowPunct w:val="0"/>
              <w:spacing w:line="277" w:lineRule="exact"/>
              <w:ind w:left="102"/>
              <w:rPr>
                <w:rFonts w:hint="eastAsia" w:ascii="宋体" w:hAnsi="宋体" w:eastAsia="宋体" w:cs="宋体"/>
                <w:b/>
                <w:bCs/>
                <w:highlight w:val="none"/>
              </w:rPr>
            </w:pPr>
            <w:r>
              <w:rPr>
                <w:rFonts w:hint="eastAsia" w:ascii="宋体" w:hAnsi="宋体" w:eastAsia="宋体" w:cs="宋体"/>
                <w:b/>
                <w:bCs/>
                <w:highlight w:val="none"/>
              </w:rPr>
              <w:t>磋商响应性文件递交</w:t>
            </w:r>
            <w:bookmarkStart w:id="48" w:name="bookmark3"/>
            <w:bookmarkEnd w:id="48"/>
            <w:bookmarkStart w:id="49" w:name="（二）供应商须知"/>
            <w:bookmarkEnd w:id="49"/>
            <w:r>
              <w:rPr>
                <w:rFonts w:hint="eastAsia" w:ascii="宋体" w:hAnsi="宋体" w:eastAsia="宋体" w:cs="宋体"/>
                <w:b/>
                <w:bCs/>
                <w:highlight w:val="none"/>
              </w:rPr>
              <w:t xml:space="preserve">要求： </w:t>
            </w:r>
          </w:p>
          <w:p>
            <w:pPr>
              <w:pStyle w:val="23"/>
              <w:kinsoku w:val="0"/>
              <w:overflowPunct w:val="0"/>
              <w:spacing w:before="38"/>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供应商参加磋商时，供应商的法定代表人或委托代理人在开标时必须到达现场，并提供授权委托书原件和有效的居民身份证备验，现场核查后，方可接收投标人的磋商响应性文件；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30</w:t>
            </w:r>
          </w:p>
        </w:tc>
        <w:tc>
          <w:tcPr>
            <w:tcW w:w="8475" w:type="dxa"/>
            <w:noWrap w:val="0"/>
            <w:vAlign w:val="top"/>
          </w:tcPr>
          <w:p>
            <w:pPr>
              <w:pStyle w:val="23"/>
              <w:kinsoku w:val="0"/>
              <w:overflowPunct w:val="0"/>
              <w:spacing w:before="38"/>
              <w:ind w:left="102" w:firstLine="472" w:firstLineChars="200"/>
              <w:rPr>
                <w:rFonts w:hint="eastAsia" w:ascii="宋体" w:hAnsi="宋体" w:eastAsia="宋体" w:cs="宋体"/>
                <w:spacing w:val="-2"/>
                <w:highlight w:val="none"/>
                <w:lang w:eastAsia="zh-CN"/>
              </w:rPr>
            </w:pPr>
            <w:r>
              <w:rPr>
                <w:rFonts w:hint="eastAsia" w:ascii="宋体" w:hAnsi="宋体" w:eastAsia="宋体" w:cs="宋体"/>
                <w:spacing w:val="-2"/>
                <w:highlight w:val="none"/>
                <w:lang w:eastAsia="zh-CN"/>
              </w:rPr>
              <w:t>关于放弃磋商：</w:t>
            </w:r>
            <w:r>
              <w:rPr>
                <w:rFonts w:hint="eastAsia" w:ascii="宋体" w:hAnsi="宋体" w:eastAsia="宋体" w:cs="宋体"/>
                <w:b w:val="0"/>
                <w:bCs w:val="0"/>
                <w:color w:val="auto"/>
                <w:kern w:val="0"/>
                <w:sz w:val="24"/>
                <w:szCs w:val="24"/>
                <w:highlight w:val="none"/>
                <w:lang w:val="en-US" w:eastAsia="zh-CN"/>
              </w:rPr>
              <w:t>供应商获取磋商文件后如放弃磋商，需在提交响应文件截止前1日提交书面弃标函（如不然，将承担相应的失信后果）。</w:t>
            </w:r>
          </w:p>
        </w:tc>
      </w:tr>
    </w:tbl>
    <w:p>
      <w:pPr>
        <w:rPr>
          <w:rFonts w:hint="eastAsia" w:ascii="宋体" w:hAnsi="宋体" w:eastAsia="宋体" w:cs="宋体"/>
          <w:highlight w:val="none"/>
        </w:rPr>
      </w:pPr>
    </w:p>
    <w:p>
      <w:pPr>
        <w:pStyle w:val="5"/>
        <w:rPr>
          <w:rFonts w:hint="eastAsia" w:ascii="宋体" w:hAnsi="宋体" w:eastAsia="宋体" w:cs="宋体"/>
          <w:color w:val="000000"/>
          <w:highlight w:val="none"/>
        </w:rPr>
      </w:pPr>
      <w:r>
        <w:rPr>
          <w:rFonts w:hint="eastAsia" w:ascii="宋体" w:hAnsi="宋体" w:eastAsia="宋体" w:cs="宋体"/>
          <w:highlight w:val="none"/>
        </w:rPr>
        <w:br w:type="page"/>
      </w:r>
      <w:bookmarkStart w:id="50" w:name="_Toc24361"/>
      <w:r>
        <w:rPr>
          <w:rFonts w:hint="eastAsia" w:ascii="宋体" w:hAnsi="宋体" w:eastAsia="宋体" w:cs="宋体"/>
          <w:color w:val="000000"/>
          <w:highlight w:val="none"/>
        </w:rPr>
        <w:t>（二）供应商须知</w:t>
      </w:r>
      <w:bookmarkEnd w:id="50"/>
    </w:p>
    <w:p>
      <w:pPr>
        <w:pStyle w:val="9"/>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1、综合说明</w:t>
      </w:r>
    </w:p>
    <w:p>
      <w:pPr>
        <w:pStyle w:val="9"/>
        <w:kinsoku w:val="0"/>
        <w:overflowPunct w:val="0"/>
        <w:spacing w:before="130" w:line="355" w:lineRule="auto"/>
        <w:ind w:left="0"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本项目按照《中华人民共和国政府采购法》、《中华人民共和国政府采购法实施条 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9"/>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2.适用范围</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本竞争性磋商文件仅适用于本次磋商所叙述的磋商项目。</w:t>
      </w:r>
    </w:p>
    <w:p>
      <w:pPr>
        <w:pStyle w:val="9"/>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spacing w:val="-1"/>
          <w:highlight w:val="none"/>
        </w:rPr>
        <w:t>3.定义</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 “政府采购当事人”系指在政府采购活动中享有权利和承担义务的各类主体，包括采购人、供应商和招标代理机构。</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3.2 “采购人”系指</w:t>
      </w:r>
      <w:r>
        <w:rPr>
          <w:rFonts w:hint="eastAsia" w:ascii="宋体" w:hAnsi="宋体" w:eastAsia="宋体" w:cs="宋体"/>
          <w:i w:val="0"/>
          <w:iCs w:val="0"/>
          <w:color w:val="auto"/>
          <w:sz w:val="24"/>
          <w:szCs w:val="24"/>
          <w:highlight w:val="none"/>
          <w:u w:val="none"/>
        </w:rPr>
        <w:t>新疆维吾尔自治区文化和旅游厅</w:t>
      </w:r>
      <w:r>
        <w:rPr>
          <w:rFonts w:hint="eastAsia" w:ascii="宋体" w:hAnsi="宋体" w:eastAsia="宋体" w:cs="宋体"/>
          <w:color w:val="000000"/>
          <w:spacing w:val="4"/>
          <w:highlight w:val="none"/>
        </w:rPr>
        <w:t>；</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3.3 “招标代理机构”系指</w:t>
      </w:r>
      <w:r>
        <w:rPr>
          <w:rFonts w:hint="eastAsia" w:ascii="宋体" w:hAnsi="宋体" w:eastAsia="宋体" w:cs="宋体"/>
          <w:color w:val="auto"/>
          <w:sz w:val="24"/>
          <w:highlight w:val="none"/>
        </w:rPr>
        <w:t>新疆信尔成工程项目管理有限公司</w:t>
      </w:r>
      <w:r>
        <w:rPr>
          <w:rFonts w:hint="eastAsia" w:ascii="宋体" w:hAnsi="宋体" w:eastAsia="宋体" w:cs="宋体"/>
          <w:color w:val="000000"/>
          <w:spacing w:val="4"/>
          <w:highlight w:val="none"/>
        </w:rPr>
        <w:t>；</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3.4 “供应商、磋商单位、响应人”系指符合本磋商项目资质要求，参加磋商竞争的法人机构或其他组织。</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3.5 “竞争性磋商文件”系指由采购人和招标代理机构发出的文本、文件，包括全部章节和附件及答疑会议纪要。</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3.6 “磋商响应性文件”系指供应商根据本《竞争性磋商文件》向采购人提交的全部文件。</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3.7 “采购文件”系指包括采购活动的记录、采购预算、竞争性磋商文件、磋商响应性文件、评标标准、评估报告、定标文件、合同文本、验收证明、质疑答复、投诉处理决定及其他有关文件、资料。</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3.8 “书面形式”系指任何手写、打印或印刷的各种函件，不包括电传、电报、传真、电子邮件。</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3.9 “货物”系指供应商中标后根据竞争性磋商文件和合同的规定须向采购人提供的各种形态和种类的货物。</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3.10 “服务”系指供应商中标后根据竞争性磋商文件和合同的规定承担有关的服务。</w:t>
      </w:r>
    </w:p>
    <w:p>
      <w:pPr>
        <w:pStyle w:val="9"/>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4.合格的供应商</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4.1 具备“供应商须知前附表”第六款的基本条件；</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4.2 凡是符合国家工商行政管理部门登记审核，具有相应生产经营许可的，有一定技术实力和生产规模，并有能力提供招标货物的</w:t>
      </w:r>
      <w:r>
        <w:rPr>
          <w:rFonts w:hint="eastAsia" w:ascii="宋体" w:hAnsi="宋体" w:eastAsia="宋体" w:cs="宋体"/>
          <w:color w:val="000000"/>
          <w:spacing w:val="4"/>
          <w:highlight w:val="none"/>
          <w:lang w:eastAsia="zh-CN"/>
        </w:rPr>
        <w:t>供应商</w:t>
      </w:r>
      <w:r>
        <w:rPr>
          <w:rFonts w:hint="eastAsia" w:ascii="宋体" w:hAnsi="宋体" w:eastAsia="宋体" w:cs="宋体"/>
          <w:color w:val="000000"/>
          <w:spacing w:val="4"/>
          <w:highlight w:val="none"/>
        </w:rPr>
        <w:t>。</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4.3 投标单位不得直接或间接地与本次招标进行设计、编制规范和其他文件所委托的咨询公司或其附属机构有任何关联；</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4.5 遵守国家有关的法律、法规和条例及《竞争性磋商文件》的规定。</w:t>
      </w:r>
    </w:p>
    <w:p>
      <w:pPr>
        <w:pStyle w:val="9"/>
        <w:kinsoku w:val="0"/>
        <w:overflowPunct w:val="0"/>
        <w:spacing w:before="151"/>
        <w:rPr>
          <w:rFonts w:hint="eastAsia" w:ascii="宋体" w:hAnsi="宋体" w:eastAsia="宋体" w:cs="宋体"/>
          <w:color w:val="000000"/>
          <w:highlight w:val="none"/>
        </w:rPr>
      </w:pPr>
      <w:r>
        <w:rPr>
          <w:rFonts w:hint="eastAsia" w:ascii="宋体" w:hAnsi="宋体" w:eastAsia="宋体" w:cs="宋体"/>
          <w:b/>
          <w:bCs/>
          <w:color w:val="000000"/>
          <w:highlight w:val="none"/>
        </w:rPr>
        <w:t>5.费用承担</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供应商应承担与招标代理活动有关的一切费用。不论招标的结果如何，招标代理机构和采购人在任何情况下均无义务和责任承担这些费用。</w:t>
      </w:r>
    </w:p>
    <w:p>
      <w:pPr>
        <w:pStyle w:val="9"/>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6.</w:t>
      </w:r>
      <w:r>
        <w:rPr>
          <w:rFonts w:hint="eastAsia" w:ascii="宋体" w:hAnsi="宋体" w:eastAsia="宋体" w:cs="宋体"/>
          <w:color w:val="000000"/>
          <w:spacing w:val="4"/>
          <w:kern w:val="2"/>
          <w:sz w:val="21"/>
          <w:szCs w:val="22"/>
          <w:highlight w:val="none"/>
        </w:rPr>
        <w:t xml:space="preserve"> </w:t>
      </w:r>
      <w:r>
        <w:rPr>
          <w:rFonts w:hint="eastAsia" w:ascii="宋体" w:hAnsi="宋体" w:eastAsia="宋体" w:cs="宋体"/>
          <w:b/>
          <w:bCs/>
          <w:color w:val="000000"/>
          <w:highlight w:val="none"/>
        </w:rPr>
        <w:t>招标代理服务费</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bCs/>
          <w:color w:val="000000"/>
          <w:highlight w:val="none"/>
        </w:rPr>
        <w:t>成交供应商</w:t>
      </w:r>
      <w:r>
        <w:rPr>
          <w:rFonts w:hint="eastAsia" w:ascii="宋体" w:hAnsi="宋体" w:eastAsia="宋体" w:cs="宋体"/>
          <w:color w:val="000000"/>
          <w:spacing w:val="4"/>
          <w:highlight w:val="none"/>
        </w:rPr>
        <w:t>应承担所有与准备和参加磋商有关的费用。不论磋商的结果如何，招标代理机构和采购人均无义务和责任承担这些费用；</w:t>
      </w:r>
    </w:p>
    <w:p>
      <w:pPr>
        <w:pStyle w:val="9"/>
        <w:kinsoku w:val="0"/>
        <w:overflowPunct w:val="0"/>
        <w:spacing w:before="130" w:line="355" w:lineRule="auto"/>
        <w:ind w:right="7" w:firstLine="480"/>
        <w:rPr>
          <w:rFonts w:hint="eastAsia" w:ascii="宋体" w:hAnsi="宋体" w:eastAsia="宋体" w:cs="宋体"/>
          <w:bCs/>
          <w:color w:val="000000"/>
          <w:highlight w:val="none"/>
        </w:rPr>
      </w:pPr>
      <w:r>
        <w:rPr>
          <w:rFonts w:hint="eastAsia" w:ascii="宋体" w:hAnsi="宋体" w:eastAsia="宋体" w:cs="宋体"/>
          <w:bCs/>
          <w:color w:val="000000"/>
          <w:highlight w:val="none"/>
        </w:rPr>
        <w:t>成交供应商在领取《成交通知书》时须一次性付给采购代理单位采购代理服务费，招标代理服务费参照国家计委《招标代理服务收费管理暂行办法》(计价格﹝2002﹞1980 号)所规定取费。</w:t>
      </w:r>
    </w:p>
    <w:p>
      <w:pPr>
        <w:pStyle w:val="9"/>
        <w:kinsoku w:val="0"/>
        <w:overflowPunct w:val="0"/>
        <w:rPr>
          <w:rFonts w:hint="eastAsia" w:ascii="宋体" w:hAnsi="宋体" w:eastAsia="宋体" w:cs="宋体"/>
          <w:b/>
          <w:bCs/>
          <w:color w:val="000000"/>
          <w:highlight w:val="none"/>
        </w:rPr>
      </w:pPr>
      <w:r>
        <w:rPr>
          <w:rFonts w:hint="eastAsia" w:ascii="宋体" w:hAnsi="宋体" w:eastAsia="宋体" w:cs="宋体"/>
          <w:b/>
          <w:bCs/>
          <w:color w:val="000000"/>
          <w:spacing w:val="1"/>
          <w:highlight w:val="none"/>
        </w:rPr>
        <w:t>7.</w:t>
      </w:r>
      <w:r>
        <w:rPr>
          <w:rFonts w:hint="eastAsia" w:ascii="宋体" w:hAnsi="宋体" w:eastAsia="宋体" w:cs="宋体"/>
          <w:b/>
          <w:bCs/>
          <w:color w:val="000000"/>
          <w:spacing w:val="-23"/>
          <w:highlight w:val="none"/>
        </w:rPr>
        <w:t xml:space="preserve"> </w:t>
      </w:r>
      <w:r>
        <w:rPr>
          <w:rFonts w:hint="eastAsia" w:ascii="宋体" w:hAnsi="宋体" w:eastAsia="宋体" w:cs="宋体"/>
          <w:b/>
          <w:bCs/>
          <w:color w:val="000000"/>
          <w:highlight w:val="none"/>
        </w:rPr>
        <w:t>踏勘现场和答疑会</w:t>
      </w:r>
    </w:p>
    <w:p>
      <w:pPr>
        <w:pStyle w:val="9"/>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不组织</w:t>
      </w:r>
    </w:p>
    <w:p>
      <w:pPr>
        <w:pStyle w:val="9"/>
        <w:kinsoku w:val="0"/>
        <w:overflowPunct w:val="0"/>
        <w:spacing w:before="151" w:line="357" w:lineRule="auto"/>
        <w:ind w:right="963"/>
        <w:rPr>
          <w:rFonts w:hint="eastAsia" w:ascii="宋体" w:hAnsi="宋体" w:eastAsia="宋体" w:cs="宋体"/>
          <w:color w:val="000000"/>
          <w:highlight w:val="none"/>
        </w:rPr>
      </w:pPr>
      <w:r>
        <w:rPr>
          <w:rFonts w:hint="eastAsia" w:ascii="宋体" w:hAnsi="宋体" w:eastAsia="宋体" w:cs="宋体"/>
          <w:b/>
          <w:bCs/>
          <w:color w:val="000000"/>
          <w:highlight w:val="none"/>
        </w:rPr>
        <w:t>8．保密</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参与招标投标活动的各方应对竞争性磋商文件和磋商响应性文件中的商业和技术等秘密保密，违者应对由此造成的后果承担法律责任。</w:t>
      </w:r>
    </w:p>
    <w:p>
      <w:pPr>
        <w:pStyle w:val="9"/>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9.</w:t>
      </w:r>
      <w:r>
        <w:rPr>
          <w:rFonts w:hint="eastAsia" w:ascii="宋体" w:hAnsi="宋体" w:eastAsia="宋体" w:cs="宋体"/>
          <w:b/>
          <w:bCs/>
          <w:spacing w:val="-12"/>
          <w:highlight w:val="none"/>
        </w:rPr>
        <w:t xml:space="preserve"> </w:t>
      </w:r>
      <w:r>
        <w:rPr>
          <w:rFonts w:hint="eastAsia" w:ascii="宋体" w:hAnsi="宋体" w:eastAsia="宋体" w:cs="宋体"/>
          <w:b/>
          <w:bCs/>
          <w:highlight w:val="none"/>
        </w:rPr>
        <w:t>适用法律</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本次政府采购，招标采购单位、供应商、磋商小组的相关行为均受《《中华人民共和国政府采购法》、《中华人民共和国政府采购法实施条例》、《政府采购货物和服务 招标投标管理办法》、《政府购买服务管理办法（暂行）》、《政府采购竞争性磋商采购方式管理暂行办法》和本项目采购人本级和上级财政部门政府采购有关规定的约束，其权利受到上述法律法规的保护。</w:t>
      </w:r>
    </w:p>
    <w:p>
      <w:pPr>
        <w:pStyle w:val="5"/>
        <w:rPr>
          <w:rFonts w:hint="eastAsia" w:ascii="宋体" w:hAnsi="宋体" w:eastAsia="宋体" w:cs="宋体"/>
          <w:highlight w:val="none"/>
        </w:rPr>
      </w:pPr>
      <w:bookmarkStart w:id="51" w:name="_Toc20516"/>
      <w:r>
        <w:rPr>
          <w:rFonts w:hint="eastAsia" w:ascii="宋体" w:hAnsi="宋体" w:eastAsia="宋体" w:cs="宋体"/>
          <w:highlight w:val="none"/>
        </w:rPr>
        <w:t>（三）《竞争性磋商文件》</w:t>
      </w:r>
      <w:bookmarkEnd w:id="51"/>
    </w:p>
    <w:p>
      <w:pPr>
        <w:pStyle w:val="9"/>
        <w:kinsoku w:val="0"/>
        <w:overflowPunct w:val="0"/>
        <w:spacing w:before="122" w:line="357" w:lineRule="auto"/>
        <w:ind w:left="598" w:hanging="480"/>
        <w:rPr>
          <w:rFonts w:hint="eastAsia" w:ascii="宋体" w:hAnsi="宋体" w:eastAsia="宋体" w:cs="宋体"/>
          <w:b/>
          <w:bCs/>
          <w:spacing w:val="27"/>
          <w:w w:val="99"/>
          <w:highlight w:val="none"/>
        </w:rPr>
      </w:pPr>
      <w:r>
        <w:rPr>
          <w:rFonts w:hint="eastAsia" w:ascii="宋体" w:hAnsi="宋体" w:eastAsia="宋体" w:cs="宋体"/>
          <w:b/>
          <w:bCs/>
          <w:highlight w:val="none"/>
        </w:rPr>
        <w:t>1.《竞争性磋商文件》的组成</w:t>
      </w:r>
      <w:r>
        <w:rPr>
          <w:rFonts w:hint="eastAsia" w:ascii="宋体" w:hAnsi="宋体" w:eastAsia="宋体" w:cs="宋体"/>
          <w:b/>
          <w:bCs/>
          <w:spacing w:val="27"/>
          <w:w w:val="99"/>
          <w:highlight w:val="none"/>
        </w:rPr>
        <w:t xml:space="preserve"> </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竞争性文件用以阐明招标项目所需的资质、技术、服务及报价等要求、招标投标程序、有关规定和注意事项以及合同主要条款等。本竞争性磋商文件包括以下内容,但不限于这些内容：</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1）投标邀请书</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2）供应商须知及前附表</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3）评标办法</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4）磋商内容</w:t>
      </w:r>
    </w:p>
    <w:p>
      <w:pPr>
        <w:pStyle w:val="9"/>
        <w:kinsoku w:val="0"/>
        <w:overflowPunct w:val="0"/>
        <w:spacing w:before="130" w:line="355" w:lineRule="auto"/>
        <w:ind w:right="7" w:firstLine="480"/>
        <w:rPr>
          <w:rFonts w:hint="eastAsia" w:ascii="宋体" w:hAnsi="宋体" w:eastAsia="宋体" w:cs="宋体"/>
          <w:spacing w:val="4"/>
          <w:highlight w:val="none"/>
        </w:rPr>
      </w:pPr>
      <w:bookmarkStart w:id="52" w:name="bookmark5"/>
      <w:bookmarkEnd w:id="52"/>
      <w:bookmarkStart w:id="53" w:name="（四）《磋商响应性文件》的编制"/>
      <w:bookmarkEnd w:id="53"/>
      <w:r>
        <w:rPr>
          <w:rFonts w:hint="eastAsia" w:ascii="宋体" w:hAnsi="宋体" w:eastAsia="宋体" w:cs="宋体"/>
          <w:spacing w:val="4"/>
          <w:highlight w:val="none"/>
        </w:rPr>
        <w:t>5）合同条款及合同格式</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6）《磋商响应性文件》格式</w:t>
      </w:r>
    </w:p>
    <w:p>
      <w:pPr>
        <w:pStyle w:val="9"/>
        <w:kinsoku w:val="0"/>
        <w:overflowPunct w:val="0"/>
        <w:spacing w:line="355" w:lineRule="auto"/>
        <w:ind w:left="598" w:right="50" w:hanging="480"/>
        <w:rPr>
          <w:rFonts w:hint="eastAsia" w:ascii="宋体" w:hAnsi="宋体" w:eastAsia="宋体" w:cs="宋体"/>
          <w:b/>
          <w:bCs/>
          <w:spacing w:val="27"/>
          <w:w w:val="99"/>
          <w:highlight w:val="none"/>
        </w:rPr>
      </w:pPr>
      <w:r>
        <w:rPr>
          <w:rFonts w:hint="eastAsia" w:ascii="宋体" w:hAnsi="宋体" w:eastAsia="宋体" w:cs="宋体"/>
          <w:b/>
          <w:bCs/>
          <w:highlight w:val="none"/>
        </w:rPr>
        <w:t>2.《竞争性磋商文件》的澄清</w:t>
      </w:r>
      <w:r>
        <w:rPr>
          <w:rFonts w:hint="eastAsia" w:ascii="宋体" w:hAnsi="宋体" w:eastAsia="宋体" w:cs="宋体"/>
          <w:b/>
          <w:bCs/>
          <w:spacing w:val="27"/>
          <w:w w:val="99"/>
          <w:highlight w:val="none"/>
        </w:rPr>
        <w:t xml:space="preserve"> </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供应商若对《竞争性磋商文件》有任何疑问，根据《政府采购货物和服务招标投标管理办法》相关规定，供应商应于投标截止日期 3 日前以书面形式向招标代理机构提出 澄清要求，送至招标代理机构。如认为有必要，招标代理机构将以书面形式予以澄清，同时将书面澄清文件向所有供应商发送。供应商在收到该澄清文件后，应于 1 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9"/>
        <w:kinsoku w:val="0"/>
        <w:overflowPunct w:val="0"/>
        <w:spacing w:before="151" w:line="356" w:lineRule="auto"/>
        <w:ind w:right="106"/>
        <w:jc w:val="both"/>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bCs/>
          <w:highlight w:val="none"/>
        </w:rPr>
        <w:t>3.《竞争性磋商文件》的修改</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3.1 投标截止期 3 日前，无论出于何种原因，招标采购单位可主动地或在解答供应商提出的澄清问题时对《竞争性磋商文件》进行修改，《竞争性磋商文件》的修改书将构成《竞争性磋商文件》的组成部分。</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3.2《竞争性磋商文件》的修改将以书面形式通知所有领取《竞争性磋商文件》的投标单位，并对其具有约束力。供应商在收到上述通知后，应于 1 日内以书面形式（加盖公章）向招标代理机构予以确认。未确认情况应当视为对竞争性磋商文件修改的知晓，也将视为对修改内容接受的默认。</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3.3 为使供应商在编制《磋商响应性文件》时有充分时间对《竞争性磋商文件》的修改部分进行研究，招标代理机构可自行决定是否延长投标截止日期和推迟开标时间，并通知全部供应商。</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3.4 供应商在应当领取竞争性磋商文件的 3 日内可对竞争性磋商文件的内容提出质 疑，招标采购单位按规定时间答复，超过时间的质疑将不予接受。</w:t>
      </w:r>
    </w:p>
    <w:p>
      <w:pPr>
        <w:pStyle w:val="5"/>
        <w:rPr>
          <w:rFonts w:hint="eastAsia" w:ascii="宋体" w:hAnsi="宋体" w:eastAsia="宋体" w:cs="宋体"/>
          <w:highlight w:val="none"/>
        </w:rPr>
      </w:pPr>
      <w:bookmarkStart w:id="54" w:name="_Toc8528"/>
      <w:r>
        <w:rPr>
          <w:rFonts w:hint="eastAsia" w:ascii="宋体" w:hAnsi="宋体" w:eastAsia="宋体" w:cs="宋体"/>
          <w:highlight w:val="none"/>
        </w:rPr>
        <w:t>（四）《磋商响应性文件》的编制</w:t>
      </w:r>
      <w:bookmarkEnd w:id="54"/>
    </w:p>
    <w:p>
      <w:pPr>
        <w:pStyle w:val="9"/>
        <w:kinsoku w:val="0"/>
        <w:overflowPunct w:val="0"/>
        <w:spacing w:before="124"/>
        <w:rPr>
          <w:rFonts w:hint="eastAsia" w:ascii="宋体" w:hAnsi="宋体" w:eastAsia="宋体" w:cs="宋体"/>
          <w:highlight w:val="none"/>
        </w:rPr>
      </w:pPr>
      <w:r>
        <w:rPr>
          <w:rFonts w:hint="eastAsia" w:ascii="宋体" w:hAnsi="宋体" w:eastAsia="宋体" w:cs="宋体"/>
          <w:b/>
          <w:bCs/>
          <w:spacing w:val="1"/>
          <w:highlight w:val="none"/>
        </w:rPr>
        <w:t>1.</w:t>
      </w:r>
      <w:r>
        <w:rPr>
          <w:rFonts w:hint="eastAsia" w:ascii="宋体" w:hAnsi="宋体" w:eastAsia="宋体" w:cs="宋体"/>
          <w:b/>
          <w:bCs/>
          <w:spacing w:val="-22"/>
          <w:highlight w:val="none"/>
        </w:rPr>
        <w:t xml:space="preserve"> </w:t>
      </w:r>
      <w:r>
        <w:rPr>
          <w:rFonts w:hint="eastAsia" w:ascii="宋体" w:hAnsi="宋体" w:eastAsia="宋体" w:cs="宋体"/>
          <w:b/>
          <w:bCs/>
          <w:highlight w:val="none"/>
        </w:rPr>
        <w:t>《磋商响应性文件》编制要求</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 磋商响应性文件应字迹清楚，内容齐全，不得涂改和增删。如有修改错漏处，必须由供应商法定代表人或其授权代表签字。资格证明材料的复印件应是清晰可辨并加盖供应商鲜章。</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 磋商响应性文件所提供的全部资料必须真实可靠。若磋商响应性文件填报的内容资料不详，或提供了虚假资料，其磋商响应性文件为无效磋商响应性文件。</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 磋商响应性文件应严格按照竞争性磋商文件格式的要求提交，并按规定的统一 格式逐项填写，不准有空项；无相应内容可填的项应填写“无”、“没有相应指标”等明确的回答文字。</w:t>
      </w:r>
    </w:p>
    <w:p>
      <w:pPr>
        <w:pStyle w:val="9"/>
        <w:kinsoku w:val="0"/>
        <w:overflowPunct w:val="0"/>
        <w:spacing w:before="35"/>
        <w:rPr>
          <w:rFonts w:hint="eastAsia" w:ascii="宋体" w:hAnsi="宋体" w:eastAsia="宋体" w:cs="宋体"/>
          <w:highlight w:val="none"/>
        </w:rPr>
      </w:pPr>
      <w:r>
        <w:rPr>
          <w:rFonts w:hint="eastAsia" w:ascii="宋体" w:hAnsi="宋体" w:eastAsia="宋体" w:cs="宋体"/>
          <w:b/>
          <w:bCs/>
          <w:spacing w:val="1"/>
          <w:highlight w:val="none"/>
        </w:rPr>
        <w:t>2.</w:t>
      </w:r>
      <w:r>
        <w:rPr>
          <w:rFonts w:hint="eastAsia" w:ascii="宋体" w:hAnsi="宋体" w:eastAsia="宋体" w:cs="宋体"/>
          <w:b/>
          <w:bCs/>
          <w:spacing w:val="-19"/>
          <w:highlight w:val="none"/>
        </w:rPr>
        <w:t xml:space="preserve"> </w:t>
      </w:r>
      <w:r>
        <w:rPr>
          <w:rFonts w:hint="eastAsia" w:ascii="宋体" w:hAnsi="宋体" w:eastAsia="宋体" w:cs="宋体"/>
          <w:b/>
          <w:bCs/>
          <w:highlight w:val="none"/>
        </w:rPr>
        <w:t>投标语言：</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2.1 专用术语外，与招标投标有关的磋商响应性文件、投标交换的文件和往来信件应均使用中文，必要时专用术语应附有中文注释。</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2.2 磋商响应性文件中如附有外文资料，必须逐一对应翻译成中文并加盖供应商公章后附在相关外文资料后面，否则，供应商的磋商响应性文件将作为无效投标处理。</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2.3 翻译的中文资料与外文资料如果出现差异和矛盾时，以中文为准。但不能故意错误翻译，否则供应商的磋商响应性文件将作为无效投标处理。</w:t>
      </w:r>
    </w:p>
    <w:p>
      <w:pPr>
        <w:pStyle w:val="9"/>
        <w:kinsoku w:val="0"/>
        <w:overflowPunct w:val="0"/>
        <w:spacing w:before="34" w:line="356" w:lineRule="auto"/>
        <w:ind w:left="0" w:right="50"/>
        <w:rPr>
          <w:rFonts w:hint="eastAsia" w:ascii="宋体" w:hAnsi="宋体" w:eastAsia="宋体" w:cs="宋体"/>
          <w:b/>
          <w:bCs/>
          <w:spacing w:val="-2"/>
          <w:highlight w:val="none"/>
        </w:rPr>
      </w:pPr>
      <w:r>
        <w:rPr>
          <w:rFonts w:hint="eastAsia" w:ascii="宋体" w:hAnsi="宋体" w:eastAsia="宋体" w:cs="宋体"/>
          <w:highlight w:val="none"/>
        </w:rPr>
        <w:t xml:space="preserve"> </w:t>
      </w:r>
      <w:r>
        <w:rPr>
          <w:rFonts w:hint="eastAsia" w:ascii="宋体" w:hAnsi="宋体" w:eastAsia="宋体" w:cs="宋体"/>
          <w:b/>
          <w:bCs/>
          <w:spacing w:val="-2"/>
          <w:highlight w:val="none"/>
        </w:rPr>
        <w:t>3.计量单位：</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除工程规范中另有规定外，磋商响应性文件使用的度量衡单位，均应使用中华人民共和国法定计量单位。</w:t>
      </w:r>
    </w:p>
    <w:p>
      <w:pPr>
        <w:pStyle w:val="9"/>
        <w:kinsoku w:val="0"/>
        <w:overflowPunct w:val="0"/>
        <w:spacing w:before="37"/>
        <w:rPr>
          <w:rFonts w:hint="eastAsia" w:ascii="宋体" w:hAnsi="宋体" w:eastAsia="宋体" w:cs="宋体"/>
          <w:b/>
          <w:bCs/>
          <w:highlight w:val="none"/>
        </w:rPr>
      </w:pPr>
      <w:r>
        <w:rPr>
          <w:rFonts w:hint="eastAsia" w:ascii="宋体" w:hAnsi="宋体" w:eastAsia="宋体" w:cs="宋体"/>
          <w:b/>
          <w:bCs/>
          <w:highlight w:val="none"/>
        </w:rPr>
        <w:t>4.投标货币：</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本次招标项目的投标均以人民币报价。</w:t>
      </w:r>
    </w:p>
    <w:p>
      <w:pPr>
        <w:pStyle w:val="9"/>
        <w:kinsoku w:val="0"/>
        <w:overflowPunct w:val="0"/>
        <w:rPr>
          <w:rFonts w:hint="eastAsia" w:ascii="宋体" w:hAnsi="宋体" w:eastAsia="宋体" w:cs="宋体"/>
          <w:b/>
          <w:bCs/>
          <w:highlight w:val="none"/>
        </w:rPr>
      </w:pPr>
      <w:r>
        <w:rPr>
          <w:rFonts w:hint="eastAsia" w:ascii="宋体" w:hAnsi="宋体" w:eastAsia="宋体" w:cs="宋体"/>
          <w:b/>
          <w:bCs/>
          <w:highlight w:val="none"/>
        </w:rPr>
        <w:t>5.联合投标：</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本项目不接受联合体投标。</w:t>
      </w:r>
    </w:p>
    <w:p>
      <w:pPr>
        <w:pStyle w:val="9"/>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6.知识产权</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6.2 采购人享有本项目实施过程中产生的知识成果及知识产权。</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6.4 如采用供应商所不拥有的知识产权，则在投标报价中必须包括合法获取该知识产权的相关费用。</w:t>
      </w:r>
    </w:p>
    <w:p>
      <w:pPr>
        <w:pStyle w:val="9"/>
        <w:kinsoku w:val="0"/>
        <w:overflowPunct w:val="0"/>
        <w:spacing w:before="26"/>
        <w:rPr>
          <w:rFonts w:hint="eastAsia" w:ascii="宋体" w:hAnsi="宋体" w:eastAsia="宋体" w:cs="宋体"/>
          <w:highlight w:val="none"/>
        </w:rPr>
      </w:pPr>
      <w:r>
        <w:rPr>
          <w:rFonts w:hint="eastAsia" w:ascii="宋体" w:hAnsi="宋体" w:eastAsia="宋体" w:cs="宋体"/>
          <w:b/>
          <w:bCs/>
          <w:highlight w:val="none"/>
        </w:rPr>
        <w:t>7.《磋商响应性文件》的组成</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《磋商响应性文件》应由商务文件部分（包括资格证明文件）、技术文件部分（包括技术响应、服务方案等）、投标报价及其它部分组成，所有复印件须加盖公章。按如下顺序编制：</w:t>
      </w:r>
    </w:p>
    <w:p>
      <w:pPr>
        <w:pStyle w:val="9"/>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7.1  商务文件部分、投标报价部分应包括：</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(1)投标函；</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(2)法定代表人身份证明（附法定代表人身份证复印件）； </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(3)授权委托书（附被授权人身份证复印件）； </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(4)投标保证金缴纳凭证（复印件加盖公章）； </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(5</w:t>
      </w:r>
      <w:r>
        <w:rPr>
          <w:rFonts w:hint="eastAsia" w:ascii="宋体" w:hAnsi="宋体" w:eastAsia="宋体" w:cs="宋体"/>
          <w:spacing w:val="4"/>
          <w:highlight w:val="none"/>
          <w:lang w:val="en-US" w:eastAsia="zh-CN"/>
        </w:rPr>
        <w:t xml:space="preserve"> </w:t>
      </w:r>
      <w:r>
        <w:rPr>
          <w:rFonts w:hint="eastAsia" w:ascii="宋体" w:hAnsi="宋体" w:eastAsia="宋体" w:cs="宋体"/>
          <w:highlight w:val="none"/>
        </w:rPr>
        <w:t>报价一览表</w:t>
      </w:r>
      <w:r>
        <w:rPr>
          <w:rFonts w:hint="eastAsia" w:ascii="宋体" w:hAnsi="宋体" w:eastAsia="宋体" w:cs="宋体"/>
          <w:spacing w:val="4"/>
          <w:highlight w:val="none"/>
        </w:rPr>
        <w:t>；</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(6)投标报价汇总表； </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(7)供应商基本情况；</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1）供应商基本情况表；</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2）营业执照副本、税务登记证、组织机构代码证、（三证合一的提供统一社会信用代码的营业执照）、公司资质证书（复印件加盖公章）；</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3）近1年财务状况报告相关材料（复印件加盖公章）；</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4）单位社会保障缴费证明（复印件加盖公章）；</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w:t>
      </w:r>
      <w:r>
        <w:rPr>
          <w:rFonts w:hint="eastAsia" w:ascii="宋体" w:hAnsi="宋体" w:eastAsia="宋体" w:cs="宋体"/>
          <w:b/>
          <w:bCs/>
          <w:spacing w:val="4"/>
          <w:highlight w:val="none"/>
        </w:rPr>
        <w:t xml:space="preserve"> </w:t>
      </w:r>
      <w:r>
        <w:rPr>
          <w:rFonts w:hint="eastAsia" w:ascii="宋体" w:hAnsi="宋体" w:eastAsia="宋体" w:cs="宋体"/>
          <w:spacing w:val="4"/>
          <w:highlight w:val="none"/>
        </w:rPr>
        <w:t xml:space="preserve">一般商务条款偏离表； </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(9)同类项目业绩介绍； </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(10)中小企业声明函（符合本声明函填写）；</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(11)残疾人福利性单位声明函（符合本声明函填写） ；</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(12)缴纳招标代理服务费承诺书；</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(13)退还保证金说明函；</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(14)其他商务资格证明资料（格式自定）。</w:t>
      </w:r>
    </w:p>
    <w:p>
      <w:pPr>
        <w:pStyle w:val="9"/>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7.2 技术文件部分应包括：</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(16)项目实施方案；</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(17)供应商认为需要提交的技术资料；</w:t>
      </w:r>
    </w:p>
    <w:p>
      <w:pPr>
        <w:pStyle w:val="9"/>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7.3 本次投标报价要求：</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7.3.1 总价格包括完成采购范围内全部内容采购及相关伴随服务全过程的全部费用。</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7.3.2 供应商只允许在《磋商响应性文件》中有一个报价，并且在合同履行过程中是固定不变的，任何有选择或可调整的报价将不予接受，并按无效投标处理。</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7.3.3 供应商的报价作为评标的重要依据之一，但并不是本项目采购人招标、评标确定中标供应商的唯一依据。拒绝不计成本的故意压低投标报价和恶意以低价投标的行为。</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7.3.4 本项目投标报价是在符合竞争性磋商文件对项目相关要求的情况下，以最大限度的折扣价或优惠后价格的体现。</w:t>
      </w:r>
    </w:p>
    <w:p>
      <w:pPr>
        <w:pStyle w:val="9"/>
        <w:kinsoku w:val="0"/>
        <w:overflowPunct w:val="0"/>
        <w:spacing w:before="36"/>
        <w:rPr>
          <w:rFonts w:hint="eastAsia" w:ascii="宋体" w:hAnsi="宋体" w:eastAsia="宋体" w:cs="宋体"/>
          <w:highlight w:val="none"/>
        </w:rPr>
      </w:pPr>
      <w:r>
        <w:rPr>
          <w:rFonts w:hint="eastAsia" w:ascii="宋体" w:hAnsi="宋体" w:eastAsia="宋体" w:cs="宋体"/>
          <w:b/>
          <w:bCs/>
          <w:highlight w:val="none"/>
        </w:rPr>
        <w:t>8.磋商响应性文件格式</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8.1 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8.2 供应商提交的《磋商响应性文件》中全部资料必须真实可靠，并接受采购人、招标代理机构对其中任何资料进一步审查的要求。</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8.3 《磋商响应性文件》的封面及密封袋封面编制格式详见附件。</w:t>
      </w:r>
    </w:p>
    <w:p>
      <w:pPr>
        <w:pStyle w:val="9"/>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9.投标有效期</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9.1 投标有效期见本须知前附表所规定的期限，在此期限内，供应商不得要求撤销或修改其磋商响应性文件。</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9.2 在特殊情况下，采购人在原定投标有效期内，可以根据需要以书面形式向供应商提出延长投标有效期的要求，对此要求供应商须以书面形式予以答复。供应商可以拒绝采购人这种要求</w:t>
      </w:r>
      <w:bookmarkStart w:id="55" w:name="（五）磋商响应性文件的提交及相关事项"/>
      <w:bookmarkEnd w:id="55"/>
      <w:bookmarkStart w:id="56" w:name="bookmark6"/>
      <w:bookmarkEnd w:id="56"/>
      <w:r>
        <w:rPr>
          <w:rFonts w:hint="eastAsia" w:ascii="宋体" w:hAnsi="宋体" w:eastAsia="宋体" w:cs="宋体"/>
          <w:spacing w:val="4"/>
          <w:highlight w:val="none"/>
        </w:rPr>
        <w:t>，而不被没收投标保证金。同意延长投标有效期的供应商既不能要求也不允许修改其磋商响应性文件，但需要相应的延长投标担保的有效期，在延长的投标有效期内须知前附表第 21 条关于投标担保的退还与没收的规定仍然适用。</w:t>
      </w:r>
    </w:p>
    <w:p>
      <w:pPr>
        <w:pStyle w:val="9"/>
        <w:kinsoku w:val="0"/>
        <w:overflowPunct w:val="0"/>
        <w:spacing w:before="37"/>
        <w:jc w:val="both"/>
        <w:rPr>
          <w:rFonts w:hint="eastAsia" w:ascii="宋体" w:hAnsi="宋体" w:eastAsia="宋体" w:cs="宋体"/>
          <w:highlight w:val="none"/>
        </w:rPr>
      </w:pPr>
      <w:r>
        <w:rPr>
          <w:rFonts w:hint="eastAsia" w:ascii="宋体" w:hAnsi="宋体" w:eastAsia="宋体" w:cs="宋体"/>
          <w:b/>
          <w:bCs/>
          <w:highlight w:val="none"/>
        </w:rPr>
        <w:t>10.投标保证金</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10.1投标保证金应用投标货币即人民币，并采用下列任何一种形式：</w:t>
      </w:r>
    </w:p>
    <w:p>
      <w:pPr>
        <w:pStyle w:val="9"/>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均应从基本账户转出</w:t>
      </w:r>
      <w:r>
        <w:rPr>
          <w:rFonts w:hint="eastAsia" w:ascii="宋体" w:hAnsi="宋体" w:eastAsia="宋体" w:cs="宋体"/>
          <w:kern w:val="0"/>
          <w:sz w:val="24"/>
          <w:szCs w:val="24"/>
          <w:highlight w:val="none"/>
          <w:lang w:eastAsia="zh-CN"/>
        </w:rPr>
        <w:t>。</w:t>
      </w:r>
    </w:p>
    <w:p>
      <w:pPr>
        <w:pStyle w:val="9"/>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eastAsia="宋体" w:cs="宋体"/>
          <w:kern w:val="0"/>
          <w:sz w:val="24"/>
          <w:szCs w:val="24"/>
          <w:highlight w:val="none"/>
          <w:lang w:val="en-US" w:eastAsia="zh-CN"/>
        </w:rPr>
        <w:t>1500</w:t>
      </w:r>
      <w:r>
        <w:rPr>
          <w:rFonts w:hint="eastAsia" w:ascii="宋体" w:hAnsi="宋体" w:eastAsia="宋体" w:cs="宋体"/>
          <w:kern w:val="0"/>
          <w:sz w:val="24"/>
          <w:szCs w:val="24"/>
          <w:highlight w:val="none"/>
        </w:rPr>
        <w:t>0元（</w:t>
      </w:r>
      <w:r>
        <w:rPr>
          <w:rFonts w:hint="eastAsia" w:ascii="宋体" w:hAnsi="宋体" w:eastAsia="宋体" w:cs="宋体"/>
          <w:kern w:val="0"/>
          <w:sz w:val="24"/>
          <w:szCs w:val="24"/>
          <w:highlight w:val="none"/>
          <w:lang w:val="en-US" w:eastAsia="zh-CN"/>
        </w:rPr>
        <w:t>壹万伍仟</w:t>
      </w:r>
      <w:r>
        <w:rPr>
          <w:rFonts w:hint="eastAsia" w:ascii="宋体" w:hAnsi="宋体" w:eastAsia="宋体" w:cs="宋体"/>
          <w:kern w:val="0"/>
          <w:sz w:val="24"/>
          <w:szCs w:val="24"/>
          <w:highlight w:val="none"/>
        </w:rPr>
        <w:t>圆整）</w:t>
      </w:r>
    </w:p>
    <w:p>
      <w:pPr>
        <w:pStyle w:val="9"/>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投标保证金必须在投标文件递交截止时间前1个工作日确保到帐</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投标人未按</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文件要求提交投标保证金的，投标文件无效</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至</w:t>
      </w:r>
      <w:r>
        <w:rPr>
          <w:rFonts w:hint="eastAsia" w:ascii="宋体" w:hAnsi="宋体" w:eastAsia="宋体" w:cs="宋体"/>
          <w:kern w:val="0"/>
          <w:sz w:val="24"/>
          <w:szCs w:val="24"/>
          <w:highlight w:val="none"/>
        </w:rPr>
        <w:t>以下账号：</w:t>
      </w:r>
    </w:p>
    <w:p>
      <w:pPr>
        <w:pStyle w:val="9"/>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单位名称：新疆信尔成工程项目管理</w:t>
      </w:r>
      <w:r>
        <w:rPr>
          <w:rFonts w:hint="eastAsia" w:ascii="宋体" w:hAnsi="宋体" w:eastAsia="宋体" w:cs="宋体"/>
          <w:kern w:val="0"/>
          <w:sz w:val="24"/>
          <w:szCs w:val="24"/>
          <w:highlight w:val="none"/>
          <w:lang w:eastAsia="zh-CN"/>
        </w:rPr>
        <w:t>有</w:t>
      </w:r>
      <w:r>
        <w:rPr>
          <w:rFonts w:hint="eastAsia" w:ascii="宋体" w:hAnsi="宋体" w:eastAsia="宋体" w:cs="宋体"/>
          <w:kern w:val="0"/>
          <w:sz w:val="24"/>
          <w:szCs w:val="24"/>
          <w:highlight w:val="none"/>
        </w:rPr>
        <w:t>限公司</w:t>
      </w:r>
    </w:p>
    <w:p>
      <w:pPr>
        <w:pStyle w:val="9"/>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开户银行：中国工商银行股份有有限公司乌鲁木齐长春路支行</w:t>
      </w:r>
    </w:p>
    <w:p>
      <w:pPr>
        <w:pStyle w:val="9"/>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银行账号：3002 0301 0910 0074 747</w:t>
      </w:r>
    </w:p>
    <w:p>
      <w:pPr>
        <w:pStyle w:val="9"/>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行号：102881003011</w:t>
      </w:r>
    </w:p>
    <w:p>
      <w:pPr>
        <w:pStyle w:val="9"/>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10.2投标保证金为磋商响应性文件的重要组成部分。未按规定提交投标保证金的供应商，将被视为无效投标而予以拒绝。</w:t>
      </w:r>
    </w:p>
    <w:p>
      <w:pPr>
        <w:pStyle w:val="9"/>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10.3成交人的投标保证金，在成交人按规定的金额付清招标代理服务费后予以无息退还。</w:t>
      </w:r>
    </w:p>
    <w:p>
      <w:pPr>
        <w:pStyle w:val="9"/>
        <w:kinsoku w:val="0"/>
        <w:overflowPunct w:val="0"/>
        <w:spacing w:before="38"/>
        <w:ind w:left="598"/>
        <w:rPr>
          <w:rFonts w:hint="eastAsia" w:ascii="宋体" w:hAnsi="宋体" w:eastAsia="宋体" w:cs="宋体"/>
          <w:highlight w:val="none"/>
        </w:rPr>
      </w:pPr>
      <w:r>
        <w:rPr>
          <w:rFonts w:hint="eastAsia" w:ascii="宋体" w:hAnsi="宋体" w:eastAsia="宋体" w:cs="宋体"/>
          <w:highlight w:val="none"/>
        </w:rPr>
        <w:t>10.4</w:t>
      </w:r>
      <w:r>
        <w:rPr>
          <w:rFonts w:hint="eastAsia" w:ascii="宋体" w:hAnsi="宋体" w:eastAsia="宋体" w:cs="宋体"/>
          <w:spacing w:val="-60"/>
          <w:highlight w:val="none"/>
        </w:rPr>
        <w:t xml:space="preserve"> </w:t>
      </w:r>
      <w:r>
        <w:rPr>
          <w:rFonts w:hint="eastAsia" w:ascii="宋体" w:hAnsi="宋体" w:eastAsia="宋体" w:cs="宋体"/>
          <w:highlight w:val="none"/>
        </w:rPr>
        <w:t>投标保证金的</w:t>
      </w:r>
      <w:r>
        <w:rPr>
          <w:rFonts w:hint="eastAsia" w:ascii="宋体" w:hAnsi="宋体" w:eastAsia="宋体" w:cs="宋体"/>
          <w:spacing w:val="4"/>
          <w:highlight w:val="none"/>
        </w:rPr>
        <w:t>缴纳</w:t>
      </w:r>
      <w:r>
        <w:rPr>
          <w:rFonts w:hint="eastAsia" w:ascii="宋体" w:hAnsi="宋体" w:eastAsia="宋体" w:cs="宋体"/>
          <w:highlight w:val="none"/>
        </w:rPr>
        <w:t>和退付（详见“供应商须知前附表”）。</w:t>
      </w:r>
    </w:p>
    <w:p>
      <w:pPr>
        <w:pStyle w:val="9"/>
        <w:kinsoku w:val="0"/>
        <w:overflowPunct w:val="0"/>
        <w:spacing w:before="151"/>
        <w:jc w:val="both"/>
        <w:rPr>
          <w:rFonts w:hint="eastAsia" w:ascii="宋体" w:hAnsi="宋体" w:eastAsia="宋体" w:cs="宋体"/>
          <w:highlight w:val="none"/>
        </w:rPr>
      </w:pPr>
      <w:r>
        <w:rPr>
          <w:rFonts w:hint="eastAsia" w:ascii="宋体" w:hAnsi="宋体" w:eastAsia="宋体" w:cs="宋体"/>
          <w:b/>
          <w:bCs/>
          <w:highlight w:val="none"/>
        </w:rPr>
        <w:t>11.磋商响应性文件的印制和签署</w:t>
      </w:r>
    </w:p>
    <w:p>
      <w:pPr>
        <w:pStyle w:val="9"/>
        <w:kinsoku w:val="0"/>
        <w:overflowPunct w:val="0"/>
        <w:spacing w:line="355" w:lineRule="auto"/>
        <w:ind w:right="234" w:firstLine="480"/>
        <w:jc w:val="both"/>
        <w:rPr>
          <w:rFonts w:hint="eastAsia" w:ascii="宋体" w:hAnsi="宋体" w:eastAsia="宋体" w:cs="宋体"/>
          <w:highlight w:val="none"/>
        </w:rPr>
      </w:pPr>
      <w:r>
        <w:rPr>
          <w:rFonts w:hint="eastAsia" w:ascii="宋体" w:hAnsi="宋体" w:eastAsia="宋体" w:cs="宋体"/>
          <w:highlight w:val="none"/>
        </w:rPr>
        <w:t>11.1</w:t>
      </w:r>
      <w:r>
        <w:rPr>
          <w:rFonts w:hint="eastAsia" w:ascii="宋体" w:hAnsi="宋体" w:eastAsia="宋体" w:cs="宋体"/>
          <w:spacing w:val="-60"/>
          <w:highlight w:val="none"/>
        </w:rPr>
        <w:t xml:space="preserve"> </w:t>
      </w:r>
      <w:r>
        <w:rPr>
          <w:rFonts w:hint="eastAsia" w:ascii="宋体" w:hAnsi="宋体" w:eastAsia="宋体" w:cs="宋体"/>
          <w:highlight w:val="none"/>
        </w:rPr>
        <w:t>供应商应</w:t>
      </w:r>
      <w:r>
        <w:rPr>
          <w:rFonts w:hint="eastAsia" w:ascii="宋体" w:hAnsi="宋体" w:eastAsia="宋体" w:cs="宋体"/>
          <w:spacing w:val="-27"/>
          <w:highlight w:val="none"/>
        </w:rPr>
        <w:t>按</w:t>
      </w:r>
      <w:r>
        <w:rPr>
          <w:rFonts w:hint="eastAsia" w:ascii="宋体" w:hAnsi="宋体" w:eastAsia="宋体" w:cs="宋体"/>
          <w:highlight w:val="none"/>
        </w:rPr>
        <w:t>“供应商须知前附表</w:t>
      </w:r>
      <w:r>
        <w:rPr>
          <w:rFonts w:hint="eastAsia" w:ascii="宋体" w:hAnsi="宋体" w:eastAsia="宋体" w:cs="宋体"/>
          <w:spacing w:val="-27"/>
          <w:highlight w:val="none"/>
        </w:rPr>
        <w:t>”</w:t>
      </w:r>
      <w:r>
        <w:rPr>
          <w:rFonts w:hint="eastAsia" w:ascii="宋体" w:hAnsi="宋体" w:eastAsia="宋体" w:cs="宋体"/>
          <w:highlight w:val="none"/>
        </w:rPr>
        <w:t>规定的份数提</w:t>
      </w:r>
      <w:r>
        <w:rPr>
          <w:rFonts w:hint="eastAsia" w:ascii="宋体" w:hAnsi="宋体" w:eastAsia="宋体" w:cs="宋体"/>
          <w:spacing w:val="-29"/>
          <w:highlight w:val="none"/>
        </w:rPr>
        <w:t>交</w:t>
      </w:r>
      <w:r>
        <w:rPr>
          <w:rFonts w:hint="eastAsia" w:ascii="宋体" w:hAnsi="宋体" w:eastAsia="宋体" w:cs="宋体"/>
          <w:highlight w:val="none"/>
        </w:rPr>
        <w:t>《磋商响应性文</w:t>
      </w:r>
      <w:r>
        <w:rPr>
          <w:rFonts w:hint="eastAsia" w:ascii="宋体" w:hAnsi="宋体" w:eastAsia="宋体" w:cs="宋体"/>
          <w:spacing w:val="2"/>
          <w:highlight w:val="none"/>
        </w:rPr>
        <w:t>件</w:t>
      </w:r>
      <w:r>
        <w:rPr>
          <w:rFonts w:hint="eastAsia" w:ascii="宋体" w:hAnsi="宋体" w:eastAsia="宋体" w:cs="宋体"/>
          <w:spacing w:val="-29"/>
          <w:highlight w:val="none"/>
        </w:rPr>
        <w:t>》</w:t>
      </w:r>
      <w:r>
        <w:rPr>
          <w:rFonts w:hint="eastAsia" w:ascii="宋体" w:hAnsi="宋体" w:eastAsia="宋体" w:cs="宋体"/>
          <w:highlight w:val="none"/>
        </w:rPr>
        <w:t>一正</w:t>
      </w:r>
      <w:r>
        <w:rPr>
          <w:rFonts w:hint="eastAsia" w:ascii="宋体" w:hAnsi="宋体" w:eastAsia="宋体" w:cs="宋体"/>
          <w:highlight w:val="none"/>
          <w:lang w:eastAsia="zh-CN"/>
        </w:rPr>
        <w:t>四</w:t>
      </w:r>
      <w:r>
        <w:rPr>
          <w:rFonts w:hint="eastAsia" w:ascii="宋体" w:hAnsi="宋体" w:eastAsia="宋体" w:cs="宋体"/>
          <w:highlight w:val="none"/>
        </w:rPr>
        <w:t>副</w:t>
      </w:r>
      <w:r>
        <w:rPr>
          <w:rFonts w:hint="eastAsia" w:ascii="宋体" w:hAnsi="宋体" w:eastAsia="宋体" w:cs="宋体"/>
          <w:spacing w:val="-2"/>
          <w:highlight w:val="none"/>
        </w:rPr>
        <w:t>，</w:t>
      </w:r>
      <w:r>
        <w:rPr>
          <w:rFonts w:hint="eastAsia" w:ascii="宋体" w:hAnsi="宋体" w:eastAsia="宋体" w:cs="宋体"/>
          <w:highlight w:val="none"/>
        </w:rPr>
        <w:t>电子版（正本扫描件、PDF格式）</w:t>
      </w:r>
      <w:r>
        <w:rPr>
          <w:rFonts w:hint="eastAsia" w:ascii="宋体" w:hAnsi="宋体" w:eastAsia="宋体" w:cs="宋体"/>
          <w:highlight w:val="none"/>
          <w:lang w:eastAsia="zh-CN"/>
        </w:rPr>
        <w:t>二</w:t>
      </w:r>
      <w:r>
        <w:rPr>
          <w:rFonts w:hint="eastAsia" w:ascii="宋体" w:hAnsi="宋体" w:eastAsia="宋体" w:cs="宋体"/>
          <w:highlight w:val="none"/>
        </w:rPr>
        <w:t>份。</w:t>
      </w:r>
    </w:p>
    <w:p>
      <w:pPr>
        <w:pStyle w:val="9"/>
        <w:kinsoku w:val="0"/>
        <w:overflowPunct w:val="0"/>
        <w:spacing w:before="38" w:line="356" w:lineRule="auto"/>
        <w:ind w:right="238" w:firstLine="480"/>
        <w:jc w:val="both"/>
        <w:rPr>
          <w:rFonts w:hint="eastAsia" w:ascii="宋体" w:hAnsi="宋体" w:eastAsia="宋体" w:cs="宋体"/>
          <w:highlight w:val="none"/>
        </w:rPr>
      </w:pPr>
      <w:r>
        <w:rPr>
          <w:rFonts w:hint="eastAsia" w:ascii="宋体" w:hAnsi="宋体" w:eastAsia="宋体" w:cs="宋体"/>
          <w:highlight w:val="none"/>
        </w:rPr>
        <w:t>11.2 《磋商响应性文件》的正本和副本均需打印或使用不褪色墨水笔书写，字迹</w:t>
      </w:r>
      <w:r>
        <w:rPr>
          <w:rFonts w:hint="eastAsia" w:ascii="宋体" w:hAnsi="宋体" w:eastAsia="宋体" w:cs="宋体"/>
          <w:spacing w:val="-2"/>
          <w:highlight w:val="none"/>
        </w:rPr>
        <w:t>应清晰易于辨认，并应在《磋商响应性文件》封面的右上角清楚地注明“正本”或“副</w:t>
      </w:r>
      <w:r>
        <w:rPr>
          <w:rFonts w:hint="eastAsia" w:ascii="宋体" w:hAnsi="宋体" w:eastAsia="宋体" w:cs="宋体"/>
          <w:highlight w:val="none"/>
        </w:rPr>
        <w:t>本”。正本和副本如有不一致之处，以正本为准。</w:t>
      </w:r>
    </w:p>
    <w:p>
      <w:pPr>
        <w:pStyle w:val="9"/>
        <w:kinsoku w:val="0"/>
        <w:overflowPunct w:val="0"/>
        <w:spacing w:before="37" w:line="355" w:lineRule="auto"/>
        <w:ind w:right="238" w:firstLine="480"/>
        <w:jc w:val="both"/>
        <w:rPr>
          <w:rFonts w:hint="eastAsia" w:ascii="宋体" w:hAnsi="宋体" w:eastAsia="宋体" w:cs="宋体"/>
          <w:highlight w:val="none"/>
        </w:rPr>
      </w:pPr>
      <w:r>
        <w:rPr>
          <w:rFonts w:hint="eastAsia" w:ascii="宋体" w:hAnsi="宋体" w:eastAsia="宋体" w:cs="宋体"/>
          <w:highlight w:val="none"/>
        </w:rPr>
        <w:t>11.3 《磋商响应性文件》的正本和副本均应在签字盖章处加盖投标单位公章，并</w:t>
      </w:r>
      <w:r>
        <w:rPr>
          <w:rFonts w:hint="eastAsia" w:ascii="宋体" w:hAnsi="宋体" w:eastAsia="宋体" w:cs="宋体"/>
          <w:spacing w:val="-2"/>
          <w:highlight w:val="none"/>
        </w:rPr>
        <w:t>经法定代表人或被授权人签字或盖章的《磋商响应性文件》，《磋商响应性文件》中</w:t>
      </w:r>
      <w:r>
        <w:rPr>
          <w:rFonts w:hint="eastAsia" w:ascii="宋体" w:hAnsi="宋体" w:eastAsia="宋体" w:cs="宋体"/>
          <w:highlight w:val="none"/>
        </w:rPr>
        <w:t>须同时提交“委托授权书”。</w:t>
      </w:r>
    </w:p>
    <w:p>
      <w:pPr>
        <w:pStyle w:val="9"/>
        <w:kinsoku w:val="0"/>
        <w:overflowPunct w:val="0"/>
        <w:spacing w:before="38" w:line="357" w:lineRule="auto"/>
        <w:ind w:right="238" w:firstLine="480"/>
        <w:jc w:val="both"/>
        <w:rPr>
          <w:rFonts w:hint="eastAsia" w:ascii="宋体" w:hAnsi="宋体" w:eastAsia="宋体" w:cs="宋体"/>
          <w:highlight w:val="none"/>
        </w:rPr>
      </w:pPr>
      <w:r>
        <w:rPr>
          <w:rFonts w:hint="eastAsia" w:ascii="宋体" w:hAnsi="宋体" w:eastAsia="宋体" w:cs="宋体"/>
          <w:highlight w:val="none"/>
        </w:rPr>
        <w:t>11.4 除供应商对错误处须修改外，全套《磋商响应性文件》应无涂改或行间插字</w:t>
      </w:r>
      <w:r>
        <w:rPr>
          <w:rFonts w:hint="eastAsia" w:ascii="宋体" w:hAnsi="宋体" w:eastAsia="宋体" w:cs="宋体"/>
          <w:spacing w:val="-2"/>
          <w:highlight w:val="none"/>
        </w:rPr>
        <w:t>和增删。如有修改，修改处应由供应商加盖投标单位的印章或由《磋商响应性文件》签</w:t>
      </w:r>
      <w:r>
        <w:rPr>
          <w:rFonts w:hint="eastAsia" w:ascii="宋体" w:hAnsi="宋体" w:eastAsia="宋体" w:cs="宋体"/>
          <w:highlight w:val="none"/>
        </w:rPr>
        <w:t>字人签字或盖章</w:t>
      </w:r>
      <w:r>
        <w:rPr>
          <w:rFonts w:hint="eastAsia" w:ascii="宋体" w:hAnsi="宋体" w:eastAsia="宋体" w:cs="宋体"/>
          <w:spacing w:val="-27"/>
          <w:highlight w:val="none"/>
        </w:rPr>
        <w:t>。</w:t>
      </w:r>
      <w:r>
        <w:rPr>
          <w:rFonts w:hint="eastAsia" w:ascii="宋体" w:hAnsi="宋体" w:eastAsia="宋体" w:cs="宋体"/>
          <w:highlight w:val="none"/>
        </w:rPr>
        <w:t>字迹潦草</w:t>
      </w:r>
      <w:r>
        <w:rPr>
          <w:rFonts w:hint="eastAsia" w:ascii="宋体" w:hAnsi="宋体" w:eastAsia="宋体" w:cs="宋体"/>
          <w:spacing w:val="-24"/>
          <w:highlight w:val="none"/>
        </w:rPr>
        <w:t>、</w:t>
      </w:r>
      <w:r>
        <w:rPr>
          <w:rFonts w:hint="eastAsia" w:ascii="宋体" w:hAnsi="宋体" w:eastAsia="宋体" w:cs="宋体"/>
          <w:highlight w:val="none"/>
        </w:rPr>
        <w:t>表达不清或可能导致非唯一理解的磋商响应性文件可能视为无效投标。</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11.5 《磋商响应性文件》的印制应采用70克以上的复印纸打印，采用胶装方式装订，即不可抽取调换内页的书式平装方式，无脱落无散页，有目录、有页码。</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11.6 《磋商响应性文件》应根据《竞争性磋商文件》的要求签署、盖章及密封，内容应完整详细，如有遗漏，将被视为无效投标。</w:t>
      </w:r>
    </w:p>
    <w:p>
      <w:pPr>
        <w:pStyle w:val="5"/>
        <w:rPr>
          <w:rFonts w:hint="eastAsia" w:ascii="宋体" w:hAnsi="宋体" w:eastAsia="宋体" w:cs="宋体"/>
          <w:highlight w:val="none"/>
        </w:rPr>
      </w:pPr>
      <w:bookmarkStart w:id="57" w:name="_Toc32099"/>
      <w:r>
        <w:rPr>
          <w:rFonts w:hint="eastAsia" w:ascii="宋体" w:hAnsi="宋体" w:eastAsia="宋体" w:cs="宋体"/>
          <w:highlight w:val="none"/>
        </w:rPr>
        <w:t>（五）磋商响应性文件的提交及相关事项</w:t>
      </w:r>
      <w:bookmarkEnd w:id="57"/>
    </w:p>
    <w:p>
      <w:pPr>
        <w:pStyle w:val="9"/>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1.磋商响应性文件的密封和标记</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1.1磋商响应性文件正本与副本应</w:t>
      </w:r>
      <w:r>
        <w:rPr>
          <w:rFonts w:hint="eastAsia" w:ascii="宋体" w:hAnsi="宋体" w:eastAsia="宋体" w:cs="宋体"/>
          <w:highlight w:val="none"/>
          <w:lang w:val="en-US" w:eastAsia="zh-CN"/>
        </w:rPr>
        <w:t>分别</w:t>
      </w:r>
      <w:r>
        <w:rPr>
          <w:rFonts w:hint="eastAsia" w:ascii="宋体" w:hAnsi="宋体" w:eastAsia="宋体" w:cs="宋体"/>
          <w:highlight w:val="none"/>
        </w:rPr>
        <w:t>密封，并加贴“密封”字样封条，在封套的封口处应加盖单位公章。供应商未按此要求采用其他包装的，将造成磋商响应性文件被拒收。</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1.2在封套上注明项目名称、项目编号及“在</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rPr>
        <w:t>分之前不得启封”字样。</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1.3未按本章第1.1项或1.2项密封和加写标记的磋商响应性文件, 造成磋商响应性文件被拒收的不利后果由供应商自行承担。</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1.4供应商必须将“电子版U盘”与“</w:t>
      </w:r>
      <w:r>
        <w:rPr>
          <w:rFonts w:hint="eastAsia" w:ascii="宋体" w:hAnsi="宋体" w:eastAsia="宋体" w:cs="宋体"/>
          <w:highlight w:val="none"/>
          <w:lang w:eastAsia="zh-CN"/>
        </w:rPr>
        <w:t>正本</w:t>
      </w:r>
      <w:r>
        <w:rPr>
          <w:rFonts w:hint="eastAsia" w:ascii="宋体" w:hAnsi="宋体" w:eastAsia="宋体" w:cs="宋体"/>
          <w:highlight w:val="none"/>
        </w:rPr>
        <w:t>”</w:t>
      </w:r>
      <w:r>
        <w:rPr>
          <w:rFonts w:hint="eastAsia" w:ascii="宋体" w:hAnsi="宋体" w:eastAsia="宋体" w:cs="宋体"/>
          <w:highlight w:val="none"/>
          <w:lang w:eastAsia="zh-CN"/>
        </w:rPr>
        <w:t>共同</w:t>
      </w:r>
      <w:r>
        <w:rPr>
          <w:rFonts w:hint="eastAsia" w:ascii="宋体" w:hAnsi="宋体" w:eastAsia="宋体" w:cs="宋体"/>
          <w:highlight w:val="none"/>
        </w:rPr>
        <w:t>密封提交，并在封面上注明项目名称、项目编号、投标单位名称（并加盖公章）及“在</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分之前不得启封”字样。密封后粘贴密封条。</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1.5 如果封口处未按要求密封和加写标记，招标代理机构对误投或过早启封概不负责。</w:t>
      </w:r>
    </w:p>
    <w:p>
      <w:pPr>
        <w:pStyle w:val="9"/>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2.磋商响应性文件的提交</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2.1 供应商应按本须知前附表所规定的地点，于递交截止时间前提交磋商响应性文 件。</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2.2 投标截止时间为《竞争性磋商文件》“供应商须知前附表”中规定时间，逾期送达的、未按竞争性磋商文件要求密封的《磋商响应性文件》招标代理机构和采购人概不接受。</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2.3 采购人可按本须知规定以修改补充通知的方式，酌情延长提交磋商响应性文件 的截止时间。在此情况下，供应商的所有权利和义务以及供应商受制约的截止时间，均以延长后新的投标截止时间为准。</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2.4 到投标截止时间止，采购人收到的磋商响应性文件少于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规定的家数，采购人将依法重新组织招标。</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2.5 本次招标不接受邮寄的磋商响应性文件。</w:t>
      </w:r>
    </w:p>
    <w:p>
      <w:pPr>
        <w:pStyle w:val="9"/>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 xml:space="preserve">3.投标截止时间 </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投标截止时间为“供应商须知前附表”中规定时间。</w:t>
      </w:r>
    </w:p>
    <w:p>
      <w:pPr>
        <w:pStyle w:val="9"/>
        <w:kinsoku w:val="0"/>
        <w:overflowPunct w:val="0"/>
        <w:spacing w:before="34" w:line="357" w:lineRule="auto"/>
        <w:ind w:left="598" w:right="101" w:hanging="480"/>
        <w:rPr>
          <w:rFonts w:hint="eastAsia" w:ascii="宋体" w:hAnsi="宋体" w:eastAsia="宋体" w:cs="宋体"/>
          <w:b/>
          <w:bCs/>
          <w:spacing w:val="27"/>
          <w:w w:val="99"/>
          <w:highlight w:val="none"/>
        </w:rPr>
      </w:pPr>
      <w:r>
        <w:rPr>
          <w:rFonts w:hint="eastAsia" w:ascii="宋体" w:hAnsi="宋体" w:eastAsia="宋体" w:cs="宋体"/>
          <w:b/>
          <w:bCs/>
          <w:highlight w:val="none"/>
        </w:rPr>
        <w:t>4.迟交的磋商响应性文件</w:t>
      </w:r>
      <w:r>
        <w:rPr>
          <w:rFonts w:hint="eastAsia" w:ascii="宋体" w:hAnsi="宋体" w:eastAsia="宋体" w:cs="宋体"/>
          <w:b/>
          <w:bCs/>
          <w:spacing w:val="27"/>
          <w:w w:val="99"/>
          <w:highlight w:val="none"/>
        </w:rPr>
        <w:t xml:space="preserve"> </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采购人将拒绝并退回在其规定的截止时间后收到的任何磋商响应性文件。</w:t>
      </w:r>
    </w:p>
    <w:p>
      <w:pPr>
        <w:pStyle w:val="9"/>
        <w:kinsoku w:val="0"/>
        <w:overflowPunct w:val="0"/>
        <w:spacing w:before="34" w:line="357" w:lineRule="auto"/>
        <w:ind w:left="598" w:right="101" w:hanging="480"/>
        <w:rPr>
          <w:rFonts w:hint="eastAsia" w:ascii="宋体" w:hAnsi="宋体" w:eastAsia="宋体" w:cs="宋体"/>
          <w:b/>
          <w:bCs/>
          <w:highlight w:val="none"/>
        </w:rPr>
      </w:pPr>
      <w:r>
        <w:rPr>
          <w:rFonts w:hint="eastAsia" w:ascii="宋体" w:hAnsi="宋体" w:eastAsia="宋体" w:cs="宋体"/>
          <w:b/>
          <w:bCs/>
          <w:highlight w:val="none"/>
        </w:rPr>
        <w:t>5.磋商响应性文件的补充、修改与撤回</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5.1 供应商在提交磋商响应性文件以后，在规定的投标截止时间之前，可以书面形式补充修改或撤回已提交的磋商响应性文件，并以书面形式通知采购人。补充、修改的内容为磋商响应性文件的组成部分。</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5.2 供应商对磋商响应性文件的补充、修改，应按本须知有关规定密封、标记和提交，并在内外层磋商响应性文件密封袋上清楚标明“补充、修改”或“撤回”字样。</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5.3 在投标截止时间之后，供应商不得补充、修改磋商响应性文件。</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5.4 在投标截止时间至投标有效期满之前，供应商不得撤回其磋商响应性文件，否则其投标保证金将被没收。</w:t>
      </w:r>
    </w:p>
    <w:p>
      <w:pPr>
        <w:pStyle w:val="5"/>
        <w:rPr>
          <w:rFonts w:hint="eastAsia" w:ascii="宋体" w:hAnsi="宋体" w:eastAsia="宋体" w:cs="宋体"/>
          <w:highlight w:val="none"/>
          <w:lang w:eastAsia="zh-CN"/>
        </w:rPr>
      </w:pPr>
      <w:bookmarkStart w:id="58" w:name="_Toc1690"/>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bookmarkEnd w:id="58"/>
    </w:p>
    <w:p>
      <w:pPr>
        <w:pStyle w:val="9"/>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1.磋商小组</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rPr>
        <w:tab/>
      </w:r>
      <w:r>
        <w:rPr>
          <w:rFonts w:hint="eastAsia" w:ascii="宋体" w:hAnsi="宋体" w:eastAsia="宋体" w:cs="宋体"/>
          <w:spacing w:val="1"/>
          <w:highlight w:val="none"/>
        </w:rPr>
        <w:t>评标由采购人依法组建的磋商小组负责。磋商小组由采购人熟悉相关业务</w:t>
      </w:r>
      <w:r>
        <w:rPr>
          <w:rFonts w:hint="eastAsia" w:ascii="宋体" w:hAnsi="宋体" w:eastAsia="宋体" w:cs="宋体"/>
          <w:highlight w:val="none"/>
        </w:rPr>
        <w:t>的代表，以及有关技术、经济等方面的专家三人的单数组成。</w:t>
      </w:r>
    </w:p>
    <w:p>
      <w:pPr>
        <w:pStyle w:val="9"/>
        <w:tabs>
          <w:tab w:val="left" w:pos="1438"/>
        </w:tabs>
        <w:kinsoku w:val="0"/>
        <w:overflowPunct w:val="0"/>
        <w:spacing w:before="36"/>
        <w:ind w:left="598"/>
        <w:rPr>
          <w:rFonts w:hint="eastAsia" w:ascii="宋体" w:hAnsi="宋体" w:eastAsia="宋体" w:cs="宋体"/>
          <w:highlight w:val="none"/>
        </w:rPr>
      </w:pPr>
      <w:r>
        <w:rPr>
          <w:rFonts w:hint="eastAsia" w:ascii="宋体" w:hAnsi="宋体" w:eastAsia="宋体" w:cs="宋体"/>
          <w:highlight w:val="none"/>
        </w:rPr>
        <w:t>1.2 磋商小组成员有下列情形之一的，应当回避；</w:t>
      </w:r>
    </w:p>
    <w:p>
      <w:pPr>
        <w:pStyle w:val="9"/>
        <w:kinsoku w:val="0"/>
        <w:overflowPunct w:val="0"/>
        <w:ind w:left="598"/>
        <w:rPr>
          <w:rFonts w:hint="eastAsia" w:ascii="宋体" w:hAnsi="宋体" w:eastAsia="宋体" w:cs="宋体"/>
          <w:highlight w:val="none"/>
        </w:rPr>
      </w:pPr>
      <w:r>
        <w:rPr>
          <w:rFonts w:hint="eastAsia" w:ascii="宋体" w:hAnsi="宋体" w:eastAsia="宋体" w:cs="宋体"/>
          <w:highlight w:val="none"/>
        </w:rPr>
        <w:t>（1）采购人或供应商的主要负责人的近亲属。</w:t>
      </w:r>
    </w:p>
    <w:p>
      <w:pPr>
        <w:pStyle w:val="9"/>
        <w:kinsoku w:val="0"/>
        <w:overflowPunct w:val="0"/>
        <w:ind w:left="598"/>
        <w:rPr>
          <w:rFonts w:hint="eastAsia" w:ascii="宋体" w:hAnsi="宋体" w:eastAsia="宋体" w:cs="宋体"/>
          <w:highlight w:val="none"/>
        </w:rPr>
      </w:pPr>
      <w:r>
        <w:rPr>
          <w:rFonts w:hint="eastAsia" w:ascii="宋体" w:hAnsi="宋体" w:eastAsia="宋体" w:cs="宋体"/>
          <w:highlight w:val="none"/>
        </w:rPr>
        <w:t>（2）项目主管部门或者行政监督部门的人员。</w:t>
      </w:r>
    </w:p>
    <w:p>
      <w:pPr>
        <w:pStyle w:val="9"/>
        <w:kinsoku w:val="0"/>
        <w:overflowPunct w:val="0"/>
        <w:spacing w:before="151"/>
        <w:ind w:left="598"/>
        <w:rPr>
          <w:rFonts w:hint="eastAsia" w:ascii="宋体" w:hAnsi="宋体" w:eastAsia="宋体" w:cs="宋体"/>
          <w:highlight w:val="none"/>
        </w:rPr>
      </w:pPr>
      <w:r>
        <w:rPr>
          <w:rFonts w:hint="eastAsia" w:ascii="宋体" w:hAnsi="宋体" w:eastAsia="宋体" w:cs="宋体"/>
          <w:highlight w:val="none"/>
        </w:rPr>
        <w:t>（3）与供应商有经济利益关系，可能影响对投标公正评审的。</w:t>
      </w:r>
    </w:p>
    <w:p>
      <w:pPr>
        <w:pStyle w:val="9"/>
        <w:kinsoku w:val="0"/>
        <w:overflowPunct w:val="0"/>
        <w:spacing w:line="355" w:lineRule="auto"/>
        <w:ind w:right="50" w:firstLine="480"/>
        <w:rPr>
          <w:rFonts w:hint="eastAsia" w:ascii="宋体" w:hAnsi="宋体" w:eastAsia="宋体" w:cs="宋体"/>
          <w:highlight w:val="none"/>
        </w:rPr>
      </w:pPr>
      <w:r>
        <w:rPr>
          <w:rFonts w:hint="eastAsia" w:ascii="宋体" w:hAnsi="宋体" w:eastAsia="宋体" w:cs="宋体"/>
          <w:spacing w:val="1"/>
          <w:highlight w:val="none"/>
        </w:rPr>
        <w:t>（4）曾因在招标、评标以及其他与招标投标有关活动中从事违法行为而受过行政</w:t>
      </w:r>
      <w:r>
        <w:rPr>
          <w:rFonts w:hint="eastAsia" w:ascii="宋体" w:hAnsi="宋体" w:eastAsia="宋体" w:cs="宋体"/>
          <w:highlight w:val="none"/>
        </w:rPr>
        <w:t>处罚或刑事处罚的。</w:t>
      </w:r>
    </w:p>
    <w:p>
      <w:pPr>
        <w:pStyle w:val="9"/>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（5）其它可能影响公正评标的情形。</w:t>
      </w:r>
    </w:p>
    <w:p>
      <w:pPr>
        <w:pStyle w:val="9"/>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2.评标原则</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项目实施机构成立磋商小组，负责本次项目采购的磋商工作，磋商小组由业主代表与技术、经济等方面专家组成共3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9"/>
        <w:kinsoku w:val="0"/>
        <w:overflowPunct w:val="0"/>
        <w:spacing w:before="35" w:line="357" w:lineRule="auto"/>
        <w:ind w:left="598" w:right="238" w:hanging="480"/>
        <w:rPr>
          <w:rFonts w:hint="eastAsia" w:ascii="宋体" w:hAnsi="宋体" w:eastAsia="宋体" w:cs="宋体"/>
          <w:b/>
          <w:bCs/>
          <w:spacing w:val="22"/>
          <w:w w:val="99"/>
          <w:highlight w:val="none"/>
        </w:rPr>
      </w:pPr>
      <w:r>
        <w:rPr>
          <w:rFonts w:hint="eastAsia" w:ascii="宋体" w:hAnsi="宋体" w:eastAsia="宋体" w:cs="宋体"/>
          <w:b/>
          <w:bCs/>
          <w:w w:val="95"/>
          <w:highlight w:val="none"/>
        </w:rPr>
        <w:t>3.</w:t>
      </w:r>
      <w:r>
        <w:rPr>
          <w:rFonts w:hint="eastAsia" w:ascii="宋体" w:hAnsi="宋体" w:eastAsia="宋体" w:cs="宋体"/>
          <w:b/>
          <w:bCs/>
          <w:highlight w:val="none"/>
        </w:rPr>
        <w:t>评标</w:t>
      </w:r>
      <w:r>
        <w:rPr>
          <w:rFonts w:hint="eastAsia" w:ascii="宋体" w:hAnsi="宋体" w:eastAsia="宋体" w:cs="宋体"/>
          <w:b/>
          <w:bCs/>
          <w:spacing w:val="22"/>
          <w:w w:val="99"/>
          <w:highlight w:val="none"/>
        </w:rPr>
        <w:t xml:space="preserve"> </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3.1磋商小组按照竞争性磋商文件中规定的方法、评审因素、标准和程序对磋商应性文件进行评审。竞争性磋商文件中没有规定的方法、评审因素和标准，不作为评标依据。 详见“评标办法”内容。</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3.2评标过程严格保密。供应商对评委会的评标过程或合同授予决定施加影响的任何行为都可能导致其投标被拒绝。</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在评标期间，评委会可要求供应商对其磋商响应性文件中非实质性的有关问题进行 澄清、说明或者补正。有关澄清、说明或者补正的要求和答复应以书面形式提交。供应 商的澄清、说明或者补正不得超出磋商响应性文件的范围或者改变磋商响应性文件的实 质性内容。</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评委会认定实质性响应竞争性磋商文件的投标是磋商响应性文件与竞争性磋商文件 要求的全部条款、条件和规格相符，没有实质性负偏离。评委会评审磋商响应性文件的 响应性依据是磋商响应性文件本身的内容，而不寻求外部的证据。</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3.5 如果磋商响应性文件没有实质性响应竞争性磋商文件的要求，评委会将予以拒绝。 供应商不得通过修正或撤消不合要求的偏离或保留从而使其投标成为实质性响应的投 标。</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3.6 评委会只对确定为实质性响应竞争性磋商文件要求的磋商响应性文件，根据竞争性 磋商文件的评审标准采用相同的评标程序、评分办法进行评价和比较。</w:t>
      </w:r>
    </w:p>
    <w:p>
      <w:pPr>
        <w:pStyle w:val="5"/>
        <w:rPr>
          <w:rFonts w:hint="eastAsia" w:ascii="宋体" w:hAnsi="宋体" w:eastAsia="宋体" w:cs="宋体"/>
          <w:highlight w:val="none"/>
        </w:rPr>
      </w:pPr>
      <w:bookmarkStart w:id="59" w:name="_Toc11796"/>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bookmarkEnd w:id="59"/>
    </w:p>
    <w:p>
      <w:pPr>
        <w:pStyle w:val="9"/>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1.定标</w:t>
      </w:r>
    </w:p>
    <w:p>
      <w:pPr>
        <w:spacing w:line="360" w:lineRule="auto"/>
        <w:ind w:firstLine="480" w:firstLineChars="200"/>
        <w:rPr>
          <w:rFonts w:hint="eastAsia" w:ascii="宋体" w:hAnsi="宋体" w:eastAsia="宋体" w:cs="宋体"/>
          <w:b/>
          <w:bCs/>
          <w:w w:val="95"/>
          <w:kern w:val="0"/>
          <w:sz w:val="24"/>
          <w:szCs w:val="24"/>
          <w:highlight w:val="none"/>
        </w:rPr>
      </w:pPr>
      <w:r>
        <w:rPr>
          <w:rFonts w:hint="eastAsia" w:ascii="宋体" w:hAnsi="宋体" w:eastAsia="宋体" w:cs="宋体"/>
          <w:sz w:val="24"/>
          <w:szCs w:val="24"/>
          <w:highlight w:val="none"/>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宋体" w:hAnsi="宋体" w:eastAsia="宋体" w:cs="宋体"/>
          <w:kern w:val="0"/>
          <w:sz w:val="24"/>
          <w:szCs w:val="24"/>
          <w:highlight w:val="none"/>
        </w:rPr>
        <w:t xml:space="preserve">能够最大限度满足竞争性磋商文件中规定的各项综合评价标准且得分最高（但投标价格低于成本价的除外）。 </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定标方法：综合评分法。</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定标方式：根据评委会推荐的中标候选人名单，采购人确定中标人。</w:t>
      </w:r>
    </w:p>
    <w:p>
      <w:pPr>
        <w:pStyle w:val="9"/>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2.定标程序</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磋商小组按照综合评审打分结果由高到低排列顺序。综合得分相同的，按投标报价由低到高顺序排列。得分且投标报价相同的，按技术指标优劣顺序排列。前三名的供应商为拟中标候选人。</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采购人根据书面评标报告和被推荐的中标候选人，确定得分最高的供应商为拟中标供单位。</w:t>
      </w:r>
    </w:p>
    <w:p>
      <w:pPr>
        <w:spacing w:line="360" w:lineRule="auto"/>
        <w:ind w:left="105" w:leftChars="50" w:firstLine="525" w:firstLineChars="250"/>
        <w:rPr>
          <w:rFonts w:hint="eastAsia" w:ascii="宋体" w:hAnsi="宋体" w:eastAsia="宋体" w:cs="宋体"/>
          <w:sz w:val="24"/>
          <w:szCs w:val="24"/>
          <w:highlight w:val="none"/>
        </w:rPr>
      </w:pPr>
      <w:r>
        <w:rPr>
          <w:rFonts w:hint="eastAsia" w:ascii="宋体" w:hAnsi="宋体" w:eastAsia="宋体" w:cs="宋体"/>
          <w:highlight w:val="none"/>
        </w:rPr>
        <w:t xml:space="preserve">2.3 </w:t>
      </w:r>
      <w:r>
        <w:rPr>
          <w:rFonts w:hint="eastAsia" w:ascii="宋体" w:hAnsi="宋体" w:eastAsia="宋体" w:cs="宋体"/>
          <w:sz w:val="24"/>
          <w:szCs w:val="24"/>
          <w:highlight w:val="none"/>
        </w:rPr>
        <w:t>中标结果在“新疆政府采购网” 上予以公告。同时向中标人发出中标通知书。</w:t>
      </w:r>
    </w:p>
    <w:p>
      <w:pPr>
        <w:pStyle w:val="9"/>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3.中标通知书</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 中标结果在公示期满无质疑或投诉后，该结果将作为正式中标或签订《采购合同》的凭据。招标代理机构将以书面形式《中标通知书》通知中标的供应商其投标被接受。在该通知书发出三十日内，中标单位应与采购人签订采购合同。</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 中标通知书为签订政府采购合同的依据，是合同的有效组成部分。</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中标通知书对采购人和中标人均具有法律效力。中标通知书发出后，采购人改变中标结果，或者中标人无正当理由放弃中标的，应当承担相应的法律责任。</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5"/>
        <w:rPr>
          <w:rFonts w:hint="eastAsia" w:ascii="宋体" w:hAnsi="宋体" w:eastAsia="宋体" w:cs="宋体"/>
          <w:highlight w:val="none"/>
        </w:rPr>
      </w:pPr>
      <w:bookmarkStart w:id="60" w:name="_Toc23542"/>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bookmarkEnd w:id="60"/>
    </w:p>
    <w:p>
      <w:pPr>
        <w:pStyle w:val="9"/>
        <w:kinsoku w:val="0"/>
        <w:overflowPunct w:val="0"/>
        <w:spacing w:before="151"/>
        <w:rPr>
          <w:rFonts w:hint="eastAsia" w:ascii="宋体" w:hAnsi="宋体" w:eastAsia="宋体" w:cs="宋体"/>
          <w:b/>
          <w:bCs/>
          <w:highlight w:val="none"/>
        </w:rPr>
      </w:pPr>
      <w:r>
        <w:rPr>
          <w:rFonts w:hint="eastAsia" w:ascii="宋体" w:hAnsi="宋体" w:eastAsia="宋体" w:cs="宋体"/>
          <w:b/>
          <w:bCs/>
          <w:highlight w:val="none"/>
        </w:rPr>
        <w:t>1.合同授予原则</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 采购人将把合同授予经磋商小组评议推荐，在法定公示时间后，收到《中标通知书》的投标单位。若因中标单位违约或因不可抗力等原因不能被授予合同，则合同将授予排序在该中标单位之后的下一个供应商，以此类推。</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采购人保留在签订合同时调整方案需求和变动所购服务内容的权力。</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1.4 中标人应当按照合同约定履行义务，完成中标项目的设计任务，不得将中标项目的转让（转包）给他人。</w:t>
      </w:r>
    </w:p>
    <w:p>
      <w:pPr>
        <w:pStyle w:val="9"/>
        <w:kinsoku w:val="0"/>
        <w:overflowPunct w:val="0"/>
        <w:spacing w:before="34"/>
        <w:rPr>
          <w:rFonts w:hint="eastAsia" w:ascii="宋体" w:hAnsi="宋体" w:eastAsia="宋体" w:cs="宋体"/>
          <w:highlight w:val="none"/>
        </w:rPr>
      </w:pPr>
      <w:r>
        <w:rPr>
          <w:rFonts w:hint="eastAsia" w:ascii="宋体" w:hAnsi="宋体" w:eastAsia="宋体" w:cs="宋体"/>
          <w:b/>
          <w:bCs/>
          <w:highlight w:val="none"/>
        </w:rPr>
        <w:t>2.合同的签署</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中标人依据《中标通知书》与采购人签订合同，签订时间为《中标通知书》发出之日起三十日内。</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9"/>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中标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9"/>
        <w:kinsoku w:val="0"/>
        <w:overflowPunct w:val="0"/>
        <w:spacing w:before="37" w:line="357" w:lineRule="auto"/>
        <w:ind w:right="2481"/>
        <w:rPr>
          <w:rFonts w:hint="eastAsia" w:ascii="宋体" w:hAnsi="宋体" w:eastAsia="宋体" w:cs="宋体"/>
          <w:highlight w:val="none"/>
        </w:rPr>
      </w:pPr>
      <w:r>
        <w:rPr>
          <w:rFonts w:hint="eastAsia" w:ascii="宋体" w:hAnsi="宋体" w:eastAsia="宋体" w:cs="宋体"/>
          <w:b/>
          <w:bCs/>
          <w:highlight w:val="none"/>
        </w:rPr>
        <w:t>3.履行合同</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3.1 中标人与采购人签订合同后，合同双方应严格执行合同条款，履行合同规定的义务，保证合同的顺利完成。</w:t>
      </w:r>
    </w:p>
    <w:p>
      <w:pPr>
        <w:pStyle w:val="9"/>
        <w:kinsoku w:val="0"/>
        <w:overflowPunct w:val="0"/>
        <w:spacing w:before="34" w:line="355" w:lineRule="auto"/>
        <w:ind w:right="126" w:firstLine="480"/>
        <w:jc w:val="both"/>
        <w:rPr>
          <w:rFonts w:hint="eastAsia" w:ascii="宋体" w:hAnsi="宋体" w:eastAsia="宋体" w:cs="宋体"/>
          <w:highlight w:val="none"/>
        </w:rPr>
      </w:pPr>
      <w:r>
        <w:rPr>
          <w:rFonts w:hint="eastAsia" w:ascii="宋体" w:hAnsi="宋体" w:eastAsia="宋体" w:cs="宋体"/>
          <w:highlight w:val="none"/>
        </w:rPr>
        <w:t>3.2 在合同履行过程中，如发生合同纠纷，合同双方应按照《合同法》的有关规定进行处理。</w:t>
      </w:r>
    </w:p>
    <w:p>
      <w:pPr>
        <w:pStyle w:val="5"/>
        <w:rPr>
          <w:rFonts w:hint="eastAsia" w:ascii="宋体" w:hAnsi="宋体" w:eastAsia="宋体" w:cs="宋体"/>
          <w:highlight w:val="none"/>
        </w:rPr>
      </w:pPr>
      <w:bookmarkStart w:id="61" w:name="_Toc23631"/>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bookmarkEnd w:id="61"/>
    </w:p>
    <w:p>
      <w:pPr>
        <w:pStyle w:val="9"/>
        <w:kinsoku w:val="0"/>
        <w:overflowPunct w:val="0"/>
        <w:spacing w:before="37" w:line="357" w:lineRule="auto"/>
        <w:ind w:right="2481"/>
        <w:rPr>
          <w:rFonts w:hint="eastAsia" w:ascii="宋体" w:hAnsi="宋体" w:eastAsia="宋体" w:cs="宋体"/>
          <w:b/>
          <w:bCs/>
          <w:highlight w:val="none"/>
        </w:rPr>
      </w:pPr>
      <w:r>
        <w:rPr>
          <w:rFonts w:hint="eastAsia" w:ascii="宋体" w:hAnsi="宋体" w:eastAsia="宋体" w:cs="宋体"/>
          <w:b/>
          <w:bCs/>
          <w:highlight w:val="none"/>
        </w:rPr>
        <w:t>1．重新招标</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有下列情形之一的，采购人将重新招标：</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（1）投标截止时间止，供应商少于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（2）经磋商小组评审后否决所有投标的。 </w:t>
      </w:r>
    </w:p>
    <w:p>
      <w:pPr>
        <w:pStyle w:val="9"/>
        <w:kinsoku w:val="0"/>
        <w:overflowPunct w:val="0"/>
        <w:spacing w:line="357" w:lineRule="auto"/>
        <w:ind w:right="4044" w:firstLine="24"/>
        <w:rPr>
          <w:rFonts w:hint="eastAsia" w:ascii="宋体" w:hAnsi="宋体" w:eastAsia="宋体" w:cs="宋体"/>
          <w:highlight w:val="none"/>
        </w:rPr>
      </w:pPr>
      <w:r>
        <w:rPr>
          <w:rFonts w:hint="eastAsia" w:ascii="宋体" w:hAnsi="宋体" w:eastAsia="宋体" w:cs="宋体"/>
          <w:b/>
          <w:bCs/>
          <w:highlight w:val="none"/>
        </w:rPr>
        <w:t>2．不再招标</w:t>
      </w:r>
    </w:p>
    <w:p>
      <w:pPr>
        <w:pStyle w:val="9"/>
        <w:kinsoku w:val="0"/>
        <w:overflowPunct w:val="0"/>
        <w:spacing w:before="34" w:line="357" w:lineRule="auto"/>
        <w:ind w:right="126" w:firstLine="480"/>
        <w:jc w:val="both"/>
        <w:rPr>
          <w:rFonts w:hint="eastAsia" w:ascii="宋体" w:hAnsi="宋体" w:eastAsia="宋体" w:cs="宋体"/>
          <w:color w:val="FF0000"/>
          <w:highlight w:val="none"/>
        </w:rPr>
      </w:pPr>
      <w:r>
        <w:rPr>
          <w:rFonts w:hint="eastAsia" w:ascii="宋体" w:hAnsi="宋体" w:eastAsia="宋体" w:cs="宋体"/>
          <w:highlight w:val="none"/>
        </w:rPr>
        <w:t>重新招标后供应商仍少于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规定的家数，或者所有投标被否决的，属于必须审批或核准的工程 建设、货物、服务项目，经原审批或核准部门批准后不再进行招标。</w:t>
      </w:r>
    </w:p>
    <w:p>
      <w:pPr>
        <w:pStyle w:val="5"/>
        <w:rPr>
          <w:rFonts w:hint="eastAsia" w:ascii="宋体" w:hAnsi="宋体" w:eastAsia="宋体" w:cs="宋体"/>
          <w:highlight w:val="none"/>
        </w:rPr>
      </w:pPr>
      <w:bookmarkStart w:id="62" w:name="_Toc6269"/>
      <w:r>
        <w:rPr>
          <w:rFonts w:hint="eastAsia" w:ascii="宋体" w:hAnsi="宋体" w:eastAsia="宋体" w:cs="宋体"/>
          <w:highlight w:val="none"/>
        </w:rPr>
        <w:t>（十）纪律和监督</w:t>
      </w:r>
      <w:bookmarkEnd w:id="62"/>
    </w:p>
    <w:p>
      <w:pPr>
        <w:pStyle w:val="9"/>
        <w:kinsoku w:val="0"/>
        <w:overflowPunct w:val="0"/>
        <w:spacing w:line="357" w:lineRule="auto"/>
        <w:ind w:right="4044" w:firstLine="24"/>
        <w:rPr>
          <w:rFonts w:hint="eastAsia" w:ascii="宋体" w:hAnsi="宋体" w:eastAsia="宋体" w:cs="宋体"/>
          <w:b/>
          <w:bCs/>
          <w:highlight w:val="none"/>
        </w:rPr>
      </w:pPr>
      <w:r>
        <w:rPr>
          <w:rFonts w:hint="eastAsia" w:ascii="宋体" w:hAnsi="宋体" w:eastAsia="宋体" w:cs="宋体"/>
          <w:b/>
          <w:bCs/>
          <w:highlight w:val="none"/>
        </w:rPr>
        <w:t>1．对采购人的纪律要求</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采购人不得泄漏招标投标活动中应当保密的情况和资料，不得与供应商串通损害国家利益、社会公共利益或者他人合法权益。下列行为视为采购人与供应商串通投标：</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(1）采购人在开标前开启磋商响应性文件，并将投标情况告知其它供应商，或者协助供应商撤换磋商响应性文件，更改报价；</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(2）采购人向供应商泄露标底；</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(3）采购人与供应商商定，投标时压低或抬高标价，中标后再给供应商或采购人额外补偿；</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(4）采购人预先内定中标人；</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(5）其它串通投标行为。</w:t>
      </w:r>
    </w:p>
    <w:p>
      <w:pPr>
        <w:pStyle w:val="9"/>
        <w:kinsoku w:val="0"/>
        <w:overflowPunct w:val="0"/>
        <w:spacing w:before="34" w:line="357" w:lineRule="auto"/>
        <w:ind w:left="598" w:right="178" w:hanging="480"/>
        <w:rPr>
          <w:rFonts w:hint="eastAsia" w:ascii="宋体" w:hAnsi="宋体" w:eastAsia="宋体" w:cs="宋体"/>
          <w:b/>
          <w:bCs/>
          <w:spacing w:val="25"/>
          <w:w w:val="99"/>
          <w:highlight w:val="none"/>
        </w:rPr>
      </w:pPr>
      <w:r>
        <w:rPr>
          <w:rFonts w:hint="eastAsia" w:ascii="宋体" w:hAnsi="宋体" w:eastAsia="宋体" w:cs="宋体"/>
          <w:b/>
          <w:bCs/>
          <w:highlight w:val="none"/>
        </w:rPr>
        <w:t>2.对供应商的纪律要求</w:t>
      </w:r>
      <w:r>
        <w:rPr>
          <w:rFonts w:hint="eastAsia" w:ascii="宋体" w:hAnsi="宋体" w:eastAsia="宋体" w:cs="宋体"/>
          <w:b/>
          <w:bCs/>
          <w:spacing w:val="25"/>
          <w:w w:val="99"/>
          <w:highlight w:val="none"/>
        </w:rPr>
        <w:t xml:space="preserve">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2.1 下列行为视为以他人名义投标：</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（1）供应商挂靠其他单位；</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（2）供应商从其它单位通过转让或租借的方式获取资格或资质证书；</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（3）由其它单位及法定代表人在自己编制的磋商响应性文件上加盖印章或签字；</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（4）法律法规规定的其它情形。</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2.2 下列行为，视为允许他人以本单位名义承揽工程</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 供应商的法定代表人的委托代理人不是供应商本单位人员；</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b) 供应商拟在担任本项目的项目负责人或主要技术人员等不是本单位人员；</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c) 通过出租、出借资质证书或者收取管理费等方式允许他人以本单位名义承接工程；</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d) 投标保证金非投标单位银行基本账户转出，或虽由投标单位银行基本账户转出， 但先由非投标单位人员将投标保证金存入投标单位或有关个人账户，或以其他方式抵押的；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 项目资金未实行项目资金专户分账管理或独立核算制度的；财务管理人员（财务主管和出纳）非本单位人员，或项目资金的使用未经项目经理本人签字、审批的；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 中标后，实际由他人履行职责且他人非本单位人员的(项目负责人换为非本单位人员，或其他主要技术人员有 2 个及以上换为非本单位人员)；</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g) 法律法规规定的其它情形。上述条件中，供应商本单位人员，必须同时满足以下条件：</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（1）聘任合同必须由供应商单位与之签订，项目负责人的聘任合同投标前已执行合同一年以上；</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（2）与供应商单位有合法的工资关系，且投标前已连续支付工资一年以上；</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（3）供应商单位为其办理社会保险关系，政府人事或社保管理部门出具的有效证明其为本单位人员身份的文件。</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 下列行为均视为供应商串通投标：</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2.3.1 供应商串通投标报价：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a）供应商之间相互约定抬高或压低投标报价；</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b）供应商之间相互约定，在招标项目中分别以高、中、低价位报价；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c）供应商之间先进行内部竞价，内定中标人，然后再参加投标；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d）不同供应商的投标报价或报价组成异常一致的；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e）供应商之间其它串通投标报价的行为。</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2.3.2 不同供应商磋商响应性文件的编制人或审核人为同一人或同一单位人员的；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2.3.3 不同供应商磋商响应性文件的授权签署人为同一人或同一单位人员的；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2.3.4 不同供应商委托同一人办理投标事宜的；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2.3.5 不同供应商的磋商响应性文件相互混装的；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2.3.6 不同供应商使用同一单位的资金缴纳投标保证金的；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2.3.7 不同供应商的磋商响应性文件载明的项目成员出现相同人员的；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2.3.8 不同供应商的磋商响应性文件内容存在非正常一致的；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2.3.9 不同供应商的服务方案中专门针对本项目的内容基本雷同的；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2.3.10 不同供应商的磋商响应性文件出现磋商小组认为不应当雷同的情况的；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2.3.11 法律法规规章规定的其他围标串标行为。</w:t>
      </w:r>
    </w:p>
    <w:p>
      <w:pPr>
        <w:pStyle w:val="9"/>
        <w:kinsoku w:val="0"/>
        <w:overflowPunct w:val="0"/>
        <w:spacing w:before="26" w:line="355" w:lineRule="auto"/>
        <w:ind w:right="50"/>
        <w:rPr>
          <w:rFonts w:hint="eastAsia" w:ascii="宋体" w:hAnsi="宋体" w:eastAsia="宋体" w:cs="宋体"/>
          <w:highlight w:val="none"/>
        </w:rPr>
      </w:pPr>
      <w:r>
        <w:rPr>
          <w:rFonts w:hint="eastAsia" w:ascii="宋体" w:hAnsi="宋体" w:eastAsia="宋体" w:cs="宋体"/>
          <w:b/>
          <w:bCs/>
          <w:highlight w:val="none"/>
        </w:rPr>
        <w:t>3.对磋商小组成员的纪律要求</w:t>
      </w:r>
      <w:r>
        <w:rPr>
          <w:rFonts w:hint="eastAsia" w:ascii="宋体" w:hAnsi="宋体" w:eastAsia="宋体" w:cs="宋体"/>
          <w:highlight w:val="none"/>
        </w:rPr>
        <w:t xml:space="preserve">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磋商小组成员不得收受他人的财物或者其他好处，不得向他人透漏对磋商响应性文件的评审和比较、中标候选人的推荐情况以及评标有关的其他情况。在评标活动中，磋商小组成员不得擅离职守，</w:t>
      </w:r>
      <w:bookmarkStart w:id="63" w:name="（十二）无效投标"/>
      <w:bookmarkEnd w:id="63"/>
      <w:bookmarkStart w:id="64" w:name="bookmark13"/>
      <w:bookmarkEnd w:id="64"/>
      <w:bookmarkStart w:id="65" w:name="（十三）废标"/>
      <w:bookmarkEnd w:id="65"/>
      <w:bookmarkStart w:id="66" w:name="bookmark14"/>
      <w:bookmarkEnd w:id="66"/>
      <w:r>
        <w:rPr>
          <w:rFonts w:hint="eastAsia" w:ascii="宋体" w:hAnsi="宋体" w:eastAsia="宋体" w:cs="宋体"/>
          <w:highlight w:val="none"/>
        </w:rPr>
        <w:t>影响评标程序正常进行，不得使用“评标办法”没有规定的 评审因素和标准进行评标。</w:t>
      </w:r>
    </w:p>
    <w:p>
      <w:pPr>
        <w:pStyle w:val="9"/>
        <w:kinsoku w:val="0"/>
        <w:overflowPunct w:val="0"/>
        <w:spacing w:before="38" w:line="357" w:lineRule="auto"/>
        <w:ind w:left="598" w:right="50" w:hanging="480"/>
        <w:rPr>
          <w:rFonts w:hint="eastAsia" w:ascii="宋体" w:hAnsi="宋体" w:eastAsia="宋体" w:cs="宋体"/>
          <w:b/>
          <w:bCs/>
          <w:spacing w:val="26"/>
          <w:w w:val="99"/>
          <w:highlight w:val="none"/>
        </w:rPr>
      </w:pPr>
      <w:r>
        <w:rPr>
          <w:rFonts w:hint="eastAsia" w:ascii="宋体" w:hAnsi="宋体" w:eastAsia="宋体" w:cs="宋体"/>
          <w:b/>
          <w:bCs/>
          <w:highlight w:val="none"/>
        </w:rPr>
        <w:t>4.对与评标活动有关的工作人员的纪律要求</w:t>
      </w:r>
      <w:r>
        <w:rPr>
          <w:rFonts w:hint="eastAsia" w:ascii="宋体" w:hAnsi="宋体" w:eastAsia="宋体" w:cs="宋体"/>
          <w:b/>
          <w:bCs/>
          <w:spacing w:val="26"/>
          <w:w w:val="99"/>
          <w:highlight w:val="none"/>
        </w:rPr>
        <w:t xml:space="preserve">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5"/>
        <w:rPr>
          <w:rFonts w:hint="eastAsia" w:ascii="宋体" w:hAnsi="宋体" w:eastAsia="宋体" w:cs="宋体"/>
          <w:highlight w:val="none"/>
        </w:rPr>
      </w:pPr>
      <w:bookmarkStart w:id="67" w:name="_Toc23224"/>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bookmarkEnd w:id="67"/>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遇到下列情况之一时, 投标人的投标将被视为无效投标: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 报价超过招标文件中规定的预算金额或者最高限价的；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 投标文件含有采购人不能接受的附加条件的；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7)有下列情形之一的，视为投标人串通投标，其投标无效：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A、不同投标人的投标文件由同一单位或者个人编制；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B、不同投标人委托同一单位或者个人办理投标事宜；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C、不同投标人的投标文件载明的项目管理成员或者联系人员为同一人；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D、不同投标人的投标文件异常一致或者投标报价呈规律性差异；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E、不同投标人的投标文件相互混装；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F、不同投标人的投标保证金从同一单位或者个人的账户转出。</w:t>
      </w:r>
    </w:p>
    <w:p>
      <w:pPr>
        <w:pStyle w:val="5"/>
        <w:rPr>
          <w:rFonts w:hint="eastAsia" w:ascii="宋体" w:hAnsi="宋体" w:eastAsia="宋体" w:cs="宋体"/>
          <w:highlight w:val="none"/>
        </w:rPr>
      </w:pPr>
      <w:bookmarkStart w:id="68" w:name="_Toc25703"/>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bookmarkEnd w:id="68"/>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招标采购中，出现下列情形之一的，予以废标：</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（1）符合专业条件的投标单位或者对竞争性磋商文件作实质响应的投标单位不足</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（3）供应商的报价均超过了采购预算，采购人不能支付的；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（4）因重大变故，采购任务取消的。废标后，招标代理机构应在发布公告相同的网站上公告，并公告废标的详细理由。</w:t>
      </w:r>
    </w:p>
    <w:p>
      <w:pPr>
        <w:pStyle w:val="5"/>
        <w:rPr>
          <w:rFonts w:hint="eastAsia" w:ascii="宋体" w:hAnsi="宋体" w:eastAsia="宋体" w:cs="宋体"/>
          <w:highlight w:val="none"/>
        </w:rPr>
      </w:pPr>
      <w:bookmarkStart w:id="69" w:name="_Toc30761"/>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bookmarkEnd w:id="69"/>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1.供应商对政府采购活动事项有疑问的，可以向采购人提出询问，采购人应当及时作出答复，但答复的内容不得涉及商业秘密。</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3.采购人应当在收到供应商的书面质疑后七个工作日内作出答复，并以书面形式通知质疑供应商和其他有关供应商，但答复的内容不得涉及商业秘密。</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4.采购人委托采购代理机构采购的，供应商可以向采购代理机构提出询问或者质疑，采购代理机构应当依照《中华人民共和国政府采购法》第五十一条、第五十三条的 规定就采购人委托授权范围内的事项作出答复。</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5.质疑供应商对采购人、采购代理机构的答复不满意或者采购人、采购代理机构未在规定的时间内作出答复的，可以在答复期满后十五个工作日内向同级政府采购监督管理部门投诉。</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6.政府采购监督管理部门应当在收到投诉后三十个工作日内，对投诉事项作出处理决定，并以书面形式通知投诉人和与投诉事项有关的当事人。</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7.政府采购监督管理部门在处理投诉事项期间，可以视具体情况书面通知采购人暂停采购活动，但暂停时间最长不得超过三十日。</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8.投诉人对政府采购监督管理部门的投诉处理决定不服或者政府采购监督管理部门逾期未作处理的，可以依法申请行政复议或者向人民法院提起行政诉讼。</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9.质疑、投诉书应当包括下列主要内容：</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（1）投诉人和被投诉人的名称、地址、电话等；</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（2）具体的投诉事项及事实依据；</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（3）提供有关质疑事项真实可靠的书面证明材料；</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10.投诉人有下列情形之一的，属于虚假、恶意投诉，财政部门应当驳回投诉，将其列入不良行为记录名单，并依法予以处罚：</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 年内 3 次以上投诉均查无实据的；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（2）捏造事实或者提供虚假投诉材料的。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11.澄清或质疑不予受理的情况有下列情形之一的，属于无效质疑，被质疑人不予受理，由此产生的影响由供应商自行承担：</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（1）不是参与该政府采购项目活动供应商的；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（2）被质疑人为采购人或政府采购代理机构之外的；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（3）所有质疑事项超过质疑有效期的；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（4）以具有法律效力的文书送达之外方式提出的；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（5）未按上述规定递交澄清或质疑函的；</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（6）其它不符合受理条件的情形。</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 12.腐败和欺诈行为</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（2）如果招标代理机构和采购人认为供应商在本项目的竞争中有腐败或欺诈行为， 其投标将被拒绝。</w:t>
      </w:r>
    </w:p>
    <w:p>
      <w:pPr>
        <w:pStyle w:val="4"/>
        <w:outlineLvl w:val="0"/>
        <w:rPr>
          <w:rFonts w:hint="eastAsia" w:ascii="宋体" w:hAnsi="宋体" w:eastAsia="宋体" w:cs="宋体"/>
          <w:spacing w:val="1"/>
          <w:highlight w:val="none"/>
        </w:rPr>
      </w:pPr>
      <w:r>
        <w:rPr>
          <w:rFonts w:hint="eastAsia" w:ascii="宋体" w:hAnsi="宋体" w:eastAsia="宋体" w:cs="宋体"/>
          <w:highlight w:val="none"/>
        </w:rPr>
        <w:br w:type="page"/>
      </w:r>
      <w:bookmarkStart w:id="70" w:name="_Toc1184"/>
      <w:r>
        <w:rPr>
          <w:rFonts w:hint="eastAsia" w:ascii="宋体" w:hAnsi="宋体" w:eastAsia="宋体" w:cs="宋体"/>
          <w:w w:val="95"/>
          <w:highlight w:val="none"/>
        </w:rPr>
        <w:t>第三章</w:t>
      </w:r>
      <w:r>
        <w:rPr>
          <w:rFonts w:hint="eastAsia" w:ascii="宋体" w:hAnsi="宋体" w:eastAsia="宋体" w:cs="宋体"/>
          <w:spacing w:val="1"/>
          <w:highlight w:val="none"/>
        </w:rPr>
        <w:t>评标办法</w:t>
      </w:r>
      <w:bookmarkEnd w:id="70"/>
    </w:p>
    <w:p>
      <w:pPr>
        <w:jc w:val="both"/>
        <w:outlineLvl w:val="9"/>
        <w:rPr>
          <w:rFonts w:hint="eastAsia" w:ascii="宋体" w:hAnsi="宋体" w:eastAsia="宋体" w:cs="宋体"/>
          <w:b/>
          <w:bCs/>
          <w:highlight w:val="none"/>
        </w:rPr>
      </w:pPr>
      <w:r>
        <w:rPr>
          <w:rFonts w:hint="eastAsia" w:ascii="宋体" w:hAnsi="宋体" w:eastAsia="宋体" w:cs="宋体"/>
          <w:b/>
          <w:bCs/>
          <w:highlight w:val="none"/>
        </w:rPr>
        <w:t>一、总则</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2.评标工作由招标代理机构负责组织，具体评标事务由招标代理机构依法组建的磋商小组负责。磋商小组成员人数不少于 3 人，为单数，其中技术、经济等方面的专家不少于成员总数的三分之二。磋商小组由有关技术、经济等方面的专家组成。</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3.评标工作应遵循公平、公正、科学及择优的原则，并以相同的评标程序和标准对待所有的供应商。</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4.磋商小组按照竞争性磋商文件规定的评标方法和标准进行评标，并独立履行下列职责：</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（1）审查磋商响应性文件是否符合竞争性磋商文件要求，并做出评价；</w:t>
      </w:r>
    </w:p>
    <w:p>
      <w:pPr>
        <w:pStyle w:val="9"/>
        <w:numPr>
          <w:ilvl w:val="0"/>
          <w:numId w:val="0"/>
        </w:numPr>
        <w:kinsoku w:val="0"/>
        <w:overflowPunct w:val="0"/>
        <w:spacing w:before="34" w:line="357" w:lineRule="auto"/>
        <w:ind w:left="598" w:leftChars="0" w:right="126" w:rightChars="0"/>
        <w:jc w:val="both"/>
        <w:rPr>
          <w:rFonts w:hint="eastAsia" w:ascii="宋体" w:hAnsi="宋体" w:eastAsia="宋体" w:cs="宋体"/>
          <w:highlight w:val="none"/>
        </w:rPr>
      </w:pPr>
      <w:r>
        <w:rPr>
          <w:rFonts w:hint="eastAsia" w:ascii="宋体" w:hAnsi="宋体" w:eastAsia="宋体" w:cs="宋体"/>
          <w:highlight w:val="none"/>
        </w:rPr>
        <w:t>★（2）要求投标供应商对磋商响应性文件有关事项做出解释或者澄清；</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（3）推荐中标候选供应商名单，或者受采购人委托按照事先确定的办法直接确定中标单位；</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（4）向招标采购单位或者有关部门报告非法干预评标工作的行为。</w:t>
      </w:r>
    </w:p>
    <w:p>
      <w:pPr>
        <w:pStyle w:val="9"/>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二、评标、定标组织</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1.由磋商小组组织进行评标。</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2.磋商小组由业主代表与专家库随机抽取的专家共 3 人组成，磋商小组</w:t>
      </w:r>
      <w:r>
        <w:rPr>
          <w:rFonts w:hint="eastAsia" w:ascii="宋体" w:hAnsi="宋体" w:eastAsia="宋体" w:cs="宋体"/>
          <w:highlight w:val="none"/>
          <w:lang w:eastAsia="zh-CN"/>
        </w:rPr>
        <w:t>组长</w:t>
      </w:r>
      <w:r>
        <w:rPr>
          <w:rFonts w:hint="eastAsia" w:ascii="宋体" w:hAnsi="宋体" w:eastAsia="宋体" w:cs="宋体"/>
          <w:highlight w:val="none"/>
        </w:rPr>
        <w:t>由磋商小组成员共同推举产生，磋商小组</w:t>
      </w:r>
      <w:r>
        <w:rPr>
          <w:rFonts w:hint="eastAsia" w:ascii="宋体" w:hAnsi="宋体" w:eastAsia="宋体" w:cs="宋体"/>
          <w:highlight w:val="none"/>
          <w:lang w:eastAsia="zh-CN"/>
        </w:rPr>
        <w:t>组长</w:t>
      </w:r>
      <w:r>
        <w:rPr>
          <w:rFonts w:hint="eastAsia" w:ascii="宋体" w:hAnsi="宋体" w:eastAsia="宋体" w:cs="宋体"/>
          <w:highlight w:val="none"/>
        </w:rPr>
        <w:t>主持整个评标工作，与磋商小组的其他成员有同等的表决权。</w:t>
      </w:r>
    </w:p>
    <w:p>
      <w:pPr>
        <w:pStyle w:val="9"/>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三、评标原则</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1.磋商小组按照公平、公正、科学、择优的原则对待所有的供应商；</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2.磋商小组成员应当客观、公正地履行职责，遵守职业道德，对所提出的评审意见承担个人责任；磋商小组成员实行主动回避制度；磋商小组成员及工作人员对整个评标活动保密。</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3.磋商小组审查磋商响应性文件是否符合竞争性磋商文件的所有条款、条件和规定。</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4.评标只对实质上响应竞争性磋商文件要求的有效磋商响应性文件进行评审，响应的依据是磋商响应性文件本身的内容，而不寻求其它证据。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5.评标将依据竞争性磋商文件确定的标准和方法，结合磋商响应性文件及其补充文件进行，不得忽视磋商响应性文件的实质性内容进行评标。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6.评标活动依法进行，任何单位和个人不得非法干预、阻挠采购人采购代理机构的正常工作或者影响评标过程和结果。</w:t>
      </w:r>
    </w:p>
    <w:p>
      <w:pPr>
        <w:pStyle w:val="9"/>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四、评标方法</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2.采购人、招标代理机构不向供应商承诺最低价中标，不解释中标或落标原因，不退还磋商响应性文件。</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3.供应商申报的关于资质、业绩等文件和材料必须真实准确，不得弄虚作假。</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4.供应商不得以任何形式搜集评标机密，不得以任何形式干扰评标或授标工作。</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5.供应商在磋商响应性文件的评审、澄清、比较以及授予合同过程中对评标人员施加影响的任何行为，都将导致被取消投标资格。</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6.供应商应具备较强的技术力量及综合实力，在众多项目中业绩、信誉良好，并能确保本次招标采购的长远售后服务。</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7.磋商小组成员对需要共同认定的事项存在争议的，应当按照少数服从多数的原则作出结论。持不同意见的磋商小组成员应当在评标报告上签署不同意见及理由，否则视为同意评标报告。</w:t>
      </w:r>
    </w:p>
    <w:p>
      <w:pPr>
        <w:pStyle w:val="9"/>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五、评标过程的保密性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1.开标后，至到向中标人授予合同时止，凡与审查、澄清、评价和比较投标的有关资料以及授标意见等，均不得向供应商及与评标无关的其他人透露。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2.在评标过程中，如果供应商试图在磋商响应性文件审查、澄清、比较及授予合同方面向采购人施加任何影响，其投标将被拒绝。 </w:t>
      </w:r>
    </w:p>
    <w:p>
      <w:pPr>
        <w:pStyle w:val="9"/>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3.评标人员严格遵守国家的有关保密法律、法规的规定，严格自律，同时接受有关部门的监督、审查。</w:t>
      </w:r>
    </w:p>
    <w:p>
      <w:pPr>
        <w:pStyle w:val="9"/>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六、评标过程中磋商响应性文件的澄清</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9"/>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七、会议组成成员的职责 </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1.采购人：在监督部门监督下，根据《中华人民共和国政府采购法》、《政府购买服务管理办法（暂行）》、《政府采购竞争性磋商采购方式管理暂行办法》规定构成磋商小组成员之一。</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4.审核小组</w:t>
      </w:r>
      <w:r>
        <w:rPr>
          <w:rFonts w:hint="eastAsia" w:ascii="宋体" w:hAnsi="宋体" w:eastAsia="宋体" w:cs="宋体"/>
          <w:spacing w:val="-27"/>
          <w:highlight w:val="none"/>
        </w:rPr>
        <w:t>：</w:t>
      </w:r>
      <w:r>
        <w:rPr>
          <w:rFonts w:hint="eastAsia" w:ascii="宋体" w:hAnsi="宋体" w:eastAsia="宋体" w:cs="宋体"/>
          <w:highlight w:val="none"/>
        </w:rPr>
        <w:t>由监督部门和代理机构项目负责人共同组</w:t>
      </w:r>
      <w:r>
        <w:rPr>
          <w:rFonts w:hint="eastAsia" w:ascii="宋体" w:hAnsi="宋体" w:eastAsia="宋体" w:cs="宋体"/>
          <w:spacing w:val="2"/>
          <w:highlight w:val="none"/>
        </w:rPr>
        <w:t>成</w:t>
      </w:r>
      <w:r>
        <w:rPr>
          <w:rFonts w:hint="eastAsia" w:ascii="宋体" w:hAnsi="宋体" w:eastAsia="宋体" w:cs="宋体"/>
          <w:spacing w:val="-27"/>
          <w:highlight w:val="none"/>
        </w:rPr>
        <w:t>，</w:t>
      </w:r>
      <w:r>
        <w:rPr>
          <w:rFonts w:hint="eastAsia" w:ascii="宋体" w:hAnsi="宋体" w:eastAsia="宋体" w:cs="宋体"/>
          <w:highlight w:val="none"/>
        </w:rPr>
        <w:t>负责对磋商小组填写的商务打分表和技术打分表最终统计结果进行审核，审核无误后由磋商小组签字确认。</w:t>
      </w:r>
    </w:p>
    <w:p>
      <w:pPr>
        <w:pStyle w:val="9"/>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八、定标方法：</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1.磋商小组以开标、评标情况为基本依据，对符合条件的《磋商响应性文件》及供应商进行综合评审打分，总分值设定为 100 分。</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2.投标报价得分由磋商小组按照价格分计算公式计算分值。</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3.商务部分由磋商小组共同评定唯一的得分。</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4.技术部分由磋商小组专家分别打分后，取平均分作为技术分最后得分。</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5.供应商综合评分最终总分值为商务部分、技术部分和投标报价三部分得分总和。</w:t>
      </w:r>
    </w:p>
    <w:p>
      <w:pPr>
        <w:pStyle w:val="9"/>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九、评标程序及标准（综合评分法）</w:t>
      </w:r>
    </w:p>
    <w:p>
      <w:pPr>
        <w:pStyle w:val="1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按照竞争性磋商响应文件初审、澄清有关问题、分别磋商、二次报价、比较与评审、推荐成交候选</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名单。在上一步评审中被认定为无效磋商者，不进入下一步的评审。</w:t>
      </w:r>
    </w:p>
    <w:p>
      <w:pPr>
        <w:rPr>
          <w:rFonts w:hint="eastAsia" w:ascii="宋体" w:hAnsi="宋体" w:eastAsia="宋体" w:cs="宋体"/>
          <w:highlight w:val="none"/>
        </w:rPr>
      </w:pPr>
    </w:p>
    <w:p>
      <w:pPr>
        <w:pStyle w:val="9"/>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1.初步评审（资格后审）：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13" w:firstLineChars="196"/>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b/>
          <w:bCs/>
          <w:highlight w:val="none"/>
        </w:rPr>
        <w:t>1.1 资格性审查：</w:t>
      </w:r>
      <w:r>
        <w:rPr>
          <w:rFonts w:hint="eastAsia" w:ascii="宋体" w:hAnsi="宋体" w:eastAsia="宋体" w:cs="宋体"/>
          <w:color w:val="000000"/>
          <w:sz w:val="24"/>
          <w:szCs w:val="24"/>
          <w:highlight w:val="none"/>
          <w:lang w:eastAsia="zh-CN"/>
        </w:rPr>
        <w:t>磋商小组</w:t>
      </w:r>
      <w:r>
        <w:rPr>
          <w:rFonts w:hint="eastAsia" w:ascii="宋体" w:hAnsi="宋体" w:eastAsia="宋体" w:cs="宋体"/>
          <w:color w:val="000000"/>
          <w:sz w:val="24"/>
          <w:szCs w:val="24"/>
          <w:highlight w:val="none"/>
        </w:rPr>
        <w:t>将依据</w:t>
      </w:r>
      <w:r>
        <w:rPr>
          <w:rFonts w:hint="eastAsia" w:ascii="宋体" w:hAnsi="宋体" w:eastAsia="宋体" w:cs="宋体"/>
          <w:color w:val="000000"/>
          <w:sz w:val="24"/>
          <w:szCs w:val="24"/>
          <w:highlight w:val="none"/>
          <w:lang w:eastAsia="zh-CN"/>
        </w:rPr>
        <w:t>磋商响应</w:t>
      </w:r>
      <w:r>
        <w:rPr>
          <w:rFonts w:hint="eastAsia" w:ascii="宋体" w:hAnsi="宋体" w:eastAsia="宋体" w:cs="宋体"/>
          <w:color w:val="000000"/>
          <w:sz w:val="24"/>
          <w:szCs w:val="24"/>
          <w:highlight w:val="none"/>
        </w:rPr>
        <w:t>文件，按照</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文件第二章</w:t>
      </w:r>
      <w:r>
        <w:rPr>
          <w:rFonts w:hint="eastAsia" w:ascii="宋体" w:hAnsi="宋体" w:eastAsia="宋体" w:cs="宋体"/>
          <w:color w:val="000000"/>
          <w:sz w:val="24"/>
          <w:szCs w:val="24"/>
          <w:highlight w:val="none"/>
          <w:lang w:eastAsia="zh-CN"/>
        </w:rPr>
        <w:t>“供应商须知前附表”第</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条所述</w:t>
      </w:r>
      <w:r>
        <w:rPr>
          <w:rFonts w:hint="eastAsia" w:ascii="宋体" w:hAnsi="宋体" w:eastAsia="宋体" w:cs="宋体"/>
          <w:color w:val="000000"/>
          <w:sz w:val="24"/>
          <w:szCs w:val="24"/>
          <w:highlight w:val="none"/>
          <w:lang w:eastAsia="zh-CN"/>
        </w:rPr>
        <w:t>资格要求进行资格审查，</w:t>
      </w:r>
      <w:r>
        <w:rPr>
          <w:rFonts w:hint="eastAsia" w:ascii="宋体" w:hAnsi="宋体" w:eastAsia="宋体" w:cs="宋体"/>
          <w:color w:val="000000"/>
          <w:sz w:val="24"/>
          <w:szCs w:val="24"/>
          <w:highlight w:val="none"/>
        </w:rPr>
        <w:t>有一项因素不符合审查标准的，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不能通过</w:t>
      </w:r>
      <w:r>
        <w:rPr>
          <w:rFonts w:hint="eastAsia" w:ascii="宋体" w:hAnsi="宋体" w:eastAsia="宋体" w:cs="宋体"/>
          <w:color w:val="000000"/>
          <w:sz w:val="24"/>
          <w:szCs w:val="24"/>
          <w:highlight w:val="none"/>
          <w:lang w:eastAsia="zh-CN"/>
        </w:rPr>
        <w:t>资格审查，其磋商无效</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有关资格证明材料的证书、证件原件备查。</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资格审查主要审查以下方面的内容（包括但不限于以下内容）：</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1、法人授权委托书和被授权人有效身份证（法人直接参加的需出示法人身份证明及身份证原件）</w:t>
      </w:r>
      <w:r>
        <w:rPr>
          <w:rFonts w:hint="eastAsia" w:ascii="宋体" w:hAnsi="宋体" w:eastAsia="宋体" w:cs="宋体"/>
          <w:b/>
          <w:bCs/>
          <w:kern w:val="0"/>
          <w:sz w:val="24"/>
          <w:szCs w:val="24"/>
          <w:highlight w:val="none"/>
          <w:lang w:val="zh-CN" w:eastAsia="zh-CN" w:bidi="ar-SA"/>
        </w:rPr>
        <w:t>；</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2、</w:t>
      </w:r>
      <w:r>
        <w:rPr>
          <w:rFonts w:hint="eastAsia" w:ascii="宋体" w:hAnsi="宋体" w:eastAsia="宋体" w:cs="宋体"/>
          <w:b/>
          <w:bCs/>
          <w:kern w:val="0"/>
          <w:sz w:val="24"/>
          <w:szCs w:val="24"/>
          <w:highlight w:val="none"/>
          <w:lang w:val="zh-CN" w:eastAsia="zh-CN" w:bidi="ar-SA"/>
        </w:rPr>
        <w:t>营业执照原件；</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3、投标人提供近半年内已缴存的至少一个月的社会保障资金缴存单据或社保机构开具的社会保险参保缴费情况证明，依法不需要缴纳社会保障资金的投标人应提供相关文件证明</w:t>
      </w:r>
      <w:r>
        <w:rPr>
          <w:rFonts w:hint="eastAsia" w:ascii="宋体" w:hAnsi="宋体" w:eastAsia="宋体" w:cs="宋体"/>
          <w:b/>
          <w:bCs/>
          <w:kern w:val="0"/>
          <w:sz w:val="24"/>
          <w:szCs w:val="24"/>
          <w:highlight w:val="none"/>
          <w:lang w:val="zh-CN" w:eastAsia="zh-CN" w:bidi="ar-SA"/>
        </w:rPr>
        <w:t>；</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4、</w:t>
      </w:r>
      <w:r>
        <w:rPr>
          <w:rFonts w:hint="eastAsia" w:ascii="宋体" w:hAnsi="宋体" w:eastAsia="宋体" w:cs="宋体"/>
          <w:b/>
          <w:bCs/>
          <w:kern w:val="0"/>
          <w:sz w:val="24"/>
          <w:szCs w:val="24"/>
          <w:highlight w:val="none"/>
          <w:lang w:val="zh-CN" w:eastAsia="zh-CN" w:bidi="ar-SA"/>
        </w:rPr>
        <w:t>2019年或</w:t>
      </w:r>
      <w:r>
        <w:rPr>
          <w:rFonts w:hint="eastAsia" w:ascii="宋体" w:hAnsi="宋体" w:eastAsia="宋体" w:cs="宋体"/>
          <w:b/>
          <w:bCs/>
          <w:kern w:val="0"/>
          <w:sz w:val="24"/>
          <w:szCs w:val="24"/>
          <w:highlight w:val="none"/>
          <w:lang w:val="en-US" w:eastAsia="zh-CN" w:bidi="ar-SA"/>
        </w:rPr>
        <w:t>2020年</w:t>
      </w:r>
      <w:r>
        <w:rPr>
          <w:rFonts w:hint="eastAsia" w:ascii="宋体" w:hAnsi="宋体" w:eastAsia="宋体" w:cs="宋体"/>
          <w:b/>
          <w:bCs/>
          <w:kern w:val="0"/>
          <w:sz w:val="24"/>
          <w:szCs w:val="24"/>
          <w:highlight w:val="none"/>
          <w:lang w:val="zh-CN" w:eastAsia="zh-CN" w:bidi="ar-SA"/>
        </w:rPr>
        <w:t>审计报告（供应商成立不足1年的，提供有关财务报表（不需审计））或基本开户银行出具的资信证明文件；</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5、投标人提供近半年内已缴纳的至少一个月的纳税证明或完税证明，纳税证明或完税证明上应有代收机构或税务机关的公章，依法免税的投标人应提供相关文件证明；</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6、</w:t>
      </w:r>
      <w:r>
        <w:rPr>
          <w:rFonts w:hint="eastAsia" w:ascii="宋体" w:hAnsi="宋体" w:eastAsia="宋体" w:cs="宋体"/>
          <w:b/>
          <w:bCs/>
          <w:kern w:val="0"/>
          <w:sz w:val="24"/>
          <w:szCs w:val="24"/>
          <w:highlight w:val="none"/>
          <w:lang w:val="zh-CN" w:eastAsia="zh-CN" w:bidi="ar-SA"/>
        </w:rPr>
        <w:t>提供保证金缴纳</w:t>
      </w:r>
      <w:r>
        <w:rPr>
          <w:rFonts w:hint="eastAsia" w:ascii="宋体" w:hAnsi="宋体" w:eastAsia="宋体" w:cs="宋体"/>
          <w:b/>
          <w:bCs/>
          <w:kern w:val="0"/>
          <w:sz w:val="24"/>
          <w:szCs w:val="24"/>
          <w:highlight w:val="none"/>
          <w:lang w:val="en-US" w:eastAsia="zh-CN" w:bidi="ar-SA"/>
        </w:rPr>
        <w:t>凭证</w:t>
      </w:r>
      <w:r>
        <w:rPr>
          <w:rFonts w:hint="eastAsia" w:ascii="宋体" w:hAnsi="宋体" w:eastAsia="宋体" w:cs="宋体"/>
          <w:b/>
          <w:bCs/>
          <w:kern w:val="0"/>
          <w:sz w:val="24"/>
          <w:szCs w:val="24"/>
          <w:highlight w:val="none"/>
          <w:lang w:val="zh-CN" w:eastAsia="zh-CN" w:bidi="ar-SA"/>
        </w:rPr>
        <w:t>；</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7、</w:t>
      </w:r>
      <w:r>
        <w:rPr>
          <w:rFonts w:hint="eastAsia" w:ascii="宋体" w:hAnsi="宋体" w:eastAsia="宋体" w:cs="宋体"/>
          <w:b/>
          <w:bCs/>
          <w:kern w:val="0"/>
          <w:sz w:val="24"/>
          <w:szCs w:val="24"/>
          <w:highlight w:val="none"/>
          <w:lang w:val="zh-CN" w:eastAsia="zh-CN" w:bidi="ar-SA"/>
        </w:rPr>
        <w:t>参加政府采购活动前三年内，在经营活动中没有重大违法记录；近三年经营活动中没有重大违法记录声明函原件；</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i w:val="0"/>
          <w:caps w:val="0"/>
          <w:spacing w:val="0"/>
          <w:sz w:val="21"/>
          <w:szCs w:val="21"/>
          <w:highlight w:val="none"/>
        </w:rPr>
      </w:pPr>
      <w:r>
        <w:rPr>
          <w:rFonts w:hint="eastAsia" w:ascii="宋体" w:hAnsi="宋体" w:eastAsia="宋体" w:cs="宋体"/>
          <w:b/>
          <w:bCs/>
          <w:kern w:val="0"/>
          <w:sz w:val="24"/>
          <w:szCs w:val="24"/>
          <w:highlight w:val="none"/>
          <w:lang w:val="en-US" w:eastAsia="zh-CN" w:bidi="ar-SA"/>
        </w:rPr>
        <w:t>8、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r>
        <w:rPr>
          <w:rFonts w:hint="eastAsia" w:ascii="宋体" w:hAnsi="宋体" w:eastAsia="宋体" w:cs="宋体"/>
          <w:kern w:val="0"/>
          <w:sz w:val="24"/>
          <w:szCs w:val="24"/>
          <w:highlight w:val="none"/>
          <w:lang w:val="en-US" w:eastAsia="zh-CN" w:bidi="ar-SA"/>
        </w:rPr>
        <w:t>　</w:t>
      </w:r>
      <w:r>
        <w:rPr>
          <w:rFonts w:hint="eastAsia" w:ascii="宋体" w:hAnsi="宋体" w:eastAsia="宋体" w:cs="宋体"/>
          <w:i w:val="0"/>
          <w:caps w:val="0"/>
          <w:spacing w:val="0"/>
          <w:sz w:val="31"/>
          <w:szCs w:val="31"/>
          <w:highlight w:val="none"/>
          <w:shd w:val="clear" w:fill="FFFFFF"/>
        </w:rPr>
        <w:t>　</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b/>
          <w:bCs/>
          <w:highlight w:val="none"/>
        </w:rPr>
        <w:t>1.2 响应性审查：</w:t>
      </w:r>
      <w:r>
        <w:rPr>
          <w:rFonts w:hint="eastAsia" w:ascii="宋体" w:hAnsi="宋体" w:eastAsia="宋体" w:cs="宋体"/>
          <w:highlight w:val="none"/>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（4）报价超过招标文件中规定的预算金额或者最高限价的；</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（5）投标文件含有采购人不能接受的附加条件的；</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1.3 实质上没有响应《竞争性磋商文件》要求的《磋商响应性文件》将被拒绝。</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1.4 供应商不得通过修正或撤销不符合要求的偏离或保留从而使其《磋商响应性文件》成为实质上响应的《磋商响应性文件》。</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1.5 通过资格性及响应性审查且无实质性背离采购人要求的响应文件，即可进行下一步评审。未通过资格性审查、响应性审查的响应文件按无效投标处理。</w:t>
      </w:r>
    </w:p>
    <w:p>
      <w:pPr>
        <w:pStyle w:val="9"/>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2.磋商及详细评审：</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2.1 磋商小组审阅响应文件： 以确定是否对磋商文件的要求做出实质性响应。未对磋商文件做实质性响应的供应商，不得进入具体磋商程序。</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对磋商文件作出的实质性变动是磋商文件的有效组成部分，磋商小组应当及时以书面形式同时通知所有参加磋商的供应商。</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供应商应当按照磋商文件的变动情况和磋商小组的要求重新提交响应文件，并由其全权代表签章。</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2.3 磋商结束后，参加磋商的供应商应当对磋商的承诺和最后报价以书面形式确认， 并由授权委托人签章。各供应商对本项目进行二次（最终）报价。</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2.4 由磋商小组采用综合评分法对提交最终报价的供应商的响应文件和最终报价进行打分；</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2.5 磋商小组可以对确定为实质上响应竞争性磋商文件要求的磋商响应性文件进行校对、审核，对出现的算术错误，由磋商小组予以改正，并让供应商澄清确认。修正计算错误按如下原则进行：</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2.7 若供应商不接受对其错误的更正，其投标将被视为无效投标。</w:t>
      </w:r>
    </w:p>
    <w:p>
      <w:pPr>
        <w:pStyle w:val="9"/>
        <w:kinsoku w:val="0"/>
        <w:overflowPunct w:val="0"/>
        <w:spacing w:before="34"/>
        <w:jc w:val="both"/>
        <w:rPr>
          <w:rFonts w:ascii="宋体" w:hAnsi="宋体" w:eastAsia="宋体" w:cs="宋体"/>
          <w:b/>
          <w:bCs/>
          <w:highlight w:val="yellow"/>
        </w:rPr>
      </w:pPr>
      <w:r>
        <w:rPr>
          <w:rFonts w:hint="eastAsia" w:ascii="宋体" w:hAnsi="宋体" w:eastAsia="宋体" w:cs="宋体"/>
          <w:b/>
          <w:bCs/>
          <w:highlight w:val="none"/>
        </w:rPr>
        <w:br w:type="page"/>
      </w:r>
      <w:r>
        <w:rPr>
          <w:rFonts w:hint="eastAsia" w:ascii="宋体" w:hAnsi="宋体" w:eastAsia="宋体" w:cs="宋体"/>
          <w:b/>
          <w:bCs/>
          <w:highlight w:val="yellow"/>
        </w:rPr>
        <w:t>3. 综合评分表</w:t>
      </w:r>
    </w:p>
    <w:p>
      <w:pPr>
        <w:rPr>
          <w:rFonts w:ascii="宋体" w:hAnsi="宋体" w:cs="宋体"/>
          <w:b/>
          <w:bCs/>
          <w:highlight w:val="yellow"/>
        </w:rPr>
      </w:pPr>
    </w:p>
    <w:tbl>
      <w:tblPr>
        <w:tblStyle w:val="17"/>
        <w:tblW w:w="8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948"/>
        <w:gridCol w:w="6416"/>
        <w:gridCol w:w="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84" w:type="dxa"/>
            <w:gridSpan w:val="2"/>
          </w:tcPr>
          <w:p>
            <w:pPr>
              <w:pStyle w:val="23"/>
              <w:spacing w:before="123"/>
              <w:jc w:val="center"/>
              <w:rPr>
                <w:rFonts w:ascii="宋体" w:hAnsi="宋体" w:cs="宋体"/>
                <w:b/>
                <w:sz w:val="21"/>
                <w:szCs w:val="21"/>
              </w:rPr>
            </w:pPr>
            <w:r>
              <w:rPr>
                <w:rFonts w:hint="eastAsia" w:ascii="宋体" w:hAnsi="宋体" w:cs="宋体"/>
                <w:b/>
                <w:sz w:val="21"/>
                <w:szCs w:val="21"/>
              </w:rPr>
              <w:t>评审因素</w:t>
            </w:r>
          </w:p>
        </w:tc>
        <w:tc>
          <w:tcPr>
            <w:tcW w:w="6416" w:type="dxa"/>
          </w:tcPr>
          <w:p>
            <w:pPr>
              <w:pStyle w:val="23"/>
              <w:spacing w:before="123"/>
              <w:ind w:left="856"/>
              <w:jc w:val="center"/>
              <w:rPr>
                <w:rFonts w:ascii="宋体" w:hAnsi="宋体" w:cs="宋体"/>
                <w:b/>
                <w:sz w:val="21"/>
                <w:szCs w:val="21"/>
              </w:rPr>
            </w:pPr>
            <w:r>
              <w:rPr>
                <w:rFonts w:hint="eastAsia" w:ascii="宋体" w:hAnsi="宋体" w:cs="宋体"/>
                <w:b/>
                <w:sz w:val="21"/>
                <w:szCs w:val="21"/>
              </w:rPr>
              <w:t>评审标准</w:t>
            </w:r>
          </w:p>
        </w:tc>
        <w:tc>
          <w:tcPr>
            <w:tcW w:w="620" w:type="dxa"/>
            <w:vAlign w:val="center"/>
          </w:tcPr>
          <w:p>
            <w:pPr>
              <w:jc w:val="center"/>
              <w:rPr>
                <w:rFonts w:ascii="宋体" w:hAnsi="宋体" w:cs="宋体"/>
                <w:szCs w:val="21"/>
              </w:rPr>
            </w:pPr>
            <w:r>
              <w:rPr>
                <w:rFonts w:hint="eastAsia" w:ascii="宋体" w:hAnsi="宋体" w:cs="宋体"/>
                <w:b/>
                <w:bCs/>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84" w:type="dxa"/>
            <w:gridSpan w:val="2"/>
            <w:vMerge w:val="restart"/>
          </w:tcPr>
          <w:p>
            <w:pPr>
              <w:pStyle w:val="23"/>
              <w:spacing w:before="10"/>
              <w:rPr>
                <w:rFonts w:ascii="宋体" w:hAnsi="宋体" w:cs="宋体"/>
                <w:b/>
                <w:bCs/>
                <w:sz w:val="21"/>
                <w:szCs w:val="21"/>
              </w:rPr>
            </w:pPr>
          </w:p>
          <w:p>
            <w:pPr>
              <w:jc w:val="center"/>
              <w:rPr>
                <w:rFonts w:ascii="宋体" w:hAnsi="宋体" w:cs="宋体"/>
                <w:b/>
                <w:bCs/>
                <w:szCs w:val="21"/>
              </w:rPr>
            </w:pPr>
            <w:r>
              <w:rPr>
                <w:rFonts w:hint="eastAsia" w:ascii="宋体" w:hAnsi="宋体" w:cs="宋体"/>
                <w:b/>
                <w:bCs/>
                <w:szCs w:val="21"/>
              </w:rPr>
              <w:t>分值构成</w:t>
            </w:r>
          </w:p>
          <w:p>
            <w:pPr>
              <w:jc w:val="center"/>
              <w:rPr>
                <w:rFonts w:ascii="宋体" w:hAnsi="宋体" w:cs="宋体"/>
                <w:b/>
                <w:bCs/>
                <w:szCs w:val="21"/>
              </w:rPr>
            </w:pPr>
            <w:r>
              <w:rPr>
                <w:rFonts w:hint="eastAsia" w:ascii="宋体" w:hAnsi="宋体" w:cs="宋体"/>
                <w:b/>
                <w:bCs/>
                <w:szCs w:val="21"/>
              </w:rPr>
              <w:t>（总分100分)</w:t>
            </w:r>
          </w:p>
        </w:tc>
        <w:tc>
          <w:tcPr>
            <w:tcW w:w="6416" w:type="dxa"/>
          </w:tcPr>
          <w:p>
            <w:pPr>
              <w:pStyle w:val="23"/>
              <w:spacing w:before="65"/>
              <w:ind w:left="4"/>
              <w:rPr>
                <w:rFonts w:ascii="宋体" w:hAnsi="宋体" w:cs="宋体"/>
                <w:b/>
                <w:bCs/>
                <w:sz w:val="21"/>
                <w:szCs w:val="21"/>
              </w:rPr>
            </w:pPr>
            <w:r>
              <w:rPr>
                <w:rFonts w:hint="eastAsia" w:ascii="宋体" w:hAnsi="宋体" w:cs="宋体"/>
                <w:b/>
                <w:bCs/>
                <w:sz w:val="21"/>
                <w:szCs w:val="21"/>
              </w:rPr>
              <w:t xml:space="preserve">评审价格：10分 </w:t>
            </w:r>
          </w:p>
        </w:tc>
        <w:tc>
          <w:tcPr>
            <w:tcW w:w="620" w:type="dxa"/>
            <w:vMerge w:val="restart"/>
            <w:vAlign w:val="center"/>
          </w:tcPr>
          <w:p>
            <w:pPr>
              <w:pStyle w:val="23"/>
              <w:spacing w:before="65"/>
              <w:ind w:left="4"/>
              <w:jc w:val="center"/>
              <w:rPr>
                <w:rFonts w:ascii="宋体" w:hAnsi="宋体" w:cs="宋体"/>
                <w:b/>
                <w:bCs/>
                <w:sz w:val="21"/>
                <w:szCs w:val="21"/>
              </w:rPr>
            </w:pPr>
            <w:r>
              <w:rPr>
                <w:rFonts w:hint="eastAsia" w:ascii="宋体" w:hAnsi="宋体" w:cs="宋体"/>
                <w:b/>
                <w:bCs/>
                <w:sz w:val="21"/>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1684" w:type="dxa"/>
            <w:gridSpan w:val="2"/>
            <w:vMerge w:val="continue"/>
            <w:tcBorders>
              <w:top w:val="nil"/>
            </w:tcBorders>
          </w:tcPr>
          <w:p>
            <w:pPr>
              <w:rPr>
                <w:rFonts w:ascii="宋体" w:hAnsi="宋体" w:cs="宋体"/>
                <w:szCs w:val="21"/>
              </w:rPr>
            </w:pPr>
          </w:p>
        </w:tc>
        <w:tc>
          <w:tcPr>
            <w:tcW w:w="6416" w:type="dxa"/>
          </w:tcPr>
          <w:p>
            <w:pPr>
              <w:pStyle w:val="23"/>
              <w:spacing w:before="87"/>
              <w:ind w:left="4"/>
              <w:rPr>
                <w:rFonts w:ascii="宋体" w:hAnsi="宋体" w:cs="宋体"/>
                <w:b/>
                <w:bCs/>
                <w:sz w:val="21"/>
                <w:szCs w:val="21"/>
              </w:rPr>
            </w:pPr>
            <w:r>
              <w:rPr>
                <w:rFonts w:hint="eastAsia" w:ascii="宋体" w:hAnsi="宋体" w:cs="宋体"/>
                <w:b/>
                <w:bCs/>
                <w:sz w:val="21"/>
                <w:szCs w:val="21"/>
              </w:rPr>
              <w:t>商务部分评分：</w:t>
            </w:r>
            <w:r>
              <w:rPr>
                <w:rFonts w:hint="eastAsia" w:ascii="宋体" w:hAnsi="宋体" w:cs="宋体"/>
                <w:b/>
                <w:bCs/>
                <w:sz w:val="21"/>
                <w:szCs w:val="21"/>
                <w:lang w:val="en-US" w:eastAsia="zh-CN"/>
              </w:rPr>
              <w:t>30</w:t>
            </w:r>
            <w:r>
              <w:rPr>
                <w:rFonts w:hint="eastAsia" w:ascii="宋体" w:hAnsi="宋体" w:cs="宋体"/>
                <w:b/>
                <w:bCs/>
                <w:sz w:val="21"/>
                <w:szCs w:val="21"/>
              </w:rPr>
              <w:t xml:space="preserve">分 </w:t>
            </w:r>
          </w:p>
        </w:tc>
        <w:tc>
          <w:tcPr>
            <w:tcW w:w="620" w:type="dxa"/>
            <w:vMerge w:val="continue"/>
          </w:tcPr>
          <w:p>
            <w:pPr>
              <w:pStyle w:val="23"/>
              <w:spacing w:before="87"/>
              <w:ind w:left="4"/>
              <w:rPr>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1684" w:type="dxa"/>
            <w:gridSpan w:val="2"/>
            <w:vMerge w:val="continue"/>
            <w:tcBorders>
              <w:top w:val="nil"/>
            </w:tcBorders>
          </w:tcPr>
          <w:p>
            <w:pPr>
              <w:rPr>
                <w:rFonts w:ascii="宋体" w:hAnsi="宋体" w:cs="宋体"/>
                <w:szCs w:val="21"/>
              </w:rPr>
            </w:pPr>
          </w:p>
        </w:tc>
        <w:tc>
          <w:tcPr>
            <w:tcW w:w="6416" w:type="dxa"/>
          </w:tcPr>
          <w:p>
            <w:pPr>
              <w:pStyle w:val="23"/>
              <w:spacing w:before="65"/>
              <w:ind w:left="4"/>
              <w:rPr>
                <w:rFonts w:ascii="宋体" w:hAnsi="宋体" w:cs="宋体"/>
                <w:b/>
                <w:bCs/>
                <w:sz w:val="21"/>
                <w:szCs w:val="21"/>
              </w:rPr>
            </w:pPr>
            <w:r>
              <w:rPr>
                <w:rFonts w:hint="eastAsia" w:ascii="宋体" w:hAnsi="宋体" w:cs="宋体"/>
                <w:b/>
                <w:bCs/>
                <w:sz w:val="21"/>
                <w:szCs w:val="21"/>
              </w:rPr>
              <w:t>技术部分方案：</w:t>
            </w:r>
            <w:r>
              <w:rPr>
                <w:rFonts w:hint="eastAsia" w:ascii="宋体" w:hAnsi="宋体" w:cs="宋体"/>
                <w:b/>
                <w:bCs/>
                <w:sz w:val="21"/>
                <w:szCs w:val="21"/>
                <w:lang w:val="en-US" w:eastAsia="zh-CN"/>
              </w:rPr>
              <w:t>60</w:t>
            </w:r>
            <w:r>
              <w:rPr>
                <w:rFonts w:hint="eastAsia" w:ascii="宋体" w:hAnsi="宋体" w:cs="宋体"/>
                <w:b/>
                <w:bCs/>
                <w:sz w:val="21"/>
                <w:szCs w:val="21"/>
              </w:rPr>
              <w:t xml:space="preserve">分 </w:t>
            </w:r>
          </w:p>
        </w:tc>
        <w:tc>
          <w:tcPr>
            <w:tcW w:w="620" w:type="dxa"/>
            <w:vMerge w:val="continue"/>
          </w:tcPr>
          <w:p>
            <w:pPr>
              <w:pStyle w:val="23"/>
              <w:spacing w:before="65"/>
              <w:ind w:left="4"/>
              <w:rPr>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7" w:hRule="atLeast"/>
        </w:trPr>
        <w:tc>
          <w:tcPr>
            <w:tcW w:w="1684" w:type="dxa"/>
            <w:gridSpan w:val="2"/>
          </w:tcPr>
          <w:p>
            <w:pPr>
              <w:pStyle w:val="23"/>
              <w:rPr>
                <w:rFonts w:ascii="宋体" w:hAnsi="宋体" w:cs="宋体"/>
                <w:sz w:val="21"/>
                <w:szCs w:val="21"/>
              </w:rPr>
            </w:pPr>
          </w:p>
          <w:p>
            <w:pPr>
              <w:pStyle w:val="23"/>
              <w:spacing w:before="10"/>
              <w:rPr>
                <w:rFonts w:ascii="宋体" w:hAnsi="宋体" w:cs="宋体"/>
                <w:sz w:val="21"/>
                <w:szCs w:val="21"/>
              </w:rPr>
            </w:pPr>
          </w:p>
          <w:p>
            <w:pPr>
              <w:pStyle w:val="23"/>
              <w:ind w:left="438"/>
              <w:rPr>
                <w:rFonts w:ascii="宋体" w:hAnsi="宋体" w:cs="宋体"/>
                <w:sz w:val="21"/>
                <w:szCs w:val="21"/>
              </w:rPr>
            </w:pPr>
            <w:r>
              <w:rPr>
                <w:rFonts w:hint="eastAsia" w:ascii="宋体" w:hAnsi="宋体" w:cs="宋体"/>
                <w:sz w:val="21"/>
                <w:szCs w:val="21"/>
              </w:rPr>
              <w:t>评审价格</w:t>
            </w:r>
          </w:p>
          <w:p>
            <w:pPr>
              <w:pStyle w:val="23"/>
              <w:ind w:left="438"/>
              <w:rPr>
                <w:rFonts w:ascii="宋体" w:hAnsi="宋体" w:cs="宋体"/>
                <w:sz w:val="21"/>
                <w:szCs w:val="21"/>
              </w:rPr>
            </w:pPr>
            <w:r>
              <w:rPr>
                <w:rFonts w:hint="eastAsia" w:ascii="宋体" w:hAnsi="宋体" w:cs="宋体"/>
                <w:sz w:val="21"/>
                <w:szCs w:val="21"/>
              </w:rPr>
              <w:t xml:space="preserve">（10分） </w:t>
            </w:r>
          </w:p>
        </w:tc>
        <w:tc>
          <w:tcPr>
            <w:tcW w:w="6416" w:type="dxa"/>
          </w:tcPr>
          <w:p>
            <w:pPr>
              <w:pStyle w:val="23"/>
              <w:spacing w:before="49" w:line="319" w:lineRule="auto"/>
              <w:ind w:left="4" w:right="-15"/>
              <w:jc w:val="both"/>
              <w:rPr>
                <w:rFonts w:ascii="宋体" w:hAnsi="宋体" w:cs="宋体"/>
                <w:spacing w:val="-12"/>
                <w:sz w:val="21"/>
                <w:szCs w:val="21"/>
              </w:rPr>
            </w:pPr>
            <w:r>
              <w:rPr>
                <w:rFonts w:hint="eastAsia" w:ascii="宋体" w:hAnsi="宋体" w:cs="宋体"/>
                <w:spacing w:val="-6"/>
                <w:sz w:val="21"/>
                <w:szCs w:val="21"/>
              </w:rPr>
              <w:t>满足磋商文件要求且最终报价最低的报价为评审基准价，其价格分为</w:t>
            </w:r>
            <w:r>
              <w:rPr>
                <w:rFonts w:hint="eastAsia" w:ascii="宋体" w:hAnsi="宋体" w:cs="宋体"/>
                <w:spacing w:val="-12"/>
                <w:sz w:val="21"/>
                <w:szCs w:val="21"/>
              </w:rPr>
              <w:t>满分。其他满足磋商文件要求的供应商的价格分统一按照下列公式计算：</w:t>
            </w:r>
          </w:p>
          <w:p>
            <w:pPr>
              <w:pStyle w:val="23"/>
              <w:spacing w:before="49" w:line="319" w:lineRule="auto"/>
              <w:ind w:left="4" w:right="-15"/>
              <w:jc w:val="both"/>
              <w:rPr>
                <w:rFonts w:ascii="宋体" w:hAnsi="宋体" w:cs="宋体"/>
                <w:sz w:val="21"/>
                <w:szCs w:val="21"/>
              </w:rPr>
            </w:pPr>
            <w:r>
              <w:rPr>
                <w:rFonts w:hint="eastAsia" w:ascii="宋体" w:hAnsi="宋体" w:cs="宋体"/>
                <w:spacing w:val="-12"/>
                <w:sz w:val="21"/>
                <w:szCs w:val="21"/>
              </w:rPr>
              <w:t>评审价格分数=（评审基准价/最终报价）×价格权重</w:t>
            </w:r>
            <w:r>
              <w:rPr>
                <w:rFonts w:hint="eastAsia" w:ascii="宋体" w:hAnsi="宋体" w:cs="宋体"/>
                <w:spacing w:val="-3"/>
                <w:sz w:val="21"/>
                <w:szCs w:val="21"/>
              </w:rPr>
              <w:t>（10%）×1</w:t>
            </w:r>
            <w:r>
              <w:rPr>
                <w:rFonts w:hint="eastAsia" w:ascii="宋体" w:hAnsi="宋体" w:cs="宋体"/>
                <w:sz w:val="21"/>
                <w:szCs w:val="21"/>
              </w:rPr>
              <w:t xml:space="preserve">00 </w:t>
            </w:r>
          </w:p>
        </w:tc>
        <w:tc>
          <w:tcPr>
            <w:tcW w:w="620" w:type="dxa"/>
            <w:vAlign w:val="center"/>
          </w:tcPr>
          <w:p>
            <w:pPr>
              <w:pStyle w:val="23"/>
              <w:spacing w:before="2"/>
              <w:ind w:left="4"/>
              <w:jc w:val="center"/>
              <w:rPr>
                <w:rFonts w:ascii="宋体" w:hAnsi="宋体" w:cs="宋体"/>
                <w:sz w:val="21"/>
                <w:szCs w:val="21"/>
              </w:rPr>
            </w:pPr>
            <w:r>
              <w:rPr>
                <w:rFonts w:hint="eastAsia" w:ascii="宋体" w:hAnsi="宋体" w:cs="宋体"/>
                <w:sz w:val="21"/>
                <w:szCs w:val="21"/>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2" w:hRule="atLeast"/>
        </w:trPr>
        <w:tc>
          <w:tcPr>
            <w:tcW w:w="736" w:type="dxa"/>
            <w:vMerge w:val="restart"/>
            <w:vAlign w:val="center"/>
          </w:tcPr>
          <w:p>
            <w:pPr>
              <w:pStyle w:val="23"/>
              <w:jc w:val="center"/>
              <w:rPr>
                <w:rFonts w:ascii="宋体" w:hAnsi="宋体" w:cs="宋体"/>
                <w:sz w:val="21"/>
                <w:szCs w:val="21"/>
              </w:rPr>
            </w:pPr>
          </w:p>
          <w:p>
            <w:pPr>
              <w:pStyle w:val="23"/>
              <w:spacing w:before="10"/>
              <w:jc w:val="center"/>
              <w:rPr>
                <w:rFonts w:ascii="宋体" w:hAnsi="宋体" w:cs="宋体"/>
                <w:sz w:val="21"/>
                <w:szCs w:val="21"/>
              </w:rPr>
            </w:pPr>
          </w:p>
          <w:p>
            <w:pPr>
              <w:pStyle w:val="23"/>
              <w:spacing w:before="1" w:line="319" w:lineRule="auto"/>
              <w:ind w:left="187" w:right="72"/>
              <w:jc w:val="center"/>
              <w:rPr>
                <w:rFonts w:ascii="宋体" w:hAnsi="宋体" w:cs="宋体"/>
                <w:sz w:val="21"/>
                <w:szCs w:val="21"/>
              </w:rPr>
            </w:pPr>
            <w:r>
              <w:rPr>
                <w:rFonts w:hint="eastAsia" w:ascii="宋体" w:hAnsi="宋体" w:cs="宋体"/>
                <w:spacing w:val="-2"/>
                <w:sz w:val="21"/>
                <w:szCs w:val="21"/>
              </w:rPr>
              <w:t>商务部分</w:t>
            </w:r>
          </w:p>
          <w:p>
            <w:pPr>
              <w:pStyle w:val="23"/>
              <w:spacing w:before="2"/>
              <w:ind w:right="96"/>
              <w:jc w:val="center"/>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30</w:t>
            </w:r>
            <w:r>
              <w:rPr>
                <w:rFonts w:hint="eastAsia" w:ascii="宋体" w:hAnsi="宋体" w:cs="宋体"/>
                <w:spacing w:val="-32"/>
                <w:sz w:val="21"/>
                <w:szCs w:val="21"/>
              </w:rPr>
              <w:t>分）</w:t>
            </w:r>
          </w:p>
        </w:tc>
        <w:tc>
          <w:tcPr>
            <w:tcW w:w="948" w:type="dxa"/>
            <w:vAlign w:val="center"/>
          </w:tcPr>
          <w:p>
            <w:pPr>
              <w:rPr>
                <w:rFonts w:ascii="宋体" w:hAnsi="宋体" w:cs="宋体"/>
                <w:szCs w:val="21"/>
              </w:rPr>
            </w:pPr>
            <w:r>
              <w:rPr>
                <w:rFonts w:hint="eastAsia" w:ascii="宋体" w:hAnsi="宋体" w:cs="宋体"/>
                <w:color w:val="auto"/>
                <w:szCs w:val="21"/>
                <w:highlight w:val="yellow"/>
                <w:lang w:val="en-US" w:eastAsia="zh-CN"/>
              </w:rPr>
              <w:t>供应商</w:t>
            </w:r>
            <w:r>
              <w:rPr>
                <w:rFonts w:hint="eastAsia" w:ascii="宋体" w:hAnsi="宋体" w:cs="宋体"/>
                <w:szCs w:val="21"/>
              </w:rPr>
              <w:t>类似业绩（</w:t>
            </w:r>
            <w:r>
              <w:rPr>
                <w:rFonts w:hint="eastAsia" w:ascii="宋体" w:hAnsi="宋体" w:cs="宋体"/>
                <w:szCs w:val="21"/>
                <w:lang w:val="en-US" w:eastAsia="zh-CN"/>
              </w:rPr>
              <w:t>10</w:t>
            </w:r>
            <w:r>
              <w:rPr>
                <w:rFonts w:hint="eastAsia" w:ascii="宋体" w:hAnsi="宋体" w:cs="宋体"/>
                <w:szCs w:val="21"/>
              </w:rPr>
              <w:t xml:space="preserve"> 分）</w:t>
            </w:r>
          </w:p>
          <w:p>
            <w:pPr>
              <w:pStyle w:val="23"/>
              <w:spacing w:before="6" w:line="358" w:lineRule="exact"/>
              <w:ind w:right="79"/>
              <w:rPr>
                <w:rFonts w:ascii="宋体" w:hAnsi="宋体" w:cs="宋体"/>
                <w:sz w:val="21"/>
                <w:szCs w:val="21"/>
              </w:rPr>
            </w:pPr>
          </w:p>
        </w:tc>
        <w:tc>
          <w:tcPr>
            <w:tcW w:w="6416" w:type="dxa"/>
          </w:tcPr>
          <w:p>
            <w:pPr>
              <w:pStyle w:val="23"/>
              <w:spacing w:before="121" w:line="321" w:lineRule="auto"/>
              <w:ind w:left="4" w:right="127"/>
              <w:rPr>
                <w:rFonts w:hint="eastAsia" w:ascii="宋体" w:hAnsi="宋体" w:eastAsia="宋体" w:cs="宋体"/>
                <w:sz w:val="21"/>
                <w:szCs w:val="21"/>
                <w:highlight w:val="yellow"/>
                <w:lang w:val="en-US" w:eastAsia="zh-CN"/>
              </w:rPr>
            </w:pPr>
            <w:r>
              <w:rPr>
                <w:rFonts w:hint="eastAsia" w:ascii="宋体" w:hAnsi="宋体" w:cs="宋体"/>
                <w:sz w:val="21"/>
                <w:szCs w:val="21"/>
              </w:rPr>
              <w:t>供应商提供近3年</w:t>
            </w:r>
            <w:r>
              <w:rPr>
                <w:rFonts w:hint="eastAsia" w:ascii="宋体" w:hAnsi="宋体" w:cs="宋体"/>
                <w:sz w:val="21"/>
                <w:szCs w:val="21"/>
                <w:lang w:eastAsia="zh-CN"/>
              </w:rPr>
              <w:t>（</w:t>
            </w:r>
            <w:r>
              <w:rPr>
                <w:rFonts w:hint="eastAsia" w:ascii="宋体" w:hAnsi="宋体" w:cs="宋体"/>
                <w:sz w:val="21"/>
                <w:szCs w:val="21"/>
                <w:lang w:val="en-US" w:eastAsia="zh-CN"/>
              </w:rPr>
              <w:t>2018年9月1日至投标文件递交截止日期</w:t>
            </w:r>
            <w:r>
              <w:rPr>
                <w:rFonts w:hint="eastAsia" w:ascii="宋体" w:hAnsi="宋体" w:cs="宋体"/>
                <w:sz w:val="21"/>
                <w:szCs w:val="21"/>
                <w:lang w:eastAsia="zh-CN"/>
              </w:rPr>
              <w:t>）</w:t>
            </w:r>
            <w:r>
              <w:rPr>
                <w:rFonts w:hint="eastAsia" w:ascii="宋体" w:hAnsi="宋体" w:cs="宋体"/>
                <w:sz w:val="21"/>
                <w:szCs w:val="21"/>
              </w:rPr>
              <w:t>独立承担的与本项目类似</w:t>
            </w:r>
            <w:r>
              <w:rPr>
                <w:rFonts w:hint="eastAsia" w:ascii="宋体" w:hAnsi="宋体" w:cs="宋体"/>
                <w:sz w:val="21"/>
                <w:szCs w:val="21"/>
                <w:lang w:eastAsia="zh-CN"/>
              </w:rPr>
              <w:t>（如</w:t>
            </w:r>
            <w:r>
              <w:rPr>
                <w:rFonts w:hint="eastAsia" w:ascii="宋体" w:hAnsi="宋体" w:cs="宋体"/>
                <w:sz w:val="21"/>
                <w:szCs w:val="21"/>
                <w:highlight w:val="yellow"/>
                <w:lang w:val="en-US" w:eastAsia="zh-CN"/>
              </w:rPr>
              <w:t>旅游统计</w:t>
            </w:r>
            <w:r>
              <w:rPr>
                <w:rFonts w:hint="eastAsia" w:ascii="宋体" w:hAnsi="宋体" w:cs="宋体"/>
                <w:sz w:val="21"/>
                <w:szCs w:val="21"/>
                <w:highlight w:val="yellow"/>
              </w:rPr>
              <w:t>类</w:t>
            </w:r>
            <w:r>
              <w:rPr>
                <w:rFonts w:hint="eastAsia" w:ascii="宋体" w:hAnsi="宋体" w:cs="宋体"/>
                <w:sz w:val="21"/>
                <w:szCs w:val="21"/>
                <w:highlight w:val="yellow"/>
                <w:lang w:eastAsia="zh-CN"/>
              </w:rPr>
              <w:t>，</w:t>
            </w:r>
            <w:r>
              <w:rPr>
                <w:rFonts w:hint="eastAsia" w:ascii="宋体" w:hAnsi="宋体" w:cs="宋体"/>
                <w:sz w:val="21"/>
                <w:szCs w:val="21"/>
                <w:highlight w:val="yellow"/>
                <w:lang w:val="en-US" w:eastAsia="zh-CN"/>
              </w:rPr>
              <w:t>旅游大数据类等等</w:t>
            </w:r>
            <w:r>
              <w:rPr>
                <w:rFonts w:hint="eastAsia" w:ascii="宋体" w:hAnsi="宋体" w:cs="宋体"/>
                <w:sz w:val="21"/>
                <w:szCs w:val="21"/>
                <w:lang w:eastAsia="zh-CN"/>
              </w:rPr>
              <w:t>）</w:t>
            </w:r>
            <w:r>
              <w:rPr>
                <w:rFonts w:hint="eastAsia" w:ascii="宋体" w:hAnsi="宋体" w:cs="宋体"/>
                <w:sz w:val="21"/>
                <w:szCs w:val="21"/>
              </w:rPr>
              <w:t>的业绩，</w:t>
            </w:r>
            <w:r>
              <w:rPr>
                <w:rFonts w:hint="eastAsia" w:ascii="宋体" w:hAnsi="宋体" w:cs="宋体"/>
                <w:sz w:val="21"/>
                <w:szCs w:val="21"/>
                <w:highlight w:val="yellow"/>
              </w:rPr>
              <w:t>有一项</w:t>
            </w:r>
            <w:r>
              <w:rPr>
                <w:rFonts w:hint="eastAsia" w:ascii="宋体" w:hAnsi="宋体" w:cs="宋体"/>
                <w:sz w:val="21"/>
                <w:szCs w:val="21"/>
                <w:highlight w:val="yellow"/>
                <w:lang w:val="en-US" w:eastAsia="zh-CN"/>
              </w:rPr>
              <w:t>得2分，</w:t>
            </w:r>
            <w:r>
              <w:rPr>
                <w:rFonts w:hint="eastAsia" w:ascii="宋体" w:hAnsi="宋体" w:cs="宋体"/>
                <w:sz w:val="21"/>
                <w:szCs w:val="21"/>
                <w:highlight w:val="yellow"/>
              </w:rPr>
              <w:t>最多</w:t>
            </w:r>
            <w:r>
              <w:rPr>
                <w:rFonts w:hint="eastAsia" w:ascii="宋体" w:hAnsi="宋体" w:cs="宋体"/>
                <w:sz w:val="21"/>
                <w:szCs w:val="21"/>
                <w:highlight w:val="yellow"/>
                <w:lang w:val="en-US" w:eastAsia="zh-CN"/>
              </w:rPr>
              <w:t>得10</w:t>
            </w:r>
            <w:r>
              <w:rPr>
                <w:rFonts w:hint="eastAsia" w:ascii="宋体" w:hAnsi="宋体" w:cs="宋体"/>
                <w:sz w:val="21"/>
                <w:szCs w:val="21"/>
                <w:highlight w:val="yellow"/>
              </w:rPr>
              <w:t>分</w:t>
            </w:r>
            <w:r>
              <w:rPr>
                <w:rFonts w:hint="eastAsia" w:ascii="宋体" w:hAnsi="宋体" w:cs="宋体"/>
                <w:sz w:val="21"/>
                <w:szCs w:val="21"/>
                <w:highlight w:val="yellow"/>
                <w:lang w:eastAsia="zh-CN"/>
              </w:rPr>
              <w:t>。</w:t>
            </w:r>
          </w:p>
          <w:p>
            <w:pPr>
              <w:pStyle w:val="23"/>
              <w:spacing w:before="121" w:line="321" w:lineRule="auto"/>
              <w:ind w:left="4" w:right="127"/>
              <w:rPr>
                <w:rFonts w:hint="eastAsia" w:ascii="宋体" w:hAnsi="宋体" w:eastAsia="宋体" w:cs="宋体"/>
                <w:sz w:val="21"/>
                <w:szCs w:val="21"/>
                <w:lang w:eastAsia="zh-CN"/>
              </w:rPr>
            </w:pPr>
            <w:r>
              <w:rPr>
                <w:rFonts w:hint="eastAsia" w:ascii="宋体" w:hAnsi="宋体" w:cs="宋体"/>
                <w:sz w:val="21"/>
                <w:szCs w:val="21"/>
              </w:rPr>
              <w:t>备注：业绩证明（以合同或中标通知书为准，在投标文件中附合同扫描件或中标通知书扫描件加盖单位公章，须携带原件备查，弄虚作假者取消其投标资格）。</w:t>
            </w:r>
          </w:p>
        </w:tc>
        <w:tc>
          <w:tcPr>
            <w:tcW w:w="620" w:type="dxa"/>
            <w:vAlign w:val="center"/>
          </w:tcPr>
          <w:p>
            <w:pPr>
              <w:pStyle w:val="23"/>
              <w:spacing w:before="121" w:line="321" w:lineRule="auto"/>
              <w:ind w:left="4" w:right="127"/>
              <w:jc w:val="center"/>
              <w:rPr>
                <w:rFonts w:hint="default" w:ascii="宋体" w:hAnsi="宋体" w:eastAsia="宋体" w:cs="宋体"/>
                <w:sz w:val="21"/>
                <w:szCs w:val="21"/>
                <w:lang w:val="en-US" w:eastAsia="zh-CN"/>
              </w:rPr>
            </w:pPr>
            <w:r>
              <w:rPr>
                <w:rFonts w:hint="eastAsia" w:ascii="宋体" w:hAnsi="宋体" w:cs="宋体"/>
                <w:sz w:val="21"/>
                <w:szCs w:val="21"/>
              </w:rPr>
              <w:t>0-</w:t>
            </w:r>
            <w:r>
              <w:rPr>
                <w:rFonts w:hint="eastAsia" w:ascii="宋体" w:hAnsi="宋体" w:cs="宋体"/>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04" w:hRule="atLeast"/>
        </w:trPr>
        <w:tc>
          <w:tcPr>
            <w:tcW w:w="736" w:type="dxa"/>
            <w:vMerge w:val="continue"/>
          </w:tcPr>
          <w:p>
            <w:pPr>
              <w:rPr>
                <w:rFonts w:ascii="宋体" w:hAnsi="宋体" w:cs="宋体"/>
                <w:szCs w:val="21"/>
              </w:rPr>
            </w:pPr>
          </w:p>
        </w:tc>
        <w:tc>
          <w:tcPr>
            <w:tcW w:w="948" w:type="dxa"/>
            <w:vAlign w:val="center"/>
          </w:tcPr>
          <w:p>
            <w:pPr>
              <w:pStyle w:val="23"/>
              <w:spacing w:before="7"/>
              <w:jc w:val="center"/>
              <w:rPr>
                <w:rFonts w:ascii="宋体" w:hAnsi="宋体" w:cs="宋体"/>
                <w:sz w:val="21"/>
                <w:szCs w:val="21"/>
                <w:highlight w:val="yellow"/>
              </w:rPr>
            </w:pPr>
          </w:p>
          <w:p>
            <w:pPr>
              <w:pStyle w:val="23"/>
              <w:spacing w:before="1" w:line="321" w:lineRule="auto"/>
              <w:ind w:left="169" w:right="27" w:hanging="130"/>
              <w:rPr>
                <w:rFonts w:ascii="宋体" w:hAnsi="宋体" w:cs="宋体"/>
                <w:sz w:val="21"/>
                <w:szCs w:val="21"/>
                <w:highlight w:val="yellow"/>
              </w:rPr>
            </w:pPr>
            <w:r>
              <w:rPr>
                <w:rFonts w:hint="eastAsia" w:ascii="宋体" w:hAnsi="宋体" w:cs="宋体"/>
                <w:sz w:val="21"/>
                <w:szCs w:val="21"/>
                <w:highlight w:val="yellow"/>
                <w:lang w:val="en-US" w:eastAsia="zh-CN"/>
              </w:rPr>
              <w:t>数据管理和分析能力</w:t>
            </w:r>
            <w:r>
              <w:rPr>
                <w:rFonts w:hint="eastAsia" w:ascii="宋体" w:hAnsi="宋体" w:cs="宋体"/>
                <w:sz w:val="21"/>
                <w:szCs w:val="21"/>
                <w:highlight w:val="yellow"/>
              </w:rPr>
              <w:t>（</w:t>
            </w:r>
            <w:r>
              <w:rPr>
                <w:rFonts w:hint="eastAsia" w:ascii="宋体" w:hAnsi="宋体" w:cs="宋体"/>
                <w:sz w:val="21"/>
                <w:szCs w:val="21"/>
                <w:highlight w:val="yellow"/>
                <w:lang w:val="en-US" w:eastAsia="zh-CN"/>
              </w:rPr>
              <w:t>10</w:t>
            </w:r>
            <w:r>
              <w:rPr>
                <w:rFonts w:hint="eastAsia" w:ascii="宋体" w:hAnsi="宋体" w:cs="宋体"/>
                <w:sz w:val="21"/>
                <w:szCs w:val="21"/>
                <w:highlight w:val="yellow"/>
              </w:rPr>
              <w:t>分）</w:t>
            </w:r>
          </w:p>
        </w:tc>
        <w:tc>
          <w:tcPr>
            <w:tcW w:w="6416" w:type="dxa"/>
          </w:tcPr>
          <w:p>
            <w:pPr>
              <w:keepLines w:val="0"/>
              <w:widowControl w:val="0"/>
              <w:snapToGrid/>
              <w:spacing w:before="0" w:beforeAutospacing="0" w:after="0" w:afterAutospacing="0" w:line="240" w:lineRule="auto"/>
              <w:ind w:firstLine="420" w:firstLineChars="200"/>
              <w:jc w:val="both"/>
              <w:textAlignment w:val="baseline"/>
              <w:rPr>
                <w:rFonts w:hint="default" w:ascii="宋体" w:hAnsi="宋体" w:eastAsia="宋体" w:cs="宋体"/>
                <w:kern w:val="0"/>
                <w:sz w:val="21"/>
                <w:szCs w:val="21"/>
                <w:highlight w:val="yellow"/>
                <w:lang w:val="en-US" w:eastAsia="zh-CN" w:bidi="ar-SA"/>
              </w:rPr>
            </w:pPr>
            <w:r>
              <w:rPr>
                <w:rFonts w:hint="eastAsia" w:ascii="宋体" w:hAnsi="宋体" w:eastAsia="宋体" w:cs="宋体"/>
                <w:kern w:val="0"/>
                <w:sz w:val="21"/>
                <w:szCs w:val="21"/>
                <w:highlight w:val="yellow"/>
                <w:lang w:val="en-US" w:eastAsia="zh-CN" w:bidi="ar-SA"/>
              </w:rPr>
              <w:t>1.供应商具有大数据</w:t>
            </w:r>
            <w:r>
              <w:rPr>
                <w:rFonts w:hint="eastAsia" w:ascii="宋体" w:hAnsi="宋体" w:cs="宋体"/>
                <w:kern w:val="0"/>
                <w:sz w:val="21"/>
                <w:szCs w:val="21"/>
                <w:highlight w:val="yellow"/>
                <w:lang w:val="en-US" w:eastAsia="zh-CN" w:bidi="ar-SA"/>
              </w:rPr>
              <w:t>平台管理</w:t>
            </w:r>
            <w:r>
              <w:rPr>
                <w:rFonts w:hint="eastAsia" w:ascii="宋体" w:hAnsi="宋体" w:eastAsia="宋体" w:cs="宋体"/>
                <w:kern w:val="0"/>
                <w:sz w:val="21"/>
                <w:szCs w:val="21"/>
                <w:highlight w:val="yellow"/>
                <w:lang w:val="en-US" w:eastAsia="zh-CN" w:bidi="ar-SA"/>
              </w:rPr>
              <w:t>能力的，得3分。须提供相关证明材料并加盖供应商公章，不能提供的不得分。</w:t>
            </w:r>
          </w:p>
          <w:p>
            <w:pPr>
              <w:snapToGrid w:val="0"/>
              <w:spacing w:line="0" w:lineRule="atLeast"/>
              <w:ind w:firstLine="420" w:firstLineChars="200"/>
              <w:rPr>
                <w:rFonts w:hint="eastAsia" w:ascii="宋体" w:hAnsi="宋体" w:eastAsia="宋体" w:cs="宋体"/>
                <w:kern w:val="0"/>
                <w:sz w:val="21"/>
                <w:szCs w:val="21"/>
                <w:highlight w:val="yellow"/>
                <w:lang w:val="en-US" w:eastAsia="zh-CN" w:bidi="ar-SA"/>
              </w:rPr>
            </w:pPr>
            <w:r>
              <w:rPr>
                <w:rFonts w:hint="eastAsia" w:ascii="宋体" w:hAnsi="宋体" w:eastAsia="宋体" w:cs="宋体"/>
                <w:kern w:val="0"/>
                <w:sz w:val="21"/>
                <w:szCs w:val="21"/>
                <w:highlight w:val="yellow"/>
                <w:lang w:val="en-US" w:eastAsia="zh-CN" w:bidi="ar-SA"/>
              </w:rPr>
              <w:t>2.供应商具有旅游统计分析能力的，得3分。须提供软件著作权证书或旅游统计研究成果等具备旅游统计分析能力的相关证明材料并加盖供应商公章，不能提供的不得分。</w:t>
            </w:r>
          </w:p>
          <w:p>
            <w:pPr>
              <w:snapToGrid w:val="0"/>
              <w:spacing w:line="0" w:lineRule="atLeast"/>
              <w:ind w:firstLine="420" w:firstLineChars="200"/>
              <w:rPr>
                <w:rFonts w:ascii="宋体" w:hAnsi="宋体" w:cs="宋体"/>
                <w:sz w:val="21"/>
                <w:szCs w:val="21"/>
                <w:highlight w:val="yellow"/>
              </w:rPr>
            </w:pPr>
            <w:r>
              <w:rPr>
                <w:rFonts w:hint="eastAsia" w:ascii="宋体" w:hAnsi="宋体" w:eastAsia="宋体" w:cs="宋体"/>
                <w:kern w:val="0"/>
                <w:sz w:val="21"/>
                <w:szCs w:val="21"/>
                <w:highlight w:val="yellow"/>
                <w:lang w:val="en-US" w:eastAsia="zh-CN" w:bidi="ar-SA"/>
              </w:rPr>
              <w:t>3.供应商具有数据管理能力的，得4分。须提供软件著作权证书等具备数据管理能力的相关证明材料并加盖供应商公章，不能提供的不得分。</w:t>
            </w:r>
          </w:p>
        </w:tc>
        <w:tc>
          <w:tcPr>
            <w:tcW w:w="620" w:type="dxa"/>
            <w:vAlign w:val="center"/>
          </w:tcPr>
          <w:p>
            <w:pPr>
              <w:pStyle w:val="23"/>
              <w:spacing w:line="242" w:lineRule="exact"/>
              <w:ind w:left="4"/>
              <w:jc w:val="center"/>
              <w:rPr>
                <w:rFonts w:hint="default" w:ascii="宋体" w:hAnsi="宋体" w:eastAsia="宋体" w:cs="宋体"/>
                <w:sz w:val="21"/>
                <w:szCs w:val="21"/>
                <w:lang w:val="en-US" w:eastAsia="zh-CN"/>
              </w:rPr>
            </w:pPr>
            <w:r>
              <w:rPr>
                <w:rFonts w:hint="eastAsia" w:ascii="宋体" w:hAnsi="宋体" w:cs="宋体"/>
                <w:sz w:val="21"/>
                <w:szCs w:val="21"/>
              </w:rPr>
              <w:t>0-</w:t>
            </w:r>
            <w:r>
              <w:rPr>
                <w:rFonts w:hint="eastAsia" w:ascii="宋体" w:hAnsi="宋体" w:cs="宋体"/>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0" w:hRule="atLeast"/>
        </w:trPr>
        <w:tc>
          <w:tcPr>
            <w:tcW w:w="736" w:type="dxa"/>
            <w:vMerge w:val="continue"/>
          </w:tcPr>
          <w:p>
            <w:pPr>
              <w:pStyle w:val="23"/>
              <w:spacing w:line="266" w:lineRule="exact"/>
              <w:ind w:right="96"/>
              <w:jc w:val="right"/>
              <w:rPr>
                <w:rFonts w:ascii="宋体" w:hAnsi="宋体" w:cs="宋体"/>
                <w:sz w:val="21"/>
                <w:szCs w:val="21"/>
              </w:rPr>
            </w:pPr>
          </w:p>
        </w:tc>
        <w:tc>
          <w:tcPr>
            <w:tcW w:w="948"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项目实施团队能力（10 分）</w:t>
            </w:r>
          </w:p>
        </w:tc>
        <w:tc>
          <w:tcPr>
            <w:tcW w:w="6416" w:type="dxa"/>
            <w:vAlign w:val="center"/>
          </w:tcPr>
          <w:p>
            <w:pPr>
              <w:pStyle w:val="10"/>
              <w:keepLines w:val="0"/>
              <w:widowControl w:val="0"/>
              <w:snapToGrid/>
              <w:spacing w:before="0" w:beforeAutospacing="0" w:after="0" w:afterAutospacing="0" w:line="240" w:lineRule="auto"/>
              <w:ind w:firstLine="420" w:firstLineChars="200"/>
              <w:jc w:val="left"/>
              <w:textAlignment w:val="baseline"/>
              <w:rPr>
                <w:rFonts w:hint="eastAsia" w:ascii="宋体" w:hAnsi="宋体" w:eastAsia="宋体" w:cs="宋体"/>
                <w:kern w:val="0"/>
                <w:sz w:val="21"/>
                <w:szCs w:val="21"/>
                <w:highlight w:val="yellow"/>
                <w:lang w:val="en-US" w:eastAsia="zh-CN" w:bidi="ar-SA"/>
              </w:rPr>
            </w:pPr>
            <w:r>
              <w:rPr>
                <w:rFonts w:hint="eastAsia" w:ascii="宋体" w:hAnsi="宋体" w:eastAsia="宋体" w:cs="宋体"/>
                <w:kern w:val="0"/>
                <w:sz w:val="21"/>
                <w:szCs w:val="21"/>
                <w:highlight w:val="yellow"/>
                <w:lang w:val="en-US" w:eastAsia="zh-CN" w:bidi="ar-SA"/>
              </w:rPr>
              <w:t>1.供应商为本项目配备的团队成员中，每配备有1名统计类高级职称得2分，最多得8分。</w:t>
            </w:r>
          </w:p>
          <w:p>
            <w:pPr>
              <w:pStyle w:val="10"/>
              <w:keepLines w:val="0"/>
              <w:widowControl w:val="0"/>
              <w:snapToGrid/>
              <w:spacing w:before="0" w:beforeAutospacing="0" w:after="0" w:afterAutospacing="0" w:line="240" w:lineRule="auto"/>
              <w:ind w:firstLine="420" w:firstLineChars="200"/>
              <w:jc w:val="left"/>
              <w:textAlignment w:val="baseline"/>
              <w:rPr>
                <w:rFonts w:hint="default" w:ascii="宋体" w:hAnsi="宋体" w:eastAsia="宋体" w:cs="宋体"/>
                <w:kern w:val="0"/>
                <w:sz w:val="21"/>
                <w:szCs w:val="21"/>
                <w:highlight w:val="yellow"/>
                <w:lang w:val="en-US" w:eastAsia="zh-CN" w:bidi="ar-SA"/>
              </w:rPr>
            </w:pPr>
            <w:r>
              <w:rPr>
                <w:rFonts w:hint="eastAsia" w:ascii="宋体" w:hAnsi="宋体" w:eastAsia="宋体" w:cs="宋体"/>
                <w:kern w:val="0"/>
                <w:sz w:val="21"/>
                <w:szCs w:val="21"/>
                <w:highlight w:val="yellow"/>
                <w:lang w:val="en-US" w:eastAsia="zh-CN" w:bidi="ar-SA"/>
              </w:rPr>
              <w:t>2.供应商为本项目配备的团队成员中，每配备有1名统计类中级职称或统计学专业硕士研究生及以上学历的，得1分，最多得</w:t>
            </w:r>
            <w:r>
              <w:rPr>
                <w:rFonts w:hint="eastAsia" w:hAnsi="宋体" w:cs="宋体"/>
                <w:kern w:val="0"/>
                <w:sz w:val="21"/>
                <w:szCs w:val="21"/>
                <w:highlight w:val="yellow"/>
                <w:lang w:val="en-US" w:eastAsia="zh-CN" w:bidi="ar-SA"/>
              </w:rPr>
              <w:t>2</w:t>
            </w:r>
            <w:r>
              <w:rPr>
                <w:rFonts w:hint="eastAsia" w:ascii="宋体" w:hAnsi="宋体" w:eastAsia="宋体" w:cs="宋体"/>
                <w:kern w:val="0"/>
                <w:sz w:val="21"/>
                <w:szCs w:val="21"/>
                <w:highlight w:val="yellow"/>
                <w:lang w:val="en-US" w:eastAsia="zh-CN" w:bidi="ar-SA"/>
              </w:rPr>
              <w:t>分。</w:t>
            </w:r>
          </w:p>
          <w:p>
            <w:pPr>
              <w:pStyle w:val="10"/>
              <w:keepLines w:val="0"/>
              <w:widowControl w:val="0"/>
              <w:snapToGrid/>
              <w:spacing w:before="0" w:beforeAutospacing="0" w:after="0" w:afterAutospacing="0" w:line="240" w:lineRule="auto"/>
              <w:ind w:firstLine="420" w:firstLineChars="20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highlight w:val="yellow"/>
                <w:lang w:val="en-US" w:eastAsia="zh-CN" w:bidi="ar-SA"/>
              </w:rPr>
              <w:t>注：供应商需提供人员身份证复印件、职称证书复印件、学历证书复印件等相关证明文件并加盖供应商公章，团队人员同时具有以上多个证书的，按最高得分只计1次分，不得重复得分</w:t>
            </w:r>
            <w:r>
              <w:rPr>
                <w:rFonts w:hint="eastAsia" w:ascii="仿宋" w:hAnsi="仿宋" w:eastAsia="仿宋" w:cs="宋体"/>
                <w:b w:val="0"/>
                <w:i w:val="0"/>
                <w:caps w:val="0"/>
                <w:spacing w:val="0"/>
                <w:w w:val="100"/>
                <w:kern w:val="0"/>
                <w:sz w:val="24"/>
                <w:szCs w:val="24"/>
              </w:rPr>
              <w:t>。</w:t>
            </w:r>
          </w:p>
        </w:tc>
        <w:tc>
          <w:tcPr>
            <w:tcW w:w="620" w:type="dxa"/>
            <w:vAlign w:val="center"/>
          </w:tcPr>
          <w:p>
            <w:pPr>
              <w:pStyle w:val="23"/>
              <w:spacing w:line="266" w:lineRule="exact"/>
              <w:ind w:left="4"/>
              <w:jc w:val="center"/>
              <w:rPr>
                <w:rFonts w:hint="eastAsia" w:ascii="宋体" w:hAnsi="宋体" w:cs="宋体"/>
                <w:sz w:val="21"/>
                <w:szCs w:val="21"/>
              </w:rPr>
            </w:pPr>
            <w:r>
              <w:rPr>
                <w:rFonts w:hint="eastAsia" w:ascii="宋体" w:hAnsi="宋体" w:cs="宋体"/>
                <w:sz w:val="21"/>
                <w:szCs w:val="21"/>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0" w:hRule="atLeast"/>
        </w:trPr>
        <w:tc>
          <w:tcPr>
            <w:tcW w:w="736" w:type="dxa"/>
            <w:vMerge w:val="restart"/>
            <w:vAlign w:val="center"/>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技术部分（</w:t>
            </w:r>
            <w:r>
              <w:rPr>
                <w:rFonts w:hint="eastAsia" w:ascii="宋体" w:hAnsi="宋体" w:cs="宋体"/>
                <w:szCs w:val="21"/>
                <w:lang w:val="en-US" w:eastAsia="zh-CN"/>
              </w:rPr>
              <w:t>60</w:t>
            </w:r>
            <w:r>
              <w:rPr>
                <w:rFonts w:hint="eastAsia" w:ascii="宋体" w:hAnsi="宋体" w:cs="宋体"/>
                <w:szCs w:val="21"/>
              </w:rPr>
              <w:t>分）</w:t>
            </w:r>
          </w:p>
        </w:tc>
        <w:tc>
          <w:tcPr>
            <w:tcW w:w="948" w:type="dxa"/>
          </w:tcPr>
          <w:p>
            <w:pPr>
              <w:rPr>
                <w:rFonts w:ascii="宋体" w:hAnsi="宋体" w:cs="宋体"/>
                <w:szCs w:val="21"/>
              </w:rPr>
            </w:pPr>
          </w:p>
          <w:p>
            <w:pPr>
              <w:rPr>
                <w:rFonts w:ascii="宋体" w:hAnsi="宋体" w:cs="宋体"/>
                <w:szCs w:val="21"/>
              </w:rPr>
            </w:pPr>
            <w:r>
              <w:rPr>
                <w:rFonts w:hint="eastAsia" w:ascii="宋体" w:hAnsi="宋体" w:cs="宋体"/>
                <w:szCs w:val="21"/>
                <w:highlight w:val="yellow"/>
              </w:rPr>
              <w:t>对本项目的理解与认识（1</w:t>
            </w:r>
            <w:r>
              <w:rPr>
                <w:rFonts w:hint="eastAsia" w:ascii="宋体" w:hAnsi="宋体" w:cs="宋体"/>
                <w:szCs w:val="21"/>
                <w:highlight w:val="yellow"/>
                <w:lang w:val="en-US" w:eastAsia="zh-CN"/>
              </w:rPr>
              <w:t>5</w:t>
            </w:r>
            <w:r>
              <w:rPr>
                <w:rFonts w:hint="eastAsia" w:ascii="宋体" w:hAnsi="宋体" w:cs="宋体"/>
                <w:szCs w:val="21"/>
                <w:highlight w:val="yellow"/>
              </w:rPr>
              <w:t xml:space="preserve"> 分） </w:t>
            </w:r>
          </w:p>
        </w:tc>
        <w:tc>
          <w:tcPr>
            <w:tcW w:w="6416" w:type="dxa"/>
          </w:tcPr>
          <w:p>
            <w:pPr>
              <w:pStyle w:val="23"/>
              <w:spacing w:before="97" w:line="321" w:lineRule="auto"/>
              <w:ind w:left="4" w:right="-15"/>
              <w:rPr>
                <w:rFonts w:ascii="宋体" w:hAnsi="宋体" w:cs="宋体"/>
                <w:sz w:val="21"/>
                <w:szCs w:val="21"/>
              </w:rPr>
            </w:pPr>
            <w:r>
              <w:rPr>
                <w:rFonts w:hint="eastAsia" w:ascii="宋体" w:hAnsi="宋体" w:cs="宋体"/>
                <w:spacing w:val="-8"/>
                <w:sz w:val="21"/>
                <w:szCs w:val="21"/>
              </w:rPr>
              <w:t>熟悉本项目业务需求，对项目理解和认识丰富、完整、准确，做出说明,</w:t>
            </w:r>
            <w:r>
              <w:rPr>
                <w:rFonts w:hint="eastAsia" w:ascii="宋体" w:hAnsi="宋体" w:cs="宋体"/>
                <w:sz w:val="21"/>
                <w:szCs w:val="21"/>
                <w:highlight w:val="yellow"/>
              </w:rPr>
              <w:t>对项目存在的难点、重点分析透彻以及有相对性的措施，</w:t>
            </w:r>
            <w:r>
              <w:rPr>
                <w:rFonts w:hint="eastAsia" w:ascii="宋体" w:hAnsi="宋体" w:cs="宋体"/>
                <w:sz w:val="21"/>
                <w:szCs w:val="21"/>
              </w:rPr>
              <w:t>横向对比综合赋分：</w:t>
            </w:r>
          </w:p>
          <w:p>
            <w:pPr>
              <w:pStyle w:val="23"/>
              <w:spacing w:line="266" w:lineRule="exact"/>
              <w:ind w:left="4"/>
              <w:rPr>
                <w:rFonts w:ascii="宋体" w:hAnsi="宋体" w:cs="宋体"/>
                <w:sz w:val="21"/>
                <w:szCs w:val="21"/>
              </w:rPr>
            </w:pPr>
            <w:r>
              <w:rPr>
                <w:rFonts w:hint="eastAsia" w:ascii="宋体" w:hAnsi="宋体" w:cs="宋体"/>
                <w:sz w:val="21"/>
                <w:szCs w:val="21"/>
              </w:rPr>
              <w:t xml:space="preserve">优秀得 </w:t>
            </w:r>
            <w:r>
              <w:rPr>
                <w:rFonts w:hint="eastAsia" w:ascii="宋体" w:hAnsi="宋体" w:cs="宋体"/>
                <w:sz w:val="21"/>
                <w:szCs w:val="21"/>
                <w:lang w:val="en-US" w:eastAsia="zh-CN"/>
              </w:rPr>
              <w:t>11</w:t>
            </w: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 xml:space="preserve"> 分；良好得 </w:t>
            </w:r>
            <w:r>
              <w:rPr>
                <w:rFonts w:hint="eastAsia" w:ascii="宋体" w:hAnsi="宋体" w:cs="宋体"/>
                <w:sz w:val="21"/>
                <w:szCs w:val="21"/>
                <w:lang w:val="en-US" w:eastAsia="zh-CN"/>
              </w:rPr>
              <w:t>6</w:t>
            </w: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 xml:space="preserve"> 分；一般得 0-</w:t>
            </w:r>
            <w:r>
              <w:rPr>
                <w:rFonts w:hint="eastAsia" w:ascii="宋体" w:hAnsi="宋体" w:cs="宋体"/>
                <w:sz w:val="21"/>
                <w:szCs w:val="21"/>
                <w:lang w:val="en-US" w:eastAsia="zh-CN"/>
              </w:rPr>
              <w:t>5</w:t>
            </w:r>
            <w:r>
              <w:rPr>
                <w:rFonts w:hint="eastAsia" w:ascii="宋体" w:hAnsi="宋体" w:cs="宋体"/>
                <w:sz w:val="21"/>
                <w:szCs w:val="21"/>
              </w:rPr>
              <w:t xml:space="preserve"> 分。</w:t>
            </w:r>
          </w:p>
        </w:tc>
        <w:tc>
          <w:tcPr>
            <w:tcW w:w="620" w:type="dxa"/>
            <w:vAlign w:val="center"/>
          </w:tcPr>
          <w:p>
            <w:pPr>
              <w:pStyle w:val="23"/>
              <w:spacing w:line="266" w:lineRule="exact"/>
              <w:ind w:left="4"/>
              <w:jc w:val="center"/>
              <w:rPr>
                <w:rFonts w:hint="eastAsia" w:ascii="宋体" w:hAnsi="宋体" w:eastAsia="宋体" w:cs="宋体"/>
                <w:sz w:val="21"/>
                <w:szCs w:val="21"/>
                <w:lang w:eastAsia="zh-CN"/>
              </w:rPr>
            </w:pPr>
            <w:r>
              <w:rPr>
                <w:rFonts w:hint="eastAsia" w:ascii="宋体" w:hAnsi="宋体" w:cs="宋体"/>
                <w:sz w:val="21"/>
                <w:szCs w:val="21"/>
              </w:rPr>
              <w:t>0-1</w:t>
            </w:r>
            <w:r>
              <w:rPr>
                <w:rFonts w:hint="eastAsia" w:ascii="宋体" w:hAnsi="宋体" w:cs="宋体"/>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1" w:hRule="atLeast"/>
        </w:trPr>
        <w:tc>
          <w:tcPr>
            <w:tcW w:w="736" w:type="dxa"/>
            <w:vMerge w:val="continue"/>
          </w:tcPr>
          <w:p>
            <w:pPr>
              <w:rPr>
                <w:rFonts w:ascii="宋体" w:hAnsi="宋体" w:cs="宋体"/>
                <w:szCs w:val="21"/>
              </w:rPr>
            </w:pPr>
          </w:p>
        </w:tc>
        <w:tc>
          <w:tcPr>
            <w:tcW w:w="948" w:type="dxa"/>
            <w:vAlign w:val="center"/>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总体实施方案（25分）</w:t>
            </w:r>
          </w:p>
        </w:tc>
        <w:tc>
          <w:tcPr>
            <w:tcW w:w="6416" w:type="dxa"/>
          </w:tcPr>
          <w:p>
            <w:pPr>
              <w:jc w:val="left"/>
              <w:rPr>
                <w:rFonts w:ascii="宋体" w:hAnsi="宋体" w:cs="宋体"/>
                <w:szCs w:val="21"/>
              </w:rPr>
            </w:pPr>
            <w:r>
              <w:rPr>
                <w:rFonts w:hint="eastAsia" w:ascii="宋体" w:hAnsi="宋体" w:cs="宋体"/>
                <w:szCs w:val="21"/>
              </w:rPr>
              <w:t>提供详细的实施计划（包括但不限于新疆旅游统计数据管理方案、新疆旅游统计及分析研究方案、新疆旅游经济运行分析方案等）,进度安排合理，项目实施方法科学、严谨、有效，工作步骤清晰，且有针对性的方案：</w:t>
            </w:r>
          </w:p>
          <w:p>
            <w:pPr>
              <w:jc w:val="left"/>
              <w:rPr>
                <w:rFonts w:ascii="宋体" w:hAnsi="宋体" w:cs="宋体"/>
                <w:szCs w:val="21"/>
              </w:rPr>
            </w:pPr>
            <w:r>
              <w:rPr>
                <w:rFonts w:hint="eastAsia" w:ascii="宋体" w:hAnsi="宋体" w:cs="宋体"/>
                <w:szCs w:val="21"/>
              </w:rPr>
              <w:t>优秀得19-25分；良好得14-18分；一般得0-13分。</w:t>
            </w:r>
          </w:p>
        </w:tc>
        <w:tc>
          <w:tcPr>
            <w:tcW w:w="620" w:type="dxa"/>
            <w:vAlign w:val="center"/>
          </w:tcPr>
          <w:p>
            <w:pPr>
              <w:jc w:val="center"/>
              <w:rPr>
                <w:rFonts w:ascii="宋体" w:hAnsi="宋体" w:cs="宋体"/>
                <w:szCs w:val="21"/>
              </w:rPr>
            </w:pPr>
            <w:r>
              <w:rPr>
                <w:rFonts w:hint="eastAsia" w:ascii="宋体" w:hAnsi="宋体" w:cs="宋体"/>
                <w:szCs w:val="21"/>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9" w:hRule="atLeast"/>
        </w:trPr>
        <w:tc>
          <w:tcPr>
            <w:tcW w:w="736" w:type="dxa"/>
            <w:vMerge w:val="continue"/>
          </w:tcPr>
          <w:p>
            <w:pPr>
              <w:rPr>
                <w:rFonts w:ascii="宋体" w:hAnsi="宋体" w:cs="宋体"/>
                <w:szCs w:val="21"/>
              </w:rPr>
            </w:pPr>
          </w:p>
        </w:tc>
        <w:tc>
          <w:tcPr>
            <w:tcW w:w="948" w:type="dxa"/>
            <w:vAlign w:val="center"/>
          </w:tcPr>
          <w:p>
            <w:pPr>
              <w:jc w:val="center"/>
              <w:rPr>
                <w:rFonts w:ascii="宋体" w:hAnsi="宋体" w:cs="宋体"/>
                <w:szCs w:val="21"/>
              </w:rPr>
            </w:pPr>
            <w:r>
              <w:rPr>
                <w:rFonts w:hint="eastAsia" w:ascii="宋体" w:hAnsi="宋体" w:cs="宋体"/>
                <w:szCs w:val="21"/>
              </w:rPr>
              <w:t>应急预备方案（5分）</w:t>
            </w:r>
          </w:p>
        </w:tc>
        <w:tc>
          <w:tcPr>
            <w:tcW w:w="6416" w:type="dxa"/>
          </w:tcPr>
          <w:p>
            <w:pPr>
              <w:jc w:val="left"/>
              <w:rPr>
                <w:rFonts w:ascii="宋体" w:hAnsi="宋体" w:cs="宋体"/>
                <w:szCs w:val="21"/>
              </w:rPr>
            </w:pPr>
            <w:r>
              <w:rPr>
                <w:rFonts w:hint="eastAsia" w:ascii="宋体" w:hAnsi="宋体" w:cs="宋体"/>
                <w:szCs w:val="21"/>
              </w:rPr>
              <w:t>提供可靠</w:t>
            </w:r>
            <w:r>
              <w:rPr>
                <w:rFonts w:hint="eastAsia" w:ascii="宋体" w:hAnsi="宋体" w:cs="宋体"/>
                <w:szCs w:val="21"/>
                <w:highlight w:val="yellow"/>
                <w:lang w:val="en-US" w:eastAsia="zh-CN"/>
              </w:rPr>
              <w:t>的</w:t>
            </w:r>
            <w:r>
              <w:rPr>
                <w:rFonts w:hint="eastAsia" w:ascii="宋体" w:hAnsi="宋体" w:cs="宋体"/>
                <w:szCs w:val="21"/>
              </w:rPr>
              <w:t>应急预备方案、当出现突发事故时依旧能够保障数据管理、统计、分析等工作的有序进行，按其响应程度综合赋分：</w:t>
            </w:r>
          </w:p>
          <w:p>
            <w:pPr>
              <w:jc w:val="left"/>
              <w:rPr>
                <w:rFonts w:ascii="宋体" w:hAnsi="宋体" w:cs="宋体"/>
                <w:szCs w:val="21"/>
              </w:rPr>
            </w:pPr>
            <w:r>
              <w:rPr>
                <w:rFonts w:hint="eastAsia" w:ascii="宋体" w:hAnsi="宋体" w:cs="宋体"/>
                <w:szCs w:val="21"/>
              </w:rPr>
              <w:t>优4-5分；良 2-3 分；差 0-1；不提供者不得分。</w:t>
            </w:r>
          </w:p>
        </w:tc>
        <w:tc>
          <w:tcPr>
            <w:tcW w:w="620" w:type="dxa"/>
            <w:vAlign w:val="center"/>
          </w:tcPr>
          <w:p>
            <w:pPr>
              <w:jc w:val="center"/>
              <w:rPr>
                <w:rFonts w:ascii="宋体" w:hAnsi="宋体" w:cs="宋体"/>
                <w:szCs w:val="21"/>
              </w:rPr>
            </w:pPr>
            <w:r>
              <w:rPr>
                <w:rFonts w:hint="eastAsia" w:ascii="宋体" w:hAnsi="宋体" w:cs="宋体"/>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9" w:hRule="atLeast"/>
        </w:trPr>
        <w:tc>
          <w:tcPr>
            <w:tcW w:w="736" w:type="dxa"/>
            <w:vMerge w:val="continue"/>
          </w:tcPr>
          <w:p>
            <w:pPr>
              <w:rPr>
                <w:rFonts w:ascii="宋体" w:hAnsi="宋体" w:cs="宋体"/>
                <w:szCs w:val="21"/>
              </w:rPr>
            </w:pPr>
          </w:p>
        </w:tc>
        <w:tc>
          <w:tcPr>
            <w:tcW w:w="948" w:type="dxa"/>
          </w:tcPr>
          <w:p>
            <w:pPr>
              <w:jc w:val="center"/>
              <w:rPr>
                <w:rFonts w:hint="eastAsia" w:ascii="宋体" w:hAnsi="宋体" w:eastAsia="宋体" w:cs="宋体"/>
                <w:szCs w:val="21"/>
                <w:lang w:eastAsia="zh-CN"/>
              </w:rPr>
            </w:pPr>
            <w:r>
              <w:rPr>
                <w:rFonts w:hint="eastAsia" w:ascii="宋体" w:hAnsi="宋体" w:cs="宋体"/>
                <w:szCs w:val="21"/>
              </w:rPr>
              <w:t>工作进度和服务质量控制措施（10 分</w:t>
            </w:r>
            <w:r>
              <w:rPr>
                <w:rFonts w:hint="eastAsia" w:ascii="宋体" w:hAnsi="宋体" w:cs="宋体"/>
                <w:szCs w:val="21"/>
                <w:lang w:eastAsia="zh-CN"/>
              </w:rPr>
              <w:t>）</w:t>
            </w:r>
          </w:p>
        </w:tc>
        <w:tc>
          <w:tcPr>
            <w:tcW w:w="6416" w:type="dxa"/>
            <w:vAlign w:val="center"/>
          </w:tcPr>
          <w:p>
            <w:pPr>
              <w:jc w:val="both"/>
              <w:rPr>
                <w:rFonts w:ascii="宋体" w:hAnsi="宋体" w:cs="宋体"/>
                <w:szCs w:val="21"/>
              </w:rPr>
            </w:pPr>
            <w:r>
              <w:rPr>
                <w:rFonts w:hint="eastAsia" w:ascii="宋体" w:hAnsi="宋体" w:cs="宋体"/>
                <w:szCs w:val="21"/>
              </w:rPr>
              <w:t>工作进度和服务质量控制措施有力，有针对性较强的质量保证体系：</w:t>
            </w:r>
          </w:p>
          <w:p>
            <w:pPr>
              <w:jc w:val="both"/>
              <w:rPr>
                <w:rFonts w:ascii="宋体" w:hAnsi="宋体" w:cs="宋体"/>
                <w:szCs w:val="21"/>
              </w:rPr>
            </w:pPr>
            <w:r>
              <w:rPr>
                <w:rFonts w:hint="eastAsia" w:ascii="宋体" w:hAnsi="宋体" w:cs="宋体"/>
                <w:szCs w:val="21"/>
              </w:rPr>
              <w:t>优秀得 8-10 分；良好得 4-7 分；一般得 0-3 分。</w:t>
            </w:r>
          </w:p>
        </w:tc>
        <w:tc>
          <w:tcPr>
            <w:tcW w:w="620" w:type="dxa"/>
            <w:vAlign w:val="center"/>
          </w:tcPr>
          <w:p>
            <w:pPr>
              <w:jc w:val="center"/>
              <w:rPr>
                <w:rFonts w:ascii="宋体" w:hAnsi="宋体" w:cs="宋体"/>
                <w:szCs w:val="21"/>
              </w:rPr>
            </w:pPr>
            <w:r>
              <w:rPr>
                <w:rFonts w:hint="eastAsia" w:ascii="宋体" w:hAnsi="宋体" w:cs="宋体"/>
                <w:szCs w:val="21"/>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6" w:hRule="atLeast"/>
        </w:trPr>
        <w:tc>
          <w:tcPr>
            <w:tcW w:w="736" w:type="dxa"/>
            <w:vMerge w:val="continue"/>
          </w:tcPr>
          <w:p>
            <w:pPr>
              <w:rPr>
                <w:rFonts w:ascii="宋体" w:hAnsi="宋体" w:cs="宋体"/>
                <w:szCs w:val="21"/>
              </w:rPr>
            </w:pPr>
          </w:p>
        </w:tc>
        <w:tc>
          <w:tcPr>
            <w:tcW w:w="948" w:type="dxa"/>
            <w:tcBorders>
              <w:bottom w:val="single" w:color="auto" w:sz="4" w:space="0"/>
            </w:tcBorders>
          </w:tcPr>
          <w:p>
            <w:pPr>
              <w:jc w:val="center"/>
              <w:rPr>
                <w:rFonts w:ascii="宋体" w:hAnsi="宋体" w:cs="宋体"/>
                <w:szCs w:val="21"/>
              </w:rPr>
            </w:pPr>
            <w:r>
              <w:rPr>
                <w:rFonts w:hint="eastAsia" w:ascii="宋体" w:hAnsi="宋体" w:cs="宋体"/>
                <w:szCs w:val="21"/>
              </w:rPr>
              <w:t xml:space="preserve">服务承诺及保障（5 分） </w:t>
            </w:r>
          </w:p>
        </w:tc>
        <w:tc>
          <w:tcPr>
            <w:tcW w:w="6416" w:type="dxa"/>
            <w:tcBorders>
              <w:bottom w:val="single" w:color="auto" w:sz="4" w:space="0"/>
            </w:tcBorders>
          </w:tcPr>
          <w:p>
            <w:pPr>
              <w:jc w:val="left"/>
              <w:rPr>
                <w:rFonts w:ascii="宋体" w:hAnsi="宋体" w:cs="宋体"/>
                <w:szCs w:val="21"/>
              </w:rPr>
            </w:pPr>
            <w:r>
              <w:rPr>
                <w:rFonts w:hint="eastAsia" w:ascii="宋体" w:hAnsi="宋体" w:cs="宋体"/>
                <w:szCs w:val="21"/>
              </w:rPr>
              <w:t>项目服务过程中有明确的承诺和售后服务方案，方案充实详细、有质量保证承诺，按其响应程度综合赋分：</w:t>
            </w:r>
          </w:p>
          <w:p>
            <w:pPr>
              <w:jc w:val="left"/>
              <w:rPr>
                <w:rFonts w:ascii="宋体" w:hAnsi="宋体" w:cs="宋体"/>
                <w:szCs w:val="21"/>
              </w:rPr>
            </w:pPr>
            <w:r>
              <w:rPr>
                <w:rFonts w:hint="eastAsia" w:ascii="宋体" w:hAnsi="宋体" w:cs="宋体"/>
                <w:szCs w:val="21"/>
              </w:rPr>
              <w:t>优4-5分；良 2-3 分；差 0-1；不提供者不得分。</w:t>
            </w:r>
          </w:p>
        </w:tc>
        <w:tc>
          <w:tcPr>
            <w:tcW w:w="620"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6" w:hRule="atLeast"/>
        </w:trPr>
        <w:tc>
          <w:tcPr>
            <w:tcW w:w="8100" w:type="dxa"/>
            <w:gridSpan w:val="3"/>
            <w:tcBorders>
              <w:top w:val="single" w:color="auto" w:sz="4" w:space="0"/>
              <w:left w:val="single" w:color="auto" w:sz="4" w:space="0"/>
              <w:bottom w:val="single" w:color="auto" w:sz="4" w:space="0"/>
              <w:right w:val="single" w:color="auto" w:sz="4" w:space="0"/>
            </w:tcBorders>
          </w:tcPr>
          <w:p>
            <w:pPr>
              <w:pStyle w:val="23"/>
              <w:spacing w:before="2" w:line="360" w:lineRule="exact"/>
              <w:ind w:left="4" w:right="1495"/>
              <w:rPr>
                <w:rFonts w:ascii="宋体" w:hAnsi="宋体" w:cs="宋体"/>
                <w:spacing w:val="-3"/>
                <w:sz w:val="21"/>
                <w:szCs w:val="21"/>
              </w:rPr>
            </w:pPr>
          </w:p>
        </w:tc>
        <w:tc>
          <w:tcPr>
            <w:tcW w:w="620" w:type="dxa"/>
            <w:tcBorders>
              <w:top w:val="single" w:color="auto" w:sz="4" w:space="0"/>
              <w:left w:val="single" w:color="auto" w:sz="4" w:space="0"/>
              <w:bottom w:val="single" w:color="auto" w:sz="4" w:space="0"/>
              <w:right w:val="single" w:color="auto" w:sz="4" w:space="0"/>
            </w:tcBorders>
            <w:vAlign w:val="center"/>
          </w:tcPr>
          <w:p>
            <w:pPr>
              <w:pStyle w:val="23"/>
              <w:spacing w:before="2" w:line="360" w:lineRule="exact"/>
              <w:ind w:left="4" w:right="1495"/>
              <w:jc w:val="center"/>
              <w:rPr>
                <w:rFonts w:ascii="宋体" w:hAnsi="宋体" w:cs="宋体"/>
                <w:sz w:val="21"/>
                <w:szCs w:val="21"/>
              </w:rPr>
            </w:pPr>
          </w:p>
        </w:tc>
      </w:tr>
    </w:tbl>
    <w:p>
      <w:pPr>
        <w:rPr>
          <w:rFonts w:hint="eastAsia" w:ascii="宋体" w:hAnsi="宋体" w:eastAsia="宋体" w:cs="宋体"/>
          <w:szCs w:val="24"/>
          <w:highlight w:val="none"/>
        </w:rPr>
      </w:pPr>
    </w:p>
    <w:p>
      <w:pPr>
        <w:pStyle w:val="9"/>
        <w:kinsoku w:val="0"/>
        <w:overflowPunct w:val="0"/>
        <w:spacing w:before="34"/>
        <w:jc w:val="both"/>
        <w:rPr>
          <w:rFonts w:hint="eastAsia" w:ascii="宋体" w:hAnsi="宋体" w:eastAsia="宋体" w:cs="宋体"/>
          <w:b/>
          <w:highlight w:val="none"/>
        </w:rPr>
      </w:pPr>
      <w:r>
        <w:rPr>
          <w:rFonts w:hint="eastAsia" w:ascii="宋体" w:hAnsi="宋体" w:eastAsia="宋体" w:cs="宋体"/>
          <w:b/>
          <w:bCs/>
          <w:highlight w:val="none"/>
        </w:rPr>
        <w:t>备注：</w:t>
      </w:r>
      <w:r>
        <w:rPr>
          <w:rFonts w:hint="eastAsia" w:ascii="宋体" w:hAnsi="宋体" w:eastAsia="宋体" w:cs="宋体"/>
          <w:b/>
          <w:highlight w:val="none"/>
        </w:rPr>
        <w:t>以上涉及证书、业绩的，均需要提供原件以备查。</w:t>
      </w:r>
      <w:r>
        <w:rPr>
          <w:rFonts w:hint="eastAsia" w:ascii="宋体" w:hAnsi="宋体" w:eastAsia="宋体" w:cs="宋体"/>
          <w:b/>
          <w:highlight w:val="none"/>
          <w:lang w:eastAsia="zh-CN"/>
        </w:rPr>
        <w:t>投标文件</w:t>
      </w:r>
      <w:r>
        <w:rPr>
          <w:rFonts w:hint="eastAsia" w:ascii="宋体" w:hAnsi="宋体" w:eastAsia="宋体" w:cs="宋体"/>
          <w:b/>
          <w:highlight w:val="none"/>
        </w:rPr>
        <w:t>中可用复印件加盖公章，业绩以中标通知书或者合同为准。</w:t>
      </w:r>
    </w:p>
    <w:p>
      <w:pPr>
        <w:pStyle w:val="9"/>
        <w:kinsoku w:val="0"/>
        <w:overflowPunct w:val="0"/>
        <w:spacing w:before="34"/>
        <w:ind w:left="0"/>
        <w:jc w:val="both"/>
        <w:rPr>
          <w:rFonts w:hint="eastAsia" w:ascii="宋体" w:hAnsi="宋体" w:eastAsia="宋体" w:cs="宋体"/>
          <w:b/>
          <w:bCs/>
          <w:highlight w:val="none"/>
        </w:rPr>
      </w:pPr>
    </w:p>
    <w:p>
      <w:pPr>
        <w:pStyle w:val="9"/>
        <w:kinsoku w:val="0"/>
        <w:overflowPunct w:val="0"/>
        <w:spacing w:before="34"/>
        <w:ind w:left="0"/>
        <w:jc w:val="both"/>
        <w:rPr>
          <w:rFonts w:hint="eastAsia" w:ascii="宋体" w:hAnsi="宋体" w:eastAsia="宋体" w:cs="宋体"/>
          <w:b/>
          <w:bCs/>
          <w:highlight w:val="none"/>
        </w:rPr>
      </w:pPr>
      <w:r>
        <w:rPr>
          <w:rFonts w:hint="eastAsia" w:ascii="宋体" w:hAnsi="宋体" w:eastAsia="宋体" w:cs="宋体"/>
          <w:b/>
          <w:bCs/>
          <w:highlight w:val="none"/>
        </w:rPr>
        <w:t>投标报价计算备注：</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highlight w:val="none"/>
        </w:rPr>
        <w:t>和工信部联企业〔2011〕300 号文件规定，对小型和微型企业产品的价格给予 6%的扣除，用扣除后的价格参与评审；大中型企业和其他自然人、法人或者其他组织与小型、微型企业组成联合体共同参加 非专门面向中小企业的政府采购活动的，小微企业的合同金额占联合体协议合同总金额 30%以上的，给予联合体3%的价格扣除，用扣除后的价格参与评审。</w:t>
      </w:r>
    </w:p>
    <w:p>
      <w:pPr>
        <w:pStyle w:val="9"/>
        <w:kinsoku w:val="0"/>
        <w:overflowPunct w:val="0"/>
        <w:spacing w:before="34" w:line="357" w:lineRule="auto"/>
        <w:ind w:right="126" w:firstLine="480"/>
        <w:rPr>
          <w:rFonts w:hint="eastAsia" w:ascii="宋体" w:hAnsi="宋体" w:eastAsia="宋体" w:cs="宋体"/>
          <w:color w:val="FF0000"/>
          <w:highlight w:val="none"/>
        </w:rPr>
      </w:pPr>
      <w:r>
        <w:rPr>
          <w:rFonts w:hint="eastAsia" w:ascii="宋体" w:hAnsi="宋体" w:eastAsia="宋体" w:cs="宋体"/>
          <w:highlight w:val="none"/>
        </w:rPr>
        <w:t>2、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不与第1条叠加。</w:t>
      </w:r>
    </w:p>
    <w:p>
      <w:pPr>
        <w:pStyle w:val="9"/>
        <w:kinsoku w:val="0"/>
        <w:overflowPunct w:val="0"/>
        <w:spacing w:before="34" w:line="357" w:lineRule="auto"/>
        <w:ind w:right="126"/>
        <w:rPr>
          <w:rFonts w:hint="eastAsia" w:ascii="宋体" w:hAnsi="宋体" w:eastAsia="宋体" w:cs="宋体"/>
          <w:highlight w:val="none"/>
        </w:rPr>
      </w:pPr>
      <w:r>
        <w:rPr>
          <w:rFonts w:hint="eastAsia" w:ascii="宋体" w:hAnsi="宋体" w:eastAsia="宋体" w:cs="宋体"/>
          <w:b/>
          <w:bCs/>
          <w:highlight w:val="none"/>
        </w:rPr>
        <w:t>计分原则：</w:t>
      </w:r>
      <w:r>
        <w:rPr>
          <w:rFonts w:hint="eastAsia" w:ascii="宋体" w:hAnsi="宋体" w:eastAsia="宋体" w:cs="宋体"/>
          <w:highlight w:val="none"/>
        </w:rPr>
        <w:t>1、投标报价得分由磋商小组按照价格分计算公式计算分值。</w:t>
      </w:r>
    </w:p>
    <w:p>
      <w:pPr>
        <w:pStyle w:val="9"/>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2、商务部分由磋商小组共同评定唯一的得分。</w:t>
      </w:r>
    </w:p>
    <w:p>
      <w:pPr>
        <w:pStyle w:val="9"/>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3、技术部分由磋商小组专家分别打分后，取平均分作为技术分最后得分。</w:t>
      </w:r>
    </w:p>
    <w:p>
      <w:pPr>
        <w:pStyle w:val="9"/>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4、供应商综合评分最终总分值为投标报价、商务部分和技术部分三部分得分总和。评分计算保留 2 位小数，第三位小数四舍五入。</w:t>
      </w:r>
    </w:p>
    <w:p>
      <w:pPr>
        <w:pStyle w:val="9"/>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5、得分相同的，按投标报价由低到高顺序排列。得分且投标报价相同的，按技术指标优劣顺序排列。</w:t>
      </w:r>
    </w:p>
    <w:p>
      <w:pPr>
        <w:pStyle w:val="9"/>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6、磋商小组按评分排序确定中标人，同时提交评标报告，由磋商小组成员集体签名。第一中标候选人放弃中标后，由第二名作为中标候选人，依次类推。</w:t>
      </w:r>
    </w:p>
    <w:p>
      <w:pPr>
        <w:pStyle w:val="9"/>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7、评标中如遇未考虑到的问题，由磋商小组成员集体研究处理决定。</w:t>
      </w:r>
    </w:p>
    <w:p>
      <w:pPr>
        <w:pStyle w:val="9"/>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 xml:space="preserve"> 其他注意事项：</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（1）评审工作在磋商小组内独立进行。</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（3）在开标、评标期间，供应商不得向磋商小组成员询问情况，不得进行影响评标结果的活动。</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（4）采购人、招标机构及磋商小组不向落标方解释原因，不保证最低价中标，不退还磋商响应性文件。</w:t>
      </w:r>
    </w:p>
    <w:p>
      <w:pPr>
        <w:pStyle w:val="9"/>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（5）在招标过程中如供应商有不正当行为时，磋商小组有权中止其投标资格。</w:t>
      </w:r>
    </w:p>
    <w:p>
      <w:pPr>
        <w:pStyle w:val="9"/>
        <w:kinsoku w:val="0"/>
        <w:overflowPunct w:val="0"/>
        <w:spacing w:before="34" w:line="357" w:lineRule="auto"/>
        <w:ind w:left="598"/>
        <w:rPr>
          <w:rFonts w:hint="eastAsia" w:ascii="宋体" w:hAnsi="宋体" w:eastAsia="宋体" w:cs="宋体"/>
          <w:highlight w:val="none"/>
        </w:rPr>
      </w:pPr>
      <w:r>
        <w:rPr>
          <w:rFonts w:hint="eastAsia" w:ascii="宋体" w:hAnsi="宋体" w:eastAsia="宋体" w:cs="宋体"/>
          <w:b/>
          <w:bCs/>
          <w:highlight w:val="none"/>
        </w:rPr>
        <w:t>本评标办法解释权归采购人。</w:t>
      </w:r>
    </w:p>
    <w:p>
      <w:pPr>
        <w:pStyle w:val="4"/>
        <w:numPr>
          <w:ilvl w:val="0"/>
          <w:numId w:val="2"/>
        </w:numPr>
        <w:rPr>
          <w:rFonts w:hint="eastAsia" w:ascii="宋体" w:hAnsi="宋体" w:eastAsia="宋体" w:cs="宋体"/>
          <w:spacing w:val="1"/>
          <w:highlight w:val="none"/>
        </w:rPr>
      </w:pPr>
      <w:r>
        <w:rPr>
          <w:rFonts w:hint="eastAsia" w:ascii="宋体" w:hAnsi="宋体" w:eastAsia="宋体" w:cs="宋体"/>
          <w:highlight w:val="none"/>
        </w:rPr>
        <w:br w:type="page"/>
      </w:r>
      <w:bookmarkStart w:id="71" w:name="_Toc14707"/>
      <w:r>
        <w:rPr>
          <w:rFonts w:hint="eastAsia" w:ascii="宋体" w:hAnsi="宋体" w:eastAsia="宋体" w:cs="宋体"/>
          <w:spacing w:val="1"/>
          <w:highlight w:val="none"/>
        </w:rPr>
        <w:t>磋商内容</w:t>
      </w:r>
      <w:bookmarkEnd w:id="71"/>
    </w:p>
    <w:p>
      <w:pPr>
        <w:adjustRightInd w:val="0"/>
        <w:snapToGrid w:val="0"/>
        <w:spacing w:line="560" w:lineRule="exact"/>
        <w:rPr>
          <w:rFonts w:hint="eastAsia" w:ascii="宋体" w:hAnsi="宋体" w:eastAsia="宋体" w:cs="宋体"/>
          <w:sz w:val="32"/>
          <w:szCs w:val="32"/>
        </w:rPr>
      </w:pPr>
    </w:p>
    <w:p>
      <w:pPr>
        <w:autoSpaceDE/>
        <w:autoSpaceDN/>
        <w:spacing w:line="580" w:lineRule="exact"/>
        <w:jc w:val="center"/>
        <w:outlineLvl w:val="0"/>
        <w:rPr>
          <w:rFonts w:hint="eastAsia" w:ascii="宋体" w:hAnsi="宋体" w:eastAsia="宋体" w:cs="宋体"/>
          <w:b/>
          <w:sz w:val="32"/>
          <w:szCs w:val="32"/>
          <w:lang w:val="en-US"/>
        </w:rPr>
      </w:pPr>
      <w:bookmarkStart w:id="72" w:name="_Hlk43034803"/>
      <w:r>
        <w:rPr>
          <w:rFonts w:hint="eastAsia" w:ascii="宋体" w:hAnsi="宋体" w:eastAsia="宋体" w:cs="宋体"/>
          <w:b/>
          <w:sz w:val="32"/>
          <w:szCs w:val="32"/>
          <w:lang w:val="en-US"/>
        </w:rPr>
        <w:t>2021-2022年度新疆旅游统计数据管理及分析研究项目</w:t>
      </w:r>
      <w:bookmarkEnd w:id="72"/>
    </w:p>
    <w:p>
      <w:pPr>
        <w:autoSpaceDE/>
        <w:autoSpaceDN/>
        <w:spacing w:line="580" w:lineRule="exact"/>
        <w:jc w:val="center"/>
        <w:outlineLvl w:val="0"/>
        <w:rPr>
          <w:rFonts w:hint="eastAsia" w:ascii="宋体" w:hAnsi="宋体" w:eastAsia="宋体" w:cs="宋体"/>
          <w:bCs/>
          <w:kern w:val="2"/>
          <w:sz w:val="32"/>
          <w:szCs w:val="32"/>
          <w:lang w:val="en-US" w:bidi="ar-SA"/>
        </w:rPr>
      </w:pPr>
      <w:r>
        <w:rPr>
          <w:rFonts w:hint="eastAsia" w:ascii="宋体" w:hAnsi="宋体" w:eastAsia="宋体" w:cs="宋体"/>
          <w:b/>
          <w:sz w:val="32"/>
          <w:szCs w:val="32"/>
          <w:lang w:val="en-US"/>
        </w:rPr>
        <w:t>采购需求</w:t>
      </w:r>
    </w:p>
    <w:p>
      <w:pPr>
        <w:tabs>
          <w:tab w:val="left" w:pos="966"/>
        </w:tabs>
        <w:spacing w:before="41"/>
        <w:ind w:left="1"/>
        <w:jc w:val="center"/>
        <w:rPr>
          <w:rFonts w:hint="eastAsia" w:ascii="宋体" w:hAnsi="宋体" w:eastAsia="宋体" w:cs="宋体"/>
          <w:b/>
          <w:sz w:val="32"/>
          <w:szCs w:val="32"/>
        </w:rPr>
      </w:pPr>
    </w:p>
    <w:p>
      <w:pPr>
        <w:widowControl/>
        <w:autoSpaceDE/>
        <w:autoSpaceDN/>
        <w:spacing w:line="520" w:lineRule="exact"/>
        <w:ind w:firstLine="562" w:firstLineChars="200"/>
        <w:rPr>
          <w:rFonts w:hint="eastAsia" w:ascii="宋体" w:hAnsi="宋体" w:eastAsia="宋体" w:cs="宋体"/>
          <w:b/>
          <w:sz w:val="28"/>
          <w:szCs w:val="28"/>
          <w:lang w:val="en-US" w:bidi="ar-SA"/>
        </w:rPr>
      </w:pPr>
      <w:r>
        <w:rPr>
          <w:rFonts w:hint="eastAsia" w:ascii="宋体" w:hAnsi="宋体" w:eastAsia="宋体" w:cs="宋体"/>
          <w:b/>
          <w:sz w:val="28"/>
          <w:szCs w:val="28"/>
          <w:lang w:val="en-US" w:bidi="ar-SA"/>
        </w:rPr>
        <w:t>一、项目背景和目的</w:t>
      </w:r>
    </w:p>
    <w:p>
      <w:pPr>
        <w:widowControl/>
        <w:autoSpaceDE/>
        <w:autoSpaceDN/>
        <w:spacing w:line="520" w:lineRule="exact"/>
        <w:ind w:firstLine="560" w:firstLineChars="200"/>
        <w:jc w:val="both"/>
        <w:rPr>
          <w:rFonts w:hint="eastAsia" w:ascii="宋体" w:hAnsi="宋体" w:eastAsia="宋体" w:cs="宋体"/>
          <w:sz w:val="28"/>
          <w:szCs w:val="28"/>
          <w:lang w:val="en-US" w:bidi="ar-SA"/>
        </w:rPr>
      </w:pPr>
      <w:r>
        <w:rPr>
          <w:rFonts w:hint="eastAsia" w:ascii="宋体" w:hAnsi="宋体" w:eastAsia="宋体" w:cs="宋体"/>
          <w:sz w:val="28"/>
          <w:szCs w:val="28"/>
          <w:lang w:val="en-US" w:bidi="ar-SA"/>
        </w:rPr>
        <w:t>随着旅游兴疆战略深入推进，新疆旅游产业蓬勃发展。2021年是“十四五”开局之年，加快推进新疆旅游业高质量发展是“十四五”时期乃至未来新疆旅游业发展的重要方向。旅游统计数据是对旅游业发展的反映，数据质量则是衡量测度旅游业高质量发展水平的可靠保证。新疆旅游</w:t>
      </w:r>
      <w:r>
        <w:rPr>
          <w:rFonts w:hint="eastAsia" w:ascii="宋体" w:hAnsi="宋体" w:eastAsia="宋体" w:cs="宋体"/>
          <w:sz w:val="28"/>
          <w:szCs w:val="28"/>
          <w:lang w:val="en-US" w:eastAsia="zh-CN" w:bidi="ar-SA"/>
        </w:rPr>
        <w:t>统计</w:t>
      </w:r>
      <w:r>
        <w:rPr>
          <w:rFonts w:hint="eastAsia" w:ascii="宋体" w:hAnsi="宋体" w:eastAsia="宋体" w:cs="宋体"/>
          <w:sz w:val="28"/>
          <w:szCs w:val="28"/>
          <w:lang w:val="en-US" w:bidi="ar-SA"/>
        </w:rPr>
        <w:t>大数据平台建设为新疆旅游统计提供了更加丰富的数据源。根据2020年由文化和旅游部制定、国家统计局批准的《全国文化文物和旅游统计调查制度》（以下统一简称《制度》）规定，全区文旅系统要全面贯彻落实新《制度》要求，进一步推动全区旅游统计体系建设，加强旅游统计数据管理，全面提高统计数据质量，充分挖掘线上线下数据资源，开展旅游产业数据深度研究，为党委、政府制订旅游发展战略和各级旅游管理部门精准施策提供决策参考依据。为确保新疆旅游统计数据的客观性、真实性、科学性和统计工作的专业性、系统性和有效性，需委托第三方专业机构开展此项工作。</w:t>
      </w:r>
    </w:p>
    <w:p>
      <w:pPr>
        <w:widowControl/>
        <w:autoSpaceDE/>
        <w:autoSpaceDN/>
        <w:spacing w:line="520" w:lineRule="exact"/>
        <w:ind w:firstLine="562" w:firstLineChars="200"/>
        <w:rPr>
          <w:rFonts w:hint="eastAsia" w:ascii="宋体" w:hAnsi="宋体" w:eastAsia="宋体" w:cs="宋体"/>
          <w:b/>
          <w:sz w:val="28"/>
          <w:szCs w:val="28"/>
          <w:lang w:val="en-US" w:bidi="ar-SA"/>
        </w:rPr>
      </w:pPr>
      <w:r>
        <w:rPr>
          <w:rFonts w:hint="eastAsia" w:ascii="宋体" w:hAnsi="宋体" w:eastAsia="宋体" w:cs="宋体"/>
          <w:b/>
          <w:sz w:val="28"/>
          <w:szCs w:val="28"/>
          <w:lang w:val="en-US" w:bidi="ar-SA"/>
        </w:rPr>
        <w:t>二、项目内容及服务要求</w:t>
      </w:r>
    </w:p>
    <w:p>
      <w:pPr>
        <w:autoSpaceDE/>
        <w:autoSpaceDN/>
        <w:adjustRightInd w:val="0"/>
        <w:snapToGrid w:val="0"/>
        <w:spacing w:line="520" w:lineRule="exact"/>
        <w:ind w:firstLine="562" w:firstLineChars="200"/>
        <w:jc w:val="both"/>
        <w:rPr>
          <w:rFonts w:hint="eastAsia" w:ascii="宋体" w:hAnsi="宋体" w:eastAsia="宋体" w:cs="宋体"/>
          <w:b/>
          <w:kern w:val="2"/>
          <w:sz w:val="28"/>
          <w:szCs w:val="28"/>
          <w:lang w:val="en-US" w:bidi="ar-SA"/>
        </w:rPr>
      </w:pPr>
      <w:r>
        <w:rPr>
          <w:rFonts w:hint="eastAsia" w:ascii="宋体" w:hAnsi="宋体" w:eastAsia="宋体" w:cs="宋体"/>
          <w:b/>
          <w:kern w:val="2"/>
          <w:sz w:val="28"/>
          <w:szCs w:val="28"/>
          <w:lang w:val="en-US" w:bidi="ar-SA"/>
        </w:rPr>
        <w:t>（一）新疆旅游统计数据管理及要求</w:t>
      </w:r>
    </w:p>
    <w:p>
      <w:pPr>
        <w:autoSpaceDE/>
        <w:autoSpaceDN/>
        <w:adjustRightInd w:val="0"/>
        <w:snapToGrid w:val="0"/>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1.全区国内游客抽样调查数据管理</w:t>
      </w:r>
    </w:p>
    <w:p>
      <w:pPr>
        <w:autoSpaceDE/>
        <w:autoSpaceDN/>
        <w:adjustRightInd w:val="0"/>
        <w:snapToGrid w:val="0"/>
        <w:spacing w:line="520" w:lineRule="exact"/>
        <w:ind w:firstLine="560" w:firstLineChars="200"/>
        <w:jc w:val="both"/>
        <w:rPr>
          <w:rFonts w:hint="eastAsia" w:ascii="宋体" w:hAnsi="宋体" w:eastAsia="宋体" w:cs="宋体"/>
          <w:sz w:val="28"/>
          <w:szCs w:val="28"/>
        </w:rPr>
      </w:pPr>
      <w:r>
        <w:rPr>
          <w:rFonts w:hint="eastAsia" w:ascii="宋体" w:hAnsi="宋体" w:eastAsia="宋体" w:cs="宋体"/>
          <w:kern w:val="2"/>
          <w:sz w:val="28"/>
          <w:szCs w:val="28"/>
          <w:lang w:val="en-US" w:bidi="ar-SA"/>
        </w:rPr>
        <w:t>进一步规范全区各地国内游客抽样调查工作，配合采购方做好对14个地州市游客抽样调查共享数据及全区各类数据的收报、整理、审核、汇总、监督、分析、归档和保存等工作，包括12个月度和9个法定节假日（元旦节、春节、清明节、五一节、肉孜节、端午节、古尔邦节、中秋节、国庆节），并按月度和法定节假日出具《国内游客抽样调查数据审核意见》（共21个）。要求严格执行</w:t>
      </w:r>
      <w:r>
        <w:rPr>
          <w:rFonts w:hint="eastAsia" w:ascii="宋体" w:hAnsi="宋体" w:eastAsia="宋体" w:cs="宋体"/>
          <w:sz w:val="28"/>
          <w:szCs w:val="28"/>
          <w:lang w:val="en-US" w:bidi="ar-SA"/>
        </w:rPr>
        <w:t>《制度》要求，</w:t>
      </w:r>
      <w:r>
        <w:rPr>
          <w:rFonts w:hint="eastAsia" w:ascii="宋体" w:hAnsi="宋体" w:eastAsia="宋体" w:cs="宋体"/>
          <w:kern w:val="2"/>
          <w:sz w:val="28"/>
          <w:szCs w:val="28"/>
          <w:lang w:val="en-US" w:bidi="ar-SA"/>
        </w:rPr>
        <w:t>进一步规范统筹全区国内游客抽样调查方案；做好月度和假日统计收报工作，要求各月度和节假日</w:t>
      </w:r>
      <w:r>
        <w:rPr>
          <w:rFonts w:hint="eastAsia" w:ascii="宋体" w:hAnsi="宋体" w:eastAsia="宋体" w:cs="宋体"/>
          <w:sz w:val="28"/>
          <w:szCs w:val="28"/>
          <w:lang w:val="en-US" w:bidi="ar-SA"/>
        </w:rPr>
        <w:t>数据</w:t>
      </w:r>
      <w:r>
        <w:rPr>
          <w:rFonts w:hint="eastAsia" w:ascii="宋体" w:hAnsi="宋体" w:eastAsia="宋体" w:cs="宋体"/>
          <w:kern w:val="2"/>
          <w:sz w:val="28"/>
          <w:szCs w:val="28"/>
          <w:lang w:val="en-US" w:bidi="ar-SA"/>
        </w:rPr>
        <w:t>收报及时、审核方法专业，符合趋势性和逻辑性要求，样本量满足本项目的要求，促进地州市抽样调查数据质量不断提高</w:t>
      </w:r>
      <w:r>
        <w:rPr>
          <w:rFonts w:hint="eastAsia" w:ascii="宋体" w:hAnsi="宋体" w:eastAsia="宋体" w:cs="宋体"/>
          <w:sz w:val="28"/>
          <w:szCs w:val="28"/>
        </w:rPr>
        <w:t>。</w:t>
      </w:r>
    </w:p>
    <w:p>
      <w:pPr>
        <w:autoSpaceDE/>
        <w:autoSpaceDN/>
        <w:adjustRightInd w:val="0"/>
        <w:snapToGrid w:val="0"/>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2.新疆旅游</w:t>
      </w:r>
      <w:r>
        <w:rPr>
          <w:rFonts w:hint="eastAsia" w:ascii="宋体" w:hAnsi="宋体" w:eastAsia="宋体" w:cs="宋体"/>
          <w:kern w:val="2"/>
          <w:sz w:val="28"/>
          <w:szCs w:val="28"/>
          <w:lang w:val="en-US" w:eastAsia="zh-CN" w:bidi="ar-SA"/>
        </w:rPr>
        <w:t>统计</w:t>
      </w:r>
      <w:r>
        <w:rPr>
          <w:rFonts w:hint="eastAsia" w:ascii="宋体" w:hAnsi="宋体" w:eastAsia="宋体" w:cs="宋体"/>
          <w:kern w:val="2"/>
          <w:sz w:val="28"/>
          <w:szCs w:val="28"/>
          <w:lang w:val="en-US" w:bidi="ar-SA"/>
        </w:rPr>
        <w:t>大数据平台运行数据管理及质量评估</w:t>
      </w:r>
    </w:p>
    <w:p>
      <w:pPr>
        <w:autoSpaceDE/>
        <w:autoSpaceDN/>
        <w:adjustRightInd w:val="0"/>
        <w:snapToGrid w:val="0"/>
        <w:spacing w:line="520" w:lineRule="exact"/>
        <w:ind w:firstLine="551" w:firstLineChars="197"/>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按月度和节假日出具《新疆旅游大数据质量评估意见》（共21个）。评估主要内容及要求如下：</w:t>
      </w:r>
    </w:p>
    <w:p>
      <w:pPr>
        <w:autoSpaceDE/>
        <w:autoSpaceDN/>
        <w:adjustRightInd w:val="0"/>
        <w:snapToGrid w:val="0"/>
        <w:spacing w:line="520" w:lineRule="exact"/>
        <w:ind w:firstLine="551" w:firstLineChars="197"/>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根据新疆旅游</w:t>
      </w:r>
      <w:r>
        <w:rPr>
          <w:rFonts w:hint="eastAsia" w:ascii="宋体" w:hAnsi="宋体" w:eastAsia="宋体" w:cs="宋体"/>
          <w:kern w:val="2"/>
          <w:sz w:val="28"/>
          <w:szCs w:val="28"/>
          <w:lang w:val="en-US" w:eastAsia="zh-CN" w:bidi="ar-SA"/>
        </w:rPr>
        <w:t>统计</w:t>
      </w:r>
      <w:r>
        <w:rPr>
          <w:rFonts w:hint="eastAsia" w:ascii="宋体" w:hAnsi="宋体" w:eastAsia="宋体" w:cs="宋体"/>
          <w:kern w:val="2"/>
          <w:sz w:val="28"/>
          <w:szCs w:val="28"/>
          <w:lang w:val="en-US" w:bidi="ar-SA"/>
        </w:rPr>
        <w:t>大数据平台建设运行要求，按月度和节假日对输入输出数据质量进行评估。评估内容主要包括平台大数据的全面性、完整性、真实性、客观性、可靠性、合理性和及时性，要求对多渠道数据源进行交互验证，核验新疆旅游</w:t>
      </w:r>
      <w:r>
        <w:rPr>
          <w:rFonts w:hint="eastAsia" w:ascii="宋体" w:hAnsi="宋体" w:eastAsia="宋体" w:cs="宋体"/>
          <w:kern w:val="2"/>
          <w:sz w:val="28"/>
          <w:szCs w:val="28"/>
          <w:lang w:val="en-US" w:eastAsia="zh-CN" w:bidi="ar-SA"/>
        </w:rPr>
        <w:t>统计</w:t>
      </w:r>
      <w:r>
        <w:rPr>
          <w:rFonts w:hint="eastAsia" w:ascii="宋体" w:hAnsi="宋体" w:eastAsia="宋体" w:cs="宋体"/>
          <w:kern w:val="2"/>
          <w:sz w:val="28"/>
          <w:szCs w:val="28"/>
          <w:lang w:val="en-US" w:bidi="ar-SA"/>
        </w:rPr>
        <w:t>大数据平台采集和生产数据与建设要求的符合性和一致性，以及主要旅游统计指标测算结果的真实性和可靠性。</w:t>
      </w:r>
      <w:r>
        <w:rPr>
          <w:rFonts w:hint="eastAsia" w:ascii="宋体" w:hAnsi="宋体" w:eastAsia="宋体" w:cs="宋体"/>
          <w:sz w:val="28"/>
          <w:szCs w:val="28"/>
        </w:rPr>
        <w:t>做好对大数据平台管理相关工作。</w:t>
      </w:r>
    </w:p>
    <w:p>
      <w:pPr>
        <w:autoSpaceDE/>
        <w:autoSpaceDN/>
        <w:adjustRightInd w:val="0"/>
        <w:snapToGrid w:val="0"/>
        <w:spacing w:line="520" w:lineRule="exact"/>
        <w:ind w:firstLine="551" w:firstLineChars="197"/>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3.地州市统计数据质量评估</w:t>
      </w:r>
    </w:p>
    <w:p>
      <w:pPr>
        <w:autoSpaceDE/>
        <w:autoSpaceDN/>
        <w:adjustRightInd w:val="0"/>
        <w:snapToGrid w:val="0"/>
        <w:spacing w:line="520" w:lineRule="exact"/>
        <w:ind w:firstLine="551" w:firstLineChars="197"/>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将抽样调查数据与大数据相结合，按月度和节假日对14个地州市上报的旅游统计主要指标数据进行测算、</w:t>
      </w:r>
      <w:r>
        <w:rPr>
          <w:rFonts w:hint="eastAsia" w:ascii="宋体" w:hAnsi="宋体" w:eastAsia="宋体" w:cs="宋体"/>
          <w:sz w:val="28"/>
          <w:szCs w:val="28"/>
        </w:rPr>
        <w:t>对地州市上报统计数据进行质量评估、</w:t>
      </w:r>
      <w:r>
        <w:rPr>
          <w:rFonts w:hint="eastAsia" w:ascii="宋体" w:hAnsi="宋体" w:eastAsia="宋体" w:cs="宋体"/>
          <w:kern w:val="2"/>
          <w:sz w:val="28"/>
          <w:szCs w:val="28"/>
          <w:lang w:val="en-US" w:bidi="ar-SA"/>
        </w:rPr>
        <w:t>评估其测算方法与《制度》的</w:t>
      </w:r>
      <w:r>
        <w:rPr>
          <w:rFonts w:hint="eastAsia" w:ascii="宋体" w:hAnsi="宋体" w:cs="宋体"/>
          <w:kern w:val="2"/>
          <w:sz w:val="28"/>
          <w:szCs w:val="28"/>
          <w:lang w:val="en-US" w:eastAsia="zh-CN" w:bidi="ar-SA"/>
        </w:rPr>
        <w:t>符合性</w:t>
      </w:r>
      <w:r>
        <w:rPr>
          <w:rFonts w:hint="eastAsia" w:ascii="宋体" w:hAnsi="宋体" w:eastAsia="宋体" w:cs="宋体"/>
          <w:kern w:val="2"/>
          <w:sz w:val="28"/>
          <w:szCs w:val="28"/>
          <w:lang w:val="en-US" w:bidi="ar-SA"/>
        </w:rPr>
        <w:t>、数据的</w:t>
      </w:r>
      <w:r>
        <w:rPr>
          <w:rFonts w:hint="eastAsia" w:ascii="宋体" w:hAnsi="宋体" w:cs="宋体"/>
          <w:kern w:val="2"/>
          <w:sz w:val="28"/>
          <w:szCs w:val="28"/>
          <w:lang w:val="en-US" w:eastAsia="zh-CN" w:bidi="ar-SA"/>
        </w:rPr>
        <w:t>客观</w:t>
      </w:r>
      <w:r>
        <w:rPr>
          <w:rFonts w:hint="eastAsia" w:ascii="宋体" w:hAnsi="宋体" w:eastAsia="宋体" w:cs="宋体"/>
          <w:kern w:val="2"/>
          <w:sz w:val="28"/>
          <w:szCs w:val="28"/>
          <w:lang w:val="en-US" w:bidi="ar-SA"/>
        </w:rPr>
        <w:t>性和准确性，确保全区旅游统计口径一致、测算科学并进行</w:t>
      </w:r>
      <w:r>
        <w:rPr>
          <w:rFonts w:hint="eastAsia" w:ascii="宋体" w:hAnsi="宋体" w:eastAsia="宋体" w:cs="宋体"/>
          <w:sz w:val="28"/>
          <w:szCs w:val="28"/>
        </w:rPr>
        <w:t>意见反馈。</w:t>
      </w:r>
    </w:p>
    <w:p>
      <w:pPr>
        <w:autoSpaceDE/>
        <w:autoSpaceDN/>
        <w:adjustRightInd w:val="0"/>
        <w:snapToGrid w:val="0"/>
        <w:spacing w:line="520" w:lineRule="exact"/>
        <w:ind w:firstLine="562" w:firstLineChars="200"/>
        <w:jc w:val="both"/>
        <w:rPr>
          <w:rFonts w:hint="eastAsia" w:ascii="宋体" w:hAnsi="宋体" w:eastAsia="宋体" w:cs="宋体"/>
          <w:b/>
          <w:bCs/>
          <w:color w:val="FF0000"/>
          <w:kern w:val="2"/>
          <w:sz w:val="28"/>
          <w:szCs w:val="28"/>
          <w:lang w:val="en-US" w:bidi="ar-SA"/>
        </w:rPr>
      </w:pPr>
      <w:r>
        <w:rPr>
          <w:rFonts w:hint="eastAsia" w:ascii="宋体" w:hAnsi="宋体" w:eastAsia="宋体" w:cs="宋体"/>
          <w:b/>
          <w:bCs/>
          <w:color w:val="FF0000"/>
          <w:kern w:val="2"/>
          <w:sz w:val="28"/>
          <w:szCs w:val="28"/>
          <w:lang w:val="en-US" w:bidi="ar-SA"/>
        </w:rPr>
        <w:t>注：为保证本项目相关数据管理工作的独立性和客观性，中标供应商不得参与新疆旅游</w:t>
      </w:r>
      <w:r>
        <w:rPr>
          <w:rFonts w:hint="eastAsia" w:ascii="宋体" w:hAnsi="宋体" w:eastAsia="宋体" w:cs="宋体"/>
          <w:b/>
          <w:bCs/>
          <w:color w:val="FF0000"/>
          <w:kern w:val="2"/>
          <w:sz w:val="28"/>
          <w:szCs w:val="28"/>
          <w:lang w:val="en-US" w:eastAsia="zh-CN" w:bidi="ar-SA"/>
        </w:rPr>
        <w:t>统计</w:t>
      </w:r>
      <w:r>
        <w:rPr>
          <w:rFonts w:hint="eastAsia" w:ascii="宋体" w:hAnsi="宋体" w:eastAsia="宋体" w:cs="宋体"/>
          <w:b/>
          <w:bCs/>
          <w:color w:val="FF0000"/>
          <w:kern w:val="2"/>
          <w:sz w:val="28"/>
          <w:szCs w:val="28"/>
          <w:lang w:val="en-US" w:bidi="ar-SA"/>
        </w:rPr>
        <w:t>大数据平台建设运行，以及各地州市国内游客抽样调查和旅游统计指标测算工作（投标供应商需提供承诺函）。</w:t>
      </w:r>
    </w:p>
    <w:p>
      <w:pPr>
        <w:autoSpaceDE/>
        <w:autoSpaceDN/>
        <w:adjustRightInd w:val="0"/>
        <w:snapToGrid w:val="0"/>
        <w:spacing w:line="520" w:lineRule="exact"/>
        <w:ind w:firstLine="562" w:firstLineChars="200"/>
        <w:jc w:val="both"/>
        <w:rPr>
          <w:rFonts w:hint="eastAsia" w:ascii="宋体" w:hAnsi="宋体" w:eastAsia="宋体" w:cs="宋体"/>
          <w:kern w:val="2"/>
          <w:sz w:val="28"/>
          <w:szCs w:val="28"/>
          <w:lang w:val="en-US" w:bidi="ar-SA"/>
        </w:rPr>
      </w:pPr>
      <w:r>
        <w:rPr>
          <w:rFonts w:hint="eastAsia" w:ascii="宋体" w:hAnsi="宋体" w:eastAsia="宋体" w:cs="宋体"/>
          <w:b/>
          <w:kern w:val="2"/>
          <w:sz w:val="28"/>
          <w:szCs w:val="28"/>
          <w:lang w:val="en-US" w:bidi="ar-SA"/>
        </w:rPr>
        <w:t>（二）新疆旅游统计及分析研究服务</w:t>
      </w:r>
    </w:p>
    <w:p>
      <w:pPr>
        <w:autoSpaceDE/>
        <w:autoSpaceDN/>
        <w:adjustRightInd w:val="0"/>
        <w:snapToGrid w:val="0"/>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结合线上线下数据，按月度（12个）、季度（4个）、半年和年度，以及法定节假日（9个）开展旅游统计数据分析，全年共提交27个统计分析报告。要求对全区旅游接待主要统计指标进行测算（包含并不限于旅游接待总人次数、旅游总收入和乡村旅游接待人次数等指标）和研究分析，形成统计分析报告。</w:t>
      </w:r>
    </w:p>
    <w:p>
      <w:pPr>
        <w:autoSpaceDE/>
        <w:autoSpaceDN/>
        <w:adjustRightInd w:val="0"/>
        <w:snapToGrid w:val="0"/>
        <w:spacing w:line="520" w:lineRule="exact"/>
        <w:ind w:firstLine="562" w:firstLineChars="200"/>
        <w:jc w:val="both"/>
        <w:rPr>
          <w:rFonts w:hint="eastAsia" w:ascii="宋体" w:hAnsi="宋体" w:eastAsia="宋体" w:cs="宋体"/>
          <w:b/>
          <w:kern w:val="2"/>
          <w:sz w:val="28"/>
          <w:szCs w:val="28"/>
          <w:lang w:val="en-US" w:bidi="ar-SA"/>
        </w:rPr>
      </w:pPr>
      <w:r>
        <w:rPr>
          <w:rFonts w:hint="eastAsia" w:ascii="宋体" w:hAnsi="宋体" w:eastAsia="宋体" w:cs="宋体"/>
          <w:b/>
          <w:kern w:val="2"/>
          <w:sz w:val="28"/>
          <w:szCs w:val="28"/>
          <w:lang w:val="en-US" w:bidi="ar-SA"/>
        </w:rPr>
        <w:t>（三）新疆旅游经济运行分析服务</w:t>
      </w:r>
    </w:p>
    <w:p>
      <w:pPr>
        <w:autoSpaceDE/>
        <w:autoSpaceDN/>
        <w:adjustRightInd w:val="0"/>
        <w:snapToGrid w:val="0"/>
        <w:spacing w:line="520" w:lineRule="exact"/>
        <w:ind w:firstLine="560" w:firstLineChars="200"/>
        <w:jc w:val="both"/>
        <w:rPr>
          <w:rFonts w:hint="eastAsia" w:ascii="宋体" w:hAnsi="宋体" w:eastAsia="宋体" w:cs="宋体"/>
          <w:b/>
          <w:kern w:val="2"/>
          <w:sz w:val="28"/>
          <w:szCs w:val="28"/>
          <w:lang w:val="en-US" w:bidi="ar-SA"/>
        </w:rPr>
      </w:pPr>
      <w:r>
        <w:rPr>
          <w:rFonts w:hint="eastAsia" w:ascii="宋体" w:hAnsi="宋体" w:eastAsia="宋体" w:cs="宋体"/>
          <w:kern w:val="2"/>
          <w:sz w:val="28"/>
          <w:szCs w:val="28"/>
          <w:lang w:val="en-US" w:bidi="ar-SA"/>
        </w:rPr>
        <w:t>按季度</w:t>
      </w:r>
      <w:r>
        <w:rPr>
          <w:rFonts w:hint="eastAsia" w:ascii="宋体" w:hAnsi="宋体" w:eastAsia="宋体" w:cs="宋体"/>
          <w:kern w:val="2"/>
          <w:sz w:val="28"/>
          <w:szCs w:val="28"/>
          <w:lang w:val="en-US" w:eastAsia="zh-CN" w:bidi="ar-SA"/>
        </w:rPr>
        <w:t>、半年度</w:t>
      </w:r>
      <w:r>
        <w:rPr>
          <w:rFonts w:hint="eastAsia" w:ascii="宋体" w:hAnsi="宋体" w:eastAsia="宋体" w:cs="宋体"/>
          <w:kern w:val="2"/>
          <w:sz w:val="28"/>
          <w:szCs w:val="28"/>
          <w:lang w:val="en-US" w:bidi="ar-SA"/>
        </w:rPr>
        <w:t>和年度开展新疆旅游经济运行分析，报告内容主要包括但不限于：旅游经济总体运行情况分析、旅游市场板块运行情况分析、区域旅游市场运行情况分析、旅游市场主体运行情况分析、旅游经济运行中存在的问题、意见建议以及旅游市场运行趋势分析等内容。</w:t>
      </w:r>
    </w:p>
    <w:p>
      <w:pPr>
        <w:autoSpaceDE/>
        <w:autoSpaceDN/>
        <w:adjustRightInd w:val="0"/>
        <w:snapToGrid w:val="0"/>
        <w:spacing w:line="520" w:lineRule="exact"/>
        <w:ind w:firstLine="562" w:firstLineChars="200"/>
        <w:jc w:val="both"/>
        <w:rPr>
          <w:rFonts w:hint="eastAsia" w:ascii="宋体" w:hAnsi="宋体" w:eastAsia="宋体" w:cs="宋体"/>
          <w:kern w:val="2"/>
          <w:sz w:val="28"/>
          <w:szCs w:val="28"/>
          <w:lang w:val="en-US" w:bidi="ar-SA"/>
        </w:rPr>
      </w:pPr>
      <w:r>
        <w:rPr>
          <w:rFonts w:hint="eastAsia" w:ascii="宋体" w:hAnsi="宋体" w:eastAsia="宋体" w:cs="宋体"/>
          <w:b/>
          <w:kern w:val="2"/>
          <w:sz w:val="28"/>
          <w:szCs w:val="28"/>
          <w:lang w:val="en-US" w:bidi="ar-SA"/>
        </w:rPr>
        <w:t>（四）其它工作</w:t>
      </w:r>
    </w:p>
    <w:p>
      <w:pPr>
        <w:autoSpaceDE/>
        <w:autoSpaceDN/>
        <w:adjustRightInd w:val="0"/>
        <w:snapToGrid w:val="0"/>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在合同期内须配置不少于一名具有丰富统计工作经验的人员驻场，密切配合采购方开展日常旅游统计工作，不断推进全区旅游统计体系优化完善，以及《制度》的贯彻实施和相关培训工作。</w:t>
      </w:r>
    </w:p>
    <w:p>
      <w:pPr>
        <w:autoSpaceDE/>
        <w:autoSpaceDN/>
        <w:adjustRightInd w:val="0"/>
        <w:snapToGrid w:val="0"/>
        <w:spacing w:line="520" w:lineRule="exact"/>
        <w:ind w:firstLine="562" w:firstLineChars="200"/>
        <w:jc w:val="both"/>
        <w:rPr>
          <w:rFonts w:hint="eastAsia" w:ascii="宋体" w:hAnsi="宋体" w:eastAsia="宋体" w:cs="宋体"/>
          <w:b/>
          <w:kern w:val="2"/>
          <w:sz w:val="28"/>
          <w:szCs w:val="28"/>
          <w:lang w:val="en-US" w:bidi="ar-SA"/>
        </w:rPr>
      </w:pPr>
      <w:r>
        <w:rPr>
          <w:rFonts w:hint="eastAsia" w:ascii="宋体" w:hAnsi="宋体" w:eastAsia="宋体" w:cs="宋体"/>
          <w:b/>
          <w:kern w:val="2"/>
          <w:sz w:val="28"/>
          <w:szCs w:val="28"/>
          <w:lang w:val="en-US" w:bidi="ar-SA"/>
        </w:rPr>
        <w:t>三、项目成果及要求</w:t>
      </w:r>
    </w:p>
    <w:p>
      <w:pPr>
        <w:autoSpaceDE/>
        <w:autoSpaceDN/>
        <w:adjustRightInd w:val="0"/>
        <w:snapToGrid w:val="0"/>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对新疆旅游线上线下数据进行专业的审核和评估，确保抽样调查和大数据平台数据质量；积极探索线上线下旅游活动数据的有机结合，开展旅游数据分析和深度研究，提交符合采购方需要的高质量调研报告。提交项目成果如下：</w:t>
      </w:r>
    </w:p>
    <w:p>
      <w:pPr>
        <w:autoSpaceDE/>
        <w:autoSpaceDN/>
        <w:adjustRightInd w:val="0"/>
        <w:snapToGrid w:val="0"/>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1.抽样调查数据管理相关成果</w:t>
      </w:r>
    </w:p>
    <w:p>
      <w:pPr>
        <w:autoSpaceDE/>
        <w:autoSpaceDN/>
        <w:adjustRightInd w:val="0"/>
        <w:snapToGrid w:val="0"/>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（1）《新疆国内游客抽样调查方案》（含调查问卷）定稿，根据约定时间提交。</w:t>
      </w:r>
    </w:p>
    <w:p>
      <w:pPr>
        <w:autoSpaceDE/>
        <w:autoSpaceDN/>
        <w:adjustRightInd w:val="0"/>
        <w:snapToGrid w:val="0"/>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（2）检验全区及各地州市抽样调查原始数据，于每月底提交。</w:t>
      </w:r>
    </w:p>
    <w:p>
      <w:pPr>
        <w:autoSpaceDE/>
        <w:autoSpaceDN/>
        <w:adjustRightInd w:val="0"/>
        <w:snapToGrid w:val="0"/>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（3）《国内游客抽样调查数据审核意见》共21份（每份含14个地州），其中12个月度分别于次月5日前提交，9个节假日分别于节日假期后一天提交。</w:t>
      </w:r>
    </w:p>
    <w:p>
      <w:pPr>
        <w:autoSpaceDE/>
        <w:autoSpaceDN/>
        <w:adjustRightInd w:val="0"/>
        <w:snapToGrid w:val="0"/>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2.新疆旅游大数据质量评估报告</w:t>
      </w:r>
    </w:p>
    <w:p>
      <w:pPr>
        <w:autoSpaceDE/>
        <w:autoSpaceDN/>
        <w:adjustRightInd w:val="0"/>
        <w:snapToGrid w:val="0"/>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《新疆旅游大数据质量评估意见》共21份，其中12个月度分别于次月5日前提交，9个节假日分别于节日假期后一天提交。</w:t>
      </w:r>
    </w:p>
    <w:p>
      <w:pPr>
        <w:autoSpaceDE/>
        <w:autoSpaceDN/>
        <w:adjustRightInd w:val="0"/>
        <w:snapToGrid w:val="0"/>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3.新疆旅游统计分析报告</w:t>
      </w:r>
    </w:p>
    <w:p>
      <w:pPr>
        <w:autoSpaceDE/>
        <w:autoSpaceDN/>
        <w:adjustRightInd w:val="0"/>
        <w:snapToGrid w:val="0"/>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新疆旅游统计分析报告》共27个。其中，月度报告共12个，分别于次月10日前提交；季度报告共4个，分别于4月、7月、10月和次年1月的15日前提交；半年和年度报告各1个，分别于7月和次年1月的15日前提交；节假日报告共9个，分别于节日假期后一天提交。</w:t>
      </w:r>
    </w:p>
    <w:p>
      <w:pPr>
        <w:autoSpaceDE/>
        <w:autoSpaceDN/>
        <w:adjustRightInd w:val="0"/>
        <w:snapToGrid w:val="0"/>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4.新疆经济运行分析报告</w:t>
      </w:r>
    </w:p>
    <w:p>
      <w:pPr>
        <w:autoSpaceDE/>
        <w:autoSpaceDN/>
        <w:adjustRightInd w:val="0"/>
        <w:snapToGrid w:val="0"/>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《新疆旅游经济运行分析报告》共</w:t>
      </w:r>
      <w:r>
        <w:rPr>
          <w:rFonts w:hint="eastAsia" w:ascii="宋体" w:hAnsi="宋体" w:eastAsia="宋体" w:cs="宋体"/>
          <w:kern w:val="2"/>
          <w:sz w:val="28"/>
          <w:szCs w:val="28"/>
          <w:lang w:val="en-US" w:eastAsia="zh-CN" w:bidi="ar-SA"/>
        </w:rPr>
        <w:t>6</w:t>
      </w:r>
      <w:r>
        <w:rPr>
          <w:rFonts w:hint="eastAsia" w:ascii="宋体" w:hAnsi="宋体" w:eastAsia="宋体" w:cs="宋体"/>
          <w:kern w:val="2"/>
          <w:sz w:val="28"/>
          <w:szCs w:val="28"/>
          <w:lang w:val="en-US" w:bidi="ar-SA"/>
        </w:rPr>
        <w:t>个。其中，季度报告4个，分别于4月、7月、10月和次年1月的5日前提交；</w:t>
      </w:r>
      <w:r>
        <w:rPr>
          <w:rFonts w:hint="eastAsia" w:ascii="宋体" w:hAnsi="宋体" w:eastAsia="宋体" w:cs="宋体"/>
          <w:kern w:val="2"/>
          <w:sz w:val="28"/>
          <w:szCs w:val="28"/>
          <w:lang w:val="en-US" w:eastAsia="zh-CN" w:bidi="ar-SA"/>
        </w:rPr>
        <w:t>半年度报告1个，于7月15日前提交</w:t>
      </w:r>
      <w:r>
        <w:rPr>
          <w:rFonts w:hint="eastAsia" w:ascii="宋体" w:hAnsi="宋体" w:eastAsia="宋体" w:cs="宋体"/>
          <w:kern w:val="2"/>
          <w:sz w:val="28"/>
          <w:szCs w:val="28"/>
          <w:lang w:val="en-US" w:bidi="ar-SA"/>
        </w:rPr>
        <w:t>；年度报告1个，于次年1月15日前提交。</w:t>
      </w:r>
    </w:p>
    <w:p>
      <w:pPr>
        <w:autoSpaceDE/>
        <w:autoSpaceDN/>
        <w:adjustRightInd w:val="0"/>
        <w:snapToGrid w:val="0"/>
        <w:spacing w:line="520" w:lineRule="exact"/>
        <w:ind w:firstLine="562" w:firstLineChars="200"/>
        <w:jc w:val="both"/>
        <w:rPr>
          <w:rFonts w:hint="eastAsia" w:ascii="宋体" w:hAnsi="宋体" w:eastAsia="宋体" w:cs="宋体"/>
          <w:b/>
          <w:kern w:val="2"/>
          <w:sz w:val="28"/>
          <w:szCs w:val="28"/>
          <w:lang w:val="en-US" w:bidi="ar-SA"/>
        </w:rPr>
      </w:pPr>
      <w:r>
        <w:rPr>
          <w:rFonts w:hint="eastAsia" w:ascii="宋体" w:hAnsi="宋体" w:eastAsia="宋体" w:cs="宋体"/>
          <w:b/>
          <w:kern w:val="2"/>
          <w:sz w:val="28"/>
          <w:szCs w:val="28"/>
          <w:lang w:val="en-US" w:bidi="ar-SA"/>
        </w:rPr>
        <w:t>四、技术服务要求</w:t>
      </w:r>
    </w:p>
    <w:p>
      <w:pPr>
        <w:autoSpaceDE/>
        <w:autoSpaceDN/>
        <w:spacing w:line="520" w:lineRule="exact"/>
        <w:ind w:firstLine="560" w:firstLineChars="200"/>
        <w:jc w:val="both"/>
        <w:rPr>
          <w:rFonts w:hint="eastAsia" w:ascii="宋体" w:hAnsi="宋体" w:eastAsia="宋体" w:cs="宋体"/>
          <w:color w:val="FF0000"/>
          <w:kern w:val="2"/>
          <w:sz w:val="28"/>
          <w:szCs w:val="28"/>
          <w:lang w:val="en-US" w:bidi="ar-SA"/>
        </w:rPr>
      </w:pPr>
      <w:r>
        <w:rPr>
          <w:rFonts w:hint="eastAsia" w:ascii="宋体" w:hAnsi="宋体" w:eastAsia="宋体" w:cs="宋体"/>
          <w:kern w:val="2"/>
          <w:sz w:val="28"/>
          <w:szCs w:val="28"/>
          <w:lang w:val="en-US" w:bidi="ar-SA"/>
        </w:rPr>
        <w:t>1.中标人须具备较强的旅游统计专业能力，熟练掌握</w:t>
      </w:r>
      <w:r>
        <w:rPr>
          <w:rFonts w:hint="eastAsia" w:ascii="宋体" w:hAnsi="宋体" w:eastAsia="宋体" w:cs="宋体"/>
          <w:sz w:val="28"/>
          <w:szCs w:val="28"/>
          <w:lang w:val="en-US" w:bidi="ar-SA"/>
        </w:rPr>
        <w:t>《全国文化（文物）和旅游统计调查制度》规定的统计方法，</w:t>
      </w:r>
      <w:r>
        <w:rPr>
          <w:rFonts w:hint="eastAsia" w:ascii="宋体" w:hAnsi="宋体" w:eastAsia="宋体" w:cs="宋体"/>
          <w:kern w:val="2"/>
          <w:sz w:val="28"/>
          <w:szCs w:val="28"/>
          <w:lang w:val="en-US" w:bidi="ar-SA"/>
        </w:rPr>
        <w:t>有丰富的旅游统计工作经验。</w:t>
      </w:r>
    </w:p>
    <w:p>
      <w:pPr>
        <w:autoSpaceDE/>
        <w:autoSpaceDN/>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2.中标人须具有旅游大数据平台运营</w:t>
      </w:r>
      <w:r>
        <w:rPr>
          <w:rFonts w:hint="eastAsia" w:ascii="宋体" w:hAnsi="宋体" w:eastAsia="宋体" w:cs="宋体"/>
          <w:kern w:val="2"/>
          <w:sz w:val="28"/>
          <w:szCs w:val="28"/>
          <w:lang w:val="en-US" w:eastAsia="zh-CN" w:bidi="ar-SA"/>
        </w:rPr>
        <w:t>或</w:t>
      </w:r>
      <w:r>
        <w:rPr>
          <w:rFonts w:hint="eastAsia" w:ascii="宋体" w:hAnsi="宋体" w:eastAsia="宋体" w:cs="宋体"/>
          <w:kern w:val="2"/>
          <w:sz w:val="28"/>
          <w:szCs w:val="28"/>
          <w:lang w:val="en-US" w:bidi="ar-SA"/>
        </w:rPr>
        <w:t>旅游大数据应用同类项目经验。</w:t>
      </w:r>
    </w:p>
    <w:p>
      <w:pPr>
        <w:autoSpaceDE/>
        <w:autoSpaceDN/>
        <w:spacing w:line="520" w:lineRule="exact"/>
        <w:ind w:firstLine="562" w:firstLineChars="200"/>
        <w:jc w:val="both"/>
        <w:rPr>
          <w:rFonts w:hint="eastAsia" w:ascii="宋体" w:hAnsi="宋体" w:eastAsia="宋体" w:cs="宋体"/>
          <w:b/>
          <w:kern w:val="2"/>
          <w:sz w:val="28"/>
          <w:szCs w:val="28"/>
          <w:lang w:val="en-US" w:bidi="ar-SA"/>
        </w:rPr>
      </w:pPr>
      <w:r>
        <w:rPr>
          <w:rFonts w:hint="eastAsia" w:ascii="宋体" w:hAnsi="宋体" w:eastAsia="宋体" w:cs="宋体"/>
          <w:b/>
          <w:kern w:val="2"/>
          <w:sz w:val="28"/>
          <w:szCs w:val="28"/>
          <w:lang w:val="en-US" w:bidi="ar-SA"/>
        </w:rPr>
        <w:t>五、商务要求</w:t>
      </w:r>
    </w:p>
    <w:p>
      <w:pPr>
        <w:autoSpaceDE/>
        <w:autoSpaceDN/>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（一）服务期限：服务周期为12个月，具体时间以合同约定为准。</w:t>
      </w:r>
    </w:p>
    <w:p>
      <w:pPr>
        <w:autoSpaceDE/>
        <w:autoSpaceDN/>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（二）采购项目实施地点：采购人指定地点。</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kern w:val="2"/>
          <w:sz w:val="28"/>
          <w:szCs w:val="28"/>
          <w:lang w:val="en-US" w:bidi="ar-SA"/>
        </w:rPr>
        <w:t>（</w:t>
      </w:r>
      <w:r>
        <w:rPr>
          <w:rFonts w:hint="eastAsia" w:ascii="宋体" w:hAnsi="宋体" w:eastAsia="宋体" w:cs="宋体"/>
          <w:kern w:val="2"/>
          <w:sz w:val="28"/>
          <w:szCs w:val="28"/>
          <w:lang w:val="en-US" w:eastAsia="zh-CN" w:bidi="ar-SA"/>
        </w:rPr>
        <w:t>三</w:t>
      </w:r>
      <w:r>
        <w:rPr>
          <w:rFonts w:hint="eastAsia" w:ascii="宋体" w:hAnsi="宋体" w:eastAsia="宋体" w:cs="宋体"/>
          <w:kern w:val="2"/>
          <w:sz w:val="28"/>
          <w:szCs w:val="28"/>
          <w:lang w:val="en-US" w:bidi="ar-SA"/>
        </w:rPr>
        <w:t>）</w:t>
      </w:r>
      <w:r>
        <w:rPr>
          <w:rFonts w:hint="eastAsia" w:ascii="宋体" w:hAnsi="宋体" w:eastAsia="宋体" w:cs="宋体"/>
          <w:color w:val="FF0000"/>
          <w:sz w:val="28"/>
          <w:szCs w:val="28"/>
          <w:highlight w:val="none"/>
          <w:lang w:val="en-US" w:eastAsia="zh-CN"/>
        </w:rPr>
        <w:t>报价要求：</w:t>
      </w:r>
      <w:r>
        <w:rPr>
          <w:rFonts w:hint="eastAsia" w:ascii="宋体" w:hAnsi="宋体" w:eastAsia="宋体" w:cs="宋体"/>
          <w:color w:val="auto"/>
          <w:sz w:val="28"/>
          <w:szCs w:val="28"/>
          <w:highlight w:val="none"/>
          <w:lang w:val="en-US" w:eastAsia="zh-CN"/>
        </w:rPr>
        <w:t>报价为总价包干，包括：</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①服务的价格；</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②必要的保险费用和各项税金；</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③劳务、管理、物料、政策性文件规定及合同包含的应有风险、责任等其他应有费用；</w:t>
      </w:r>
    </w:p>
    <w:p>
      <w:pPr>
        <w:spacing w:line="56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④完成本项目过程中可预见的和不可预见的一切费用。</w:t>
      </w:r>
    </w:p>
    <w:p>
      <w:pPr>
        <w:autoSpaceDE/>
        <w:autoSpaceDN/>
        <w:spacing w:line="52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（四）付款方式：签订合同后一个月内支付合同金额的60%，项目完成并验收合格后一个月内支付合同金额的40%。</w:t>
      </w:r>
      <w:r>
        <w:rPr>
          <w:rFonts w:hint="eastAsia" w:ascii="宋体" w:hAnsi="宋体" w:eastAsia="宋体" w:cs="宋体"/>
          <w:color w:val="FF0000"/>
          <w:kern w:val="2"/>
          <w:sz w:val="28"/>
          <w:szCs w:val="28"/>
          <w:lang w:val="en-US" w:bidi="ar-SA"/>
        </w:rPr>
        <w:t>付款前，成交供应商须提供合法的当届结算金额全额</w:t>
      </w:r>
      <w:r>
        <w:rPr>
          <w:rFonts w:hint="eastAsia" w:ascii="宋体" w:hAnsi="宋体" w:eastAsia="宋体" w:cs="宋体"/>
          <w:color w:val="FF0000"/>
          <w:kern w:val="2"/>
          <w:sz w:val="28"/>
          <w:szCs w:val="28"/>
          <w:lang w:val="en-US" w:eastAsia="zh-CN" w:bidi="ar-SA"/>
        </w:rPr>
        <w:t>且</w:t>
      </w:r>
      <w:r>
        <w:rPr>
          <w:rFonts w:hint="eastAsia" w:ascii="宋体" w:hAnsi="宋体" w:eastAsia="宋体" w:cs="宋体"/>
          <w:color w:val="FF0000"/>
          <w:kern w:val="2"/>
          <w:sz w:val="28"/>
          <w:szCs w:val="28"/>
          <w:lang w:val="en-US" w:bidi="ar-SA"/>
        </w:rPr>
        <w:t>采购人</w:t>
      </w:r>
      <w:r>
        <w:rPr>
          <w:rFonts w:hint="eastAsia" w:ascii="宋体" w:hAnsi="宋体" w:eastAsia="宋体" w:cs="宋体"/>
          <w:color w:val="FF0000"/>
          <w:kern w:val="2"/>
          <w:sz w:val="28"/>
          <w:szCs w:val="28"/>
          <w:lang w:val="en-US" w:eastAsia="zh-CN" w:bidi="ar-SA"/>
        </w:rPr>
        <w:t>认可的</w:t>
      </w:r>
      <w:r>
        <w:rPr>
          <w:rFonts w:hint="eastAsia" w:ascii="宋体" w:hAnsi="宋体" w:eastAsia="宋体" w:cs="宋体"/>
          <w:color w:val="FF0000"/>
          <w:kern w:val="2"/>
          <w:sz w:val="28"/>
          <w:szCs w:val="28"/>
          <w:lang w:val="en-US" w:bidi="ar-SA"/>
        </w:rPr>
        <w:t>增值税发票并经采购人财务审核后方可付款。</w:t>
      </w:r>
    </w:p>
    <w:p>
      <w:pPr>
        <w:autoSpaceDE/>
        <w:autoSpaceDN/>
        <w:spacing w:line="520" w:lineRule="exact"/>
        <w:ind w:firstLine="560" w:firstLineChars="200"/>
        <w:jc w:val="both"/>
        <w:rPr>
          <w:rFonts w:hint="eastAsia" w:ascii="宋体" w:hAnsi="宋体" w:eastAsia="宋体" w:cs="宋体"/>
          <w:color w:val="auto"/>
          <w:sz w:val="32"/>
          <w:szCs w:val="32"/>
          <w:highlight w:val="none"/>
          <w:lang w:val="en-US" w:eastAsia="zh-CN"/>
        </w:rPr>
      </w:pPr>
      <w:r>
        <w:rPr>
          <w:rFonts w:hint="eastAsia" w:ascii="宋体" w:hAnsi="宋体" w:eastAsia="宋体" w:cs="宋体"/>
          <w:kern w:val="2"/>
          <w:sz w:val="28"/>
          <w:szCs w:val="28"/>
          <w:lang w:val="en-US" w:bidi="ar-SA"/>
        </w:rPr>
        <w:t>（</w:t>
      </w:r>
      <w:r>
        <w:rPr>
          <w:rFonts w:hint="eastAsia" w:ascii="宋体" w:hAnsi="宋体" w:eastAsia="宋体" w:cs="宋体"/>
          <w:kern w:val="2"/>
          <w:sz w:val="28"/>
          <w:szCs w:val="28"/>
          <w:lang w:val="en-US" w:eastAsia="zh-CN" w:bidi="ar-SA"/>
        </w:rPr>
        <w:t>五</w:t>
      </w:r>
      <w:r>
        <w:rPr>
          <w:rFonts w:hint="eastAsia" w:ascii="宋体" w:hAnsi="宋体" w:eastAsia="宋体" w:cs="宋体"/>
          <w:kern w:val="2"/>
          <w:sz w:val="28"/>
          <w:szCs w:val="28"/>
          <w:lang w:val="en-US" w:bidi="ar-SA"/>
        </w:rPr>
        <w:t>）验收方式: 按照国家相关标准及采购项目具体要求，服务期结束15日内进行验收。</w:t>
      </w:r>
    </w:p>
    <w:p>
      <w:pPr>
        <w:pStyle w:val="4"/>
        <w:jc w:val="center"/>
        <w:rPr>
          <w:rFonts w:hint="eastAsia" w:ascii="宋体" w:hAnsi="宋体" w:eastAsia="宋体" w:cs="宋体"/>
          <w:highlight w:val="none"/>
        </w:rPr>
      </w:pPr>
      <w:r>
        <w:rPr>
          <w:rFonts w:hint="eastAsia" w:ascii="宋体" w:hAnsi="宋体" w:eastAsia="宋体" w:cs="宋体"/>
          <w:highlight w:val="none"/>
        </w:rPr>
        <w:br w:type="page"/>
      </w:r>
      <w:bookmarkStart w:id="73" w:name="_Toc14342"/>
      <w:r>
        <w:rPr>
          <w:rFonts w:hint="eastAsia" w:ascii="宋体" w:hAnsi="宋体" w:eastAsia="宋体" w:cs="宋体"/>
          <w:highlight w:val="none"/>
        </w:rPr>
        <w:t>第五章</w:t>
      </w:r>
      <w:r>
        <w:rPr>
          <w:rFonts w:hint="eastAsia" w:ascii="宋体" w:hAnsi="宋体" w:eastAsia="宋体" w:cs="宋体"/>
          <w:highlight w:val="none"/>
        </w:rPr>
        <w:tab/>
      </w:r>
      <w:r>
        <w:rPr>
          <w:rFonts w:hint="eastAsia" w:ascii="宋体" w:hAnsi="宋体" w:eastAsia="宋体" w:cs="宋体"/>
          <w:highlight w:val="none"/>
        </w:rPr>
        <w:t>合同条款及合同格式</w:t>
      </w:r>
      <w:bookmarkEnd w:id="73"/>
    </w:p>
    <w:p>
      <w:pPr>
        <w:jc w:val="center"/>
        <w:rPr>
          <w:rFonts w:hint="eastAsia" w:ascii="宋体" w:hAnsi="宋体" w:eastAsia="宋体" w:cs="宋体"/>
          <w:highlight w:val="none"/>
          <w:lang w:eastAsia="zh-CN"/>
        </w:rPr>
      </w:pPr>
      <w:r>
        <w:rPr>
          <w:rFonts w:hint="eastAsia" w:ascii="宋体" w:hAnsi="宋体" w:eastAsia="宋体" w:cs="宋体"/>
          <w:highlight w:val="none"/>
          <w:lang w:eastAsia="zh-CN"/>
        </w:rPr>
        <w:t>此合同格式为参考模板，以实际签订合同为准</w:t>
      </w:r>
    </w:p>
    <w:p>
      <w:pPr>
        <w:pStyle w:val="21"/>
        <w:rPr>
          <w:rFonts w:hint="eastAsia" w:ascii="宋体" w:hAnsi="宋体" w:eastAsia="宋体" w:cs="宋体"/>
          <w:highlight w:val="none"/>
          <w:lang w:eastAsia="zh-CN"/>
        </w:rPr>
      </w:pPr>
    </w:p>
    <w:p>
      <w:pPr>
        <w:pStyle w:val="21"/>
        <w:rPr>
          <w:rFonts w:hint="eastAsia" w:ascii="宋体" w:hAnsi="宋体" w:eastAsia="宋体" w:cs="宋体"/>
          <w:highlight w:val="none"/>
          <w:lang w:eastAsia="zh-CN"/>
        </w:rPr>
      </w:pPr>
    </w:p>
    <w:p>
      <w:pPr>
        <w:pStyle w:val="9"/>
        <w:spacing w:before="41" w:line="364" w:lineRule="auto"/>
        <w:ind w:right="677"/>
        <w:rPr>
          <w:rFonts w:hint="eastAsia" w:ascii="宋体" w:hAnsi="宋体" w:eastAsia="宋体" w:cs="宋体"/>
          <w:sz w:val="24"/>
          <w:szCs w:val="24"/>
        </w:rPr>
      </w:pPr>
      <w:r>
        <w:rPr>
          <w:rFonts w:hint="eastAsia" w:ascii="宋体" w:hAnsi="宋体" w:eastAsia="宋体" w:cs="宋体"/>
          <w:spacing w:val="-7"/>
          <w:sz w:val="24"/>
          <w:szCs w:val="24"/>
        </w:rPr>
        <w:t>本合同条款将作为中标合同的基础，具体合同内容在签订合同时由甲乙双方协商</w:t>
      </w:r>
      <w:r>
        <w:rPr>
          <w:rFonts w:hint="eastAsia" w:ascii="宋体" w:hAnsi="宋体" w:eastAsia="宋体" w:cs="宋体"/>
          <w:sz w:val="24"/>
          <w:szCs w:val="24"/>
        </w:rPr>
        <w:t xml:space="preserve">确定。 </w:t>
      </w:r>
    </w:p>
    <w:p>
      <w:pPr>
        <w:pStyle w:val="9"/>
        <w:spacing w:before="1"/>
        <w:ind w:left="460"/>
        <w:rPr>
          <w:rFonts w:hint="eastAsia" w:ascii="宋体" w:hAnsi="宋体" w:eastAsia="宋体" w:cs="宋体"/>
          <w:sz w:val="24"/>
          <w:szCs w:val="24"/>
        </w:rPr>
      </w:pPr>
      <w:r>
        <w:rPr>
          <w:rFonts w:hint="eastAsia" w:ascii="宋体" w:hAnsi="宋体" w:eastAsia="宋体" w:cs="宋体"/>
          <w:sz w:val="24"/>
          <w:szCs w:val="24"/>
        </w:rPr>
        <w:t xml:space="preserve"> </w:t>
      </w:r>
    </w:p>
    <w:p>
      <w:pPr>
        <w:pStyle w:val="9"/>
        <w:spacing w:before="161" w:line="364" w:lineRule="auto"/>
        <w:ind w:left="580" w:right="3343" w:hanging="12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pacing w:val="-12"/>
          <w:sz w:val="24"/>
          <w:szCs w:val="24"/>
        </w:rPr>
        <w:t>简称“      ”</w:t>
      </w:r>
      <w:r>
        <w:rPr>
          <w:rFonts w:hint="eastAsia" w:ascii="宋体" w:hAnsi="宋体" w:eastAsia="宋体" w:cs="宋体"/>
          <w:sz w:val="24"/>
          <w:szCs w:val="24"/>
        </w:rPr>
        <w:t xml:space="preserve">） </w:t>
      </w:r>
    </w:p>
    <w:p>
      <w:pPr>
        <w:pStyle w:val="9"/>
        <w:spacing w:before="161" w:line="364" w:lineRule="auto"/>
        <w:ind w:left="580" w:right="3343" w:hanging="120"/>
        <w:rPr>
          <w:rFonts w:hint="eastAsia" w:ascii="宋体" w:hAnsi="宋体" w:eastAsia="宋体" w:cs="宋体"/>
          <w:sz w:val="24"/>
          <w:szCs w:val="24"/>
        </w:rPr>
      </w:pPr>
      <w:r>
        <w:rPr>
          <w:rFonts w:hint="eastAsia" w:ascii="宋体" w:hAnsi="宋体" w:eastAsia="宋体" w:cs="宋体"/>
          <w:spacing w:val="-1"/>
          <w:sz w:val="24"/>
          <w:szCs w:val="24"/>
        </w:rPr>
        <w:t>乙方：</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pacing w:val="-12"/>
          <w:sz w:val="24"/>
          <w:szCs w:val="24"/>
        </w:rPr>
        <w:t>简称“      ”</w:t>
      </w:r>
      <w:r>
        <w:rPr>
          <w:rFonts w:hint="eastAsia" w:ascii="宋体" w:hAnsi="宋体" w:eastAsia="宋体" w:cs="宋体"/>
          <w:sz w:val="24"/>
          <w:szCs w:val="24"/>
        </w:rPr>
        <w:t xml:space="preserve">） </w:t>
      </w:r>
    </w:p>
    <w:p>
      <w:pPr>
        <w:pStyle w:val="9"/>
        <w:spacing w:before="1"/>
        <w:ind w:left="460"/>
        <w:rPr>
          <w:rFonts w:hint="eastAsia" w:ascii="宋体" w:hAnsi="宋体" w:eastAsia="宋体" w:cs="宋体"/>
          <w:sz w:val="24"/>
          <w:szCs w:val="24"/>
        </w:rPr>
      </w:pPr>
      <w:r>
        <w:rPr>
          <w:rFonts w:hint="eastAsia" w:ascii="宋体" w:hAnsi="宋体" w:eastAsia="宋体" w:cs="宋体"/>
          <w:sz w:val="24"/>
          <w:szCs w:val="24"/>
        </w:rPr>
        <w:t xml:space="preserve"> </w:t>
      </w:r>
    </w:p>
    <w:p>
      <w:pPr>
        <w:pStyle w:val="9"/>
        <w:spacing w:before="160" w:line="364" w:lineRule="auto"/>
        <w:ind w:right="681" w:firstLine="440" w:firstLineChars="200"/>
        <w:jc w:val="both"/>
        <w:rPr>
          <w:rFonts w:hint="eastAsia" w:ascii="宋体" w:hAnsi="宋体" w:eastAsia="宋体" w:cs="宋体"/>
          <w:sz w:val="24"/>
          <w:szCs w:val="24"/>
        </w:rPr>
      </w:pPr>
      <w:r>
        <w:rPr>
          <w:rFonts w:hint="eastAsia" w:ascii="宋体" w:hAnsi="宋体" w:eastAsia="宋体" w:cs="宋体"/>
          <w:spacing w:val="-10"/>
          <w:sz w:val="24"/>
          <w:szCs w:val="24"/>
        </w:rPr>
        <w:t>根据《中华人民共和国合同法》及相关法律法规的规定，经甲、乙双方协商</w:t>
      </w:r>
      <w:r>
        <w:rPr>
          <w:rFonts w:hint="eastAsia" w:ascii="宋体" w:hAnsi="宋体" w:eastAsia="宋体" w:cs="宋体"/>
          <w:spacing w:val="-5"/>
          <w:sz w:val="24"/>
          <w:szCs w:val="24"/>
        </w:rPr>
        <w:t xml:space="preserve">一致，就甲方委托乙方承担 </w:t>
      </w:r>
      <w:r>
        <w:rPr>
          <w:rFonts w:hint="eastAsia" w:ascii="宋体" w:hAnsi="宋体" w:eastAsia="宋体" w:cs="宋体"/>
          <w:sz w:val="24"/>
          <w:szCs w:val="24"/>
          <w:u w:val="single"/>
          <w:lang w:val="en-US" w:eastAsia="zh-CN"/>
        </w:rPr>
        <w:t xml:space="preserve">                        </w:t>
      </w:r>
      <w:r>
        <w:rPr>
          <w:rFonts w:hint="eastAsia" w:ascii="宋体" w:hAnsi="宋体" w:eastAsia="宋体" w:cs="宋体"/>
          <w:spacing w:val="-8"/>
          <w:sz w:val="24"/>
          <w:szCs w:val="24"/>
        </w:rPr>
        <w:t>事宜达成如下协议，共同遵守。</w:t>
      </w:r>
    </w:p>
    <w:p>
      <w:pPr>
        <w:pStyle w:val="9"/>
        <w:spacing w:before="3"/>
        <w:ind w:left="940"/>
        <w:rPr>
          <w:rFonts w:hint="eastAsia" w:ascii="宋体" w:hAnsi="宋体" w:eastAsia="宋体" w:cs="宋体"/>
          <w:sz w:val="24"/>
          <w:szCs w:val="24"/>
        </w:rPr>
      </w:pPr>
      <w:r>
        <w:rPr>
          <w:rFonts w:hint="eastAsia" w:ascii="宋体" w:hAnsi="宋体" w:eastAsia="宋体" w:cs="宋体"/>
          <w:sz w:val="24"/>
          <w:szCs w:val="24"/>
        </w:rPr>
        <w:t xml:space="preserve"> </w:t>
      </w:r>
    </w:p>
    <w:p>
      <w:pPr>
        <w:pStyle w:val="5"/>
        <w:spacing w:before="160"/>
        <w:jc w:val="both"/>
        <w:rPr>
          <w:rFonts w:hint="eastAsia" w:ascii="宋体" w:hAnsi="宋体" w:eastAsia="宋体" w:cs="宋体"/>
          <w:sz w:val="24"/>
          <w:szCs w:val="24"/>
        </w:rPr>
      </w:pPr>
      <w:r>
        <w:rPr>
          <w:rFonts w:hint="eastAsia" w:ascii="宋体" w:hAnsi="宋体" w:eastAsia="宋体" w:cs="宋体"/>
          <w:sz w:val="24"/>
          <w:szCs w:val="24"/>
        </w:rPr>
        <w:t>第一条 委托内容及要求</w:t>
      </w:r>
      <w:r>
        <w:rPr>
          <w:rFonts w:hint="eastAsia" w:ascii="宋体" w:hAnsi="宋体" w:eastAsia="宋体" w:cs="宋体"/>
          <w:w w:val="99"/>
          <w:sz w:val="24"/>
          <w:szCs w:val="24"/>
        </w:rPr>
        <w:t xml:space="preserve"> </w:t>
      </w:r>
    </w:p>
    <w:p>
      <w:pPr>
        <w:pStyle w:val="9"/>
        <w:spacing w:before="161" w:line="364" w:lineRule="auto"/>
        <w:ind w:right="703" w:firstLine="456" w:firstLineChars="200"/>
        <w:rPr>
          <w:rFonts w:hint="eastAsia" w:ascii="宋体" w:hAnsi="宋体" w:eastAsia="宋体" w:cs="宋体"/>
          <w:sz w:val="24"/>
          <w:szCs w:val="24"/>
        </w:rPr>
      </w:pPr>
      <w:r>
        <w:rPr>
          <w:rFonts w:hint="eastAsia" w:ascii="宋体" w:hAnsi="宋体" w:eastAsia="宋体" w:cs="宋体"/>
          <w:spacing w:val="-6"/>
          <w:sz w:val="24"/>
          <w:szCs w:val="24"/>
        </w:rPr>
        <w:t xml:space="preserve">甲方委托乙方全面承担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，具体包括： </w:t>
      </w:r>
    </w:p>
    <w:p>
      <w:pPr>
        <w:pStyle w:val="5"/>
        <w:spacing w:before="160"/>
        <w:jc w:val="both"/>
        <w:rPr>
          <w:rFonts w:hint="eastAsia" w:ascii="宋体" w:hAnsi="宋体" w:eastAsia="宋体" w:cs="宋体"/>
          <w:sz w:val="24"/>
          <w:szCs w:val="24"/>
        </w:rPr>
      </w:pPr>
      <w:r>
        <w:rPr>
          <w:rFonts w:hint="eastAsia" w:ascii="宋体" w:hAnsi="宋体" w:eastAsia="宋体" w:cs="宋体"/>
          <w:sz w:val="24"/>
          <w:szCs w:val="24"/>
        </w:rPr>
        <w:t xml:space="preserve">第二条 时间进度 </w:t>
      </w:r>
    </w:p>
    <w:p>
      <w:pPr>
        <w:pStyle w:val="9"/>
        <w:spacing w:before="161" w:line="364" w:lineRule="auto"/>
        <w:ind w:right="1722" w:firstLine="480" w:firstLineChars="200"/>
        <w:rPr>
          <w:rFonts w:hint="eastAsia" w:ascii="宋体" w:hAnsi="宋体" w:eastAsia="宋体" w:cs="宋体"/>
          <w:sz w:val="24"/>
          <w:szCs w:val="24"/>
        </w:rPr>
      </w:pPr>
      <w:r>
        <w:rPr>
          <w:rFonts w:hint="eastAsia" w:ascii="宋体" w:hAnsi="宋体" w:eastAsia="宋体" w:cs="宋体"/>
          <w:sz w:val="24"/>
          <w:szCs w:val="24"/>
        </w:rPr>
        <w:t>本项目服务期限为：</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1</w:t>
      </w:r>
      <w:r>
        <w:rPr>
          <w:rFonts w:hint="eastAsia" w:ascii="宋体" w:hAnsi="宋体" w:eastAsia="宋体" w:cs="宋体"/>
          <w:spacing w:val="-30"/>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pacing w:val="-15"/>
          <w:sz w:val="24"/>
          <w:szCs w:val="24"/>
        </w:rPr>
        <w:t xml:space="preserve">日起至 </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1</w:t>
      </w:r>
      <w:r>
        <w:rPr>
          <w:rFonts w:hint="eastAsia" w:ascii="宋体" w:hAnsi="宋体" w:eastAsia="宋体" w:cs="宋体"/>
          <w:spacing w:val="-30"/>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pPr>
        <w:pStyle w:val="9"/>
        <w:spacing w:before="161" w:line="364" w:lineRule="auto"/>
        <w:ind w:left="0" w:leftChars="0" w:right="1722" w:firstLine="0" w:firstLineChars="0"/>
        <w:rPr>
          <w:rFonts w:hint="eastAsia" w:ascii="宋体" w:hAnsi="宋体" w:eastAsia="宋体" w:cs="宋体"/>
          <w:b/>
          <w:sz w:val="24"/>
          <w:szCs w:val="24"/>
        </w:rPr>
      </w:pPr>
      <w:r>
        <w:rPr>
          <w:rFonts w:hint="eastAsia" w:ascii="宋体" w:hAnsi="宋体" w:eastAsia="宋体" w:cs="宋体"/>
          <w:b/>
          <w:sz w:val="24"/>
          <w:szCs w:val="24"/>
        </w:rPr>
        <w:t>第三条 合同价款</w:t>
      </w:r>
    </w:p>
    <w:p>
      <w:pPr>
        <w:pStyle w:val="9"/>
        <w:spacing w:before="1" w:line="364" w:lineRule="auto"/>
        <w:ind w:right="703" w:firstLine="480" w:firstLineChars="200"/>
        <w:rPr>
          <w:rFonts w:hint="eastAsia" w:ascii="宋体" w:hAnsi="宋体" w:eastAsia="宋体" w:cs="宋体"/>
          <w:sz w:val="24"/>
          <w:szCs w:val="24"/>
        </w:rPr>
      </w:pPr>
      <w:r>
        <w:rPr>
          <w:rFonts w:hint="eastAsia" w:ascii="宋体" w:hAnsi="宋体" w:eastAsia="宋体" w:cs="宋体"/>
          <w:sz w:val="24"/>
          <w:szCs w:val="24"/>
        </w:rPr>
        <w:t>经甲乙双方协商确定合同总价为人民币（大写）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，计人民币（小写）￥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元，最终支付费用以实际结算金额为准。 </w:t>
      </w:r>
    </w:p>
    <w:p>
      <w:pPr>
        <w:pStyle w:val="5"/>
        <w:tabs>
          <w:tab w:val="left" w:pos="396"/>
          <w:tab w:val="center" w:pos="5319"/>
        </w:tabs>
        <w:spacing w:before="1"/>
        <w:jc w:val="both"/>
        <w:rPr>
          <w:rFonts w:hint="eastAsia" w:ascii="宋体" w:hAnsi="宋体" w:eastAsia="宋体" w:cs="宋体"/>
          <w:sz w:val="24"/>
          <w:szCs w:val="24"/>
        </w:rPr>
      </w:pPr>
      <w:r>
        <w:rPr>
          <w:rFonts w:hint="eastAsia" w:ascii="宋体" w:hAnsi="宋体" w:eastAsia="宋体" w:cs="宋体"/>
          <w:sz w:val="24"/>
          <w:szCs w:val="24"/>
        </w:rPr>
        <w:t>第四条 付款方式</w:t>
      </w:r>
      <w:r>
        <w:rPr>
          <w:rFonts w:hint="eastAsia" w:ascii="宋体" w:hAnsi="宋体" w:eastAsia="宋体" w:cs="宋体"/>
          <w:w w:val="99"/>
          <w:sz w:val="24"/>
          <w:szCs w:val="24"/>
        </w:rPr>
        <w:t xml:space="preserve"> </w:t>
      </w:r>
    </w:p>
    <w:p>
      <w:pPr>
        <w:pStyle w:val="9"/>
        <w:spacing w:before="161"/>
        <w:rPr>
          <w:rFonts w:hint="eastAsia" w:ascii="宋体" w:hAnsi="宋体" w:eastAsia="宋体" w:cs="宋体"/>
          <w:sz w:val="24"/>
          <w:szCs w:val="24"/>
        </w:rPr>
      </w:pPr>
      <w:r>
        <w:rPr>
          <w:rFonts w:hint="eastAsia" w:ascii="宋体" w:hAnsi="宋体" w:eastAsia="宋体" w:cs="宋体"/>
          <w:sz w:val="24"/>
          <w:szCs w:val="24"/>
        </w:rPr>
        <w:t xml:space="preserve">（一）合同项下所有款额应通过甲乙双方指定的银行用人民币支付。 </w:t>
      </w:r>
    </w:p>
    <w:p>
      <w:pPr>
        <w:pStyle w:val="9"/>
        <w:spacing w:before="161" w:line="364" w:lineRule="auto"/>
        <w:ind w:right="705"/>
        <w:rPr>
          <w:rFonts w:hint="eastAsia" w:ascii="宋体" w:hAnsi="宋体" w:eastAsia="宋体" w:cs="宋体"/>
          <w:sz w:val="24"/>
          <w:szCs w:val="24"/>
        </w:rPr>
      </w:pPr>
      <w:r>
        <w:rPr>
          <w:rFonts w:hint="eastAsia" w:ascii="宋体" w:hAnsi="宋体" w:eastAsia="宋体" w:cs="宋体"/>
          <w:sz w:val="24"/>
          <w:szCs w:val="24"/>
        </w:rPr>
        <w:t xml:space="preserve">（二）甲方付款后，乙方应向甲方交付与本合同价款等额且符合合同性质的中华人民共和国法定国税通用机打发票。 </w:t>
      </w:r>
    </w:p>
    <w:p>
      <w:pPr>
        <w:pStyle w:val="9"/>
        <w:spacing w:before="1"/>
        <w:rPr>
          <w:rFonts w:hint="eastAsia" w:ascii="宋体" w:hAnsi="宋体" w:eastAsia="宋体" w:cs="宋体"/>
          <w:sz w:val="24"/>
          <w:szCs w:val="24"/>
        </w:rPr>
      </w:pPr>
      <w:r>
        <w:rPr>
          <w:rFonts w:hint="eastAsia" w:ascii="宋体" w:hAnsi="宋体" w:eastAsia="宋体" w:cs="宋体"/>
          <w:sz w:val="24"/>
          <w:szCs w:val="24"/>
        </w:rPr>
        <w:t xml:space="preserve">（三）合同第三条中确定的合同总价由甲方向乙方按如下方式及比例支付： </w:t>
      </w:r>
    </w:p>
    <w:p>
      <w:pPr>
        <w:pStyle w:val="9"/>
        <w:spacing w:before="4"/>
        <w:rPr>
          <w:rFonts w:hint="eastAsia" w:ascii="宋体" w:hAnsi="宋体" w:eastAsia="宋体" w:cs="宋体"/>
          <w:sz w:val="24"/>
          <w:szCs w:val="24"/>
        </w:rPr>
      </w:pPr>
    </w:p>
    <w:tbl>
      <w:tblPr>
        <w:tblStyle w:val="1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76"/>
        <w:gridCol w:w="1505"/>
        <w:gridCol w:w="1681"/>
        <w:gridCol w:w="29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2" w:hRule="atLeast"/>
          <w:jc w:val="center"/>
        </w:trPr>
        <w:tc>
          <w:tcPr>
            <w:tcW w:w="2276" w:type="dxa"/>
          </w:tcPr>
          <w:p>
            <w:pPr>
              <w:pStyle w:val="23"/>
              <w:spacing w:before="21"/>
              <w:ind w:left="695" w:right="557"/>
              <w:jc w:val="center"/>
              <w:rPr>
                <w:rFonts w:hint="eastAsia" w:ascii="宋体" w:hAnsi="宋体" w:eastAsia="宋体" w:cs="宋体"/>
                <w:b/>
                <w:sz w:val="24"/>
                <w:szCs w:val="24"/>
              </w:rPr>
            </w:pPr>
            <w:r>
              <w:rPr>
                <w:rFonts w:hint="eastAsia" w:ascii="宋体" w:hAnsi="宋体" w:eastAsia="宋体" w:cs="宋体"/>
                <w:b/>
                <w:sz w:val="24"/>
                <w:szCs w:val="24"/>
              </w:rPr>
              <w:t>付款节点</w:t>
            </w:r>
            <w:r>
              <w:rPr>
                <w:rFonts w:hint="eastAsia" w:ascii="宋体" w:hAnsi="宋体" w:eastAsia="宋体" w:cs="宋体"/>
                <w:b/>
                <w:w w:val="99"/>
                <w:sz w:val="24"/>
                <w:szCs w:val="24"/>
              </w:rPr>
              <w:t xml:space="preserve"> </w:t>
            </w:r>
          </w:p>
        </w:tc>
        <w:tc>
          <w:tcPr>
            <w:tcW w:w="1505" w:type="dxa"/>
          </w:tcPr>
          <w:p>
            <w:pPr>
              <w:pStyle w:val="23"/>
              <w:spacing w:before="21"/>
              <w:ind w:left="308" w:right="172"/>
              <w:jc w:val="center"/>
              <w:rPr>
                <w:rFonts w:hint="eastAsia" w:ascii="宋体" w:hAnsi="宋体" w:eastAsia="宋体" w:cs="宋体"/>
                <w:b/>
                <w:sz w:val="24"/>
                <w:szCs w:val="24"/>
              </w:rPr>
            </w:pPr>
            <w:r>
              <w:rPr>
                <w:rFonts w:hint="eastAsia" w:ascii="宋体" w:hAnsi="宋体" w:eastAsia="宋体" w:cs="宋体"/>
                <w:b/>
                <w:sz w:val="24"/>
                <w:szCs w:val="24"/>
              </w:rPr>
              <w:t>付款比例</w:t>
            </w:r>
            <w:r>
              <w:rPr>
                <w:rFonts w:hint="eastAsia" w:ascii="宋体" w:hAnsi="宋体" w:eastAsia="宋体" w:cs="宋体"/>
                <w:b/>
                <w:w w:val="99"/>
                <w:sz w:val="24"/>
                <w:szCs w:val="24"/>
              </w:rPr>
              <w:t xml:space="preserve"> </w:t>
            </w:r>
          </w:p>
        </w:tc>
        <w:tc>
          <w:tcPr>
            <w:tcW w:w="1681" w:type="dxa"/>
          </w:tcPr>
          <w:p>
            <w:pPr>
              <w:pStyle w:val="23"/>
              <w:spacing w:before="21"/>
              <w:ind w:left="154" w:right="3"/>
              <w:jc w:val="center"/>
              <w:rPr>
                <w:rFonts w:hint="eastAsia" w:ascii="宋体" w:hAnsi="宋体" w:eastAsia="宋体" w:cs="宋体"/>
                <w:b/>
                <w:sz w:val="24"/>
                <w:szCs w:val="24"/>
              </w:rPr>
            </w:pPr>
            <w:r>
              <w:rPr>
                <w:rFonts w:hint="eastAsia" w:ascii="宋体" w:hAnsi="宋体" w:eastAsia="宋体" w:cs="宋体"/>
                <w:b/>
                <w:spacing w:val="-26"/>
                <w:sz w:val="24"/>
                <w:szCs w:val="24"/>
              </w:rPr>
              <w:t>付款金额</w:t>
            </w:r>
            <w:r>
              <w:rPr>
                <w:rFonts w:hint="eastAsia" w:ascii="宋体" w:hAnsi="宋体" w:eastAsia="宋体" w:cs="宋体"/>
                <w:b/>
                <w:sz w:val="24"/>
                <w:szCs w:val="24"/>
              </w:rPr>
              <w:t>（元</w:t>
            </w:r>
            <w:r>
              <w:rPr>
                <w:rFonts w:hint="eastAsia" w:ascii="宋体" w:hAnsi="宋体" w:eastAsia="宋体" w:cs="宋体"/>
                <w:b/>
                <w:spacing w:val="-119"/>
                <w:sz w:val="24"/>
                <w:szCs w:val="24"/>
              </w:rPr>
              <w:t>）</w:t>
            </w:r>
            <w:r>
              <w:rPr>
                <w:rFonts w:hint="eastAsia" w:ascii="宋体" w:hAnsi="宋体" w:eastAsia="宋体" w:cs="宋体"/>
                <w:b/>
                <w:w w:val="99"/>
                <w:sz w:val="24"/>
                <w:szCs w:val="24"/>
              </w:rPr>
              <w:t xml:space="preserve"> </w:t>
            </w:r>
          </w:p>
        </w:tc>
        <w:tc>
          <w:tcPr>
            <w:tcW w:w="2963" w:type="dxa"/>
          </w:tcPr>
          <w:p>
            <w:pPr>
              <w:pStyle w:val="23"/>
              <w:spacing w:before="21"/>
              <w:ind w:left="1035" w:right="904"/>
              <w:jc w:val="center"/>
              <w:rPr>
                <w:rFonts w:hint="eastAsia" w:ascii="宋体" w:hAnsi="宋体" w:eastAsia="宋体" w:cs="宋体"/>
                <w:b/>
                <w:sz w:val="24"/>
                <w:szCs w:val="24"/>
              </w:rPr>
            </w:pPr>
            <w:r>
              <w:rPr>
                <w:rFonts w:hint="eastAsia" w:ascii="宋体" w:hAnsi="宋体" w:eastAsia="宋体" w:cs="宋体"/>
                <w:b/>
                <w:sz w:val="24"/>
                <w:szCs w:val="24"/>
              </w:rPr>
              <w:t>付款条件</w:t>
            </w:r>
            <w:r>
              <w:rPr>
                <w:rFonts w:hint="eastAsia" w:ascii="宋体" w:hAnsi="宋体" w:eastAsia="宋体" w:cs="宋体"/>
                <w:b/>
                <w:w w:val="99"/>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3"/>
              <w:spacing w:line="291" w:lineRule="exact"/>
              <w:ind w:left="138"/>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505" w:type="dxa"/>
          </w:tcPr>
          <w:p>
            <w:pPr>
              <w:pStyle w:val="23"/>
              <w:spacing w:line="291" w:lineRule="exact"/>
              <w:ind w:left="136"/>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681" w:type="dxa"/>
          </w:tcPr>
          <w:p>
            <w:pPr>
              <w:pStyle w:val="23"/>
              <w:spacing w:line="291" w:lineRule="exact"/>
              <w:ind w:left="138"/>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963" w:type="dxa"/>
          </w:tcPr>
          <w:p>
            <w:pPr>
              <w:pStyle w:val="23"/>
              <w:spacing w:line="291" w:lineRule="exact"/>
              <w:ind w:left="130"/>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3"/>
              <w:spacing w:line="291" w:lineRule="exact"/>
              <w:ind w:left="138"/>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505" w:type="dxa"/>
          </w:tcPr>
          <w:p>
            <w:pPr>
              <w:pStyle w:val="23"/>
              <w:spacing w:line="291" w:lineRule="exact"/>
              <w:ind w:left="136"/>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681" w:type="dxa"/>
          </w:tcPr>
          <w:p>
            <w:pPr>
              <w:pStyle w:val="23"/>
              <w:spacing w:line="291" w:lineRule="exact"/>
              <w:ind w:left="138"/>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963" w:type="dxa"/>
          </w:tcPr>
          <w:p>
            <w:pPr>
              <w:pStyle w:val="23"/>
              <w:spacing w:line="291" w:lineRule="exact"/>
              <w:ind w:left="130"/>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3"/>
              <w:spacing w:line="291" w:lineRule="exact"/>
              <w:ind w:left="692" w:right="557"/>
              <w:jc w:val="center"/>
              <w:rPr>
                <w:rFonts w:hint="eastAsia" w:ascii="宋体" w:hAnsi="宋体" w:eastAsia="宋体" w:cs="宋体"/>
                <w:b/>
                <w:sz w:val="24"/>
                <w:szCs w:val="24"/>
              </w:rPr>
            </w:pPr>
            <w:r>
              <w:rPr>
                <w:rFonts w:hint="eastAsia" w:ascii="宋体" w:hAnsi="宋体" w:eastAsia="宋体" w:cs="宋体"/>
                <w:b/>
                <w:sz w:val="24"/>
                <w:szCs w:val="24"/>
              </w:rPr>
              <w:t>合计</w:t>
            </w:r>
            <w:r>
              <w:rPr>
                <w:rFonts w:hint="eastAsia" w:ascii="宋体" w:hAnsi="宋体" w:eastAsia="宋体" w:cs="宋体"/>
                <w:b/>
                <w:w w:val="99"/>
                <w:sz w:val="24"/>
                <w:szCs w:val="24"/>
              </w:rPr>
              <w:t xml:space="preserve"> </w:t>
            </w:r>
          </w:p>
        </w:tc>
        <w:tc>
          <w:tcPr>
            <w:tcW w:w="1505" w:type="dxa"/>
          </w:tcPr>
          <w:p>
            <w:pPr>
              <w:pStyle w:val="23"/>
              <w:spacing w:line="291" w:lineRule="exact"/>
              <w:ind w:left="136"/>
              <w:jc w:val="center"/>
              <w:rPr>
                <w:rFonts w:hint="eastAsia" w:ascii="宋体" w:hAnsi="宋体" w:eastAsia="宋体" w:cs="宋体"/>
                <w:b/>
                <w:sz w:val="24"/>
                <w:szCs w:val="24"/>
              </w:rPr>
            </w:pPr>
            <w:r>
              <w:rPr>
                <w:rFonts w:hint="eastAsia" w:ascii="宋体" w:hAnsi="宋体" w:eastAsia="宋体" w:cs="宋体"/>
                <w:b/>
                <w:w w:val="99"/>
                <w:sz w:val="24"/>
                <w:szCs w:val="24"/>
              </w:rPr>
              <w:t xml:space="preserve"> </w:t>
            </w:r>
          </w:p>
        </w:tc>
        <w:tc>
          <w:tcPr>
            <w:tcW w:w="1681" w:type="dxa"/>
          </w:tcPr>
          <w:p>
            <w:pPr>
              <w:pStyle w:val="23"/>
              <w:spacing w:line="291" w:lineRule="exact"/>
              <w:ind w:left="138"/>
              <w:jc w:val="center"/>
              <w:rPr>
                <w:rFonts w:hint="eastAsia" w:ascii="宋体" w:hAnsi="宋体" w:eastAsia="宋体" w:cs="宋体"/>
                <w:b/>
                <w:sz w:val="24"/>
                <w:szCs w:val="24"/>
              </w:rPr>
            </w:pPr>
            <w:r>
              <w:rPr>
                <w:rFonts w:hint="eastAsia" w:ascii="宋体" w:hAnsi="宋体" w:eastAsia="宋体" w:cs="宋体"/>
                <w:b/>
                <w:w w:val="99"/>
                <w:sz w:val="24"/>
                <w:szCs w:val="24"/>
              </w:rPr>
              <w:t xml:space="preserve"> </w:t>
            </w:r>
          </w:p>
        </w:tc>
        <w:tc>
          <w:tcPr>
            <w:tcW w:w="2963" w:type="dxa"/>
          </w:tcPr>
          <w:p>
            <w:pPr>
              <w:pStyle w:val="23"/>
              <w:spacing w:line="291" w:lineRule="exact"/>
              <w:ind w:left="130"/>
              <w:jc w:val="center"/>
              <w:rPr>
                <w:rFonts w:hint="eastAsia" w:ascii="宋体" w:hAnsi="宋体" w:eastAsia="宋体" w:cs="宋体"/>
                <w:b/>
                <w:sz w:val="24"/>
                <w:szCs w:val="24"/>
              </w:rPr>
            </w:pPr>
            <w:r>
              <w:rPr>
                <w:rFonts w:hint="eastAsia" w:ascii="宋体" w:hAnsi="宋体" w:eastAsia="宋体" w:cs="宋体"/>
                <w:b/>
                <w:w w:val="99"/>
                <w:sz w:val="24"/>
                <w:szCs w:val="24"/>
              </w:rPr>
              <w:t xml:space="preserve"> </w:t>
            </w:r>
          </w:p>
        </w:tc>
      </w:tr>
    </w:tbl>
    <w:p>
      <w:pPr>
        <w:pStyle w:val="9"/>
        <w:numPr>
          <w:ilvl w:val="0"/>
          <w:numId w:val="0"/>
        </w:numPr>
        <w:spacing w:before="41" w:line="364" w:lineRule="auto"/>
        <w:ind w:right="703" w:righ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w:t>
      </w:r>
      <w:r>
        <w:rPr>
          <w:rFonts w:hint="eastAsia" w:ascii="宋体" w:hAnsi="宋体" w:eastAsia="宋体" w:cs="宋体"/>
          <w:sz w:val="24"/>
          <w:szCs w:val="24"/>
        </w:rPr>
        <w:t>在合同签订后，若甲方要求增加的服务，协商一致后，以书面形式约定，并由甲方追加相应的服务费，计入合同总价。</w:t>
      </w:r>
    </w:p>
    <w:p>
      <w:pPr>
        <w:pStyle w:val="9"/>
        <w:numPr>
          <w:ilvl w:val="0"/>
          <w:numId w:val="0"/>
        </w:numPr>
        <w:spacing w:before="41" w:line="364" w:lineRule="auto"/>
        <w:ind w:right="703"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（五）若甲方中途变更委托要求，甲乙双方在平等协商的基础上，调整因变更引起的费用项目金额。 </w:t>
      </w:r>
    </w:p>
    <w:p>
      <w:pPr>
        <w:pStyle w:val="9"/>
        <w:spacing w:before="1" w:line="364" w:lineRule="auto"/>
        <w:ind w:left="0" w:leftChars="0" w:right="4663" w:firstLine="480" w:firstLineChars="200"/>
        <w:rPr>
          <w:rFonts w:hint="eastAsia" w:ascii="宋体" w:hAnsi="宋体" w:eastAsia="宋体" w:cs="宋体"/>
          <w:sz w:val="24"/>
          <w:szCs w:val="24"/>
        </w:rPr>
      </w:pPr>
      <w:r>
        <w:rPr>
          <w:rFonts w:hint="eastAsia" w:ascii="宋体" w:hAnsi="宋体" w:eastAsia="宋体" w:cs="宋体"/>
          <w:sz w:val="24"/>
          <w:szCs w:val="24"/>
        </w:rPr>
        <w:t xml:space="preserve">（六）乙方指定的银行帐户信息：  </w:t>
      </w:r>
    </w:p>
    <w:p>
      <w:pPr>
        <w:pStyle w:val="9"/>
        <w:spacing w:before="1" w:line="364" w:lineRule="auto"/>
        <w:ind w:left="940" w:right="4663" w:hanging="120"/>
        <w:rPr>
          <w:rFonts w:hint="eastAsia" w:ascii="宋体" w:hAnsi="宋体" w:eastAsia="宋体" w:cs="宋体"/>
          <w:sz w:val="24"/>
          <w:szCs w:val="24"/>
        </w:rPr>
      </w:pPr>
      <w:r>
        <w:rPr>
          <w:rFonts w:hint="eastAsia" w:ascii="宋体" w:hAnsi="宋体" w:eastAsia="宋体" w:cs="宋体"/>
          <w:sz w:val="24"/>
          <w:szCs w:val="24"/>
        </w:rPr>
        <w:t xml:space="preserve">账户名称： </w:t>
      </w:r>
    </w:p>
    <w:p>
      <w:pPr>
        <w:pStyle w:val="9"/>
        <w:spacing w:before="1" w:line="364" w:lineRule="auto"/>
        <w:ind w:left="836" w:leftChars="398" w:right="7184" w:firstLine="0" w:firstLineChars="0"/>
        <w:rPr>
          <w:rFonts w:hint="eastAsia" w:ascii="宋体" w:hAnsi="宋体" w:eastAsia="宋体" w:cs="宋体"/>
          <w:sz w:val="24"/>
          <w:szCs w:val="24"/>
        </w:rPr>
      </w:pPr>
      <w:r>
        <w:rPr>
          <w:rFonts w:hint="eastAsia" w:ascii="宋体" w:hAnsi="宋体" w:eastAsia="宋体" w:cs="宋体"/>
          <w:sz w:val="24"/>
          <w:szCs w:val="24"/>
        </w:rPr>
        <w:t xml:space="preserve">开户银行： 账号： </w:t>
      </w:r>
    </w:p>
    <w:p>
      <w:pPr>
        <w:pStyle w:val="5"/>
        <w:spacing w:before="2"/>
        <w:jc w:val="both"/>
        <w:rPr>
          <w:rFonts w:hint="eastAsia" w:ascii="宋体" w:hAnsi="宋体" w:eastAsia="宋体" w:cs="宋体"/>
          <w:sz w:val="24"/>
          <w:szCs w:val="24"/>
        </w:rPr>
      </w:pPr>
      <w:r>
        <w:rPr>
          <w:rFonts w:hint="eastAsia" w:ascii="宋体" w:hAnsi="宋体" w:eastAsia="宋体" w:cs="宋体"/>
          <w:spacing w:val="-1"/>
          <w:sz w:val="24"/>
          <w:szCs w:val="24"/>
        </w:rPr>
        <w:t>第五条 双方权利义务</w:t>
      </w:r>
      <w:r>
        <w:rPr>
          <w:rFonts w:hint="eastAsia" w:ascii="宋体" w:hAnsi="宋体" w:eastAsia="宋体" w:cs="宋体"/>
          <w:spacing w:val="-1"/>
          <w:w w:val="99"/>
          <w:sz w:val="24"/>
          <w:szCs w:val="24"/>
        </w:rPr>
        <w:t xml:space="preserve"> </w:t>
      </w:r>
    </w:p>
    <w:p>
      <w:pPr>
        <w:pStyle w:val="9"/>
        <w:spacing w:before="161"/>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（一）甲方权利和义务 </w:t>
      </w:r>
    </w:p>
    <w:p>
      <w:pPr>
        <w:pStyle w:val="31"/>
        <w:numPr>
          <w:ilvl w:val="0"/>
          <w:numId w:val="3"/>
        </w:numPr>
        <w:tabs>
          <w:tab w:val="left" w:pos="1182"/>
        </w:tabs>
        <w:spacing w:before="160" w:after="0" w:line="240" w:lineRule="auto"/>
        <w:ind w:left="1181" w:right="0" w:hanging="242"/>
        <w:jc w:val="left"/>
        <w:rPr>
          <w:rFonts w:hint="eastAsia" w:ascii="宋体" w:hAnsi="宋体" w:eastAsia="宋体" w:cs="宋体"/>
          <w:sz w:val="24"/>
          <w:szCs w:val="24"/>
        </w:rPr>
      </w:pPr>
      <w:r>
        <w:rPr>
          <w:rFonts w:hint="eastAsia" w:ascii="宋体" w:hAnsi="宋体" w:eastAsia="宋体" w:cs="宋体"/>
          <w:sz w:val="24"/>
          <w:szCs w:val="24"/>
        </w:rPr>
        <w:t xml:space="preserve">甲方有权要求乙方按照本合同约定提供各项服务。 </w:t>
      </w:r>
    </w:p>
    <w:p>
      <w:pPr>
        <w:pStyle w:val="31"/>
        <w:numPr>
          <w:ilvl w:val="0"/>
          <w:numId w:val="3"/>
        </w:numPr>
        <w:tabs>
          <w:tab w:val="left" w:pos="1182"/>
        </w:tabs>
        <w:spacing w:before="161" w:after="0" w:line="240" w:lineRule="auto"/>
        <w:ind w:left="1181" w:right="0" w:hanging="242"/>
        <w:jc w:val="left"/>
        <w:rPr>
          <w:rFonts w:hint="eastAsia" w:ascii="宋体" w:hAnsi="宋体" w:eastAsia="宋体" w:cs="宋体"/>
          <w:sz w:val="24"/>
          <w:szCs w:val="24"/>
        </w:rPr>
      </w:pPr>
      <w:r>
        <w:rPr>
          <w:rFonts w:hint="eastAsia" w:ascii="宋体" w:hAnsi="宋体" w:eastAsia="宋体" w:cs="宋体"/>
          <w:sz w:val="24"/>
          <w:szCs w:val="24"/>
        </w:rPr>
        <w:t xml:space="preserve">甲方有权对乙方提供各项服务的情况进行监督和检查。 </w:t>
      </w:r>
    </w:p>
    <w:p>
      <w:pPr>
        <w:pStyle w:val="31"/>
        <w:numPr>
          <w:ilvl w:val="0"/>
          <w:numId w:val="3"/>
        </w:numPr>
        <w:tabs>
          <w:tab w:val="left" w:pos="1182"/>
        </w:tabs>
        <w:spacing w:before="160" w:after="0" w:line="240" w:lineRule="auto"/>
        <w:ind w:left="1181" w:right="0" w:hanging="242"/>
        <w:jc w:val="left"/>
        <w:rPr>
          <w:rFonts w:hint="eastAsia" w:ascii="宋体" w:hAnsi="宋体" w:eastAsia="宋体" w:cs="宋体"/>
          <w:sz w:val="24"/>
          <w:szCs w:val="24"/>
        </w:rPr>
      </w:pPr>
      <w:r>
        <w:rPr>
          <w:rFonts w:hint="eastAsia" w:ascii="宋体" w:hAnsi="宋体" w:eastAsia="宋体" w:cs="宋体"/>
          <w:sz w:val="24"/>
          <w:szCs w:val="24"/>
        </w:rPr>
        <w:t xml:space="preserve">甲方应当按照本合同约定向乙方支付费用。 </w:t>
      </w:r>
    </w:p>
    <w:p>
      <w:pPr>
        <w:pStyle w:val="9"/>
        <w:spacing w:before="161"/>
        <w:ind w:left="940"/>
        <w:rPr>
          <w:rFonts w:hint="eastAsia" w:ascii="宋体" w:hAnsi="宋体" w:eastAsia="宋体" w:cs="宋体"/>
          <w:sz w:val="24"/>
          <w:szCs w:val="24"/>
        </w:rPr>
      </w:pPr>
      <w:r>
        <w:rPr>
          <w:rFonts w:hint="eastAsia" w:ascii="宋体" w:hAnsi="宋体" w:eastAsia="宋体" w:cs="宋体"/>
          <w:sz w:val="24"/>
          <w:szCs w:val="24"/>
        </w:rPr>
        <w:t xml:space="preserve">4.其他：                              </w:t>
      </w:r>
    </w:p>
    <w:p>
      <w:pPr>
        <w:pStyle w:val="9"/>
        <w:spacing w:before="160"/>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（二）乙方权利和义务 </w:t>
      </w:r>
    </w:p>
    <w:p>
      <w:pPr>
        <w:pStyle w:val="31"/>
        <w:numPr>
          <w:ilvl w:val="0"/>
          <w:numId w:val="4"/>
        </w:numPr>
        <w:tabs>
          <w:tab w:val="left" w:pos="1122"/>
        </w:tabs>
        <w:spacing w:before="161" w:after="0" w:line="364" w:lineRule="auto"/>
        <w:ind w:left="880" w:right="677" w:firstLine="0"/>
        <w:jc w:val="both"/>
        <w:rPr>
          <w:rFonts w:hint="eastAsia" w:ascii="宋体" w:hAnsi="宋体" w:eastAsia="宋体" w:cs="宋体"/>
          <w:sz w:val="24"/>
          <w:szCs w:val="24"/>
        </w:rPr>
      </w:pPr>
      <w:r>
        <w:rPr>
          <w:rFonts w:hint="eastAsia" w:ascii="宋体" w:hAnsi="宋体" w:eastAsia="宋体" w:cs="宋体"/>
          <w:spacing w:val="-3"/>
          <w:sz w:val="24"/>
          <w:szCs w:val="24"/>
        </w:rPr>
        <w:t>乙方应按照本合同约定向甲方提供本合同项下服务，确保服务质量符合本</w:t>
      </w:r>
      <w:r>
        <w:rPr>
          <w:rFonts w:hint="eastAsia" w:ascii="宋体" w:hAnsi="宋体" w:eastAsia="宋体" w:cs="宋体"/>
          <w:spacing w:val="-4"/>
          <w:sz w:val="24"/>
          <w:szCs w:val="24"/>
        </w:rPr>
        <w:t>合同约定或甲方要求；如因乙方提供服务质量不合格给甲方造成损失的，乙</w:t>
      </w:r>
      <w:r>
        <w:rPr>
          <w:rFonts w:hint="eastAsia" w:ascii="宋体" w:hAnsi="宋体" w:eastAsia="宋体" w:cs="宋体"/>
          <w:spacing w:val="-6"/>
          <w:sz w:val="24"/>
          <w:szCs w:val="24"/>
        </w:rPr>
        <w:t xml:space="preserve">方应予不超过合同总额 </w:t>
      </w:r>
      <w:r>
        <w:rPr>
          <w:rFonts w:hint="eastAsia" w:ascii="宋体" w:hAnsi="宋体" w:eastAsia="宋体" w:cs="宋体"/>
          <w:sz w:val="24"/>
          <w:szCs w:val="24"/>
        </w:rPr>
        <w:t xml:space="preserve">1%的赔偿。 </w:t>
      </w:r>
    </w:p>
    <w:p>
      <w:pPr>
        <w:pStyle w:val="31"/>
        <w:numPr>
          <w:ilvl w:val="0"/>
          <w:numId w:val="4"/>
        </w:numPr>
        <w:tabs>
          <w:tab w:val="left" w:pos="1122"/>
        </w:tabs>
        <w:spacing w:before="2" w:after="0" w:line="364" w:lineRule="auto"/>
        <w:ind w:left="880" w:right="645" w:firstLine="0"/>
        <w:jc w:val="left"/>
        <w:rPr>
          <w:rFonts w:hint="eastAsia" w:ascii="宋体" w:hAnsi="宋体" w:eastAsia="宋体" w:cs="宋体"/>
          <w:sz w:val="24"/>
          <w:szCs w:val="24"/>
        </w:rPr>
      </w:pPr>
      <w:r>
        <w:rPr>
          <w:rFonts w:hint="eastAsia" w:ascii="宋体" w:hAnsi="宋体" w:eastAsia="宋体" w:cs="宋体"/>
          <w:spacing w:val="-1"/>
          <w:sz w:val="24"/>
          <w:szCs w:val="24"/>
        </w:rPr>
        <w:t xml:space="preserve">乙方的项目经费使用应当符合甲方资金使用的相关规定和有关审计要求， </w:t>
      </w:r>
      <w:r>
        <w:rPr>
          <w:rFonts w:hint="eastAsia" w:ascii="宋体" w:hAnsi="宋体" w:eastAsia="宋体" w:cs="宋体"/>
          <w:spacing w:val="-12"/>
          <w:sz w:val="24"/>
          <w:szCs w:val="24"/>
        </w:rPr>
        <w:t>专项用于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等相关工</w:t>
      </w:r>
      <w:r>
        <w:rPr>
          <w:rFonts w:hint="eastAsia" w:ascii="宋体" w:hAnsi="宋体" w:eastAsia="宋体" w:cs="宋体"/>
          <w:spacing w:val="-6"/>
          <w:sz w:val="24"/>
          <w:szCs w:val="24"/>
        </w:rPr>
        <w:t xml:space="preserve">作，不得用于与本工作无关的活动支出，专款专用，并配合财政、审计等部门的监督检查。 </w:t>
      </w:r>
    </w:p>
    <w:p>
      <w:pPr>
        <w:pStyle w:val="31"/>
        <w:numPr>
          <w:ilvl w:val="0"/>
          <w:numId w:val="4"/>
        </w:numPr>
        <w:tabs>
          <w:tab w:val="left" w:pos="1122"/>
        </w:tabs>
        <w:spacing w:before="2" w:after="0" w:line="364" w:lineRule="auto"/>
        <w:ind w:left="880" w:right="677" w:firstLine="0"/>
        <w:jc w:val="left"/>
        <w:rPr>
          <w:rFonts w:hint="eastAsia" w:ascii="宋体" w:hAnsi="宋体" w:eastAsia="宋体" w:cs="宋体"/>
          <w:sz w:val="24"/>
          <w:szCs w:val="24"/>
        </w:rPr>
      </w:pPr>
      <w:r>
        <w:rPr>
          <w:rFonts w:hint="eastAsia" w:ascii="宋体" w:hAnsi="宋体" w:eastAsia="宋体" w:cs="宋体"/>
          <w:spacing w:val="-3"/>
          <w:sz w:val="24"/>
          <w:szCs w:val="24"/>
        </w:rPr>
        <w:t>乙方保证其向甲方提供的服务不存在任何侵犯第三方著作权、商标权、专</w:t>
      </w:r>
      <w:r>
        <w:rPr>
          <w:rFonts w:hint="eastAsia" w:ascii="宋体" w:hAnsi="宋体" w:eastAsia="宋体" w:cs="宋体"/>
          <w:sz w:val="24"/>
          <w:szCs w:val="24"/>
        </w:rPr>
        <w:t xml:space="preserve">利权等合法权益的情形。 </w:t>
      </w:r>
    </w:p>
    <w:p>
      <w:pPr>
        <w:pStyle w:val="31"/>
        <w:numPr>
          <w:ilvl w:val="0"/>
          <w:numId w:val="4"/>
        </w:numPr>
        <w:tabs>
          <w:tab w:val="left" w:pos="1122"/>
        </w:tabs>
        <w:spacing w:before="2" w:after="0" w:line="364" w:lineRule="auto"/>
        <w:ind w:left="880" w:right="678" w:firstLine="0"/>
        <w:jc w:val="left"/>
        <w:rPr>
          <w:rFonts w:hint="eastAsia" w:ascii="宋体" w:hAnsi="宋体" w:eastAsia="宋体" w:cs="宋体"/>
          <w:sz w:val="24"/>
          <w:szCs w:val="24"/>
        </w:rPr>
      </w:pPr>
      <w:r>
        <w:rPr>
          <w:rFonts w:hint="eastAsia" w:ascii="宋体" w:hAnsi="宋体" w:eastAsia="宋体" w:cs="宋体"/>
          <w:spacing w:val="-3"/>
          <w:sz w:val="24"/>
          <w:szCs w:val="24"/>
        </w:rPr>
        <w:t>乙方应接受甲方对其提供服务情况进行的监督和检查，并应及时按照甲方</w:t>
      </w:r>
      <w:r>
        <w:rPr>
          <w:rFonts w:hint="eastAsia" w:ascii="宋体" w:hAnsi="宋体" w:eastAsia="宋体" w:cs="宋体"/>
          <w:sz w:val="24"/>
          <w:szCs w:val="24"/>
        </w:rPr>
        <w:t xml:space="preserve">要求对所提供的服务进行改进或调整，使服务质量符合甲方要求。 </w:t>
      </w:r>
    </w:p>
    <w:p>
      <w:pPr>
        <w:pStyle w:val="31"/>
        <w:numPr>
          <w:ilvl w:val="0"/>
          <w:numId w:val="4"/>
        </w:numPr>
        <w:tabs>
          <w:tab w:val="left" w:pos="1122"/>
        </w:tabs>
        <w:spacing w:before="1" w:after="0" w:line="364" w:lineRule="auto"/>
        <w:ind w:left="880" w:right="675" w:firstLine="0"/>
        <w:jc w:val="both"/>
        <w:rPr>
          <w:rFonts w:hint="eastAsia" w:ascii="宋体" w:hAnsi="宋体" w:eastAsia="宋体" w:cs="宋体"/>
          <w:sz w:val="24"/>
          <w:szCs w:val="24"/>
        </w:rPr>
      </w:pPr>
      <w:r>
        <w:rPr>
          <w:rFonts w:hint="eastAsia" w:ascii="宋体" w:hAnsi="宋体" w:eastAsia="宋体" w:cs="宋体"/>
          <w:spacing w:val="-4"/>
          <w:sz w:val="24"/>
          <w:szCs w:val="24"/>
        </w:rPr>
        <w:t>本项目知识产权归甲方所有。乙方承诺在工作过程中按照国家保密法律法规以及甲方的要求，做好有关保密工作。乙方对工作过程中甲方提供的有关</w:t>
      </w:r>
      <w:r>
        <w:rPr>
          <w:rFonts w:hint="eastAsia" w:ascii="宋体" w:hAnsi="宋体" w:eastAsia="宋体" w:cs="宋体"/>
          <w:spacing w:val="-8"/>
          <w:sz w:val="24"/>
          <w:szCs w:val="24"/>
        </w:rPr>
        <w:t>信息、文件、资料等有保密义务，非经甲方书面同意，不得公开或向第三方</w:t>
      </w:r>
      <w:r>
        <w:rPr>
          <w:rFonts w:hint="eastAsia" w:ascii="宋体" w:hAnsi="宋体" w:eastAsia="宋体" w:cs="宋体"/>
          <w:sz w:val="24"/>
          <w:szCs w:val="24"/>
        </w:rPr>
        <w:t xml:space="preserve">提供。 </w:t>
      </w:r>
    </w:p>
    <w:p>
      <w:pPr>
        <w:pStyle w:val="9"/>
        <w:spacing w:before="41" w:line="364" w:lineRule="auto"/>
        <w:ind w:left="880" w:right="677"/>
        <w:jc w:val="both"/>
        <w:rPr>
          <w:rFonts w:hint="eastAsia" w:ascii="宋体" w:hAnsi="宋体" w:eastAsia="宋体" w:cs="宋体"/>
          <w:sz w:val="24"/>
          <w:szCs w:val="24"/>
        </w:rPr>
      </w:pPr>
      <w:r>
        <w:rPr>
          <w:rFonts w:hint="eastAsia" w:ascii="宋体" w:hAnsi="宋体" w:eastAsia="宋体" w:cs="宋体"/>
          <w:sz w:val="24"/>
          <w:szCs w:val="24"/>
        </w:rPr>
        <w:t>乙方应保证为甲方提供服务的员工具备提供本合同项下服务所需的相应</w:t>
      </w:r>
      <w:r>
        <w:rPr>
          <w:rFonts w:hint="eastAsia" w:ascii="宋体" w:hAnsi="宋体" w:eastAsia="宋体" w:cs="宋体"/>
          <w:spacing w:val="-5"/>
          <w:sz w:val="24"/>
          <w:szCs w:val="24"/>
        </w:rPr>
        <w:t>资质和许可，并保证乙方人员在为甲方提供服务的过程中，严格遵守甲方的</w:t>
      </w:r>
      <w:r>
        <w:rPr>
          <w:rFonts w:hint="eastAsia" w:ascii="宋体" w:hAnsi="宋体" w:eastAsia="宋体" w:cs="宋体"/>
          <w:spacing w:val="-6"/>
          <w:sz w:val="24"/>
          <w:szCs w:val="24"/>
        </w:rPr>
        <w:t>各项规定、服从甲方安排。如因乙方人员原因，给甲方或第三方造成人员人</w:t>
      </w:r>
      <w:r>
        <w:rPr>
          <w:rFonts w:hint="eastAsia" w:ascii="宋体" w:hAnsi="宋体" w:eastAsia="宋体" w:cs="宋体"/>
          <w:sz w:val="24"/>
          <w:szCs w:val="24"/>
        </w:rPr>
        <w:t xml:space="preserve">身伤害或财产损失的，乙方应承担赔偿责任。 </w:t>
      </w:r>
    </w:p>
    <w:p>
      <w:pPr>
        <w:rPr>
          <w:rFonts w:hint="eastAsia" w:ascii="宋体" w:hAnsi="宋体" w:eastAsia="宋体" w:cs="宋体"/>
        </w:rPr>
      </w:pPr>
    </w:p>
    <w:p>
      <w:pPr>
        <w:numPr>
          <w:ilvl w:val="0"/>
          <w:numId w:val="4"/>
        </w:numPr>
        <w:spacing w:before="2" w:line="364" w:lineRule="auto"/>
        <w:ind w:left="880" w:leftChars="0" w:right="3103" w:firstLine="0" w:firstLineChars="0"/>
        <w:jc w:val="left"/>
        <w:rPr>
          <w:rFonts w:hint="eastAsia" w:ascii="宋体" w:hAnsi="宋体" w:eastAsia="宋体" w:cs="宋体"/>
          <w:sz w:val="24"/>
          <w:szCs w:val="24"/>
        </w:rPr>
      </w:pPr>
      <w:r>
        <w:rPr>
          <w:rFonts w:hint="eastAsia" w:ascii="宋体" w:hAnsi="宋体" w:eastAsia="宋体" w:cs="宋体"/>
          <w:sz w:val="24"/>
          <w:szCs w:val="24"/>
        </w:rPr>
        <w:t xml:space="preserve">其他：                                    </w:t>
      </w:r>
    </w:p>
    <w:p>
      <w:pPr>
        <w:numPr>
          <w:ilvl w:val="0"/>
          <w:numId w:val="0"/>
        </w:numPr>
        <w:spacing w:before="2" w:line="364" w:lineRule="auto"/>
        <w:ind w:right="3103" w:rightChars="0"/>
        <w:jc w:val="left"/>
        <w:rPr>
          <w:rFonts w:hint="eastAsia" w:ascii="宋体" w:hAnsi="宋体" w:eastAsia="宋体" w:cs="宋体"/>
          <w:b/>
          <w:sz w:val="24"/>
          <w:szCs w:val="24"/>
        </w:rPr>
      </w:pPr>
      <w:r>
        <w:rPr>
          <w:rFonts w:hint="eastAsia" w:ascii="宋体" w:hAnsi="宋体" w:eastAsia="宋体" w:cs="宋体"/>
          <w:b/>
          <w:sz w:val="24"/>
          <w:szCs w:val="24"/>
        </w:rPr>
        <w:t>第六条 合同的变更、补充和解除</w:t>
      </w:r>
      <w:r>
        <w:rPr>
          <w:rFonts w:hint="eastAsia" w:ascii="宋体" w:hAnsi="宋体" w:eastAsia="宋体" w:cs="宋体"/>
          <w:b/>
          <w:w w:val="99"/>
          <w:sz w:val="24"/>
          <w:szCs w:val="24"/>
        </w:rPr>
        <w:t xml:space="preserve"> </w:t>
      </w:r>
    </w:p>
    <w:p>
      <w:pPr>
        <w:pStyle w:val="9"/>
        <w:spacing w:before="1"/>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（一）本合同的变更或补充必须由双方协商一致，并以书面形式确定。 </w:t>
      </w:r>
    </w:p>
    <w:p>
      <w:pPr>
        <w:pStyle w:val="9"/>
        <w:spacing w:before="160" w:line="364" w:lineRule="auto"/>
        <w:ind w:right="557"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pacing w:val="-32"/>
          <w:sz w:val="24"/>
          <w:szCs w:val="24"/>
        </w:rPr>
        <w:t>）</w:t>
      </w:r>
      <w:r>
        <w:rPr>
          <w:rFonts w:hint="eastAsia" w:ascii="宋体" w:hAnsi="宋体" w:eastAsia="宋体" w:cs="宋体"/>
          <w:spacing w:val="-10"/>
          <w:sz w:val="24"/>
          <w:szCs w:val="24"/>
        </w:rPr>
        <w:t xml:space="preserve">双方确定，出现下列情形，致使本合同的履行成为不必要或不可能的， </w:t>
      </w:r>
      <w:r>
        <w:rPr>
          <w:rFonts w:hint="eastAsia" w:ascii="宋体" w:hAnsi="宋体" w:eastAsia="宋体" w:cs="宋体"/>
          <w:sz w:val="24"/>
          <w:szCs w:val="24"/>
        </w:rPr>
        <w:t xml:space="preserve">可以解除本合同： </w:t>
      </w:r>
    </w:p>
    <w:p>
      <w:pPr>
        <w:pStyle w:val="31"/>
        <w:numPr>
          <w:ilvl w:val="0"/>
          <w:numId w:val="5"/>
        </w:numPr>
        <w:tabs>
          <w:tab w:val="left" w:pos="1182"/>
        </w:tabs>
        <w:spacing w:before="2" w:after="0" w:line="240" w:lineRule="auto"/>
        <w:ind w:left="1181" w:right="0" w:hanging="242"/>
        <w:jc w:val="left"/>
        <w:rPr>
          <w:rFonts w:hint="eastAsia" w:ascii="宋体" w:hAnsi="宋体" w:eastAsia="宋体" w:cs="宋体"/>
          <w:sz w:val="24"/>
          <w:szCs w:val="24"/>
        </w:rPr>
      </w:pPr>
      <w:r>
        <w:rPr>
          <w:rFonts w:hint="eastAsia" w:ascii="宋体" w:hAnsi="宋体" w:eastAsia="宋体" w:cs="宋体"/>
          <w:sz w:val="24"/>
          <w:szCs w:val="24"/>
        </w:rPr>
        <w:t xml:space="preserve">发生不可抗力。 </w:t>
      </w:r>
    </w:p>
    <w:p>
      <w:pPr>
        <w:pStyle w:val="31"/>
        <w:numPr>
          <w:ilvl w:val="0"/>
          <w:numId w:val="5"/>
        </w:numPr>
        <w:tabs>
          <w:tab w:val="left" w:pos="1182"/>
        </w:tabs>
        <w:spacing w:before="161" w:after="0" w:line="240" w:lineRule="auto"/>
        <w:ind w:left="1181" w:right="0" w:hanging="242"/>
        <w:jc w:val="left"/>
        <w:rPr>
          <w:rFonts w:hint="eastAsia" w:ascii="宋体" w:hAnsi="宋体" w:eastAsia="宋体" w:cs="宋体"/>
          <w:sz w:val="24"/>
          <w:szCs w:val="24"/>
        </w:rPr>
      </w:pPr>
      <w:r>
        <w:rPr>
          <w:rFonts w:hint="eastAsia" w:ascii="宋体" w:hAnsi="宋体" w:eastAsia="宋体" w:cs="宋体"/>
          <w:sz w:val="24"/>
          <w:szCs w:val="24"/>
        </w:rPr>
        <w:t xml:space="preserve">与本项目直接相关的国家政策发生重大变更，双方同意解除合同。 </w:t>
      </w:r>
    </w:p>
    <w:p>
      <w:pPr>
        <w:pStyle w:val="31"/>
        <w:numPr>
          <w:ilvl w:val="0"/>
          <w:numId w:val="5"/>
        </w:numPr>
        <w:tabs>
          <w:tab w:val="left" w:pos="1182"/>
        </w:tabs>
        <w:spacing w:before="161" w:after="0" w:line="240" w:lineRule="auto"/>
        <w:ind w:left="1181" w:right="0" w:hanging="242"/>
        <w:jc w:val="left"/>
        <w:rPr>
          <w:rFonts w:hint="eastAsia" w:ascii="宋体" w:hAnsi="宋体" w:eastAsia="宋体" w:cs="宋体"/>
          <w:sz w:val="24"/>
          <w:szCs w:val="24"/>
        </w:rPr>
      </w:pPr>
      <w:r>
        <w:rPr>
          <w:rFonts w:hint="eastAsia" w:ascii="宋体" w:hAnsi="宋体" w:eastAsia="宋体" w:cs="宋体"/>
          <w:sz w:val="24"/>
          <w:szCs w:val="24"/>
        </w:rPr>
        <w:t>一方严重违约。</w:t>
      </w:r>
    </w:p>
    <w:p>
      <w:pPr>
        <w:pStyle w:val="31"/>
        <w:numPr>
          <w:ilvl w:val="0"/>
          <w:numId w:val="0"/>
        </w:numPr>
        <w:tabs>
          <w:tab w:val="left" w:pos="1182"/>
        </w:tabs>
        <w:spacing w:before="160" w:after="0" w:line="364" w:lineRule="auto"/>
        <w:ind w:right="6463" w:rightChars="0"/>
        <w:jc w:val="left"/>
        <w:rPr>
          <w:rFonts w:hint="eastAsia" w:ascii="宋体" w:hAnsi="宋体" w:eastAsia="宋体" w:cs="宋体"/>
          <w:b/>
          <w:sz w:val="24"/>
          <w:szCs w:val="24"/>
        </w:rPr>
      </w:pPr>
      <w:r>
        <w:rPr>
          <w:rFonts w:hint="eastAsia" w:ascii="宋体" w:hAnsi="宋体" w:eastAsia="宋体" w:cs="宋体"/>
          <w:b/>
          <w:sz w:val="24"/>
          <w:szCs w:val="24"/>
        </w:rPr>
        <w:t>第七条 违约责任</w:t>
      </w:r>
      <w:r>
        <w:rPr>
          <w:rFonts w:hint="eastAsia" w:ascii="宋体" w:hAnsi="宋体" w:eastAsia="宋体" w:cs="宋体"/>
          <w:b/>
          <w:w w:val="99"/>
          <w:sz w:val="24"/>
          <w:szCs w:val="24"/>
        </w:rPr>
        <w:t xml:space="preserve"> </w:t>
      </w:r>
    </w:p>
    <w:p>
      <w:pPr>
        <w:pStyle w:val="9"/>
        <w:spacing w:before="1" w:line="364" w:lineRule="auto"/>
        <w:ind w:right="705"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（一）甲方未按约定的期限向乙方支付服务费，应在最后付款日的次日起每日按照服务费总额的千分之一向乙方支付违约金，乙方并有权顺延相应工作期限。 </w:t>
      </w:r>
    </w:p>
    <w:p>
      <w:pPr>
        <w:pStyle w:val="9"/>
        <w:spacing w:before="3" w:line="364" w:lineRule="auto"/>
        <w:ind w:right="677" w:firstLine="480" w:firstLineChars="200"/>
        <w:jc w:val="both"/>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pacing w:val="-32"/>
          <w:sz w:val="24"/>
          <w:szCs w:val="24"/>
        </w:rPr>
        <w:t>）</w:t>
      </w:r>
      <w:r>
        <w:rPr>
          <w:rFonts w:hint="eastAsia" w:ascii="宋体" w:hAnsi="宋体" w:eastAsia="宋体" w:cs="宋体"/>
          <w:spacing w:val="-6"/>
          <w:sz w:val="24"/>
          <w:szCs w:val="24"/>
        </w:rPr>
        <w:t>乙方未按合同约定完成委托工作，每逾期一日，按照服务费总额的千</w:t>
      </w:r>
      <w:r>
        <w:rPr>
          <w:rFonts w:hint="eastAsia" w:ascii="宋体" w:hAnsi="宋体" w:eastAsia="宋体" w:cs="宋体"/>
          <w:spacing w:val="-9"/>
          <w:sz w:val="24"/>
          <w:szCs w:val="24"/>
        </w:rPr>
        <w:t>分之一向甲方支付违约金，但因甲方未按期提供资料或资金等甲方或第三方原因</w:t>
      </w:r>
      <w:r>
        <w:rPr>
          <w:rFonts w:hint="eastAsia" w:ascii="宋体" w:hAnsi="宋体" w:eastAsia="宋体" w:cs="宋体"/>
          <w:sz w:val="24"/>
          <w:szCs w:val="24"/>
        </w:rPr>
        <w:t xml:space="preserve">而导致延误的，不视为乙方违约，可以顺延相应期限。 </w:t>
      </w:r>
    </w:p>
    <w:p>
      <w:pPr>
        <w:pStyle w:val="5"/>
        <w:spacing w:before="1"/>
        <w:jc w:val="both"/>
        <w:rPr>
          <w:rFonts w:hint="eastAsia" w:ascii="宋体" w:hAnsi="宋体" w:eastAsia="宋体" w:cs="宋体"/>
          <w:sz w:val="24"/>
          <w:szCs w:val="24"/>
        </w:rPr>
      </w:pPr>
      <w:r>
        <w:rPr>
          <w:rFonts w:hint="eastAsia" w:ascii="宋体" w:hAnsi="宋体" w:eastAsia="宋体" w:cs="宋体"/>
          <w:sz w:val="24"/>
          <w:szCs w:val="24"/>
        </w:rPr>
        <w:t>第八条 争议解决和法律适用</w:t>
      </w:r>
      <w:r>
        <w:rPr>
          <w:rFonts w:hint="eastAsia" w:ascii="宋体" w:hAnsi="宋体" w:eastAsia="宋体" w:cs="宋体"/>
          <w:w w:val="99"/>
          <w:sz w:val="24"/>
          <w:szCs w:val="24"/>
        </w:rPr>
        <w:t xml:space="preserve"> </w:t>
      </w:r>
    </w:p>
    <w:p>
      <w:pPr>
        <w:pStyle w:val="9"/>
        <w:spacing w:before="161" w:line="364" w:lineRule="auto"/>
        <w:ind w:right="583"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（一）在任何争议解决期间，乙方应该继续提供不在争议项目范围内、并完全不受争议所影响的服务。甲方亦应该按照合同继续支付不在争议项目范围内、并完全不受争议所影响的部分服务费用。 </w:t>
      </w:r>
    </w:p>
    <w:p>
      <w:pPr>
        <w:pStyle w:val="9"/>
        <w:spacing w:before="2" w:line="364" w:lineRule="auto"/>
        <w:ind w:right="681" w:firstLine="480" w:firstLineChars="200"/>
        <w:jc w:val="both"/>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pacing w:val="-48"/>
          <w:sz w:val="24"/>
          <w:szCs w:val="24"/>
        </w:rPr>
        <w:t>）</w:t>
      </w:r>
      <w:r>
        <w:rPr>
          <w:rFonts w:hint="eastAsia" w:ascii="宋体" w:hAnsi="宋体" w:eastAsia="宋体" w:cs="宋体"/>
          <w:spacing w:val="-4"/>
          <w:sz w:val="24"/>
          <w:szCs w:val="24"/>
        </w:rPr>
        <w:t>所有与合同有关的争议将通过各方友好协商解决。如果不能通过友好</w:t>
      </w:r>
      <w:r>
        <w:rPr>
          <w:rFonts w:hint="eastAsia" w:ascii="宋体" w:hAnsi="宋体" w:eastAsia="宋体" w:cs="宋体"/>
          <w:spacing w:val="-10"/>
          <w:sz w:val="24"/>
          <w:szCs w:val="24"/>
        </w:rPr>
        <w:t>协商解决争议，则该争议应提交北京仲裁委员会进行仲裁。仲裁应依据该委员会</w:t>
      </w:r>
      <w:r>
        <w:rPr>
          <w:rFonts w:hint="eastAsia" w:ascii="宋体" w:hAnsi="宋体" w:eastAsia="宋体" w:cs="宋体"/>
          <w:sz w:val="24"/>
          <w:szCs w:val="24"/>
        </w:rPr>
        <w:t xml:space="preserve">的仲裁规则和程序进行。 </w:t>
      </w:r>
    </w:p>
    <w:p>
      <w:pPr>
        <w:pStyle w:val="9"/>
        <w:spacing w:before="2"/>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（三）仲裁为终局，对双方均有约束力，仲裁费用由败诉方承担。 </w:t>
      </w:r>
    </w:p>
    <w:p>
      <w:pPr>
        <w:pStyle w:val="9"/>
        <w:spacing w:before="161"/>
        <w:ind w:left="118" w:leftChars="56" w:firstLine="520" w:firstLineChars="217"/>
        <w:rPr>
          <w:rFonts w:hint="eastAsia" w:ascii="宋体" w:hAnsi="宋体" w:eastAsia="宋体" w:cs="宋体"/>
          <w:sz w:val="24"/>
          <w:szCs w:val="24"/>
        </w:rPr>
      </w:pPr>
      <w:r>
        <w:rPr>
          <w:rFonts w:hint="eastAsia" w:ascii="宋体" w:hAnsi="宋体" w:eastAsia="宋体" w:cs="宋体"/>
          <w:sz w:val="24"/>
          <w:szCs w:val="24"/>
        </w:rPr>
        <w:t xml:space="preserve">（四）仲裁进行过程中，双方将继续执行仲裁部分以外的合同其他部分。 </w:t>
      </w:r>
    </w:p>
    <w:p>
      <w:pPr>
        <w:spacing w:before="160" w:line="364" w:lineRule="auto"/>
        <w:ind w:left="118" w:leftChars="56" w:right="750" w:rightChars="0" w:firstLine="520" w:firstLineChars="217"/>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SA"/>
        </w:rPr>
        <w:t>（五）本合同适</w:t>
      </w:r>
      <w:r>
        <w:rPr>
          <w:rFonts w:hint="eastAsia" w:ascii="宋体" w:hAnsi="宋体" w:eastAsia="宋体" w:cs="宋体"/>
          <w:sz w:val="24"/>
          <w:szCs w:val="24"/>
        </w:rPr>
        <w:t>用中华人民共和国相关法律。</w:t>
      </w:r>
    </w:p>
    <w:p>
      <w:pPr>
        <w:pStyle w:val="9"/>
        <w:spacing w:before="41"/>
        <w:rPr>
          <w:rFonts w:hint="eastAsia" w:ascii="宋体" w:hAnsi="宋体" w:eastAsia="宋体" w:cs="宋体"/>
          <w:b/>
          <w:w w:val="99"/>
          <w:sz w:val="24"/>
          <w:szCs w:val="24"/>
        </w:rPr>
      </w:pPr>
      <w:r>
        <w:rPr>
          <w:rFonts w:hint="eastAsia" w:ascii="宋体" w:hAnsi="宋体" w:eastAsia="宋体" w:cs="宋体"/>
          <w:b/>
          <w:sz w:val="24"/>
          <w:szCs w:val="24"/>
        </w:rPr>
        <w:t>第九条 合同的生效、终止及其他</w:t>
      </w:r>
      <w:r>
        <w:rPr>
          <w:rFonts w:hint="eastAsia" w:ascii="宋体" w:hAnsi="宋体" w:eastAsia="宋体" w:cs="宋体"/>
          <w:b/>
          <w:w w:val="99"/>
          <w:sz w:val="24"/>
          <w:szCs w:val="24"/>
        </w:rPr>
        <w:t xml:space="preserve"> </w:t>
      </w:r>
    </w:p>
    <w:p>
      <w:pPr>
        <w:pStyle w:val="9"/>
        <w:spacing w:before="41"/>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（一）本合同由双方代表签字盖章后生效。 </w:t>
      </w:r>
    </w:p>
    <w:p>
      <w:pPr>
        <w:pStyle w:val="9"/>
        <w:spacing w:before="160" w:line="364" w:lineRule="auto"/>
        <w:ind w:right="681"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pacing w:val="-4"/>
          <w:sz w:val="24"/>
          <w:szCs w:val="24"/>
        </w:rPr>
        <w:t>合同双方同意所有附件是合同不可分割的一部分，与合同正文具有同</w:t>
      </w:r>
      <w:r>
        <w:rPr>
          <w:rFonts w:hint="eastAsia" w:ascii="宋体" w:hAnsi="宋体" w:eastAsia="宋体" w:cs="宋体"/>
          <w:sz w:val="24"/>
          <w:szCs w:val="24"/>
        </w:rPr>
        <w:t xml:space="preserve">等效力。若附件与合同正文有任何不一致，以合同正文为准。 </w:t>
      </w:r>
    </w:p>
    <w:p>
      <w:pPr>
        <w:pStyle w:val="9"/>
        <w:spacing w:before="2"/>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（三）本合同及其附件为中文文本，一式四份，甲乙双方各执两份。 </w:t>
      </w:r>
    </w:p>
    <w:p>
      <w:pPr>
        <w:pStyle w:val="9"/>
        <w:spacing w:before="160" w:line="364" w:lineRule="auto"/>
        <w:ind w:right="681" w:firstLine="480" w:firstLineChars="200"/>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pacing w:val="-4"/>
          <w:sz w:val="24"/>
          <w:szCs w:val="24"/>
        </w:rPr>
        <w:t>对合同内容做出的任何修改和补充应为书面形式，由双方授权代表签</w:t>
      </w:r>
      <w:r>
        <w:rPr>
          <w:rFonts w:hint="eastAsia" w:ascii="宋体" w:hAnsi="宋体" w:eastAsia="宋体" w:cs="宋体"/>
          <w:sz w:val="24"/>
          <w:szCs w:val="24"/>
        </w:rPr>
        <w:t xml:space="preserve">字后成为合同不可分割的部分。 </w:t>
      </w:r>
    </w:p>
    <w:p>
      <w:pPr>
        <w:pStyle w:val="9"/>
        <w:spacing w:before="1" w:line="364" w:lineRule="auto"/>
        <w:ind w:right="677" w:firstLine="480" w:firstLineChars="20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pacing w:val="-1"/>
          <w:sz w:val="24"/>
          <w:szCs w:val="24"/>
        </w:rPr>
        <w:t>任何与合同相关但未在合同中明确规定的事项将由双方友好协商并以</w:t>
      </w:r>
      <w:r>
        <w:rPr>
          <w:rFonts w:hint="eastAsia" w:ascii="宋体" w:hAnsi="宋体" w:eastAsia="宋体" w:cs="宋体"/>
          <w:sz w:val="24"/>
          <w:szCs w:val="24"/>
        </w:rPr>
        <w:t xml:space="preserve">补充协议予以解决。 </w:t>
      </w:r>
    </w:p>
    <w:p>
      <w:pPr>
        <w:pStyle w:val="9"/>
        <w:spacing w:before="2"/>
        <w:ind w:left="940"/>
        <w:rPr>
          <w:rFonts w:hint="eastAsia" w:ascii="宋体" w:hAnsi="宋体" w:eastAsia="宋体" w:cs="宋体"/>
          <w:sz w:val="24"/>
          <w:szCs w:val="24"/>
        </w:rPr>
      </w:pPr>
      <w:r>
        <w:rPr>
          <w:rFonts w:hint="eastAsia" w:ascii="宋体" w:hAnsi="宋体" w:eastAsia="宋体" w:cs="宋体"/>
          <w:sz w:val="24"/>
          <w:szCs w:val="24"/>
        </w:rPr>
        <w:t xml:space="preserve"> </w:t>
      </w:r>
    </w:p>
    <w:p>
      <w:pPr>
        <w:pStyle w:val="9"/>
        <w:spacing w:before="161"/>
        <w:ind w:left="460"/>
        <w:rPr>
          <w:rFonts w:hint="eastAsia" w:ascii="宋体" w:hAnsi="宋体" w:eastAsia="宋体" w:cs="宋体"/>
          <w:sz w:val="24"/>
          <w:szCs w:val="24"/>
        </w:rPr>
      </w:pPr>
      <w:r>
        <w:rPr>
          <w:rFonts w:hint="eastAsia" w:ascii="宋体" w:hAnsi="宋体" w:eastAsia="宋体" w:cs="宋体"/>
          <w:sz w:val="24"/>
          <w:szCs w:val="24"/>
        </w:rPr>
        <w:t xml:space="preserve">[以下无正文，供双方签字盖章] </w:t>
      </w:r>
    </w:p>
    <w:p>
      <w:pPr>
        <w:pStyle w:val="9"/>
        <w:spacing w:before="160"/>
        <w:ind w:left="460"/>
        <w:rPr>
          <w:rFonts w:hint="eastAsia" w:ascii="宋体" w:hAnsi="宋体" w:eastAsia="宋体" w:cs="宋体"/>
          <w:sz w:val="24"/>
          <w:szCs w:val="24"/>
        </w:rPr>
      </w:pPr>
      <w:r>
        <w:rPr>
          <w:rFonts w:hint="eastAsia" w:ascii="宋体" w:hAnsi="宋体" w:eastAsia="宋体" w:cs="宋体"/>
          <w:sz w:val="24"/>
          <w:szCs w:val="24"/>
        </w:rPr>
        <w:t xml:space="preserve"> </w:t>
      </w:r>
    </w:p>
    <w:p>
      <w:pPr>
        <w:pStyle w:val="9"/>
        <w:spacing w:before="161"/>
        <w:ind w:left="460"/>
        <w:rPr>
          <w:rFonts w:hint="eastAsia" w:ascii="宋体" w:hAnsi="宋体" w:eastAsia="宋体" w:cs="宋体"/>
          <w:sz w:val="24"/>
          <w:szCs w:val="24"/>
        </w:rPr>
      </w:pPr>
      <w:r>
        <w:rPr>
          <w:rFonts w:hint="eastAsia" w:ascii="宋体" w:hAnsi="宋体" w:eastAsia="宋体" w:cs="宋体"/>
          <w:sz w:val="24"/>
          <w:szCs w:val="24"/>
        </w:rPr>
        <w:t>甲方（公章</w:t>
      </w:r>
      <w:r>
        <w:rPr>
          <w:rFonts w:hint="eastAsia" w:ascii="宋体" w:hAnsi="宋体" w:eastAsia="宋体" w:cs="宋体"/>
          <w:spacing w:val="-120"/>
          <w:sz w:val="24"/>
          <w:szCs w:val="24"/>
        </w:rPr>
        <w:t>）</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pacing w:val="-1"/>
          <w:sz w:val="24"/>
          <w:szCs w:val="24"/>
        </w:rPr>
        <w:t xml:space="preserve">                          乙方</w:t>
      </w:r>
      <w:r>
        <w:rPr>
          <w:rFonts w:hint="eastAsia" w:ascii="宋体" w:hAnsi="宋体" w:eastAsia="宋体" w:cs="宋体"/>
          <w:sz w:val="24"/>
          <w:szCs w:val="24"/>
        </w:rPr>
        <w:t>（公章</w:t>
      </w:r>
      <w:r>
        <w:rPr>
          <w:rFonts w:hint="eastAsia" w:ascii="宋体" w:hAnsi="宋体" w:eastAsia="宋体" w:cs="宋体"/>
          <w:spacing w:val="-120"/>
          <w:sz w:val="24"/>
          <w:szCs w:val="24"/>
        </w:rPr>
        <w:t>）</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pStyle w:val="9"/>
        <w:spacing w:before="160"/>
        <w:ind w:left="460"/>
        <w:rPr>
          <w:rFonts w:hint="eastAsia" w:ascii="宋体" w:hAnsi="宋体" w:eastAsia="宋体" w:cs="宋体"/>
          <w:sz w:val="24"/>
          <w:szCs w:val="24"/>
        </w:rPr>
      </w:pPr>
      <w:r>
        <w:rPr>
          <w:rFonts w:hint="eastAsia" w:ascii="宋体" w:hAnsi="宋体" w:eastAsia="宋体" w:cs="宋体"/>
          <w:sz w:val="24"/>
          <w:szCs w:val="24"/>
        </w:rPr>
        <w:t xml:space="preserve"> </w:t>
      </w:r>
    </w:p>
    <w:p>
      <w:pPr>
        <w:pStyle w:val="9"/>
        <w:spacing w:before="160"/>
        <w:ind w:left="460"/>
        <w:rPr>
          <w:rFonts w:hint="eastAsia" w:ascii="宋体" w:hAnsi="宋体" w:eastAsia="宋体" w:cs="宋体"/>
          <w:sz w:val="24"/>
          <w:szCs w:val="24"/>
        </w:rPr>
      </w:pPr>
      <w:r>
        <w:rPr>
          <w:rFonts w:hint="eastAsia" w:ascii="宋体" w:hAnsi="宋体" w:eastAsia="宋体" w:cs="宋体"/>
          <w:sz w:val="24"/>
          <w:szCs w:val="24"/>
        </w:rPr>
        <w:t>法 定 代 表 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法 定 代 表 人 ： </w:t>
      </w:r>
    </w:p>
    <w:p>
      <w:pPr>
        <w:pStyle w:val="9"/>
        <w:spacing w:before="161"/>
        <w:ind w:left="460"/>
        <w:rPr>
          <w:rFonts w:hint="eastAsia" w:ascii="宋体" w:hAnsi="宋体" w:eastAsia="宋体" w:cs="宋体"/>
          <w:sz w:val="24"/>
          <w:szCs w:val="24"/>
        </w:rPr>
      </w:pPr>
      <w:r>
        <w:rPr>
          <w:rFonts w:hint="eastAsia" w:ascii="宋体" w:hAnsi="宋体" w:eastAsia="宋体" w:cs="宋体"/>
          <w:sz w:val="24"/>
          <w:szCs w:val="24"/>
        </w:rPr>
        <w:t xml:space="preserve"> </w:t>
      </w:r>
    </w:p>
    <w:p>
      <w:pPr>
        <w:pStyle w:val="9"/>
        <w:spacing w:before="161"/>
        <w:ind w:left="460"/>
        <w:rPr>
          <w:rFonts w:hint="eastAsia" w:ascii="宋体" w:hAnsi="宋体" w:eastAsia="宋体" w:cs="宋体"/>
          <w:sz w:val="24"/>
          <w:szCs w:val="24"/>
        </w:rPr>
      </w:pPr>
      <w:r>
        <w:rPr>
          <w:rFonts w:hint="eastAsia" w:ascii="宋体" w:hAnsi="宋体" w:eastAsia="宋体" w:cs="宋体"/>
          <w:sz w:val="24"/>
          <w:szCs w:val="24"/>
        </w:rPr>
        <w:t>(或授权代表人)签字：</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(或授权代表)签字： </w:t>
      </w:r>
    </w:p>
    <w:p>
      <w:pPr>
        <w:pStyle w:val="9"/>
        <w:spacing w:before="161"/>
        <w:ind w:left="460"/>
        <w:rPr>
          <w:rFonts w:hint="eastAsia" w:ascii="宋体" w:hAnsi="宋体" w:eastAsia="宋体" w:cs="宋体"/>
          <w:sz w:val="24"/>
          <w:szCs w:val="24"/>
        </w:rPr>
      </w:pPr>
      <w:r>
        <w:rPr>
          <w:rFonts w:hint="eastAsia" w:ascii="宋体" w:hAnsi="宋体" w:eastAsia="宋体" w:cs="宋体"/>
          <w:sz w:val="24"/>
          <w:szCs w:val="24"/>
        </w:rPr>
        <w:t xml:space="preserve"> </w:t>
      </w:r>
    </w:p>
    <w:p>
      <w:pPr>
        <w:pStyle w:val="9"/>
        <w:tabs>
          <w:tab w:val="left" w:pos="3820"/>
        </w:tabs>
        <w:spacing w:before="160"/>
        <w:ind w:left="460"/>
        <w:jc w:val="both"/>
        <w:outlineLvl w:val="9"/>
        <w:rPr>
          <w:rFonts w:hint="eastAsia" w:ascii="宋体" w:hAnsi="宋体" w:eastAsia="宋体" w:cs="宋体"/>
          <w:kern w:val="0"/>
          <w:sz w:val="24"/>
          <w:szCs w:val="24"/>
          <w:highlight w:val="none"/>
        </w:rPr>
      </w:pPr>
      <w:r>
        <w:rPr>
          <w:rFonts w:hint="eastAsia" w:ascii="宋体" w:hAnsi="宋体" w:eastAsia="宋体" w:cs="宋体"/>
          <w:sz w:val="24"/>
          <w:szCs w:val="24"/>
        </w:rPr>
        <w:t>日 期 ：202</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年</w:t>
      </w:r>
      <w:r>
        <w:rPr>
          <w:rFonts w:hint="eastAsia" w:ascii="宋体" w:hAnsi="宋体" w:eastAsia="宋体" w:cs="宋体"/>
          <w:spacing w:val="59"/>
          <w:sz w:val="24"/>
          <w:szCs w:val="24"/>
        </w:rPr>
        <w:t xml:space="preserve"> </w:t>
      </w:r>
      <w:r>
        <w:rPr>
          <w:rFonts w:hint="eastAsia" w:ascii="宋体" w:hAnsi="宋体" w:eastAsia="宋体" w:cs="宋体"/>
          <w:sz w:val="24"/>
          <w:szCs w:val="24"/>
        </w:rPr>
        <w:t>月    日</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 期 ：202</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年 月</w:t>
      </w:r>
      <w:r>
        <w:rPr>
          <w:rFonts w:hint="eastAsia" w:ascii="宋体" w:hAnsi="宋体" w:eastAsia="宋体" w:cs="宋体"/>
          <w:spacing w:val="60"/>
          <w:sz w:val="24"/>
          <w:szCs w:val="24"/>
        </w:rPr>
        <w:t xml:space="preserve"> </w:t>
      </w:r>
      <w:r>
        <w:rPr>
          <w:rFonts w:hint="eastAsia" w:ascii="宋体" w:hAnsi="宋体" w:eastAsia="宋体" w:cs="宋体"/>
          <w:sz w:val="24"/>
          <w:szCs w:val="24"/>
        </w:rPr>
        <w:t>日</w:t>
      </w:r>
      <w:r>
        <w:rPr>
          <w:rFonts w:hint="eastAsia" w:ascii="宋体" w:hAnsi="宋体" w:eastAsia="宋体" w:cs="宋体"/>
          <w:kern w:val="0"/>
          <w:sz w:val="24"/>
          <w:szCs w:val="24"/>
          <w:highlight w:val="none"/>
        </w:rPr>
        <w:br w:type="page"/>
      </w:r>
      <w:bookmarkStart w:id="74" w:name="_Toc8733"/>
    </w:p>
    <w:p>
      <w:pPr>
        <w:pStyle w:val="9"/>
        <w:tabs>
          <w:tab w:val="left" w:pos="3820"/>
        </w:tabs>
        <w:spacing w:before="160"/>
        <w:ind w:left="460"/>
        <w:jc w:val="center"/>
        <w:outlineLvl w:val="0"/>
        <w:rPr>
          <w:rFonts w:hint="eastAsia" w:ascii="宋体" w:hAnsi="宋体" w:eastAsia="宋体" w:cs="宋体"/>
          <w:highlight w:val="none"/>
        </w:rPr>
      </w:pPr>
      <w:r>
        <w:rPr>
          <w:rFonts w:hint="eastAsia" w:ascii="宋体" w:hAnsi="宋体" w:eastAsia="宋体" w:cs="宋体"/>
          <w:b/>
          <w:bCs/>
          <w:w w:val="95"/>
          <w:sz w:val="32"/>
          <w:szCs w:val="32"/>
          <w:highlight w:val="none"/>
        </w:rPr>
        <w:t>第六章</w:t>
      </w:r>
      <w:r>
        <w:rPr>
          <w:rFonts w:hint="eastAsia" w:ascii="宋体" w:hAnsi="宋体" w:eastAsia="宋体" w:cs="宋体"/>
          <w:b/>
          <w:bCs/>
          <w:sz w:val="32"/>
          <w:szCs w:val="32"/>
          <w:highlight w:val="none"/>
        </w:rPr>
        <w:t>磋商响应性文件格式</w:t>
      </w:r>
      <w:bookmarkEnd w:id="74"/>
    </w:p>
    <w:p>
      <w:pPr>
        <w:rPr>
          <w:rFonts w:hint="eastAsia" w:ascii="宋体" w:hAnsi="宋体" w:eastAsia="宋体" w:cs="宋体"/>
          <w:highlight w:val="none"/>
        </w:rPr>
      </w:pPr>
    </w:p>
    <w:p>
      <w:pPr>
        <w:widowControl/>
        <w:spacing w:line="460" w:lineRule="exact"/>
        <w:jc w:val="right"/>
        <w:rPr>
          <w:rFonts w:hint="eastAsia" w:ascii="宋体" w:hAnsi="宋体" w:eastAsia="宋体" w:cs="宋体"/>
          <w:sz w:val="36"/>
          <w:szCs w:val="36"/>
          <w:highlight w:val="none"/>
        </w:rPr>
      </w:pPr>
      <w:r>
        <w:rPr>
          <w:rFonts w:hint="eastAsia" w:ascii="宋体" w:hAnsi="宋体" w:eastAsia="宋体" w:cs="宋体"/>
          <w:sz w:val="36"/>
          <w:szCs w:val="36"/>
          <w:highlight w:val="none"/>
        </w:rPr>
        <w:t xml:space="preserve"> 正/副本 </w:t>
      </w:r>
    </w:p>
    <w:p>
      <w:pPr>
        <w:widowControl/>
        <w:spacing w:line="460" w:lineRule="exact"/>
        <w:jc w:val="center"/>
        <w:rPr>
          <w:rFonts w:hint="eastAsia" w:ascii="宋体" w:hAnsi="宋体" w:eastAsia="宋体" w:cs="宋体"/>
          <w:sz w:val="36"/>
          <w:szCs w:val="36"/>
          <w:highlight w:val="none"/>
        </w:rPr>
      </w:pPr>
    </w:p>
    <w:p>
      <w:pPr>
        <w:widowControl/>
        <w:spacing w:line="460" w:lineRule="exact"/>
        <w:jc w:val="center"/>
        <w:rPr>
          <w:rFonts w:hint="eastAsia" w:ascii="宋体" w:hAnsi="宋体" w:eastAsia="宋体" w:cs="宋体"/>
          <w:sz w:val="36"/>
          <w:szCs w:val="36"/>
          <w:highlight w:val="none"/>
        </w:rPr>
      </w:pPr>
    </w:p>
    <w:p>
      <w:pPr>
        <w:widowControl/>
        <w:spacing w:line="460" w:lineRule="exact"/>
        <w:jc w:val="center"/>
        <w:rPr>
          <w:rFonts w:hint="eastAsia" w:ascii="宋体" w:hAnsi="宋体" w:eastAsia="宋体" w:cs="宋体"/>
          <w:sz w:val="36"/>
          <w:szCs w:val="36"/>
          <w:highlight w:val="none"/>
        </w:rPr>
      </w:pPr>
    </w:p>
    <w:p>
      <w:pPr>
        <w:widowControl/>
        <w:spacing w:line="460" w:lineRule="exact"/>
        <w:jc w:val="center"/>
        <w:rPr>
          <w:rFonts w:hint="eastAsia" w:ascii="宋体" w:hAnsi="宋体" w:eastAsia="宋体" w:cs="宋体"/>
          <w:sz w:val="36"/>
          <w:szCs w:val="36"/>
          <w:highlight w:val="none"/>
        </w:rPr>
      </w:pPr>
    </w:p>
    <w:p>
      <w:pPr>
        <w:widowControl/>
        <w:spacing w:line="460" w:lineRule="exact"/>
        <w:jc w:val="center"/>
        <w:rPr>
          <w:rFonts w:hint="eastAsia" w:ascii="宋体" w:hAnsi="宋体" w:eastAsia="宋体" w:cs="宋体"/>
          <w:sz w:val="36"/>
          <w:szCs w:val="36"/>
          <w:highlight w:val="none"/>
        </w:rPr>
      </w:pPr>
    </w:p>
    <w:p>
      <w:pPr>
        <w:widowControl/>
        <w:spacing w:line="460" w:lineRule="exact"/>
        <w:jc w:val="center"/>
        <w:rPr>
          <w:rFonts w:hint="eastAsia" w:ascii="宋体" w:hAnsi="宋体" w:eastAsia="宋体" w:cs="宋体"/>
          <w:sz w:val="36"/>
          <w:szCs w:val="36"/>
          <w:highlight w:val="none"/>
        </w:rPr>
      </w:pPr>
    </w:p>
    <w:p>
      <w:pPr>
        <w:widowControl/>
        <w:spacing w:line="480" w:lineRule="auto"/>
        <w:jc w:val="center"/>
        <w:rPr>
          <w:rFonts w:hint="eastAsia" w:ascii="宋体" w:hAnsi="宋体" w:eastAsia="宋体" w:cs="宋体"/>
          <w:b/>
          <w:sz w:val="84"/>
          <w:szCs w:val="84"/>
          <w:highlight w:val="none"/>
        </w:rPr>
      </w:pPr>
      <w:r>
        <w:rPr>
          <w:rFonts w:hint="eastAsia" w:ascii="宋体" w:hAnsi="宋体" w:eastAsia="宋体" w:cs="宋体"/>
          <w:b/>
          <w:bCs/>
          <w:spacing w:val="2"/>
          <w:sz w:val="96"/>
          <w:szCs w:val="96"/>
          <w:highlight w:val="none"/>
        </w:rPr>
        <w:t>磋商响应性文件</w:t>
      </w:r>
    </w:p>
    <w:p>
      <w:pPr>
        <w:widowControl/>
        <w:spacing w:line="460" w:lineRule="exact"/>
        <w:jc w:val="center"/>
        <w:rPr>
          <w:rFonts w:hint="eastAsia" w:ascii="宋体" w:hAnsi="宋体" w:eastAsia="宋体" w:cs="宋体"/>
          <w:sz w:val="36"/>
          <w:szCs w:val="36"/>
          <w:highlight w:val="none"/>
        </w:rPr>
      </w:pPr>
    </w:p>
    <w:p>
      <w:pPr>
        <w:pStyle w:val="30"/>
        <w:spacing w:line="460" w:lineRule="exact"/>
        <w:rPr>
          <w:rFonts w:hint="eastAsia" w:ascii="宋体" w:hAnsi="宋体" w:eastAsia="宋体" w:cs="宋体"/>
          <w:highlight w:val="none"/>
        </w:rPr>
      </w:pPr>
    </w:p>
    <w:p>
      <w:pPr>
        <w:widowControl/>
        <w:spacing w:line="460" w:lineRule="exact"/>
        <w:ind w:firstLine="1792" w:firstLineChars="850"/>
        <w:rPr>
          <w:rFonts w:hint="eastAsia" w:ascii="宋体" w:hAnsi="宋体" w:eastAsia="宋体" w:cs="宋体"/>
          <w:b/>
          <w:szCs w:val="30"/>
          <w:highlight w:val="none"/>
        </w:rPr>
      </w:pPr>
    </w:p>
    <w:p>
      <w:pPr>
        <w:widowControl/>
        <w:spacing w:line="460" w:lineRule="exact"/>
        <w:rPr>
          <w:rFonts w:hint="eastAsia" w:ascii="宋体" w:hAnsi="宋体" w:eastAsia="宋体" w:cs="宋体"/>
          <w:b/>
          <w:szCs w:val="30"/>
          <w:highlight w:val="none"/>
        </w:rPr>
      </w:pPr>
      <w:r>
        <w:rPr>
          <w:rFonts w:hint="eastAsia" w:ascii="宋体" w:hAnsi="宋体" w:eastAsia="宋体" w:cs="宋体"/>
          <w:b/>
          <w:sz w:val="30"/>
          <w:szCs w:val="30"/>
          <w:highlight w:val="none"/>
          <w:lang w:bidi="ar"/>
        </w:rPr>
        <w:t xml:space="preserve">    项目名称：</w:t>
      </w:r>
    </w:p>
    <w:p>
      <w:pPr>
        <w:widowControl/>
        <w:spacing w:line="460" w:lineRule="exact"/>
        <w:ind w:firstLine="600"/>
        <w:rPr>
          <w:rFonts w:hint="eastAsia" w:ascii="宋体" w:hAnsi="宋体" w:eastAsia="宋体" w:cs="宋体"/>
          <w:b/>
          <w:sz w:val="30"/>
          <w:szCs w:val="30"/>
          <w:highlight w:val="none"/>
          <w:lang w:bidi="ar"/>
        </w:rPr>
      </w:pPr>
      <w:r>
        <w:rPr>
          <w:rFonts w:hint="eastAsia" w:ascii="宋体" w:hAnsi="宋体" w:eastAsia="宋体" w:cs="宋体"/>
          <w:b/>
          <w:sz w:val="30"/>
          <w:szCs w:val="30"/>
          <w:highlight w:val="none"/>
          <w:lang w:bidi="ar"/>
        </w:rPr>
        <w:t>项目编号：</w:t>
      </w:r>
    </w:p>
    <w:p>
      <w:pPr>
        <w:widowControl/>
        <w:spacing w:line="460" w:lineRule="exact"/>
        <w:ind w:firstLine="600"/>
        <w:rPr>
          <w:rFonts w:hint="eastAsia" w:ascii="宋体" w:hAnsi="宋体" w:eastAsia="宋体" w:cs="宋体"/>
          <w:b/>
          <w:sz w:val="30"/>
          <w:szCs w:val="30"/>
          <w:highlight w:val="none"/>
          <w:lang w:bidi="ar"/>
        </w:rPr>
      </w:pPr>
    </w:p>
    <w:p>
      <w:pPr>
        <w:widowControl/>
        <w:spacing w:line="460" w:lineRule="exact"/>
        <w:jc w:val="center"/>
        <w:rPr>
          <w:rFonts w:hint="eastAsia" w:ascii="宋体" w:hAnsi="宋体" w:eastAsia="宋体" w:cs="宋体"/>
          <w:sz w:val="36"/>
          <w:szCs w:val="36"/>
          <w:highlight w:val="none"/>
        </w:rPr>
      </w:pPr>
    </w:p>
    <w:p>
      <w:pPr>
        <w:pStyle w:val="30"/>
        <w:spacing w:line="460" w:lineRule="exact"/>
        <w:rPr>
          <w:rFonts w:hint="eastAsia" w:ascii="宋体" w:hAnsi="宋体" w:eastAsia="宋体" w:cs="宋体"/>
          <w:highlight w:val="none"/>
        </w:rPr>
      </w:pPr>
    </w:p>
    <w:p>
      <w:pPr>
        <w:widowControl/>
        <w:spacing w:line="460" w:lineRule="exact"/>
        <w:ind w:firstLine="562" w:firstLineChars="200"/>
        <w:rPr>
          <w:rFonts w:hint="eastAsia" w:ascii="宋体" w:hAnsi="宋体" w:eastAsia="宋体" w:cs="宋体"/>
          <w:b/>
          <w:sz w:val="28"/>
          <w:szCs w:val="28"/>
          <w:highlight w:val="none"/>
          <w:lang w:bidi="ar"/>
        </w:rPr>
      </w:pPr>
      <w:r>
        <w:rPr>
          <w:rFonts w:hint="eastAsia" w:ascii="宋体" w:hAnsi="宋体" w:eastAsia="宋体" w:cs="宋体"/>
          <w:b/>
          <w:sz w:val="28"/>
          <w:szCs w:val="28"/>
          <w:highlight w:val="none"/>
          <w:lang w:bidi="ar"/>
        </w:rPr>
        <w:t>供应商（加盖公章）：</w:t>
      </w:r>
    </w:p>
    <w:p>
      <w:pPr>
        <w:widowControl/>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bidi="ar"/>
        </w:rPr>
        <w:t>法定代表人（或授权委托人）：</w:t>
      </w:r>
      <w:r>
        <w:rPr>
          <w:rFonts w:hint="eastAsia" w:ascii="宋体" w:hAnsi="宋体" w:eastAsia="宋体" w:cs="宋体"/>
          <w:spacing w:val="-1"/>
          <w:sz w:val="30"/>
          <w:szCs w:val="30"/>
          <w:highlight w:val="none"/>
          <w:u w:val="single"/>
        </w:rPr>
        <w:tab/>
      </w:r>
      <w:r>
        <w:rPr>
          <w:rFonts w:hint="eastAsia" w:ascii="宋体" w:hAnsi="宋体" w:eastAsia="宋体" w:cs="宋体"/>
          <w:sz w:val="30"/>
          <w:szCs w:val="30"/>
          <w:highlight w:val="none"/>
          <w:u w:val="single"/>
        </w:rPr>
        <w:t>（签字）</w:t>
      </w:r>
      <w:r>
        <w:rPr>
          <w:rFonts w:hint="eastAsia" w:ascii="宋体" w:hAnsi="宋体" w:eastAsia="宋体" w:cs="宋体"/>
          <w:b/>
          <w:sz w:val="28"/>
          <w:szCs w:val="28"/>
          <w:highlight w:val="none"/>
          <w:lang w:bidi="ar"/>
        </w:rPr>
        <w:t xml:space="preserve">                 </w:t>
      </w:r>
    </w:p>
    <w:p>
      <w:pPr>
        <w:widowControl/>
        <w:spacing w:line="460" w:lineRule="exact"/>
        <w:ind w:firstLine="422" w:firstLineChars="150"/>
        <w:rPr>
          <w:rFonts w:hint="eastAsia" w:ascii="宋体" w:hAnsi="宋体" w:eastAsia="宋体" w:cs="宋体"/>
          <w:b/>
          <w:sz w:val="28"/>
          <w:szCs w:val="28"/>
          <w:highlight w:val="none"/>
        </w:rPr>
      </w:pPr>
      <w:r>
        <w:rPr>
          <w:rFonts w:hint="eastAsia" w:ascii="宋体" w:hAnsi="宋体" w:eastAsia="宋体" w:cs="宋体"/>
          <w:b/>
          <w:sz w:val="28"/>
          <w:szCs w:val="28"/>
          <w:highlight w:val="none"/>
          <w:lang w:bidi="ar"/>
        </w:rPr>
        <w:t xml:space="preserve"> 电    话：</w:t>
      </w:r>
    </w:p>
    <w:p>
      <w:pPr>
        <w:widowControl/>
        <w:spacing w:line="460" w:lineRule="exact"/>
        <w:ind w:firstLine="422" w:firstLineChars="150"/>
        <w:rPr>
          <w:rFonts w:hint="eastAsia" w:ascii="宋体" w:hAnsi="宋体" w:eastAsia="宋体" w:cs="宋体"/>
          <w:b/>
          <w:sz w:val="28"/>
          <w:szCs w:val="28"/>
          <w:highlight w:val="none"/>
        </w:rPr>
      </w:pPr>
      <w:r>
        <w:rPr>
          <w:rFonts w:hint="eastAsia" w:ascii="宋体" w:hAnsi="宋体" w:eastAsia="宋体" w:cs="宋体"/>
          <w:b/>
          <w:sz w:val="28"/>
          <w:szCs w:val="28"/>
          <w:highlight w:val="none"/>
          <w:lang w:bidi="ar"/>
        </w:rPr>
        <w:t xml:space="preserve"> 日</w:t>
      </w:r>
      <w:r>
        <w:rPr>
          <w:rFonts w:hint="eastAsia" w:ascii="宋体" w:hAnsi="宋体" w:eastAsia="宋体" w:cs="宋体"/>
          <w:b/>
          <w:sz w:val="28"/>
          <w:szCs w:val="28"/>
          <w:highlight w:val="none"/>
          <w:lang w:val="en-US" w:eastAsia="zh-CN" w:bidi="ar"/>
        </w:rPr>
        <w:t xml:space="preserve">    </w:t>
      </w:r>
      <w:r>
        <w:rPr>
          <w:rFonts w:hint="eastAsia" w:ascii="宋体" w:hAnsi="宋体" w:eastAsia="宋体" w:cs="宋体"/>
          <w:b/>
          <w:sz w:val="28"/>
          <w:szCs w:val="28"/>
          <w:highlight w:val="none"/>
          <w:lang w:bidi="ar"/>
        </w:rPr>
        <w:t>期：</w:t>
      </w:r>
    </w:p>
    <w:p>
      <w:pPr>
        <w:pStyle w:val="9"/>
        <w:kinsoku w:val="0"/>
        <w:overflowPunct w:val="0"/>
        <w:spacing w:before="4"/>
        <w:ind w:left="0"/>
        <w:jc w:val="center"/>
        <w:rPr>
          <w:rFonts w:hint="eastAsia" w:ascii="宋体" w:hAnsi="宋体" w:eastAsia="宋体" w:cs="宋体"/>
          <w:b/>
          <w:sz w:val="36"/>
          <w:szCs w:val="36"/>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pStyle w:val="9"/>
        <w:kinsoku w:val="0"/>
        <w:overflowPunct w:val="0"/>
        <w:spacing w:before="130" w:line="355" w:lineRule="auto"/>
        <w:ind w:right="7" w:firstLine="480"/>
        <w:jc w:val="center"/>
        <w:rPr>
          <w:rFonts w:hint="eastAsia" w:ascii="宋体" w:hAnsi="宋体" w:eastAsia="宋体" w:cs="宋体"/>
          <w:b/>
          <w:spacing w:val="4"/>
          <w:highlight w:val="none"/>
        </w:rPr>
      </w:pPr>
      <w:r>
        <w:rPr>
          <w:rFonts w:hint="eastAsia" w:ascii="宋体" w:hAnsi="宋体" w:eastAsia="宋体" w:cs="宋体"/>
          <w:highlight w:val="none"/>
        </w:rPr>
        <w:br w:type="page"/>
      </w:r>
      <w:r>
        <w:rPr>
          <w:rFonts w:hint="eastAsia" w:ascii="宋体" w:hAnsi="宋体" w:eastAsia="宋体" w:cs="宋体"/>
          <w:b/>
          <w:spacing w:val="4"/>
          <w:highlight w:val="none"/>
        </w:rPr>
        <w:t>目录</w:t>
      </w:r>
    </w:p>
    <w:p>
      <w:pPr>
        <w:pStyle w:val="9"/>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一、商务部分</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(1)投标函；</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(2)法定代表人身份证明（附法定代表人身份证复印件）； </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(3)委托授权书（附被授权人身份证复印件）； </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(4)投标保证金缴纳凭证（复印件加盖公章）； </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 xml:space="preserve"> </w:t>
      </w:r>
      <w:r>
        <w:rPr>
          <w:rFonts w:hint="eastAsia" w:ascii="宋体" w:hAnsi="宋体" w:eastAsia="宋体" w:cs="宋体"/>
          <w:highlight w:val="none"/>
        </w:rPr>
        <w:t>报价一览表；</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(6)投标报价汇总表； </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(7)供应商基本情况；</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1）供应商基本情况表；</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2）营业执照副本、税务登记证、组织机构代码证、（三证合一的提供统一社会信用代码的营业执照）、公司资质证书（复印件加盖公章）；</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3）近一年财务状况报告相关材料（复印件加盖公章）；</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4）税收缴纳证明（复印件加盖公章）</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）单位社会保障缴费证明（复印件加盖公章）</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）办公场所证明（复印件加盖公章）</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）其他证明材料（复印件加盖公章）</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(8)一般商务条款偏离表； </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(9)同类项目业绩介绍； </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(10)中小企业声明函（符合本声明函填写）；</w:t>
      </w:r>
    </w:p>
    <w:p>
      <w:pPr>
        <w:pStyle w:val="9"/>
        <w:spacing w:before="0"/>
        <w:ind w:left="0" w:firstLine="480" w:firstLineChars="200"/>
        <w:rPr>
          <w:rFonts w:hint="eastAsia" w:ascii="宋体" w:hAnsi="宋体" w:eastAsia="宋体" w:cs="宋体"/>
          <w:color w:val="FF0000"/>
          <w:highlight w:val="none"/>
        </w:rPr>
      </w:pPr>
      <w:r>
        <w:rPr>
          <w:rFonts w:hint="eastAsia" w:ascii="宋体" w:hAnsi="宋体" w:eastAsia="宋体" w:cs="宋体"/>
          <w:highlight w:val="none"/>
        </w:rPr>
        <w:t>(11)残疾人福利性单位声明函（符合本声明函填写） ；</w:t>
      </w:r>
    </w:p>
    <w:p>
      <w:pPr>
        <w:pStyle w:val="9"/>
        <w:spacing w:before="0"/>
        <w:ind w:leftChars="56" w:firstLine="240" w:firstLineChars="100"/>
        <w:rPr>
          <w:rFonts w:hint="eastAsia" w:ascii="宋体" w:hAnsi="宋体" w:eastAsia="宋体" w:cs="宋体"/>
          <w:highlight w:val="none"/>
        </w:rPr>
      </w:pPr>
      <w:r>
        <w:rPr>
          <w:rFonts w:hint="eastAsia" w:ascii="宋体" w:hAnsi="宋体" w:eastAsia="宋体" w:cs="宋体"/>
          <w:highlight w:val="none"/>
        </w:rPr>
        <w:t xml:space="preserve"> (12)缴纳招标代理服务费承诺书；</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(13)退还保证金说明函；</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(14)其他商务资格证明资料（格式自定）。</w:t>
      </w:r>
    </w:p>
    <w:p>
      <w:pPr>
        <w:pStyle w:val="9"/>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二、技术部分</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(15)项目实施方案；</w:t>
      </w: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(16)供应商认为需要提交的技术资料；</w:t>
      </w:r>
    </w:p>
    <w:p>
      <w:pPr>
        <w:pStyle w:val="9"/>
        <w:spacing w:before="0"/>
        <w:ind w:left="0" w:firstLine="480" w:firstLineChars="200"/>
        <w:rPr>
          <w:rFonts w:hint="eastAsia" w:ascii="宋体" w:hAnsi="宋体" w:eastAsia="宋体" w:cs="宋体"/>
          <w:highlight w:val="none"/>
        </w:rPr>
      </w:pPr>
    </w:p>
    <w:p>
      <w:pPr>
        <w:pStyle w:val="9"/>
        <w:spacing w:before="0"/>
        <w:ind w:left="0" w:firstLine="480" w:firstLineChars="200"/>
        <w:rPr>
          <w:rFonts w:hint="eastAsia" w:ascii="宋体" w:hAnsi="宋体" w:eastAsia="宋体" w:cs="宋体"/>
          <w:highlight w:val="none"/>
        </w:rPr>
      </w:pPr>
    </w:p>
    <w:p>
      <w:pPr>
        <w:pStyle w:val="9"/>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注：1.请投标供应商按照以下文件的要求格式、内容，顺序制作投标文件，并请编制目录及页码，否则可能将影响对投标文件的评价。</w:t>
      </w:r>
    </w:p>
    <w:p>
      <w:pPr>
        <w:pStyle w:val="9"/>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2.按以下顺序装订：</w:t>
      </w:r>
    </w:p>
    <w:p>
      <w:pPr>
        <w:pStyle w:val="9"/>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 xml:space="preserve">2.1 </w:t>
      </w:r>
      <w:r>
        <w:rPr>
          <w:rFonts w:hint="eastAsia" w:ascii="宋体" w:hAnsi="宋体" w:eastAsia="宋体" w:cs="宋体"/>
          <w:highlight w:val="none"/>
          <w:lang w:eastAsia="zh-CN"/>
        </w:rPr>
        <w:t>报价</w:t>
      </w:r>
      <w:r>
        <w:rPr>
          <w:rFonts w:hint="eastAsia" w:ascii="宋体" w:hAnsi="宋体" w:eastAsia="宋体" w:cs="宋体"/>
          <w:highlight w:val="none"/>
        </w:rPr>
        <w:t>一览表</w:t>
      </w:r>
    </w:p>
    <w:p>
      <w:pPr>
        <w:pStyle w:val="9"/>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2.2 投标保证金交纳凭证</w:t>
      </w:r>
    </w:p>
    <w:p>
      <w:pPr>
        <w:pStyle w:val="9"/>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2.3 法定代表人/负责人资格证明书及身份证复印件</w:t>
      </w:r>
    </w:p>
    <w:p>
      <w:pPr>
        <w:pStyle w:val="9"/>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2.4 委托授权书及被授权人身份证复印件</w:t>
      </w:r>
    </w:p>
    <w:p>
      <w:pPr>
        <w:pStyle w:val="9"/>
        <w:kinsoku w:val="0"/>
        <w:overflowPunct w:val="0"/>
        <w:spacing w:before="130" w:line="360" w:lineRule="exact"/>
        <w:ind w:left="119" w:right="6" w:firstLine="480"/>
        <w:rPr>
          <w:rFonts w:hint="eastAsia" w:ascii="宋体" w:hAnsi="宋体" w:eastAsia="宋体" w:cs="宋体"/>
          <w:spacing w:val="4"/>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jc w:val="center"/>
        <w:rPr>
          <w:rFonts w:hint="eastAsia" w:ascii="宋体" w:hAnsi="宋体" w:eastAsia="宋体" w:cs="宋体"/>
          <w:b/>
          <w:bCs/>
          <w:sz w:val="96"/>
          <w:szCs w:val="84"/>
          <w:highlight w:val="none"/>
        </w:rPr>
      </w:pPr>
      <w:r>
        <w:rPr>
          <w:rFonts w:hint="eastAsia" w:ascii="宋体" w:hAnsi="宋体" w:eastAsia="宋体" w:cs="宋体"/>
          <w:b/>
          <w:sz w:val="96"/>
          <w:szCs w:val="84"/>
          <w:highlight w:val="none"/>
        </w:rPr>
        <w:t>（一）商务部分</w:t>
      </w:r>
    </w:p>
    <w:p>
      <w:pPr>
        <w:pStyle w:val="9"/>
        <w:kinsoku w:val="0"/>
        <w:overflowPunct w:val="0"/>
        <w:spacing w:before="130" w:line="355" w:lineRule="auto"/>
        <w:ind w:right="7"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一、投标函</w:t>
      </w:r>
    </w:p>
    <w:p>
      <w:pPr>
        <w:spacing w:line="48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 xml:space="preserve">                     </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为响应你方组织的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项目的招标[项目编号为：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]，我方愿参与投标。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我方确认收到贵方提供的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磋商文件的全部内容。</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(磋商供应商名称)      </w:t>
      </w:r>
      <w:r>
        <w:rPr>
          <w:rFonts w:hint="eastAsia" w:ascii="宋体" w:hAnsi="宋体" w:eastAsia="宋体" w:cs="宋体"/>
          <w:kern w:val="0"/>
          <w:sz w:val="24"/>
          <w:szCs w:val="24"/>
          <w:highlight w:val="none"/>
        </w:rPr>
        <w:t>作为投标供应商正式授权</w:t>
      </w:r>
      <w:r>
        <w:rPr>
          <w:rFonts w:hint="eastAsia" w:ascii="宋体" w:hAnsi="宋体" w:eastAsia="宋体" w:cs="宋体"/>
          <w:kern w:val="0"/>
          <w:sz w:val="24"/>
          <w:szCs w:val="24"/>
          <w:highlight w:val="none"/>
          <w:u w:val="single"/>
        </w:rPr>
        <w:t xml:space="preserve">  (授权代表全名, 职务)  </w:t>
      </w:r>
      <w:r>
        <w:rPr>
          <w:rFonts w:hint="eastAsia" w:ascii="宋体" w:hAnsi="宋体" w:eastAsia="宋体" w:cs="宋体"/>
          <w:kern w:val="0"/>
          <w:sz w:val="24"/>
          <w:szCs w:val="24"/>
          <w:highlight w:val="none"/>
        </w:rPr>
        <w:t>代表我方全权处理有关本报价的一切事宜。</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在此提交的投标文件，正本壹份，副本</w:t>
      </w:r>
      <w:r>
        <w:rPr>
          <w:rFonts w:hint="eastAsia" w:ascii="宋体" w:hAnsi="宋体" w:eastAsia="宋体" w:cs="宋体"/>
          <w:kern w:val="0"/>
          <w:sz w:val="24"/>
          <w:szCs w:val="24"/>
          <w:highlight w:val="none"/>
          <w:lang w:eastAsia="zh-CN"/>
        </w:rPr>
        <w:t>肆</w:t>
      </w:r>
      <w:r>
        <w:rPr>
          <w:rFonts w:hint="eastAsia" w:ascii="宋体" w:hAnsi="宋体" w:eastAsia="宋体" w:cs="宋体"/>
          <w:kern w:val="0"/>
          <w:sz w:val="24"/>
          <w:szCs w:val="24"/>
          <w:highlight w:val="none"/>
        </w:rPr>
        <w:t>份。</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我方已完全明白招标文件的所有条款要求，并申明如下：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（一）按招标文件提供的全部货物与相关服务</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的投标总价详见《报价一览表》。</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（二）本投标文件的有效期为投标截止时间起</w:t>
      </w:r>
      <w:r>
        <w:rPr>
          <w:rFonts w:hint="eastAsia" w:ascii="宋体" w:hAnsi="宋体" w:eastAsia="宋体" w:cs="宋体"/>
          <w:kern w:val="0"/>
          <w:sz w:val="24"/>
          <w:szCs w:val="24"/>
          <w:highlight w:val="none"/>
          <w:u w:val="single"/>
          <w:lang w:val="en-US" w:eastAsia="zh-CN"/>
        </w:rPr>
        <w:t>9</w:t>
      </w:r>
      <w:r>
        <w:rPr>
          <w:rFonts w:hint="eastAsia" w:ascii="宋体" w:hAnsi="宋体" w:eastAsia="宋体" w:cs="宋体"/>
          <w:kern w:val="0"/>
          <w:sz w:val="24"/>
          <w:szCs w:val="24"/>
          <w:highlight w:val="none"/>
          <w:u w:val="single"/>
        </w:rPr>
        <w:t>0天</w:t>
      </w:r>
      <w:r>
        <w:rPr>
          <w:rFonts w:hint="eastAsia" w:ascii="宋体" w:hAnsi="宋体" w:eastAsia="宋体" w:cs="宋体"/>
          <w:kern w:val="0"/>
          <w:sz w:val="24"/>
          <w:szCs w:val="24"/>
          <w:highlight w:val="none"/>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（四）我方同意按照贵方可能提出的要求而提供与投标有关的任何其它数据、信息或资料。</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（五）我方理解贵方不一定接受最低投标价或任何贵方可能收到的投标。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（六）我方如果中标，将保证履行招标文件及其澄清、修改文件（如果有）中的全部责任和义务，按质、按量、按期完成《磋商内容》及《合同书》中的全部任务。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（八）我方作为</w:t>
      </w:r>
      <w:r>
        <w:rPr>
          <w:rFonts w:hint="eastAsia" w:ascii="宋体" w:hAnsi="宋体" w:eastAsia="宋体" w:cs="宋体"/>
          <w:kern w:val="0"/>
          <w:sz w:val="24"/>
          <w:szCs w:val="24"/>
          <w:highlight w:val="none"/>
          <w:u w:val="single"/>
        </w:rPr>
        <w:t xml:space="preserve">   （制造商/代理商）   </w:t>
      </w:r>
      <w:r>
        <w:rPr>
          <w:rFonts w:hint="eastAsia" w:ascii="宋体" w:hAnsi="宋体" w:eastAsia="宋体" w:cs="宋体"/>
          <w:kern w:val="0"/>
          <w:sz w:val="24"/>
          <w:szCs w:val="24"/>
          <w:highlight w:val="none"/>
        </w:rPr>
        <w:t>是在法律、财务和运作上独立于采购人、招标代理机构的投标供应商，在此保证所提交的所有文件和全部说明是真实的和正确的。</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（十）我方与其他投标供应商不存在单位负责人为同一人或者存在直接控股、管理关系。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（十一）我方承诺未为本项目提供整体设计、规范编制或者项目管理、监理、检测等服务。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（十二）我方具备《政府采购法》第二十二条规定的条件，承诺如下：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（1）我方已依法缴纳了各项税费及社会保险费用，如有需要，可随时向采购人提供近三个月内的相关缴费证明，以便核查。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（2）我方已依法建立健全的财务会计制度，如有需要，可随时向采购人提供相关的证明材料，以便核查。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（3）我方参加本项目政府采购活动前3年内在经营活动中没有重大违法记录。</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（4）我方具备履行合同所必需的设备和专业技术能力。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（5）我方符合法律、行政法规规定的其他条件。</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以上内容如有虚假或与事实不符的，评审委员会可将我方做无效投标处理，我方愿意承担相应的法律责任。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（十三）我方对在本函及投标文件中所作的所有承诺承担法律责任。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（十四）所有与本招标有关的函件请发往下列地址：</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.邮政编码：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传    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代表姓名：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.职    务：</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rPr>
          <w:rFonts w:hint="eastAsia" w:ascii="宋体" w:hAnsi="宋体" w:eastAsia="宋体" w:cs="宋体"/>
          <w:color w:val="000000"/>
          <w:szCs w:val="21"/>
          <w:highlight w:val="none"/>
          <w:u w:val="single"/>
        </w:rPr>
      </w:pPr>
    </w:p>
    <w:p>
      <w:pPr>
        <w:spacing w:line="420" w:lineRule="exact"/>
        <w:ind w:firstLine="480" w:firstLineChars="200"/>
        <w:rPr>
          <w:rFonts w:hint="eastAsia" w:ascii="宋体" w:hAnsi="宋体" w:eastAsia="宋体" w:cs="宋体"/>
          <w:kern w:val="0"/>
          <w:sz w:val="24"/>
          <w:szCs w:val="2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9"/>
        <w:kinsoku w:val="0"/>
        <w:overflowPunct w:val="0"/>
        <w:spacing w:before="34" w:line="357" w:lineRule="auto"/>
        <w:ind w:right="126" w:firstLine="480"/>
        <w:jc w:val="center"/>
        <w:rPr>
          <w:rFonts w:hint="eastAsia" w:ascii="宋体" w:hAnsi="宋体" w:eastAsia="宋体" w:cs="宋体"/>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二、法定代表人身份证明</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投标单位名称：</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单位性质：</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成立时间：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经营期限：</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职务：</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身份证号码：</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（投标单位名称）的法定代表人。</w:t>
      </w:r>
    </w:p>
    <w:p>
      <w:pPr>
        <w:spacing w:line="420" w:lineRule="exact"/>
        <w:ind w:firstLine="960" w:firstLineChars="4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pStyle w:val="9"/>
        <w:kinsoku w:val="0"/>
        <w:overflowPunct w:val="0"/>
        <w:spacing w:before="0"/>
        <w:ind w:left="0"/>
        <w:rPr>
          <w:rFonts w:hint="eastAsia" w:ascii="宋体" w:hAnsi="宋体" w:eastAsia="宋体" w:cs="宋体"/>
          <w:sz w:val="20"/>
          <w:szCs w:val="20"/>
          <w:highlight w:val="none"/>
        </w:rPr>
      </w:pPr>
    </w:p>
    <w:p>
      <w:pPr>
        <w:pStyle w:val="9"/>
        <w:kinsoku w:val="0"/>
        <w:overflowPunct w:val="0"/>
        <w:spacing w:before="7"/>
        <w:ind w:left="0"/>
        <w:rPr>
          <w:rFonts w:hint="eastAsia" w:ascii="宋体" w:hAnsi="宋体" w:eastAsia="宋体" w:cs="宋体"/>
          <w:sz w:val="25"/>
          <w:szCs w:val="25"/>
          <w:highlight w:val="none"/>
        </w:rPr>
      </w:pPr>
    </w:p>
    <w:p>
      <w:pPr>
        <w:pStyle w:val="9"/>
        <w:kinsoku w:val="0"/>
        <w:overflowPunct w:val="0"/>
        <w:spacing w:before="0" w:line="200" w:lineRule="atLeast"/>
        <w:ind w:left="60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20" name="组合 120"/>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08" name="任意多边形 108"/>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09" name="任意多边形 109"/>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0" name="任意多边形 110"/>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1" name="任意多边形 111"/>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12" name="任意多边形 112"/>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13" name="任意多边形 113"/>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14" name="任意多边形 114"/>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5" name="任意多边形 115"/>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6" name="任意多边形 116"/>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7" name="任意多边形 117"/>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8" name="文本框 118"/>
                        <wps:cNvSpPr txBox="1"/>
                        <wps:spPr>
                          <a:xfrm>
                            <a:off x="19" y="19"/>
                            <a:ext cx="4025" cy="2258"/>
                          </a:xfrm>
                          <a:prstGeom prst="rect">
                            <a:avLst/>
                          </a:prstGeom>
                          <a:noFill/>
                          <a:ln>
                            <a:noFill/>
                          </a:ln>
                        </wps:spPr>
                        <wps:txbx>
                          <w:txbxContent>
                            <w:p>
                              <w:pPr>
                                <w:pStyle w:val="9"/>
                                <w:kinsoku w:val="0"/>
                                <w:overflowPunct w:val="0"/>
                                <w:spacing w:before="0"/>
                                <w:ind w:left="0"/>
                              </w:pPr>
                            </w:p>
                            <w:p>
                              <w:pPr>
                                <w:pStyle w:val="9"/>
                                <w:kinsoku w:val="0"/>
                                <w:overflowPunct w:val="0"/>
                                <w:spacing w:before="0"/>
                                <w:ind w:left="0"/>
                              </w:pPr>
                            </w:p>
                            <w:p>
                              <w:pPr>
                                <w:pStyle w:val="9"/>
                                <w:kinsoku w:val="0"/>
                                <w:overflowPunct w:val="0"/>
                                <w:spacing w:before="13"/>
                                <w:ind w:left="0"/>
                                <w:rPr>
                                  <w:sz w:val="28"/>
                                  <w:szCs w:val="28"/>
                                </w:rPr>
                              </w:pPr>
                            </w:p>
                            <w:p>
                              <w:pPr>
                                <w:pStyle w:val="9"/>
                                <w:kinsoku w:val="0"/>
                                <w:overflowPunct w:val="0"/>
                                <w:spacing w:before="0"/>
                                <w:ind w:left="107"/>
                              </w:pPr>
                              <w:r>
                                <w:rPr>
                                  <w:rFonts w:hint="eastAsia"/>
                                </w:rPr>
                                <w:t>法定代表人身份证复印件（正面）</w:t>
                              </w:r>
                            </w:p>
                          </w:txbxContent>
                        </wps:txbx>
                        <wps:bodyPr lIns="0" tIns="0" rIns="0" bIns="0" upright="1"/>
                      </wps:wsp>
                      <wps:wsp>
                        <wps:cNvPr id="119" name="文本框 119"/>
                        <wps:cNvSpPr txBox="1"/>
                        <wps:spPr>
                          <a:xfrm>
                            <a:off x="4044" y="19"/>
                            <a:ext cx="4025" cy="2258"/>
                          </a:xfrm>
                          <a:prstGeom prst="rect">
                            <a:avLst/>
                          </a:prstGeom>
                          <a:noFill/>
                          <a:ln>
                            <a:noFill/>
                          </a:ln>
                        </wps:spPr>
                        <wps:txbx>
                          <w:txbxContent>
                            <w:p>
                              <w:pPr>
                                <w:pStyle w:val="9"/>
                                <w:kinsoku w:val="0"/>
                                <w:overflowPunct w:val="0"/>
                                <w:spacing w:before="0"/>
                                <w:ind w:left="0"/>
                              </w:pPr>
                            </w:p>
                            <w:p>
                              <w:pPr>
                                <w:pStyle w:val="9"/>
                                <w:kinsoku w:val="0"/>
                                <w:overflowPunct w:val="0"/>
                                <w:spacing w:before="0"/>
                                <w:ind w:left="0"/>
                              </w:pPr>
                            </w:p>
                            <w:p>
                              <w:pPr>
                                <w:pStyle w:val="9"/>
                                <w:kinsoku w:val="0"/>
                                <w:overflowPunct w:val="0"/>
                                <w:spacing w:before="13"/>
                                <w:ind w:left="0"/>
                                <w:rPr>
                                  <w:sz w:val="28"/>
                                  <w:szCs w:val="28"/>
                                </w:rPr>
                              </w:pPr>
                            </w:p>
                            <w:p>
                              <w:pPr>
                                <w:pStyle w:val="9"/>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X+X3P1gAAAAUBAAAPAAAAAAAAAAEAIAAAACIAAABkcnMv&#10;ZG93bnJldi54bWxQSwECFAAUAAAACACHTuJA6oZCrrEEAAA/IQAADgAAAAAAAAABACAAAAAlAQAA&#10;ZHJzL2Uyb0RvYy54bWxQSwUGAAAAAAYABgBZAQAASAgAAAAA&#10;">
                <o:lock v:ext="edit" rotation="t" aspectratio="f"/>
                <v:shape id="_x0000_s1026" o:spid="_x0000_s1026" o:spt="100" style="position:absolute;left:4;top:9;height:20;width:8079;" filled="f" stroked="t" coordsize="8079,20" o:gfxdata="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omSb4A&#10;AADcAAAADwAAAAAAAAABACAAAAAiAAAAZHJzL2Rvd25yZXYueG1sUEsBAhQAFAAAAAgAh07iQDMv&#10;BZ47AAAAOQAAABAAAAAAAAAAAQAgAAAADQEAAGRycy9zaGFwZXhtbC54bWxQSwUGAAAAAAYABgBb&#10;AQAAtw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RzdCdrsAAADc&#10;AAAADwAAAGRycy9kb3ducmV2LnhtbEVPzWrCQBC+C77DMkJvuhuhpaZucqgUxNJDow8wZMckJDsb&#10;drca+/TdguBtPr7f2ZaTHcSFfOgca8hWCgRx7UzHjYbT8WP5CiJEZIODY9JwowBlMZ9tMTfuyt90&#10;qWIjUgiHHDW0MY65lKFuyWJYuZE4cWfnLcYEfSONx2sKt4NcK/UiLXacGloc6b2luq9+rIad98cv&#10;OZ6r38PnzmWN6p83U6/10yJTbyAiTfEhvrv3Js1XG/h/Jl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dCdrsAAADc&#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U9R9Nr4AAADc&#10;AAAADwAAAGRycy9kb3ducmV2LnhtbEWPQWvDMAyF74X9B6PCbq2dwcqa1u2hZTA2eljaHyBiNQmJ&#10;5WB7bbZfPx0Gu0m8p/c+bfeTH9SNYuoCWyiWBhRxHVzHjYXL+XXxAiplZIdDYLLwTQn2u4fZFksX&#10;7vxJtyo3SkI4lWihzXkstU51Sx7TMozEol1D9JhljY12Ee8S7gf9ZMxKe+xYGloc6dBS3Vdf3sIx&#10;xvNJj9fq5/3jGIrG9M/rqbf2cV6YDahMU/43/12/OcEvBF+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R9Nr4A&#10;AADcAAAADwAAAAAAAAABACAAAAAiAAAAZHJzL2Rvd25yZXYueG1sUEsBAhQAFAAAAAgAh07iQDMv&#10;BZ47AAAAOQAAABAAAAAAAAAAAQAgAAAADQEAAGRycy9zaGFwZXhtbC54bWxQSwUGAAAAAAYABgBb&#10;AQAAtw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bykZCbsAAADc&#10;AAAADwAAAGRycy9kb3ducmV2LnhtbEVPTWsCMRC9F/wPYYTearILimyNHqStpZ7UHnocNrObxc1k&#10;SaJu/31TELzN433OajO6XlwpxM6zhmKmQBDX3nTcavg+vb8sQcSEbLD3TBp+KcJmPXlaYWX8jQ90&#10;PaZW5BCOFWqwKQ2VlLG25DDO/ECcucYHhynD0EoT8JbDXS9LpRbSYce5weJAW0v1+XhxGvZNU56D&#10;Kr/mH7s3xHHetT92q/XztFCvIBKN6SG+uz9Nnl8U8P9Mv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kZCbsAAADc&#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Ptzx7sAAADc&#10;AAAADwAAAGRycy9kb3ducmV2LnhtbEVPTWsCMRC9F/wPYYReiiYrtKyr0YNYEDx1q/dhM24WN5M1&#10;SdX665tCobd5vM9Zru+uF1cKsfOsoZgqEMSNNx23Gg6f75MSREzIBnvPpOGbIqxXo6clVsbf+IOu&#10;dWpFDuFYoQab0lBJGRtLDuPUD8SZO/ngMGUYWmkC3nK46+VMqTfpsOPcYHGgjaXmXH85DY/Ty+51&#10;a3FbN+VR7cv55oKh1vp5XKgFiET39C/+c+9Mnl/M4PeZfIF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tzx7sAAADc&#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45lnMr4AAADc&#10;AAAADwAAAGRycy9kb3ducmV2LnhtbEVPS2vCQBC+C/6HZYRepG5SS6mpaygtQg4Fnwd7G7JjEpud&#10;Ddk1if++KxR6m4/vOct0MLXoqHWVZQXxLAJBnFtdcaHgeFg/voJwHlljbZkU3MhBuhqPlpho2/OO&#10;ur0vRAhhl6CC0vsmkdLlJRl0M9sQB+5sW4M+wLaQusU+hJtaPkXRizRYcWgosaGPkvKf/dUo6LNP&#10;WR39Jp8Wu6/D8+L03ly+t0o9TOLoDYSnwf+L/9yZDvPjOdyfCR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lnMr4A&#10;AADc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bJBF3LgAAADc&#10;AAAADwAAAGRycy9kb3ducmV2LnhtbEVPS4vCMBC+L/gfwgje1rS+kGoUKQieFnzdh2Zsis2kTeJj&#10;//1mYWFv8/E9Z71921Y8yYfGsYJ8nIEgrpxuuFZwOe8/lyBCRNbYOiYF3xRguxl8rLHQ7sVHep5i&#10;LVIIhwIVmBi7QspQGbIYxq4jTtzNeYsxQV9L7fGVwm0rJ1m2kBYbTg0GOyoNVffTwyrwVSh1P+3N&#10;tey/rrzDzi2mc6VGwzxbgYj0jv/iP/dBp/n5DH6fSRf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BF3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9zgR7kAAADc&#10;AAAADwAAAGRycy9kb3ducmV2LnhtbEVPyWrDMBC9F/IPYgK91bIbHIJjJRRDoKdA3eY+WBPL1BrZ&#10;krL9fVUo9DaPt069v9tRXMmHwbGCIstBEHdOD9wr+Po8vGxAhIiscXRMCh4UYL9bPNVYaXfjD7q2&#10;sRcphEOFCkyMUyVl6AxZDJmbiBN3dt5iTND3Unu8pXA7ytc8X0uLA6cGgxM1hrrv9mIV+C40el7N&#10;5tTMxxO/4eTWq1Kp52WRb0FEusd/8Z/7Xaf5RQm/z6QL5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4Ee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w5+MLgAAADc&#10;AAAADwAAAGRycy9kb3ducmV2LnhtbEVPTYvCMBC9C/sfwgh707SKRapRpCDsaUF3vQ/N2BSbSZtk&#10;1f33RhC8zeN9znp7t524kg+tYwX5NANBXDvdcqPg92c/WYIIEVlj55gU/FOA7eZjtMZSuxsf6HqM&#10;jUghHEpUYGLsSylDbchimLqeOHFn5y3GBH0jtcdbCrednGVZIS22nBoM9lQZqi/HP6vA16HSw3ww&#10;p2r4PvEOe1fMF0p9jvNsBSLSPb7FL/eXTvPzAp7PpAvk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5+M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6YiwK70AAADc&#10;AAAADwAAAGRycy9kb3ducmV2LnhtbEVPTWvCQBC9F/oflin0ppvYYtPUVaho9SLStNDrmB2zwexs&#10;yK5R/70rCL3N433OZHa2jeip87VjBekwAUFcOl1zpeD3ZznIQPiArLFxTAou5GE2fXyYYK7dib+p&#10;L0IlYgj7HBWYENpcSl8asuiHriWO3N51FkOEXSV1h6cYbhs5SpKxtFhzbDDY0txQeSiOVsHB9+Zz&#10;9/q12r7w+yYrdov2b79Q6vkpTT5ABDqHf/HdvdZxfvoGt2fiB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LArvQAA&#10;ANw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9"/>
                          <w:kinsoku w:val="0"/>
                          <w:overflowPunct w:val="0"/>
                          <w:spacing w:before="0"/>
                          <w:ind w:left="0"/>
                        </w:pPr>
                      </w:p>
                      <w:p>
                        <w:pPr>
                          <w:pStyle w:val="9"/>
                          <w:kinsoku w:val="0"/>
                          <w:overflowPunct w:val="0"/>
                          <w:spacing w:before="0"/>
                          <w:ind w:left="0"/>
                        </w:pPr>
                      </w:p>
                      <w:p>
                        <w:pPr>
                          <w:pStyle w:val="9"/>
                          <w:kinsoku w:val="0"/>
                          <w:overflowPunct w:val="0"/>
                          <w:spacing w:before="13"/>
                          <w:ind w:left="0"/>
                          <w:rPr>
                            <w:sz w:val="28"/>
                            <w:szCs w:val="28"/>
                          </w:rPr>
                        </w:pPr>
                      </w:p>
                      <w:p>
                        <w:pPr>
                          <w:pStyle w:val="9"/>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9"/>
                          <w:kinsoku w:val="0"/>
                          <w:overflowPunct w:val="0"/>
                          <w:spacing w:before="0"/>
                          <w:ind w:left="0"/>
                        </w:pPr>
                      </w:p>
                      <w:p>
                        <w:pPr>
                          <w:pStyle w:val="9"/>
                          <w:kinsoku w:val="0"/>
                          <w:overflowPunct w:val="0"/>
                          <w:spacing w:before="0"/>
                          <w:ind w:left="0"/>
                        </w:pPr>
                      </w:p>
                      <w:p>
                        <w:pPr>
                          <w:pStyle w:val="9"/>
                          <w:kinsoku w:val="0"/>
                          <w:overflowPunct w:val="0"/>
                          <w:spacing w:before="13"/>
                          <w:ind w:left="0"/>
                          <w:rPr>
                            <w:sz w:val="28"/>
                            <w:szCs w:val="28"/>
                          </w:rPr>
                        </w:pPr>
                      </w:p>
                      <w:p>
                        <w:pPr>
                          <w:pStyle w:val="9"/>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9"/>
        <w:kinsoku w:val="0"/>
        <w:overflowPunct w:val="0"/>
        <w:spacing w:before="0"/>
        <w:ind w:left="0"/>
        <w:rPr>
          <w:rFonts w:hint="eastAsia" w:ascii="宋体" w:hAnsi="宋体" w:eastAsia="宋体" w:cs="宋体"/>
          <w:sz w:val="20"/>
          <w:szCs w:val="20"/>
          <w:highlight w:val="none"/>
        </w:rPr>
      </w:pPr>
    </w:p>
    <w:p>
      <w:pPr>
        <w:wordWrap w:val="0"/>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（公章）</w:t>
      </w:r>
    </w:p>
    <w:p>
      <w:pPr>
        <w:wordWrap w:val="0"/>
        <w:spacing w:line="420" w:lineRule="exact"/>
        <w:ind w:right="480" w:firstLine="480" w:firstLineChars="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日 </w:t>
      </w:r>
    </w:p>
    <w:p>
      <w:pPr>
        <w:pStyle w:val="9"/>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三、授权委托书</w:t>
      </w:r>
    </w:p>
    <w:p>
      <w:pPr>
        <w:pStyle w:val="9"/>
        <w:kinsoku w:val="0"/>
        <w:overflowPunct w:val="0"/>
        <w:spacing w:before="2"/>
        <w:ind w:left="0"/>
        <w:rPr>
          <w:rFonts w:hint="eastAsia" w:ascii="宋体" w:hAnsi="宋体" w:eastAsia="宋体" w:cs="宋体"/>
          <w:b/>
          <w:bCs/>
          <w:sz w:val="21"/>
          <w:szCs w:val="21"/>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致：采购人名称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本授权书声明：注册于</w:t>
      </w:r>
      <w:r>
        <w:rPr>
          <w:rFonts w:hint="eastAsia" w:ascii="宋体" w:hAnsi="宋体" w:eastAsia="宋体" w:cs="宋体"/>
          <w:kern w:val="0"/>
          <w:sz w:val="24"/>
          <w:szCs w:val="24"/>
          <w:highlight w:val="none"/>
          <w:u w:val="single"/>
        </w:rPr>
        <w:t>（投标人地址）</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（投标人名称）</w:t>
      </w:r>
      <w:r>
        <w:rPr>
          <w:rFonts w:hint="eastAsia" w:ascii="宋体" w:hAnsi="宋体" w:eastAsia="宋体" w:cs="宋体"/>
          <w:kern w:val="0"/>
          <w:sz w:val="24"/>
          <w:szCs w:val="24"/>
          <w:highlight w:val="none"/>
        </w:rPr>
        <w:t>法定代表人（负责人）</w:t>
      </w:r>
      <w:r>
        <w:rPr>
          <w:rFonts w:hint="eastAsia" w:ascii="宋体" w:hAnsi="宋体" w:eastAsia="宋体" w:cs="宋体"/>
          <w:kern w:val="0"/>
          <w:sz w:val="24"/>
          <w:szCs w:val="24"/>
          <w:highlight w:val="none"/>
          <w:u w:val="single"/>
        </w:rPr>
        <w:t>姓名、职务或职称）</w:t>
      </w:r>
      <w:r>
        <w:rPr>
          <w:rFonts w:hint="eastAsia" w:ascii="宋体" w:hAnsi="宋体" w:eastAsia="宋体" w:cs="宋体"/>
          <w:kern w:val="0"/>
          <w:sz w:val="24"/>
          <w:szCs w:val="24"/>
          <w:highlight w:val="none"/>
        </w:rPr>
        <w:t>代表本公司授权</w:t>
      </w:r>
      <w:r>
        <w:rPr>
          <w:rFonts w:hint="eastAsia" w:ascii="宋体" w:hAnsi="宋体" w:eastAsia="宋体" w:cs="宋体"/>
          <w:kern w:val="0"/>
          <w:sz w:val="24"/>
          <w:szCs w:val="24"/>
          <w:highlight w:val="none"/>
          <w:u w:val="single"/>
        </w:rPr>
        <w:t>（姓名）</w:t>
      </w:r>
      <w:r>
        <w:rPr>
          <w:rFonts w:hint="eastAsia" w:ascii="宋体" w:hAnsi="宋体" w:eastAsia="宋体" w:cs="宋体"/>
          <w:kern w:val="0"/>
          <w:sz w:val="24"/>
          <w:szCs w:val="24"/>
          <w:highlight w:val="none"/>
        </w:rPr>
        <w:t>为本单位的合法代理人，参与贵方组织的</w:t>
      </w:r>
      <w:r>
        <w:rPr>
          <w:rFonts w:hint="eastAsia" w:ascii="宋体" w:hAnsi="宋体" w:eastAsia="宋体" w:cs="宋体"/>
          <w:kern w:val="0"/>
          <w:sz w:val="24"/>
          <w:szCs w:val="24"/>
          <w:highlight w:val="none"/>
          <w:u w:val="single"/>
        </w:rPr>
        <w:t>（项目名称及项目编号）</w:t>
      </w:r>
      <w:r>
        <w:rPr>
          <w:rFonts w:hint="eastAsia" w:ascii="宋体" w:hAnsi="宋体" w:eastAsia="宋体" w:cs="宋体"/>
          <w:kern w:val="0"/>
          <w:sz w:val="24"/>
          <w:szCs w:val="24"/>
          <w:highlight w:val="none"/>
        </w:rPr>
        <w:t xml:space="preserve"> 的投标、谈判、签约等具体工作，并签署全部有关文件、协议及合同。</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我单位对被授权人的上述经济活动负全部责任。在撤销授权的书面通知前，本授权书一直有效。被授权人在授权书有效期内签署的所有文件不因授权的撤消而失效。</w:t>
      </w:r>
    </w:p>
    <w:p>
      <w:pPr>
        <w:pStyle w:val="9"/>
        <w:kinsoku w:val="0"/>
        <w:overflowPunct w:val="0"/>
        <w:spacing w:before="12"/>
        <w:ind w:left="0"/>
        <w:rPr>
          <w:rFonts w:hint="eastAsia" w:ascii="宋体" w:hAnsi="宋体" w:eastAsia="宋体" w:cs="宋体"/>
          <w:sz w:val="4"/>
          <w:szCs w:val="4"/>
          <w:highlight w:val="none"/>
        </w:rPr>
      </w:pPr>
    </w:p>
    <w:p>
      <w:pPr>
        <w:pStyle w:val="9"/>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07" name="组合 107"/>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95" name="任意多边形 95"/>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6" name="任意多边形 96"/>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7" name="任意多边形 97"/>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8" name="任意多边形 98"/>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9" name="任意多边形 9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00" name="任意多边形 10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01" name="任意多边形 10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2" name="任意多边形 10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3" name="任意多边形 10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4" name="任意多边形 10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05" name="文本框 105"/>
                        <wps:cNvSpPr txBox="1"/>
                        <wps:spPr>
                          <a:xfrm>
                            <a:off x="19" y="19"/>
                            <a:ext cx="4025" cy="2258"/>
                          </a:xfrm>
                          <a:prstGeom prst="rect">
                            <a:avLst/>
                          </a:prstGeom>
                          <a:noFill/>
                          <a:ln>
                            <a:noFill/>
                          </a:ln>
                        </wps:spPr>
                        <wps:txbx>
                          <w:txbxContent>
                            <w:p>
                              <w:pPr>
                                <w:pStyle w:val="9"/>
                                <w:kinsoku w:val="0"/>
                                <w:overflowPunct w:val="0"/>
                                <w:spacing w:before="0"/>
                                <w:ind w:left="0"/>
                              </w:pPr>
                            </w:p>
                            <w:p>
                              <w:pPr>
                                <w:pStyle w:val="9"/>
                                <w:kinsoku w:val="0"/>
                                <w:overflowPunct w:val="0"/>
                                <w:spacing w:before="0"/>
                                <w:ind w:left="0"/>
                              </w:pPr>
                            </w:p>
                            <w:p>
                              <w:pPr>
                                <w:pStyle w:val="9"/>
                                <w:kinsoku w:val="0"/>
                                <w:overflowPunct w:val="0"/>
                                <w:spacing w:before="12"/>
                                <w:ind w:left="0"/>
                                <w:rPr>
                                  <w:sz w:val="28"/>
                                  <w:szCs w:val="28"/>
                                </w:rPr>
                              </w:pPr>
                            </w:p>
                            <w:p>
                              <w:pPr>
                                <w:pStyle w:val="9"/>
                                <w:kinsoku w:val="0"/>
                                <w:overflowPunct w:val="0"/>
                                <w:spacing w:before="0"/>
                                <w:ind w:left="107"/>
                              </w:pPr>
                              <w:r>
                                <w:rPr>
                                  <w:rFonts w:hint="eastAsia"/>
                                </w:rPr>
                                <w:t>授权人身份证复印件（正面）</w:t>
                              </w:r>
                            </w:p>
                          </w:txbxContent>
                        </wps:txbx>
                        <wps:bodyPr lIns="0" tIns="0" rIns="0" bIns="0" upright="1"/>
                      </wps:wsp>
                      <wps:wsp>
                        <wps:cNvPr id="106" name="文本框 106"/>
                        <wps:cNvSpPr txBox="1"/>
                        <wps:spPr>
                          <a:xfrm>
                            <a:off x="4044" y="19"/>
                            <a:ext cx="4025" cy="2258"/>
                          </a:xfrm>
                          <a:prstGeom prst="rect">
                            <a:avLst/>
                          </a:prstGeom>
                          <a:noFill/>
                          <a:ln>
                            <a:noFill/>
                          </a:ln>
                        </wps:spPr>
                        <wps:txbx>
                          <w:txbxContent>
                            <w:p>
                              <w:pPr>
                                <w:pStyle w:val="9"/>
                                <w:kinsoku w:val="0"/>
                                <w:overflowPunct w:val="0"/>
                                <w:spacing w:before="0"/>
                                <w:ind w:left="0"/>
                              </w:pPr>
                            </w:p>
                            <w:p>
                              <w:pPr>
                                <w:pStyle w:val="9"/>
                                <w:kinsoku w:val="0"/>
                                <w:overflowPunct w:val="0"/>
                                <w:spacing w:before="0"/>
                                <w:ind w:left="0"/>
                              </w:pPr>
                            </w:p>
                            <w:p>
                              <w:pPr>
                                <w:pStyle w:val="9"/>
                                <w:kinsoku w:val="0"/>
                                <w:overflowPunct w:val="0"/>
                                <w:spacing w:before="12"/>
                                <w:ind w:left="0"/>
                                <w:rPr>
                                  <w:sz w:val="28"/>
                                  <w:szCs w:val="28"/>
                                </w:rPr>
                              </w:pPr>
                            </w:p>
                            <w:p>
                              <w:pPr>
                                <w:pStyle w:val="9"/>
                                <w:kinsoku w:val="0"/>
                                <w:overflowPunct w:val="0"/>
                                <w:spacing w:before="0"/>
                                <w:ind w:left="107"/>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l/l9z9YAAAAFAQAADwAAAAAAAAABACAAAAAi&#10;AAAAZHJzL2Rvd25yZXYueG1sUEsBAhQAFAAAAAgAh07iQEY+Gk64BAAANSEAAA4AAAAAAAAAAQAg&#10;AAAAJQEAAGRycy9lMm9Eb2MueG1sUEsFBgAAAAAGAAYAWQEAAE8IAAAAAA==&#10;">
                <o:lock v:ext="edit" rotation="t" aspectratio="f"/>
                <v:shape id="_x0000_s1026" o:spid="_x0000_s1026" o:spt="100" style="position:absolute;left:4;top:9;height:20;width:8079;" filled="f" stroked="t" coordsize="8079,20" o:gfxdata="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YIE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u1pY7wAAADb&#10;AAAADwAAAGRycy9kb3ducmV2LnhtbEWPQYvCMBSE7wv+h/CEva1JFxStRg/Kgih7sPoDHs2zLW1e&#10;ShK17q83Cwt7HGbmG2a1GWwn7uRD41hDNlEgiEtnGq40XM5fH3MQISIb7ByThicF2KxHbyvMjXvw&#10;ie5FrESCcMhRQx1jn0sZyposhonriZN3dd5iTNJX0nh8JLjt5KdSM2mx4bRQY0/bmsq2uFkNO+/P&#10;37K/Fj+H485llWqni6HV+n2cqSWISEP8D/+190bDYga/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taW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aHM+L0AAADb&#10;AAAADwAAAGRycy9kb3ducmV2LnhtbEWPQWsCMRSE7wX/Q3iCt5qsYKur0YMiSEsPXf0Bj81zd9nN&#10;y5JEXf31TaHQ4zAz3zDr7WA7cSMfGscasqkCQVw603Cl4Xw6vC5AhIhssHNMGh4UYLsZvawxN+7O&#10;33QrYiUShEOOGuoY+1zKUNZkMUxdT5y8i/MWY5K+ksbjPcFtJ2dKvUmLDaeFGnva1VS2xdVq2Ht/&#10;+pL9pXh+fO5dVql2vhxarSfjTK1ARBrif/ivfTQalu/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cz4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ZgAtmrkAAADb&#10;AAAADwAAAGRycy9kb3ducmV2LnhtbEVPPW/CMBDdK/EfrENiKzaRqErAMCAoqJ0KDIyn+BJHxOfI&#10;diH8+3qo1PHpfa82g+vEnUJsPWuYTRUI4sqblhsNl/P+9R1ETMgGO8+k4UkRNuvRywpL4x/8TfdT&#10;akQO4ViiBptSX0oZK0sO49T3xJmrfXCYMgyNNAEfOdx1slDqTTpsOTdY7GlrqbqdfpyGr7oubkEV&#10;n/OPww5xmLfN1W61noxnagki0ZD+xX/uo9GwyGP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ALZq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f8Jck70AAADb&#10;AAAADwAAAGRycy9kb3ducmV2LnhtbEWPT2sCMRTE7wW/Q3iCl1ITBcvu1uhBFISeurX3x+a5Wbp5&#10;2Sapf/rpG0HwOMzMb5jl+uJ6caIQO88aZlMFgrjxpuNWw+Fz91KAiAnZYO+ZNFwpwno1elpiZfyZ&#10;P+hUp1ZkCMcKNdiUhkrK2FhyGKd+IM7e0QeHKcvQShPwnOGul3OlXqXDjvOCxYE2lprv+tdp+Ds+&#10;7xdbi9u6Kb7Ue1FufjDUWk/GM/UGItElPcL39t5oKEu4fc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yT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lpJvmMAAAADc&#10;AAAADwAAAGRycy9kb3ducmV2LnhtbEWPT2sCQQzF74V+hyEFL0VnLFLa1VFKS8GDYP1z0FvYibtr&#10;dzLLzujqtzcHwVvCe3nvl8ns4mt1pjZWgS0MBwYUcR5cxYWF7ea3/wEqJmSHdWCycKUIs+nz0wQz&#10;Fzpe0XmdCiUhHDO0UKbUZFrHvCSPcRAaYtEOofWYZG0L7VrsJNzX+s2Yd+2xYmkosaHvkvL/9clb&#10;6OY/utqmZf5arBab0efuqznu/6ztvQzNGFSiS3qY79dzJ/hG8OUZmUB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m+Y&#10;wAAAANw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T5wmbkAAADc&#10;AAAADwAAAGRycy9kb3ducmV2LnhtbEVPyWrDMBC9B/oPYgK5JZIbGoob2QRDoadAs9wHa2qZWiNb&#10;UpP076tAoLd5vHW29c0N4kIh9p41FCsFgrj1pudOw+n4vnwFEROywcEzafilCHX1NNtiafyVP+ly&#10;SJ3IIRxL1GBTGkspY2vJYVz5kThzXz44TBmGTpqA1xzuBvms1EY67Dk3WBypsdR+H36chtDGxkzr&#10;yZ6baX/mHY5+s37RejEv1BuIRLf0L364P0yerwq4P5Mv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cJm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Cezu7rgAAADc&#10;AAAADwAAAGRycy9kb3ducmV2LnhtbEVPS4vCMBC+C/sfwizsTRMVRapRpCDsaUF3vQ/N2BSbSZvE&#10;x/57Iwje5uN7zmpzd624UoiNZw3jkQJBXHnTcK3h73c3XICICdlg65k0/FOEzfpjsMLC+Bvv6XpI&#10;tcghHAvUYFPqCiljZclhHPmOOHMnHxymDEMtTcBbDnetnCg1lw4bzg0WOyotVefDxWkIVSxNP+3t&#10;sex/jrzFzs+nM62/PsdqCSLRPb3FL/e3yfPVBJ7P5Av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zu7r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ZqBLdbkAAADc&#10;AAAADwAAAGRycy9kb3ducmV2LnhtbEVP32vCMBB+F/Y/hBN808SVyehMixQGexJ08/1obk1Zc2mT&#10;TN1/bwRhb/fx/bxtfXWDOFOIvWcN65UCQdx603On4evzffkKIiZkg4Nn0vBHEerqabbF0vgLH+h8&#10;TJ3IIRxL1GBTGkspY2vJYVz5kThz3z44TBmGTpqAlxzuBvms1EY67Dk3WBypsdT+HH+dhtDGxkzF&#10;ZE/NtD/xDke/KV60XszX6g1Eomv6Fz/cHybPVwXcn8kXyO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gS3W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IO4gbwAAADc&#10;AAAADwAAAGRycy9kb3ducmV2LnhtbEVPTWsCMRC9F/ofwhR600QrRbdGoWLVSyldBa/jZtwsbibL&#10;Jl313xtB6G0e73Om84urRUdtqDxrGPQVCOLCm4pLDbvtV28MIkRkg7Vn0nClAPPZ89MUM+PP/Etd&#10;HkuRQjhkqMHG2GRShsKSw9D3DXHijr51GBNsS2laPKdwV8uhUu/SYcWpwWJDC0vFKf9zGk6hs5+H&#10;0Wr988aT73F+WDb741Lr15eB+gAR6RL/xQ/3xqT5agT3Z9IF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DuIG8AAAA&#10;3A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9"/>
                          <w:kinsoku w:val="0"/>
                          <w:overflowPunct w:val="0"/>
                          <w:spacing w:before="0"/>
                          <w:ind w:left="0"/>
                        </w:pPr>
                      </w:p>
                      <w:p>
                        <w:pPr>
                          <w:pStyle w:val="9"/>
                          <w:kinsoku w:val="0"/>
                          <w:overflowPunct w:val="0"/>
                          <w:spacing w:before="0"/>
                          <w:ind w:left="0"/>
                        </w:pPr>
                      </w:p>
                      <w:p>
                        <w:pPr>
                          <w:pStyle w:val="9"/>
                          <w:kinsoku w:val="0"/>
                          <w:overflowPunct w:val="0"/>
                          <w:spacing w:before="12"/>
                          <w:ind w:left="0"/>
                          <w:rPr>
                            <w:sz w:val="28"/>
                            <w:szCs w:val="28"/>
                          </w:rPr>
                        </w:pPr>
                      </w:p>
                      <w:p>
                        <w:pPr>
                          <w:pStyle w:val="9"/>
                          <w:kinsoku w:val="0"/>
                          <w:overflowPunct w:val="0"/>
                          <w:spacing w:before="0"/>
                          <w:ind w:left="107"/>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9"/>
                          <w:kinsoku w:val="0"/>
                          <w:overflowPunct w:val="0"/>
                          <w:spacing w:before="0"/>
                          <w:ind w:left="0"/>
                        </w:pPr>
                      </w:p>
                      <w:p>
                        <w:pPr>
                          <w:pStyle w:val="9"/>
                          <w:kinsoku w:val="0"/>
                          <w:overflowPunct w:val="0"/>
                          <w:spacing w:before="0"/>
                          <w:ind w:left="0"/>
                        </w:pPr>
                      </w:p>
                      <w:p>
                        <w:pPr>
                          <w:pStyle w:val="9"/>
                          <w:kinsoku w:val="0"/>
                          <w:overflowPunct w:val="0"/>
                          <w:spacing w:before="12"/>
                          <w:ind w:left="0"/>
                          <w:rPr>
                            <w:sz w:val="28"/>
                            <w:szCs w:val="28"/>
                          </w:rPr>
                        </w:pPr>
                      </w:p>
                      <w:p>
                        <w:pPr>
                          <w:pStyle w:val="9"/>
                          <w:kinsoku w:val="0"/>
                          <w:overflowPunct w:val="0"/>
                          <w:spacing w:before="0"/>
                          <w:ind w:left="107"/>
                        </w:pPr>
                        <w:r>
                          <w:rPr>
                            <w:rFonts w:hint="eastAsia"/>
                          </w:rPr>
                          <w:t>授权人身份证复印件（反面）</w:t>
                        </w:r>
                      </w:p>
                    </w:txbxContent>
                  </v:textbox>
                </v:shape>
                <w10:wrap type="none"/>
                <w10:anchorlock/>
              </v:group>
            </w:pict>
          </mc:Fallback>
        </mc:AlternateContent>
      </w:r>
    </w:p>
    <w:p>
      <w:pPr>
        <w:pStyle w:val="9"/>
        <w:kinsoku w:val="0"/>
        <w:overflowPunct w:val="0"/>
        <w:spacing w:before="0"/>
        <w:ind w:left="0"/>
        <w:rPr>
          <w:rFonts w:hint="eastAsia" w:ascii="宋体" w:hAnsi="宋体" w:eastAsia="宋体" w:cs="宋体"/>
          <w:sz w:val="20"/>
          <w:szCs w:val="20"/>
          <w:highlight w:val="none"/>
        </w:rPr>
      </w:pPr>
    </w:p>
    <w:p>
      <w:pPr>
        <w:pStyle w:val="9"/>
        <w:kinsoku w:val="0"/>
        <w:overflowPunct w:val="0"/>
        <w:spacing w:before="1"/>
        <w:ind w:left="0"/>
        <w:rPr>
          <w:rFonts w:hint="eastAsia" w:ascii="宋体" w:hAnsi="宋体" w:eastAsia="宋体" w:cs="宋体"/>
          <w:sz w:val="19"/>
          <w:szCs w:val="19"/>
          <w:highlight w:val="none"/>
        </w:rPr>
      </w:pPr>
    </w:p>
    <w:p>
      <w:pPr>
        <w:pStyle w:val="9"/>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384935"/>
                <wp:effectExtent l="0" t="0" r="7620" b="6985"/>
                <wp:docPr id="94" name="组合 9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82" name="任意多边形 82"/>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3" name="任意多边形 83"/>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4" name="任意多边形 84"/>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5" name="任意多边形 85"/>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6" name="任意多边形 86"/>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87" name="任意多边形 87"/>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88" name="任意多边形 88"/>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89" name="任意多边形 89"/>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0" name="任意多边形 90"/>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1" name="任意多边形 91"/>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92" name="文本框 92"/>
                        <wps:cNvSpPr txBox="1"/>
                        <wps:spPr>
                          <a:xfrm>
                            <a:off x="19" y="19"/>
                            <a:ext cx="4025" cy="2142"/>
                          </a:xfrm>
                          <a:prstGeom prst="rect">
                            <a:avLst/>
                          </a:prstGeom>
                          <a:noFill/>
                          <a:ln>
                            <a:noFill/>
                          </a:ln>
                        </wps:spPr>
                        <wps:txbx>
                          <w:txbxContent>
                            <w:p>
                              <w:pPr>
                                <w:pStyle w:val="9"/>
                                <w:kinsoku w:val="0"/>
                                <w:overflowPunct w:val="0"/>
                                <w:spacing w:before="0"/>
                                <w:ind w:left="0"/>
                              </w:pPr>
                            </w:p>
                            <w:p>
                              <w:pPr>
                                <w:pStyle w:val="9"/>
                                <w:kinsoku w:val="0"/>
                                <w:overflowPunct w:val="0"/>
                                <w:spacing w:before="0"/>
                                <w:ind w:left="0"/>
                              </w:pPr>
                            </w:p>
                            <w:p>
                              <w:pPr>
                                <w:pStyle w:val="9"/>
                                <w:kinsoku w:val="0"/>
                                <w:overflowPunct w:val="0"/>
                                <w:spacing w:before="7"/>
                                <w:ind w:left="0"/>
                              </w:pPr>
                            </w:p>
                            <w:p>
                              <w:pPr>
                                <w:pStyle w:val="9"/>
                                <w:kinsoku w:val="0"/>
                                <w:overflowPunct w:val="0"/>
                                <w:spacing w:before="0"/>
                                <w:ind w:left="107"/>
                              </w:pPr>
                              <w:r>
                                <w:rPr>
                                  <w:rFonts w:hint="eastAsia"/>
                                </w:rPr>
                                <w:t>被授权代表身份证复印件（正面）</w:t>
                              </w:r>
                            </w:p>
                          </w:txbxContent>
                        </wps:txbx>
                        <wps:bodyPr lIns="0" tIns="0" rIns="0" bIns="0" upright="1"/>
                      </wps:wsp>
                      <wps:wsp>
                        <wps:cNvPr id="93" name="文本框 93"/>
                        <wps:cNvSpPr txBox="1"/>
                        <wps:spPr>
                          <a:xfrm>
                            <a:off x="4044" y="19"/>
                            <a:ext cx="4025" cy="2142"/>
                          </a:xfrm>
                          <a:prstGeom prst="rect">
                            <a:avLst/>
                          </a:prstGeom>
                          <a:noFill/>
                          <a:ln>
                            <a:noFill/>
                          </a:ln>
                        </wps:spPr>
                        <wps:txbx>
                          <w:txbxContent>
                            <w:p>
                              <w:pPr>
                                <w:pStyle w:val="9"/>
                                <w:kinsoku w:val="0"/>
                                <w:overflowPunct w:val="0"/>
                                <w:spacing w:before="0"/>
                                <w:ind w:left="0"/>
                              </w:pPr>
                            </w:p>
                            <w:p>
                              <w:pPr>
                                <w:pStyle w:val="9"/>
                                <w:kinsoku w:val="0"/>
                                <w:overflowPunct w:val="0"/>
                                <w:spacing w:before="0"/>
                                <w:ind w:left="0"/>
                              </w:pPr>
                            </w:p>
                            <w:p>
                              <w:pPr>
                                <w:pStyle w:val="9"/>
                                <w:kinsoku w:val="0"/>
                                <w:overflowPunct w:val="0"/>
                                <w:spacing w:before="7"/>
                                <w:ind w:left="0"/>
                              </w:pPr>
                            </w:p>
                            <w:p>
                              <w:pPr>
                                <w:pStyle w:val="9"/>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AhS9hM1gAAAAUBAAAPAAAAAAAAAAEAIAAAACIAAABkcnMvZG93bnJl&#10;di54bWxQSwECFAAUAAAACACHTuJATd3Vs6sEAAAlIQAADgAAAAAAAAABACAAAAAlAQAAZHJzL2Uy&#10;b0RvYy54bWxQSwUGAAAAAAYABgBZAQAAQggAAAAA&#10;">
                <o:lock v:ext="edit" rotation="t" aspectratio="f"/>
                <v:shape id="_x0000_s1026" o:spid="_x0000_s1026" o:spt="100" style="position:absolute;left:4;top:9;height:20;width:8079;" filled="f" stroked="t" coordsize="8079,20" o:gfxdata="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xjK2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i0NcJr0AAADb&#10;AAAADwAAAGRycy9kb3ducmV2LnhtbEWPwWrDMBBE74X8g9hAb43kl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1wm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BKrEUr0AAADb&#10;AAAADwAAAGRycy9kb3ducmV2LnhtbEWPwWrDMBBE74X8g9hAb43k0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sRS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DdgU2bwAAADb&#10;AAAADwAAAGRycy9kb3ducmV2LnhtbEWPT2sCMRTE74V+h/AEbzVxYUW2Rg9i/1BP2h56fGzebhY3&#10;L0uS6vrtG0HwOMzMb5jVZnS9OFOInWcN85kCQVx703Gr4ef77WUJIiZkg71n0nClCJv189MKK+Mv&#10;fKDzMbUiQzhWqMGmNFRSxtqSwzjzA3H2Gh8cpixDK03AS4a7XhZKLaTDjvOCxYG2lurT8c9p2DdN&#10;cQqq+CrfP3aIY9m1v3ar9XQyV68gEo3pEb63P42GZQm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YFNm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NDr6obcAAADb&#10;AAAADwAAAGRycy9kb3ducmV2LnhtbEWPwQrCMBBE74L/EFbwpqkeRKtRVBQ8CVbxvDZrW2w2pYm2&#10;/r0RBI/DzLxhFqvWlOJFtSssKxgNIxDEqdUFZwou5/1gCsJ5ZI2lZVLwJgerZbezwFjbhk/0Snwm&#10;AoRdjApy76tYSpfmZNANbUUcvLutDfog60zqGpsAN6UcR9FEGiw4LORY0Tan9JE8jYK9pXuzaW6U&#10;GD7u7Pqq39t2plS/N4rmIDy1/h/+tQ9awXQ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vqhtwAAANsAAAAP&#10;AAAAAAAAAAEAIAAAACIAAABkcnMvZG93bnJldi54bWxQSwECFAAUAAAACACHTuJAMy8FnjsAAAA5&#10;AAAAEAAAAAAAAAABACAAAAAGAQAAZHJzL3NoYXBleG1sLnhtbFBLBQYAAAAABgAGAFsBAACwAwAA&#10;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thqKvr0AAADb&#10;AAAADwAAAGRycy9kb3ducmV2LnhtbEWPT4vCMBTE7wt+h/CEva2pIirVKCIoHhZh4yL19miebbF5&#10;KU38++k3grDHYWZ+w8wWd1uLK7W+cqyg30tAEOfOVFwo+N2vvyYgfEA2WDsmBQ/ysJh3PmaYGnfj&#10;H7rqUIgIYZ+igjKEJpXS5yVZ9D3XEEfv5FqLIcq2kKbFW4TbWg6SZCQtVhwXSmxoVVJ+1her4Lkf&#10;7A6ZprH+dtlRb5ZZ8dwNlfrs9pMpiED38B9+t7dGwWQM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Goq+vQAA&#10;ANsAAAAPAAAAAAAAAAEAIAAAACIAAABkcnMvZG93bnJldi54bWxQSwECFAAUAAAACACHTuJAMy8F&#10;njsAAAA5AAAAEAAAAAAAAAABACAAAAAMAQAAZHJzL3NoYXBleG1sLnhtbFBLBQYAAAAABgAGAFsB&#10;AAC2Aw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Myg1X7kAAADb&#10;AAAADwAAAGRycy9kb3ducmV2LnhtbEVPO2/CMBDekfgP1iF1AwcGmgYMKqAgpgpo1fkUH3HU+C6K&#10;XR7/vh4qMX763sv13bfqSn1ohA1MJxko4kpsw7WBr89ynIMKEdliK0wGHhRgvRoOllhYufGJrudY&#10;qxTCoUADLsau0DpUjjyGiXTEibtI7zEm2Nfa9nhL4b7Vsyyba48NpwaHHW0dVT/nX29APg7H17ns&#10;d9/i3gJufJnH99KYl9E0W4CKdI9P8b/7YA3kaWz6kn6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oNV+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XGSQxLwAAADb&#10;AAAADwAAAGRycy9kb3ducmV2LnhtbEWPQWvCQBSE7wX/w/KE3urGHmwSXUVbUjwVtcXzI/vMBrPv&#10;hexW7b/vFgoeh5n5hlmsbr5TFxpCK2xgOslAEddiW24MfH1WTzmoEJEtdsJk4IcCrJajhwWWVq68&#10;p8shNipBOJRowMXYl1qH2pHHMJGeOHknGTzGJIdG2wGvCe47/ZxlM+2x5bTgsKdXR/X58O0NyMd2&#10;9zKT97ejuCLgxld5XFfGPI6n2RxUpFu8h//bW2sgL+DvS/o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kkM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SIevhLkAAADb&#10;AAAADwAAAGRycy9kb3ducmV2LnhtbEVPyW7CMBC9I/UfrKnUGzj0ACRgEG0VxKliqXoexUMcEc9E&#10;scvy9/hQiePT2xerm2/VhfrQCBsYjzJQxJXYhmsDP8dyOAMVIrLFVpgM3CnAavkyWGBh5cp7uhxi&#10;rVIIhwINuBi7QutQOfIYRtIRJ+4kvceYYF9r2+M1hftWv2fZRHtsODU47OjTUXU+/HkD8r3dTSey&#10;+foVlwf88OUsrktj3l7H2RxUpFt8iv/dW2sgT+vTl/QD9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Hr4S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R/vZALcAAADb&#10;AAAADwAAAGRycy9kb3ducmV2LnhtbEWPwQrCMBBE74L/EFbwpmkVRavRgyCKJ61+wNqsbbHZlCZW&#10;/XsjCB6HmXnDLNcvU4mWGldaVhAPIxDEmdUl5wou5+1gBsJ5ZI2VZVLwJgfrVbezxETbJ5+oTX0u&#10;AoRdggoK7+tESpcVZNANbU0cvJttDPogm1zqBp8Bbio5iqKpNFhyWCiwpk1B2T19GAWzzRhxcn/Q&#10;7ng44XF/LQ22qVL9XhwtQHh6+X/4195rBfMY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kA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9"/>
                          <w:kinsoku w:val="0"/>
                          <w:overflowPunct w:val="0"/>
                          <w:spacing w:before="0"/>
                          <w:ind w:left="0"/>
                        </w:pPr>
                      </w:p>
                      <w:p>
                        <w:pPr>
                          <w:pStyle w:val="9"/>
                          <w:kinsoku w:val="0"/>
                          <w:overflowPunct w:val="0"/>
                          <w:spacing w:before="0"/>
                          <w:ind w:left="0"/>
                        </w:pPr>
                      </w:p>
                      <w:p>
                        <w:pPr>
                          <w:pStyle w:val="9"/>
                          <w:kinsoku w:val="0"/>
                          <w:overflowPunct w:val="0"/>
                          <w:spacing w:before="7"/>
                          <w:ind w:left="0"/>
                        </w:pPr>
                      </w:p>
                      <w:p>
                        <w:pPr>
                          <w:pStyle w:val="9"/>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9"/>
                          <w:kinsoku w:val="0"/>
                          <w:overflowPunct w:val="0"/>
                          <w:spacing w:before="0"/>
                          <w:ind w:left="0"/>
                        </w:pPr>
                      </w:p>
                      <w:p>
                        <w:pPr>
                          <w:pStyle w:val="9"/>
                          <w:kinsoku w:val="0"/>
                          <w:overflowPunct w:val="0"/>
                          <w:spacing w:before="0"/>
                          <w:ind w:left="0"/>
                        </w:pPr>
                      </w:p>
                      <w:p>
                        <w:pPr>
                          <w:pStyle w:val="9"/>
                          <w:kinsoku w:val="0"/>
                          <w:overflowPunct w:val="0"/>
                          <w:spacing w:before="7"/>
                          <w:ind w:left="0"/>
                        </w:pPr>
                      </w:p>
                      <w:p>
                        <w:pPr>
                          <w:pStyle w:val="9"/>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9"/>
        <w:kinsoku w:val="0"/>
        <w:overflowPunct w:val="0"/>
        <w:spacing w:before="0"/>
        <w:ind w:left="0"/>
        <w:rPr>
          <w:rFonts w:hint="eastAsia" w:ascii="宋体" w:hAnsi="宋体" w:eastAsia="宋体" w:cs="宋体"/>
          <w:sz w:val="20"/>
          <w:szCs w:val="20"/>
          <w:highlight w:val="none"/>
        </w:rPr>
      </w:pPr>
    </w:p>
    <w:p>
      <w:pPr>
        <w:pStyle w:val="9"/>
        <w:kinsoku w:val="0"/>
        <w:overflowPunct w:val="0"/>
        <w:spacing w:before="7"/>
        <w:ind w:left="0"/>
        <w:rPr>
          <w:rFonts w:hint="eastAsia" w:ascii="宋体" w:hAnsi="宋体" w:eastAsia="宋体" w:cs="宋体"/>
          <w:sz w:val="20"/>
          <w:szCs w:val="20"/>
          <w:highlight w:val="none"/>
        </w:rPr>
      </w:pPr>
    </w:p>
    <w:p>
      <w:pPr>
        <w:pStyle w:val="9"/>
        <w:tabs>
          <w:tab w:val="left" w:pos="5295"/>
        </w:tabs>
        <w:kinsoku w:val="0"/>
        <w:overflowPunct w:val="0"/>
        <w:spacing w:before="26"/>
        <w:ind w:left="618"/>
        <w:rPr>
          <w:rFonts w:hint="eastAsia" w:ascii="宋体" w:hAnsi="宋体" w:eastAsia="宋体" w:cs="宋体"/>
          <w:highlight w:val="none"/>
        </w:rPr>
      </w:pPr>
      <w:r>
        <w:rPr>
          <w:rFonts w:hint="eastAsia" w:ascii="宋体" w:hAnsi="宋体" w:eastAsia="宋体" w:cs="宋体"/>
          <w:highlight w:val="none"/>
        </w:rPr>
        <w:t>被授权代表（签字）：</w:t>
      </w:r>
      <w:r>
        <w:rPr>
          <w:rFonts w:hint="eastAsia" w:ascii="宋体" w:hAnsi="宋体" w:eastAsia="宋体" w:cs="宋体"/>
          <w:highlight w:val="none"/>
        </w:rPr>
        <w:tab/>
      </w:r>
      <w:r>
        <w:rPr>
          <w:rFonts w:hint="eastAsia" w:ascii="宋体" w:hAnsi="宋体" w:eastAsia="宋体" w:cs="宋体"/>
          <w:highlight w:val="none"/>
        </w:rPr>
        <w:t>供应商法定代表人（签字）：</w:t>
      </w:r>
    </w:p>
    <w:p>
      <w:pPr>
        <w:pStyle w:val="9"/>
        <w:tabs>
          <w:tab w:val="left" w:pos="1098"/>
          <w:tab w:val="left" w:pos="5298"/>
          <w:tab w:val="left" w:pos="5778"/>
        </w:tabs>
        <w:kinsoku w:val="0"/>
        <w:overflowPunct w:val="0"/>
        <w:spacing w:before="86"/>
        <w:ind w:left="618"/>
        <w:rPr>
          <w:rFonts w:hint="eastAsia" w:ascii="宋体" w:hAnsi="宋体" w:eastAsia="宋体" w:cs="宋体"/>
          <w:highlight w:val="none"/>
        </w:rPr>
      </w:pP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r>
        <w:rPr>
          <w:rFonts w:hint="eastAsia" w:ascii="宋体" w:hAnsi="宋体" w:eastAsia="宋体" w:cs="宋体"/>
          <w:highlight w:val="none"/>
        </w:rPr>
        <w:tab/>
      </w: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p>
    <w:p>
      <w:pPr>
        <w:pStyle w:val="9"/>
        <w:tabs>
          <w:tab w:val="left" w:pos="1098"/>
          <w:tab w:val="left" w:pos="5298"/>
          <w:tab w:val="left" w:pos="5778"/>
        </w:tabs>
        <w:kinsoku w:val="0"/>
        <w:overflowPunct w:val="0"/>
        <w:spacing w:before="84"/>
        <w:ind w:left="618"/>
        <w:rPr>
          <w:rFonts w:hint="eastAsia" w:ascii="宋体" w:hAnsi="宋体" w:eastAsia="宋体" w:cs="宋体"/>
          <w:highlight w:val="none"/>
        </w:rPr>
      </w:pP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r>
        <w:rPr>
          <w:rFonts w:hint="eastAsia" w:ascii="宋体" w:hAnsi="宋体" w:eastAsia="宋体" w:cs="宋体"/>
          <w:highlight w:val="none"/>
        </w:rPr>
        <w:tab/>
      </w: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p>
    <w:p>
      <w:pPr>
        <w:pStyle w:val="9"/>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9"/>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日                </w:t>
      </w:r>
    </w:p>
    <w:p>
      <w:pPr>
        <w:pStyle w:val="9"/>
        <w:kinsoku w:val="0"/>
        <w:overflowPunct w:val="0"/>
        <w:spacing w:before="7"/>
        <w:ind w:left="0"/>
        <w:rPr>
          <w:rFonts w:hint="eastAsia" w:ascii="宋体" w:hAnsi="宋体" w:eastAsia="宋体" w:cs="宋体"/>
          <w:sz w:val="22"/>
          <w:szCs w:val="22"/>
          <w:highlight w:val="none"/>
        </w:rPr>
      </w:pPr>
    </w:p>
    <w:p>
      <w:pPr>
        <w:pStyle w:val="9"/>
        <w:tabs>
          <w:tab w:val="left" w:pos="5418"/>
        </w:tabs>
        <w:kinsoku w:val="0"/>
        <w:overflowPunct w:val="0"/>
        <w:spacing w:before="26"/>
        <w:ind w:left="618"/>
        <w:jc w:val="both"/>
        <w:rPr>
          <w:rFonts w:hint="eastAsia" w:ascii="宋体" w:hAnsi="宋体" w:eastAsia="宋体" w:cs="宋体"/>
          <w:b/>
          <w:highlight w:val="none"/>
        </w:rPr>
      </w:pPr>
      <w:r>
        <w:rPr>
          <w:rFonts w:hint="eastAsia" w:ascii="宋体" w:hAnsi="宋体" w:eastAsia="宋体" w:cs="宋体"/>
          <w:b/>
          <w:highlight w:val="none"/>
        </w:rPr>
        <w:t>★备注 ：后 附〖 法定代表人资格证明及委托代理人（被授权人）身份证复印件（现场核查）〗，递交投标文件时需递交一份。</w:t>
      </w:r>
    </w:p>
    <w:p>
      <w:pPr>
        <w:pStyle w:val="9"/>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四、投标保证金缴纳凭证</w:t>
      </w:r>
    </w:p>
    <w:p>
      <w:pPr>
        <w:pStyle w:val="9"/>
        <w:kinsoku w:val="0"/>
        <w:overflowPunct w:val="0"/>
        <w:spacing w:before="0"/>
        <w:ind w:left="0"/>
        <w:rPr>
          <w:rFonts w:hint="eastAsia" w:ascii="宋体" w:hAnsi="宋体" w:eastAsia="宋体" w:cs="宋体"/>
          <w:b/>
          <w:bCs/>
          <w:sz w:val="20"/>
          <w:szCs w:val="20"/>
          <w:highlight w:val="none"/>
        </w:rPr>
      </w:pPr>
    </w:p>
    <w:p>
      <w:pPr>
        <w:pStyle w:val="9"/>
        <w:kinsoku w:val="0"/>
        <w:overflowPunct w:val="0"/>
        <w:spacing w:before="4"/>
        <w:ind w:left="0"/>
        <w:rPr>
          <w:rFonts w:hint="eastAsia" w:ascii="宋体" w:hAnsi="宋体" w:eastAsia="宋体" w:cs="宋体"/>
          <w:b/>
          <w:bCs/>
          <w:sz w:val="23"/>
          <w:szCs w:val="23"/>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致：（采购人）</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我方于</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 xml:space="preserve"> 日参加</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（项目名称）   </w:t>
      </w:r>
      <w:r>
        <w:rPr>
          <w:rFonts w:hint="eastAsia" w:ascii="宋体" w:hAnsi="宋体" w:eastAsia="宋体" w:cs="宋体"/>
          <w:kern w:val="0"/>
          <w:sz w:val="24"/>
          <w:szCs w:val="24"/>
          <w:highlight w:val="none"/>
        </w:rPr>
        <w:t>的投标，现保证：我方在规定的投标有效期内撤销或修改投标文件的，或者在收到中标通知书后无正当理由拒签合同或拒交规定履约担保的，投标保证金不予退还。</w:t>
      </w:r>
    </w:p>
    <w:p>
      <w:pPr>
        <w:pStyle w:val="9"/>
        <w:kinsoku w:val="0"/>
        <w:overflowPunct w:val="0"/>
        <w:spacing w:before="0"/>
        <w:ind w:left="0"/>
        <w:rPr>
          <w:rFonts w:hint="eastAsia" w:ascii="宋体" w:hAnsi="宋体" w:eastAsia="宋体" w:cs="宋体"/>
          <w:highlight w:val="none"/>
        </w:rPr>
      </w:pPr>
    </w:p>
    <w:p>
      <w:pPr>
        <w:pStyle w:val="9"/>
        <w:kinsoku w:val="0"/>
        <w:overflowPunct w:val="0"/>
        <w:spacing w:before="0"/>
        <w:ind w:left="0"/>
        <w:rPr>
          <w:rFonts w:hint="eastAsia" w:ascii="宋体" w:hAnsi="宋体" w:eastAsia="宋体" w:cs="宋体"/>
          <w:highlight w:val="none"/>
        </w:rPr>
      </w:pPr>
    </w:p>
    <w:p>
      <w:pPr>
        <w:pStyle w:val="9"/>
        <w:kinsoku w:val="0"/>
        <w:overflowPunct w:val="0"/>
        <w:spacing w:before="4"/>
        <w:ind w:left="0"/>
        <w:rPr>
          <w:rFonts w:hint="eastAsia" w:ascii="宋体" w:hAnsi="宋体" w:eastAsia="宋体" w:cs="宋体"/>
          <w:sz w:val="34"/>
          <w:szCs w:val="3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9"/>
        <w:tabs>
          <w:tab w:val="left" w:pos="5551"/>
          <w:tab w:val="left" w:pos="6511"/>
          <w:tab w:val="left" w:pos="7111"/>
          <w:tab w:val="left" w:pos="7711"/>
        </w:tabs>
        <w:kinsoku w:val="0"/>
        <w:overflowPunct w:val="0"/>
        <w:spacing w:before="46"/>
        <w:ind w:left="2583" w:firstLine="2248"/>
        <w:rPr>
          <w:rFonts w:hint="eastAsia" w:ascii="宋体" w:hAnsi="宋体" w:eastAsia="宋体" w:cs="宋体"/>
          <w:highlight w:val="none"/>
        </w:rPr>
      </w:pPr>
    </w:p>
    <w:p>
      <w:pPr>
        <w:pStyle w:val="9"/>
        <w:kinsoku w:val="0"/>
        <w:overflowPunct w:val="0"/>
        <w:spacing w:before="0"/>
        <w:ind w:left="0"/>
        <w:rPr>
          <w:rFonts w:hint="eastAsia" w:ascii="宋体" w:hAnsi="宋体" w:eastAsia="宋体" w:cs="宋体"/>
          <w:highlight w:val="none"/>
        </w:rPr>
      </w:pPr>
    </w:p>
    <w:p>
      <w:pPr>
        <w:pStyle w:val="9"/>
        <w:kinsoku w:val="0"/>
        <w:overflowPunct w:val="0"/>
        <w:spacing w:before="5"/>
        <w:ind w:left="0"/>
        <w:rPr>
          <w:rFonts w:hint="eastAsia" w:ascii="宋体" w:hAnsi="宋体" w:eastAsia="宋体" w:cs="宋体"/>
          <w:sz w:val="25"/>
          <w:szCs w:val="25"/>
          <w:highlight w:val="none"/>
        </w:rPr>
      </w:pPr>
    </w:p>
    <w:p>
      <w:pPr>
        <w:pStyle w:val="9"/>
        <w:kinsoku w:val="0"/>
        <w:overflowPunct w:val="0"/>
        <w:spacing w:before="0"/>
        <w:jc w:val="center"/>
        <w:rPr>
          <w:rFonts w:hint="eastAsia" w:ascii="宋体" w:hAnsi="宋体" w:eastAsia="宋体" w:cs="宋体"/>
          <w:highlight w:val="none"/>
        </w:rPr>
      </w:pPr>
      <w:r>
        <w:rPr>
          <w:rFonts w:hint="eastAsia" w:ascii="宋体" w:hAnsi="宋体" w:eastAsia="宋体" w:cs="宋体"/>
          <w:highlight w:val="none"/>
        </w:rPr>
        <w:t>缴费</w:t>
      </w:r>
      <w:r>
        <w:rPr>
          <w:rFonts w:hint="eastAsia" w:ascii="宋体" w:hAnsi="宋体" w:eastAsia="宋体" w:cs="宋体"/>
          <w:highlight w:val="none"/>
          <w:lang w:eastAsia="zh-CN"/>
        </w:rPr>
        <w:t>证明</w:t>
      </w:r>
      <w:r>
        <w:rPr>
          <w:rFonts w:hint="eastAsia" w:ascii="宋体" w:hAnsi="宋体" w:eastAsia="宋体" w:cs="宋体"/>
          <w:highlight w:val="none"/>
        </w:rPr>
        <w:t>（复印件应附在投标文件中）</w:t>
      </w:r>
    </w:p>
    <w:p>
      <w:pPr>
        <w:pStyle w:val="9"/>
        <w:kinsoku w:val="0"/>
        <w:overflowPunct w:val="0"/>
        <w:spacing w:before="0"/>
        <w:ind w:left="0"/>
        <w:rPr>
          <w:rFonts w:hint="eastAsia" w:ascii="宋体" w:hAnsi="宋体" w:eastAsia="宋体" w:cs="宋体"/>
          <w:sz w:val="20"/>
          <w:szCs w:val="20"/>
          <w:highlight w:val="none"/>
        </w:rPr>
      </w:pPr>
    </w:p>
    <w:p>
      <w:pPr>
        <w:pStyle w:val="9"/>
        <w:kinsoku w:val="0"/>
        <w:overflowPunct w:val="0"/>
        <w:spacing w:before="0" w:line="200" w:lineRule="atLeast"/>
        <w:ind w:left="0" w:leftChars="0"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695950" cy="3213100"/>
                <wp:effectExtent l="0" t="0" r="0" b="6350"/>
                <wp:docPr id="80" name="组合 80"/>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wpg:grpSpPr>
                      <wpg:grpSp>
                        <wpg:cNvPr id="81" name="组合 80"/>
                        <wpg:cNvGrpSpPr/>
                        <wpg:grpSpPr>
                          <a:xfrm>
                            <a:off x="0" y="0"/>
                            <a:ext cx="7425" cy="5060"/>
                            <a:chOff x="0" y="0"/>
                            <a:chExt cx="7425" cy="5060"/>
                          </a:xfrm>
                        </wpg:grpSpPr>
                        <wps:wsp>
                          <wps:cNvPr id="1" name="任意多边形 1"/>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2" name="任意多边形 2"/>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3" name="任意多边形 3"/>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 name="任意多边形 4"/>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5" name="任意多边形 5"/>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6" name="任意多边形 6"/>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7" name="任意多边形 7"/>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8" name="任意多边形 8"/>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9" name="任意多边形 9"/>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10" name="任意多边形 10"/>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11" name="任意多边形 11"/>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12" name="任意多边形 12"/>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13" name="任意多边形 13"/>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14" name="任意多边形 14"/>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15" name="任意多边形 15"/>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16" name="任意多边形 16"/>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17" name="任意多边形 17"/>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18" name="任意多边形 18"/>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19" name="任意多边形 19"/>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20" name="任意多边形 20"/>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21" name="任意多边形 21"/>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22" name="任意多边形 22"/>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23" name="任意多边形 23"/>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24" name="任意多边形 24"/>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25" name="任意多边形 25"/>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26" name="任意多边形 26"/>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27" name="任意多边形 27"/>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28" name="任意多边形 28"/>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29" name="任意多边形 29"/>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30" name="任意多边形 30"/>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31" name="任意多边形 31"/>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32" name="任意多边形 32"/>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33" name="任意多边形 33"/>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34" name="任意多边形 34"/>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35" name="任意多边形 35"/>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36" name="任意多边形 36"/>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37" name="任意多边形 37"/>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38" name="任意多边形 38"/>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39" name="任意多边形 39"/>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0" name="任意多边形 40"/>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1" name="任意多边形 41"/>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2" name="任意多边形 42"/>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3" name="任意多边形 43"/>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4" name="任意多边形 44"/>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5" name="任意多边形 45"/>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6" name="任意多边形 46"/>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7" name="任意多边形 47"/>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48" name="任意多边形 48"/>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49" name="任意多边形 49"/>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50" name="任意多边形 50"/>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51" name="任意多边形 51"/>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52" name="任意多边形 52"/>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53" name="任意多边形 53"/>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54" name="任意多边形 54"/>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55" name="任意多边形 55"/>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56" name="任意多边形 56"/>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57" name="任意多边形 57"/>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58" name="任意多边形 58"/>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59" name="任意多边形 59"/>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60" name="任意多边形 60"/>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61" name="任意多边形 61"/>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62" name="任意多边形 62"/>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63" name="任意多边形 63"/>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64" name="任意多边形 64"/>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65" name="任意多边形 65"/>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66" name="任意多边形 66"/>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67" name="任意多边形 67"/>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68" name="任意多边形 68"/>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69" name="任意多边形 69"/>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70" name="任意多边形 70"/>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71" name="任意多边形 71"/>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72" name="任意多边形 72"/>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73" name="任意多边形 73"/>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74" name="任意多边形 74"/>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75" name="任意多边形 75"/>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76" name="任意多边形 76"/>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77" name="任意多边形 77"/>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78" name="任意多边形 78"/>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79" name="任意多边形 79"/>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">
                <o:lock v:ext="edit" rotation="t" aspectratio="f"/>
                <v:group id="组合 80" o:spid="_x0000_s1026" o:spt="203" style="position:absolute;left:0;top:0;height:5060;width:7425;" coordsize="7425,5060"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5060;width:7425;" fillcolor="#000000" filled="t" stroked="f" coordsize="7425,5060" o:gfxdata="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83tze5AAAA2gAA&#10;AA8AAAAAAAAAAQAgAAAAIgAAAGRycy9kb3ducmV2LnhtbFBLAQIUABQAAAAIAIdO4kAzLwWeOwAA&#10;ADkAAAAQAAAAAAAAAAEAIAAAAAgBAABkcnMvc2hhcGV4bWwueG1sUEsFBgAAAAAGAAYAWwEAALID&#10;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UpQL0AAADa&#10;AAAADwAAAGRycy9kb3ducmV2LnhtbEWPwWrDMBBE74H+g9hCLqGRY2goTpQQCgYfHEqd9r5YG9vU&#10;WglLsd1+fVQo9DjMzBtmf5xNL0YafGdZwWadgCCure64UfBxyZ9eQPiArLG3TAq+ycPx8LDYY6bt&#10;xO80VqEREcI+QwVtCC6T0tctGfRr64ijd7WDwRDl0Eg94BThppdpkmylwY7jQouOXluqv6qbUfBZ&#10;leWPy1euOL+lPvjytH2mk1LLx02yAxFoDv/hv3ahFaTweyXeAH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5SlAvQAA&#10;ANo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KmM27sAAADa&#10;AAAADwAAAGRycy9kb3ducmV2LnhtbEWPT4vCMBTE7wt+h/AEL4umK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mM27sAAADa&#10;AAAADwAAAAAAAAABACAAAAAiAAAAZHJzL2Rvd25yZXYueG1sUEsBAhQAFAAAAAgAh07iQDMvBZ47&#10;AAAAOQAAABAAAAAAAAAAAQAgAAAACgEAAGRycy9zaGFwZXhtbC54bWxQSwUGAAAAAAYABgBbAQAA&#10;tAM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T0AUr7sAAADa&#10;AAAADwAAAGRycy9kb3ducmV2LnhtbEWPT4vCMBTE7wt+h/AEL4umi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AUr7sAAADa&#10;AAAADwAAAAAAAAABACAAAAAiAAAAZHJzL2Rvd25yZXYueG1sUEsBAhQAFAAAAAgAh07iQDMvBZ47&#10;AAAAOQAAABAAAAAAAAAAAQAgAAAACgEAAGRycy9zaGFwZXhtbC54bWxQSwUGAAAAAAYABgBbAQAA&#10;tAM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AyxNLoAAADa&#10;AAAADwAAAGRycy9kb3ducmV2LnhtbEWPzarCMBSE94LvEI7gRjRVUKQaRQTBRUVu73V/aI5tsTkJ&#10;Tfx9eiMIdznMzDfMcv0wjbhR62vLCsajBARxYXXNpYK/391wDsIHZI2NZVLwJA/rVbezxFTbO//Q&#10;LQ+liBD2KSqoQnCplL6oyKAfWUccvbNtDYYo21LqFu8Rbho5SZKZNFhzXKjQ0bai4pJfjYJTnmUv&#10;txu4/eE48cFnm9mUNkr1e+NkASLQI/yHv+29VjCFz5V4A+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LE0ugAAANoA&#10;AAAPAAAAAAAAAAEAIAAAACIAAABkcnMvZG93bnJldi54bWxQSwECFAAUAAAACACHTuJAMy8FnjsA&#10;AAA5AAAAEAAAAAAAAAABACAAAAAJAQAAZHJzL3NoYXBleG1sLnhtbFBLBQYAAAAABgAGAFsBAACz&#10;Aw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N4vQ70AAADa&#10;AAAADwAAAGRycy9kb3ducmV2LnhtbEWPwWrDMBBE74X+g9hCL6WRbYgpTpRgCgEfHEKd9r5YG9vU&#10;WglLjdN+fRQI9DjMzBtmvb2YUZxp8oNlBekiAUHcWj1wp+DzuHt9A+EDssbRMin4JQ/bzePDGgtt&#10;Z/6gcxM6ESHsC1TQh+AKKX3bk0G/sI44eic7GQxRTp3UE84RbkaZJUkuDQ4cF3p09N5T+938GAVf&#10;TV3/ud2Lq/aHzAdfl/mSSqWen9JkBSLQJfyH7+1KK8jhdiXeAL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3i9DvQAA&#10;ANoAAAAPAAAAAAAAAAEAIAAAACIAAABkcnMvZG93bnJldi54bWxQSwECFAAUAAAACACHTuJAMy8F&#10;njsAAAA5AAAAEAAAAAAAAAABACAAAAAMAQAAZHJzL3NoYXBleG1sLnhtbFBLBQYAAAAABgAGAFsB&#10;AAC2Aw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5KK2LsAAADa&#10;AAAADwAAAGRycy9kb3ducmV2LnhtbEWPT4vCMBTE7wt+h/CEvSyaKuhKNYoIgoeK2NX7o3m2xeYl&#10;NFn/fXojCB6HmfkNM1vcTCMu1PrasoJBPwFBXFhdc6ng8LfuTUD4gKyxsUwK7uRhMe98zTDV9sp7&#10;uuShFBHCPkUFVQguldIXFRn0feuIo3eyrcEQZVtK3eI1wk0jh0kylgZrjgsVOlpVVJzzf6PgmGfZ&#10;w61/3Ga7G/rgs+V4REulvruDZAoi0C18wu/2Riv4h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KK2LsAAADa&#10;AAAADwAAAAAAAAABACAAAAAiAAAAZHJzL2Rvd25yZXYueG1sUEsBAhQAFAAAAAgAh07iQDMvBZ47&#10;AAAAOQAAABAAAAAAAAAAAQAgAAAACgEAAGRycy9zaGFwZXhtbC54bWxQSwUGAAAAAAYABgBbAQAA&#10;tAM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0eqroAAADa&#10;AAAADwAAAGRycy9kb3ducmV2LnhtbEVPz2vCMBS+D/Y/hDfwMmxqwSLVVEQQPHSMdfP+aN7asuYl&#10;NNHW/fXLQdjx4/u9289mEDcafW9ZwSpJQRA3VvfcKvj6PC03IHxA1jhYJgV38rAvn592WGg78Qfd&#10;6tCKGMK+QAVdCK6Q0jcdGfSJdcSR+7ajwRDh2Eo94hTDzSCzNM2lwZ5jQ4eOjh01P/XVKLjUVfXr&#10;Tq/u/Pae+eCrQ76mg1KLl1W6BRFoDv/ih/usFcSt8Uq8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DR6qugAAANoA&#10;AAAPAAAAAAAAAAEAIAAAACIAAABkcnMvZG93bnJldi54bWxQSwECFAAUAAAACACHTuJAMy8FnjsA&#10;AAA5AAAAEAAAAAAAAAABACAAAAAJAQAAZHJzL3NoYXBleG1sLnhtbFBLBQYAAAAABgAGAFsBAACz&#10;Aw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UG7MbsAAADa&#10;AAAADwAAAGRycy9kb3ducmV2LnhtbEWPT4vCMBTE7wt+h/CEvSyaKihrNYoIgoeK2NX7o3m2xeYl&#10;NFn/fXojCB6HmfkNM1vcTCMu1PrasoJBPwFBXFhdc6ng8Lfu/YLwAVljY5kU3MnDYt75mmGq7ZX3&#10;dMlDKSKEfYoKqhBcKqUvKjLo+9YRR+9kW4MhyraUusVrhJtGDpNkLA3WHBcqdLSqqDjn/0bBMc+y&#10;h1v/uM12N/TBZ8vxiJZKfXcHyRREoFv4hN/tjVYwg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G7MbsAAADa&#10;AAAADwAAAAAAAAABACAAAAAiAAAAZHJzL2Rvd25yZXYueG1sUEsBAhQAFAAAAAgAh07iQDMvBZ47&#10;AAAAOQAAABAAAAAAAAAAAQAgAAAACgEAAGRycy9zaGFwZXhtbC54bWxQSwUGAAAAAAYABgBbAQAA&#10;tAM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9"/>
        <w:kinsoku w:val="0"/>
        <w:overflowPunct w:val="0"/>
        <w:spacing w:before="174"/>
        <w:rPr>
          <w:rFonts w:hint="eastAsia" w:ascii="宋体" w:hAnsi="宋体" w:eastAsia="宋体" w:cs="宋体"/>
          <w:b/>
          <w:bCs/>
          <w:spacing w:val="1"/>
          <w:sz w:val="21"/>
          <w:szCs w:val="21"/>
          <w:highlight w:val="none"/>
        </w:rPr>
      </w:pPr>
    </w:p>
    <w:p>
      <w:pPr>
        <w:pStyle w:val="9"/>
        <w:kinsoku w:val="0"/>
        <w:overflowPunct w:val="0"/>
        <w:spacing w:before="174"/>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★备注：投标保证金缴费</w:t>
      </w:r>
      <w:r>
        <w:rPr>
          <w:rFonts w:hint="eastAsia" w:ascii="宋体" w:hAnsi="宋体" w:eastAsia="宋体" w:cs="宋体"/>
          <w:b/>
          <w:bCs/>
          <w:spacing w:val="1"/>
          <w:sz w:val="21"/>
          <w:szCs w:val="21"/>
          <w:highlight w:val="none"/>
          <w:lang w:eastAsia="zh-CN"/>
        </w:rPr>
        <w:t>证明</w:t>
      </w:r>
      <w:r>
        <w:rPr>
          <w:rFonts w:hint="eastAsia" w:ascii="宋体" w:hAnsi="宋体" w:eastAsia="宋体" w:cs="宋体"/>
          <w:b/>
          <w:bCs/>
          <w:spacing w:val="1"/>
          <w:sz w:val="21"/>
          <w:szCs w:val="21"/>
          <w:highlight w:val="none"/>
        </w:rPr>
        <w:t>复印件加盖公章</w:t>
      </w:r>
    </w:p>
    <w:p>
      <w:pPr>
        <w:pStyle w:val="9"/>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五、</w:t>
      </w:r>
      <w:r>
        <w:rPr>
          <w:rFonts w:hint="eastAsia" w:ascii="宋体" w:hAnsi="宋体" w:eastAsia="宋体" w:cs="宋体"/>
          <w:b/>
          <w:bCs/>
          <w:sz w:val="36"/>
          <w:szCs w:val="36"/>
          <w:highlight w:val="none"/>
          <w:lang w:eastAsia="zh-CN"/>
        </w:rPr>
        <w:t>报价一览表</w:t>
      </w:r>
    </w:p>
    <w:p>
      <w:pPr>
        <w:pStyle w:val="9"/>
        <w:kinsoku w:val="0"/>
        <w:overflowPunct w:val="0"/>
        <w:spacing w:before="6"/>
        <w:ind w:left="0"/>
        <w:rPr>
          <w:rFonts w:hint="eastAsia" w:ascii="宋体" w:hAnsi="宋体" w:eastAsia="宋体" w:cs="宋体"/>
          <w:b/>
          <w:bCs/>
          <w:sz w:val="26"/>
          <w:szCs w:val="26"/>
          <w:highlight w:val="none"/>
        </w:rPr>
      </w:pP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采购项目编号：</w:t>
      </w:r>
      <w:r>
        <w:rPr>
          <w:rFonts w:hint="eastAsia" w:ascii="宋体" w:hAnsi="宋体" w:eastAsia="宋体" w:cs="宋体"/>
          <w:kern w:val="0"/>
          <w:sz w:val="24"/>
          <w:szCs w:val="24"/>
          <w:highlight w:val="none"/>
          <w:u w:val="single"/>
        </w:rPr>
        <w:t>　                              　　</w:t>
      </w:r>
    </w:p>
    <w:p>
      <w:pPr>
        <w:pStyle w:val="9"/>
        <w:rPr>
          <w:rFonts w:hint="eastAsia" w:ascii="宋体" w:hAnsi="宋体" w:eastAsia="宋体" w:cs="宋体"/>
          <w:highlight w:val="none"/>
        </w:rPr>
      </w:pPr>
    </w:p>
    <w:tbl>
      <w:tblPr>
        <w:tblStyle w:val="17"/>
        <w:tblW w:w="9420" w:type="dxa"/>
        <w:jc w:val="center"/>
        <w:tblLayout w:type="fixed"/>
        <w:tblCellMar>
          <w:top w:w="0" w:type="dxa"/>
          <w:left w:w="108" w:type="dxa"/>
          <w:bottom w:w="0" w:type="dxa"/>
          <w:right w:w="108" w:type="dxa"/>
        </w:tblCellMar>
      </w:tblPr>
      <w:tblGrid>
        <w:gridCol w:w="1728"/>
        <w:gridCol w:w="7692"/>
      </w:tblGrid>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供应商名称</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eastAsia" w:ascii="宋体" w:hAnsi="宋体" w:eastAsia="宋体" w:cs="宋体"/>
                <w:b/>
                <w:bCs/>
                <w:kern w:val="0"/>
                <w:sz w:val="24"/>
                <w:szCs w:val="24"/>
                <w:highlight w:val="none"/>
              </w:rPr>
            </w:pPr>
            <w:r>
              <w:rPr>
                <w:rFonts w:hint="eastAsia" w:ascii="宋体" w:hAnsi="宋体" w:eastAsia="宋体" w:cs="宋体"/>
                <w:b/>
                <w:bCs/>
                <w:sz w:val="24"/>
                <w:highlight w:val="none"/>
              </w:rPr>
              <w:t>服务期限</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rPr>
              <w:t>服务周期为12个月，具体时间以合同约定为准。</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总报价</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（大写）人民币                      元整（￥           ）</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2" w:space="0"/>
            </w:tcBorders>
            <w:noWrap w:val="0"/>
            <w:vAlign w:val="center"/>
          </w:tcPr>
          <w:p>
            <w:pPr>
              <w:jc w:val="left"/>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备注</w:t>
            </w:r>
          </w:p>
        </w:tc>
        <w:tc>
          <w:tcPr>
            <w:tcW w:w="7692" w:type="dxa"/>
            <w:tcBorders>
              <w:top w:val="single" w:color="000000" w:sz="4" w:space="0"/>
              <w:left w:val="single" w:color="000000" w:sz="4" w:space="0"/>
              <w:bottom w:val="single" w:color="000000" w:sz="2" w:space="0"/>
              <w:right w:val="single" w:color="000000" w:sz="4" w:space="0"/>
            </w:tcBorders>
            <w:noWrap w:val="0"/>
            <w:vAlign w:val="center"/>
          </w:tcPr>
          <w:p>
            <w:pPr>
              <w:rPr>
                <w:rFonts w:hint="eastAsia" w:ascii="宋体" w:hAnsi="宋体" w:eastAsia="宋体" w:cs="宋体"/>
                <w:kern w:val="0"/>
                <w:sz w:val="24"/>
                <w:szCs w:val="24"/>
                <w:highlight w:val="none"/>
              </w:rPr>
            </w:pPr>
          </w:p>
        </w:tc>
      </w:tr>
    </w:tbl>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注：1.此表总报价是所有需采购人支付的金额总数，包括《磋商内容》要求的全部内容。</w:t>
      </w:r>
    </w:p>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rPr>
        <w:t>总报价中必须包含</w:t>
      </w:r>
      <w:r>
        <w:rPr>
          <w:rFonts w:hint="eastAsia" w:ascii="宋体" w:hAnsi="宋体" w:eastAsia="宋体" w:cs="宋体"/>
          <w:color w:val="auto"/>
          <w:highlight w:val="none"/>
          <w:lang w:eastAsia="zh-CN"/>
        </w:rPr>
        <w:t>整体服务</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相关设备</w:t>
      </w:r>
      <w:r>
        <w:rPr>
          <w:rFonts w:hint="eastAsia" w:ascii="宋体" w:hAnsi="宋体" w:eastAsia="宋体" w:cs="宋体"/>
          <w:color w:val="auto"/>
          <w:highlight w:val="none"/>
        </w:rPr>
        <w:t>、人员工资、交通、税金、保险、管理费、</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辅助工作及售后服务等</w:t>
      </w:r>
      <w:r>
        <w:rPr>
          <w:rFonts w:hint="eastAsia" w:ascii="宋体" w:hAnsi="宋体" w:eastAsia="宋体" w:cs="宋体"/>
          <w:color w:val="auto"/>
          <w:highlight w:val="none"/>
          <w:lang w:eastAsia="zh-CN"/>
        </w:rPr>
        <w:t>、</w:t>
      </w:r>
      <w:r>
        <w:rPr>
          <w:rFonts w:hint="eastAsia" w:ascii="宋体" w:hAnsi="宋体" w:eastAsia="宋体" w:cs="宋体"/>
          <w:kern w:val="0"/>
          <w:sz w:val="24"/>
          <w:szCs w:val="24"/>
        </w:rPr>
        <w:t>全额含税发票、合同实施过程中应预见和不可预见费用等</w:t>
      </w:r>
      <w:r>
        <w:rPr>
          <w:rFonts w:hint="eastAsia" w:ascii="宋体" w:hAnsi="宋体" w:eastAsia="宋体" w:cs="宋体"/>
          <w:kern w:val="0"/>
          <w:sz w:val="24"/>
          <w:szCs w:val="24"/>
          <w:lang w:val="en-US" w:eastAsia="zh-CN"/>
        </w:rPr>
        <w:t>完成本项目所需的一切费用</w:t>
      </w:r>
      <w:r>
        <w:rPr>
          <w:rFonts w:hint="eastAsia" w:ascii="宋体" w:hAnsi="宋体" w:eastAsia="宋体" w:cs="宋体"/>
          <w:kern w:val="0"/>
          <w:sz w:val="24"/>
          <w:szCs w:val="24"/>
        </w:rPr>
        <w:t>。所有价格均应予人民币报价，金额单位为元。</w:t>
      </w:r>
    </w:p>
    <w:p>
      <w:pPr>
        <w:spacing w:line="480" w:lineRule="exact"/>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3.此表应按“供应商须知”的规定密封标记并单独提交，同时在装订成册的响应文件中仍应提供本表。</w:t>
      </w:r>
    </w:p>
    <w:p>
      <w:pPr>
        <w:pStyle w:val="9"/>
        <w:tabs>
          <w:tab w:val="left" w:pos="8227"/>
        </w:tabs>
        <w:kinsoku w:val="0"/>
        <w:overflowPunct w:val="0"/>
        <w:spacing w:before="0" w:line="381" w:lineRule="auto"/>
        <w:ind w:left="4027" w:right="118"/>
        <w:rPr>
          <w:rFonts w:hint="eastAsia" w:ascii="宋体" w:hAnsi="宋体" w:eastAsia="宋体" w:cs="宋体"/>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none"/>
          <w:lang w:eastAsia="zh-CN"/>
        </w:rPr>
        <w:t>日期：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9"/>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六、</w:t>
      </w:r>
      <w:r>
        <w:rPr>
          <w:rFonts w:hint="eastAsia" w:ascii="宋体" w:hAnsi="宋体" w:eastAsia="宋体" w:cs="宋体"/>
          <w:b/>
          <w:bCs/>
          <w:sz w:val="36"/>
          <w:szCs w:val="36"/>
          <w:highlight w:val="none"/>
          <w:lang w:val="en-US" w:eastAsia="zh-CN"/>
        </w:rPr>
        <w:t>磋商</w:t>
      </w:r>
      <w:r>
        <w:rPr>
          <w:rFonts w:hint="eastAsia" w:ascii="宋体" w:hAnsi="宋体" w:eastAsia="宋体" w:cs="宋体"/>
          <w:b/>
          <w:bCs/>
          <w:sz w:val="36"/>
          <w:szCs w:val="36"/>
          <w:highlight w:val="none"/>
        </w:rPr>
        <w:t>报价汇总表</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rPr>
        <w:t>　            　　</w:t>
      </w:r>
    </w:p>
    <w:tbl>
      <w:tblPr>
        <w:tblStyle w:val="1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27"/>
        <w:gridCol w:w="1871"/>
        <w:gridCol w:w="1052"/>
        <w:gridCol w:w="1106"/>
        <w:gridCol w:w="929"/>
        <w:gridCol w:w="1158"/>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一、货物详列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主要技术参数</w:t>
            </w:r>
          </w:p>
        </w:tc>
        <w:tc>
          <w:tcPr>
            <w:tcW w:w="105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制造商</w:t>
            </w:r>
          </w:p>
        </w:tc>
        <w:tc>
          <w:tcPr>
            <w:tcW w:w="110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tcBorders>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二、伴随服务详列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具体服务内容</w:t>
            </w:r>
          </w:p>
        </w:tc>
        <w:tc>
          <w:tcPr>
            <w:tcW w:w="105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三、其他费用详列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具体内容</w:t>
            </w:r>
          </w:p>
        </w:tc>
        <w:tc>
          <w:tcPr>
            <w:tcW w:w="105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620" w:type="dxa"/>
            <w:gridSpan w:val="8"/>
            <w:tcBorders>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四、总报价：人民币    元。（以上各合计项与报价一览表中的对应项均一致相符，如不一致以报价一览表为准）</w:t>
            </w:r>
          </w:p>
        </w:tc>
      </w:tr>
    </w:tbl>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注：1）以上内容必须与《</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报价单》一致。2)</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对于报价免费的项目必须标明“免费”；3)</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所有根据合同或其它原因应由报价供应商支付的税款和其它应交纳的费用都要包括在报价供应商提交的报价价格中；4)</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应包含货物运至最终目的地的运输、保险和伴随货物服务的其他所有费用。</w:t>
      </w:r>
    </w:p>
    <w:p>
      <w:pPr>
        <w:pStyle w:val="9"/>
        <w:tabs>
          <w:tab w:val="left" w:pos="8227"/>
        </w:tabs>
        <w:kinsoku w:val="0"/>
        <w:overflowPunct w:val="0"/>
        <w:spacing w:before="0" w:line="381" w:lineRule="auto"/>
        <w:ind w:right="118"/>
        <w:rPr>
          <w:rFonts w:hint="eastAsia" w:ascii="宋体" w:hAnsi="宋体" w:eastAsia="宋体" w:cs="宋体"/>
          <w:highlight w:val="none"/>
        </w:rPr>
      </w:pPr>
      <w:r>
        <w:rPr>
          <w:rFonts w:hint="eastAsia" w:ascii="宋体" w:hAnsi="宋体" w:eastAsia="宋体" w:cs="宋体"/>
          <w:highlight w:val="none"/>
        </w:rPr>
        <w:t xml:space="preserve">供应商：（盖章） </w:t>
      </w:r>
    </w:p>
    <w:p>
      <w:pPr>
        <w:pStyle w:val="9"/>
        <w:tabs>
          <w:tab w:val="left" w:pos="8227"/>
        </w:tabs>
        <w:kinsoku w:val="0"/>
        <w:overflowPunct w:val="0"/>
        <w:spacing w:before="0" w:line="381" w:lineRule="auto"/>
        <w:ind w:right="118"/>
        <w:rPr>
          <w:rFonts w:hint="eastAsia" w:ascii="宋体" w:hAnsi="宋体" w:eastAsia="宋体" w:cs="宋体"/>
          <w:w w:val="95"/>
          <w:highlight w:val="none"/>
        </w:rPr>
      </w:pPr>
      <w:r>
        <w:rPr>
          <w:rFonts w:hint="eastAsia" w:ascii="宋体" w:hAnsi="宋体" w:eastAsia="宋体" w:cs="宋体"/>
          <w:highlight w:val="none"/>
        </w:rPr>
        <w:t>法定代表人或被授权人：（签字）</w:t>
      </w:r>
    </w:p>
    <w:p>
      <w:pPr>
        <w:pStyle w:val="9"/>
        <w:tabs>
          <w:tab w:val="left" w:pos="5551"/>
          <w:tab w:val="left" w:pos="6511"/>
          <w:tab w:val="left" w:pos="7111"/>
          <w:tab w:val="left" w:pos="7711"/>
        </w:tabs>
        <w:kinsoku w:val="0"/>
        <w:overflowPunct w:val="0"/>
        <w:spacing w:before="46"/>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p>
    <w:p>
      <w:pPr>
        <w:jc w:val="center"/>
        <w:rPr>
          <w:rFonts w:hint="eastAsia" w:ascii="宋体" w:hAnsi="宋体" w:eastAsia="宋体" w:cs="宋体"/>
          <w:b/>
          <w:kern w:val="0"/>
          <w:sz w:val="24"/>
          <w:szCs w:val="24"/>
          <w:highlight w:val="none"/>
        </w:rPr>
      </w:pPr>
      <w:r>
        <w:rPr>
          <w:rFonts w:hint="eastAsia" w:ascii="宋体" w:hAnsi="宋体" w:eastAsia="宋体" w:cs="宋体"/>
          <w:highlight w:val="none"/>
        </w:rPr>
        <w:br w:type="page"/>
      </w:r>
      <w:r>
        <w:rPr>
          <w:rFonts w:hint="eastAsia" w:ascii="宋体" w:hAnsi="宋体" w:eastAsia="宋体" w:cs="宋体"/>
          <w:b/>
          <w:kern w:val="0"/>
          <w:sz w:val="24"/>
          <w:szCs w:val="24"/>
          <w:highlight w:val="none"/>
        </w:rPr>
        <w:t>政策适用性说明</w:t>
      </w:r>
    </w:p>
    <w:p>
      <w:pPr>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379"/>
        <w:gridCol w:w="982"/>
        <w:gridCol w:w="942"/>
        <w:gridCol w:w="876"/>
        <w:gridCol w:w="982"/>
        <w:gridCol w:w="10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主要产品/技术名称</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（规格型号、注册商标）</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制造商</w:t>
            </w:r>
            <w:r>
              <w:rPr>
                <w:rFonts w:hint="eastAsia" w:ascii="宋体" w:hAnsi="宋体" w:eastAsia="宋体" w:cs="宋体"/>
                <w:b/>
                <w:bCs/>
                <w:kern w:val="0"/>
                <w:sz w:val="24"/>
                <w:szCs w:val="24"/>
                <w:highlight w:val="none"/>
              </w:rPr>
              <w:br w:type="textWrapping"/>
            </w:r>
            <w:r>
              <w:rPr>
                <w:rFonts w:hint="eastAsia" w:ascii="宋体" w:hAnsi="宋体" w:eastAsia="宋体" w:cs="宋体"/>
                <w:b/>
                <w:bCs/>
                <w:kern w:val="0"/>
                <w:sz w:val="24"/>
                <w:szCs w:val="24"/>
                <w:highlight w:val="none"/>
              </w:rPr>
              <w:t>(开发商)</w:t>
            </w: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企业类型</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节能</w:t>
            </w:r>
            <w:r>
              <w:rPr>
                <w:rFonts w:hint="eastAsia" w:ascii="宋体" w:hAnsi="宋体" w:eastAsia="宋体" w:cs="宋体"/>
                <w:b/>
                <w:bCs/>
                <w:kern w:val="0"/>
                <w:sz w:val="24"/>
                <w:szCs w:val="24"/>
                <w:highlight w:val="none"/>
              </w:rPr>
              <w:br w:type="textWrapping"/>
            </w:r>
            <w:r>
              <w:rPr>
                <w:rFonts w:hint="eastAsia" w:ascii="宋体" w:hAnsi="宋体" w:eastAsia="宋体" w:cs="宋体"/>
                <w:b/>
                <w:bCs/>
                <w:kern w:val="0"/>
                <w:sz w:val="24"/>
                <w:szCs w:val="24"/>
                <w:highlight w:val="none"/>
              </w:rPr>
              <w:t>产品</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环保标志产品</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认证证书编号</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总合计（节能产品）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总合计（环保产品）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bl>
    <w:p>
      <w:pPr>
        <w:rPr>
          <w:rFonts w:hint="eastAsia" w:ascii="宋体" w:hAnsi="宋体" w:eastAsia="宋体" w:cs="宋体"/>
          <w:b/>
          <w:bCs/>
          <w:kern w:val="0"/>
          <w:sz w:val="24"/>
          <w:szCs w:val="24"/>
          <w:highlight w:val="none"/>
        </w:rPr>
      </w:pP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注：1.</w:t>
      </w:r>
      <w:r>
        <w:rPr>
          <w:rFonts w:hint="eastAsia" w:ascii="宋体" w:hAnsi="宋体" w:eastAsia="宋体" w:cs="宋体"/>
          <w:b/>
          <w:bCs/>
          <w:kern w:val="0"/>
          <w:sz w:val="24"/>
          <w:szCs w:val="24"/>
          <w:highlight w:val="none"/>
        </w:rPr>
        <w:tab/>
      </w:r>
      <w:r>
        <w:rPr>
          <w:rFonts w:hint="eastAsia" w:ascii="宋体" w:hAnsi="宋体" w:eastAsia="宋体" w:cs="宋体"/>
          <w:b/>
          <w:bCs/>
          <w:kern w:val="0"/>
          <w:sz w:val="24"/>
          <w:szCs w:val="24"/>
          <w:highlight w:val="none"/>
        </w:rPr>
        <w:t>企业为小型或微型企业时才需要填“企业类型”栏，填写内容为“小型”或“微型”；</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w:t>
      </w:r>
      <w:r>
        <w:rPr>
          <w:rFonts w:hint="eastAsia" w:ascii="宋体" w:hAnsi="宋体" w:eastAsia="宋体" w:cs="宋体"/>
          <w:b/>
          <w:bCs/>
          <w:kern w:val="0"/>
          <w:sz w:val="24"/>
          <w:szCs w:val="24"/>
          <w:highlight w:val="none"/>
        </w:rPr>
        <w:tab/>
      </w:r>
      <w:r>
        <w:rPr>
          <w:rFonts w:hint="eastAsia" w:ascii="宋体" w:hAnsi="宋体" w:eastAsia="宋体" w:cs="宋体"/>
          <w:b/>
          <w:bCs/>
          <w:kern w:val="0"/>
          <w:sz w:val="24"/>
          <w:szCs w:val="24"/>
          <w:highlight w:val="none"/>
        </w:rPr>
        <w:t>“节能产品、环保标志产品”是属于国家行业主管部门颁布的清单目录中的产品，须填写认证证书编号，并在“节能产品”、“环保标志产品”栏中填写属于“第　  期清单”的产品（产品被列入多期清单的，以最新一期为准），同时提供有效期内的下述文件（均为复印件，加盖报价供应商公章）：</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HYPERLINK "http://hzs.nd/"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http://hzs.nd</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 xml:space="preserve"> rc.gv.cn/）和中国质量认证中心网站（http://www.cqc.com.cn/）上发布；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3、如不填写或填写不全，后果自行承担。</w:t>
      </w:r>
    </w:p>
    <w:p>
      <w:pPr>
        <w:pStyle w:val="9"/>
        <w:tabs>
          <w:tab w:val="left" w:pos="8227"/>
        </w:tabs>
        <w:kinsoku w:val="0"/>
        <w:overflowPunct w:val="0"/>
        <w:spacing w:before="0" w:line="381" w:lineRule="auto"/>
        <w:ind w:left="4027" w:right="118"/>
        <w:rPr>
          <w:rFonts w:hint="eastAsia" w:ascii="宋体" w:hAnsi="宋体" w:eastAsia="宋体" w:cs="宋体"/>
          <w:b/>
          <w:bCs/>
          <w:highlight w:val="none"/>
        </w:rPr>
      </w:pPr>
    </w:p>
    <w:p>
      <w:pPr>
        <w:pStyle w:val="9"/>
        <w:tabs>
          <w:tab w:val="left" w:pos="8227"/>
        </w:tabs>
        <w:kinsoku w:val="0"/>
        <w:overflowPunct w:val="0"/>
        <w:spacing w:before="0" w:line="381" w:lineRule="auto"/>
        <w:ind w:right="118"/>
        <w:jc w:val="left"/>
        <w:rPr>
          <w:rFonts w:hint="eastAsia" w:ascii="宋体" w:hAnsi="宋体" w:eastAsia="宋体" w:cs="宋体"/>
          <w:b/>
          <w:bCs/>
          <w:highlight w:val="none"/>
        </w:rPr>
      </w:pPr>
      <w:r>
        <w:rPr>
          <w:rFonts w:hint="eastAsia" w:ascii="宋体" w:hAnsi="宋体" w:eastAsia="宋体" w:cs="宋体"/>
          <w:b/>
          <w:bCs/>
          <w:highlight w:val="none"/>
        </w:rPr>
        <w:t>供应商：</w:t>
      </w:r>
      <w:r>
        <w:rPr>
          <w:rFonts w:hint="eastAsia" w:ascii="宋体" w:hAnsi="宋体" w:eastAsia="宋体" w:cs="宋体"/>
          <w:b/>
          <w:bCs/>
          <w:w w:val="95"/>
          <w:highlight w:val="none"/>
        </w:rPr>
        <w:t>（盖章）</w:t>
      </w:r>
    </w:p>
    <w:p>
      <w:pPr>
        <w:pStyle w:val="9"/>
        <w:tabs>
          <w:tab w:val="left" w:pos="8227"/>
        </w:tabs>
        <w:kinsoku w:val="0"/>
        <w:overflowPunct w:val="0"/>
        <w:spacing w:before="0" w:line="381" w:lineRule="auto"/>
        <w:ind w:right="118"/>
        <w:jc w:val="left"/>
        <w:rPr>
          <w:rFonts w:hint="eastAsia" w:ascii="宋体" w:hAnsi="宋体" w:eastAsia="宋体" w:cs="宋体"/>
          <w:b/>
          <w:bCs/>
          <w:w w:val="95"/>
          <w:highlight w:val="none"/>
        </w:rPr>
      </w:pPr>
      <w:r>
        <w:rPr>
          <w:rFonts w:hint="eastAsia" w:ascii="宋体" w:hAnsi="宋体" w:eastAsia="宋体" w:cs="宋体"/>
          <w:b/>
          <w:bCs/>
          <w:highlight w:val="none"/>
        </w:rPr>
        <w:t>法定代表人或被授权人：</w:t>
      </w:r>
      <w:r>
        <w:rPr>
          <w:rFonts w:hint="eastAsia" w:ascii="宋体" w:hAnsi="宋体" w:eastAsia="宋体" w:cs="宋体"/>
          <w:b/>
          <w:bCs/>
          <w:w w:val="95"/>
          <w:highlight w:val="none"/>
        </w:rPr>
        <w:t>（签字）</w:t>
      </w:r>
    </w:p>
    <w:p>
      <w:pPr>
        <w:pStyle w:val="9"/>
        <w:tabs>
          <w:tab w:val="left" w:pos="5551"/>
          <w:tab w:val="left" w:pos="6511"/>
          <w:tab w:val="left" w:pos="7111"/>
          <w:tab w:val="left" w:pos="7711"/>
        </w:tabs>
        <w:kinsoku w:val="0"/>
        <w:overflowPunct w:val="0"/>
        <w:spacing w:before="46"/>
        <w:jc w:val="left"/>
        <w:rPr>
          <w:rFonts w:hint="eastAsia" w:ascii="宋体" w:hAnsi="宋体" w:eastAsia="宋体" w:cs="宋体"/>
          <w:b/>
          <w:bCs/>
          <w:highlight w:val="none"/>
        </w:rPr>
      </w:pPr>
      <w:r>
        <w:rPr>
          <w:rFonts w:hint="eastAsia" w:ascii="宋体" w:hAnsi="宋体" w:eastAsia="宋体" w:cs="宋体"/>
          <w:b/>
          <w:bCs/>
          <w:highlight w:val="none"/>
        </w:rPr>
        <w:t>日期：年月日</w:t>
      </w:r>
    </w:p>
    <w:p>
      <w:pPr>
        <w:pStyle w:val="9"/>
        <w:tabs>
          <w:tab w:val="left" w:pos="5551"/>
          <w:tab w:val="left" w:pos="6511"/>
          <w:tab w:val="left" w:pos="7111"/>
          <w:tab w:val="left" w:pos="7711"/>
        </w:tabs>
        <w:kinsoku w:val="0"/>
        <w:overflowPunct w:val="0"/>
        <w:spacing w:before="46"/>
        <w:ind w:left="0"/>
        <w:rPr>
          <w:rFonts w:hint="eastAsia" w:ascii="宋体" w:hAnsi="宋体" w:eastAsia="宋体" w:cs="宋体"/>
          <w:highlight w:val="none"/>
        </w:rPr>
      </w:pPr>
      <w:r>
        <w:rPr>
          <w:rFonts w:hint="eastAsia" w:ascii="宋体" w:hAnsi="宋体" w:eastAsia="宋体" w:cs="宋体"/>
          <w:highlight w:val="none"/>
        </w:rPr>
        <w:br w:type="page"/>
      </w:r>
    </w:p>
    <w:p>
      <w:pPr>
        <w:pStyle w:val="9"/>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b/>
          <w:bCs/>
          <w:sz w:val="36"/>
          <w:szCs w:val="36"/>
          <w:highlight w:val="none"/>
        </w:rPr>
        <w:t>七、供应商基本情况</w:t>
      </w:r>
    </w:p>
    <w:p>
      <w:pPr>
        <w:pStyle w:val="9"/>
        <w:kinsoku w:val="0"/>
        <w:overflowPunct w:val="0"/>
        <w:spacing w:before="0"/>
        <w:ind w:left="3104" w:right="2998"/>
        <w:jc w:val="center"/>
        <w:rPr>
          <w:rFonts w:hint="eastAsia" w:ascii="宋体" w:hAnsi="宋体" w:eastAsia="宋体" w:cs="宋体"/>
          <w:highlight w:val="none"/>
        </w:rPr>
      </w:pPr>
      <w:r>
        <w:rPr>
          <w:rFonts w:hint="eastAsia" w:ascii="宋体" w:hAnsi="宋体" w:eastAsia="宋体" w:cs="宋体"/>
          <w:b/>
          <w:bCs/>
          <w:highlight w:val="none"/>
        </w:rPr>
        <w:t>（一）供应商基本情况表</w:t>
      </w:r>
    </w:p>
    <w:p>
      <w:pPr>
        <w:pStyle w:val="9"/>
        <w:kinsoku w:val="0"/>
        <w:overflowPunct w:val="0"/>
        <w:spacing w:before="5"/>
        <w:ind w:left="0"/>
        <w:rPr>
          <w:rFonts w:hint="eastAsia" w:ascii="宋体" w:hAnsi="宋体" w:eastAsia="宋体" w:cs="宋体"/>
          <w:b/>
          <w:bCs/>
          <w:sz w:val="6"/>
          <w:szCs w:val="6"/>
          <w:highlight w:val="none"/>
        </w:rPr>
      </w:pPr>
    </w:p>
    <w:tbl>
      <w:tblPr>
        <w:tblStyle w:val="17"/>
        <w:tblW w:w="0" w:type="auto"/>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spacing w:before="145"/>
              <w:ind w:left="181"/>
              <w:rPr>
                <w:rFonts w:hint="eastAsia" w:ascii="宋体" w:hAnsi="宋体" w:eastAsia="宋体" w:cs="宋体"/>
                <w:highlight w:val="none"/>
              </w:rPr>
            </w:pPr>
            <w:r>
              <w:rPr>
                <w:rFonts w:hint="eastAsia" w:ascii="宋体" w:hAnsi="宋体" w:eastAsia="宋体" w:cs="宋体"/>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spacing w:before="146"/>
              <w:ind w:left="137"/>
              <w:rPr>
                <w:rFonts w:hint="eastAsia" w:ascii="宋体" w:hAnsi="宋体" w:eastAsia="宋体" w:cs="宋体"/>
                <w:highlight w:val="none"/>
              </w:rPr>
            </w:pPr>
            <w:r>
              <w:rPr>
                <w:rFonts w:hint="eastAsia" w:ascii="宋体" w:hAnsi="宋体" w:eastAsia="宋体" w:cs="宋体"/>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spacing w:before="141" w:line="312" w:lineRule="exact"/>
              <w:ind w:left="257" w:right="133" w:hanging="120"/>
              <w:rPr>
                <w:rFonts w:hint="eastAsia" w:ascii="宋体" w:hAnsi="宋体" w:eastAsia="宋体" w:cs="宋体"/>
                <w:highlight w:val="none"/>
              </w:rPr>
            </w:pPr>
            <w:r>
              <w:rPr>
                <w:rFonts w:hint="eastAsia" w:ascii="宋体" w:hAnsi="宋体" w:eastAsia="宋体" w:cs="宋体"/>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spacing w:before="4"/>
              <w:rPr>
                <w:rFonts w:hint="eastAsia" w:ascii="宋体" w:hAnsi="宋体" w:eastAsia="宋体" w:cs="宋体"/>
                <w:b/>
                <w:bCs/>
                <w:sz w:val="20"/>
                <w:szCs w:val="20"/>
                <w:highlight w:val="none"/>
              </w:rPr>
            </w:pPr>
          </w:p>
          <w:p>
            <w:pPr>
              <w:pStyle w:val="23"/>
              <w:kinsoku w:val="0"/>
              <w:overflowPunct w:val="0"/>
              <w:ind w:left="366"/>
              <w:rPr>
                <w:rFonts w:hint="eastAsia" w:ascii="宋体" w:hAnsi="宋体" w:eastAsia="宋体" w:cs="宋体"/>
                <w:highlight w:val="none"/>
              </w:rPr>
            </w:pPr>
            <w:r>
              <w:rPr>
                <w:rFonts w:hint="eastAsia" w:ascii="宋体" w:hAnsi="宋体" w:eastAsia="宋体" w:cs="宋体"/>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spacing w:before="4"/>
              <w:rPr>
                <w:rFonts w:hint="eastAsia" w:ascii="宋体" w:hAnsi="宋体" w:eastAsia="宋体" w:cs="宋体"/>
                <w:b/>
                <w:bCs/>
                <w:sz w:val="20"/>
                <w:szCs w:val="20"/>
                <w:highlight w:val="none"/>
              </w:rPr>
            </w:pPr>
          </w:p>
          <w:p>
            <w:pPr>
              <w:pStyle w:val="23"/>
              <w:kinsoku w:val="0"/>
              <w:overflowPunct w:val="0"/>
              <w:ind w:left="383"/>
              <w:rPr>
                <w:rFonts w:hint="eastAsia" w:ascii="宋体" w:hAnsi="宋体" w:eastAsia="宋体" w:cs="宋体"/>
                <w:highlight w:val="none"/>
              </w:rPr>
            </w:pPr>
            <w:r>
              <w:rPr>
                <w:rFonts w:hint="eastAsia" w:ascii="宋体" w:hAnsi="宋体" w:eastAsia="宋体" w:cs="宋体"/>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rPr>
                <w:rFonts w:hint="eastAsia" w:ascii="宋体" w:hAnsi="宋体" w:eastAsia="宋体" w:cs="宋体"/>
                <w:b/>
                <w:bCs/>
                <w:highlight w:val="none"/>
              </w:rPr>
            </w:pPr>
          </w:p>
          <w:p>
            <w:pPr>
              <w:pStyle w:val="23"/>
              <w:kinsoku w:val="0"/>
              <w:overflowPunct w:val="0"/>
              <w:rPr>
                <w:rFonts w:hint="eastAsia" w:ascii="宋体" w:hAnsi="宋体" w:eastAsia="宋体" w:cs="宋体"/>
                <w:b/>
                <w:bCs/>
                <w:highlight w:val="none"/>
              </w:rPr>
            </w:pPr>
          </w:p>
          <w:p>
            <w:pPr>
              <w:pStyle w:val="23"/>
              <w:kinsoku w:val="0"/>
              <w:overflowPunct w:val="0"/>
              <w:rPr>
                <w:rFonts w:hint="eastAsia" w:ascii="宋体" w:hAnsi="宋体" w:eastAsia="宋体" w:cs="宋体"/>
                <w:b/>
                <w:bCs/>
                <w:highlight w:val="none"/>
              </w:rPr>
            </w:pPr>
          </w:p>
          <w:p>
            <w:pPr>
              <w:pStyle w:val="23"/>
              <w:kinsoku w:val="0"/>
              <w:overflowPunct w:val="0"/>
              <w:spacing w:line="475" w:lineRule="auto"/>
              <w:ind w:left="497" w:right="493"/>
              <w:jc w:val="both"/>
              <w:rPr>
                <w:rFonts w:hint="eastAsia" w:ascii="宋体" w:hAnsi="宋体" w:eastAsia="宋体" w:cs="宋体"/>
                <w:highlight w:val="none"/>
              </w:rPr>
            </w:pPr>
            <w:r>
              <w:rPr>
                <w:rFonts w:hint="eastAsia" w:ascii="宋体" w:hAnsi="宋体" w:eastAsia="宋体" w:cs="宋体"/>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spacing w:before="144"/>
              <w:ind w:left="236"/>
              <w:rPr>
                <w:rFonts w:hint="eastAsia" w:ascii="宋体" w:hAnsi="宋体" w:eastAsia="宋体" w:cs="宋体"/>
                <w:highlight w:val="none"/>
              </w:rPr>
            </w:pPr>
            <w:r>
              <w:rPr>
                <w:rFonts w:hint="eastAsia" w:ascii="宋体" w:hAnsi="宋体" w:eastAsia="宋体" w:cs="宋体"/>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spacing w:before="144"/>
              <w:ind w:left="118"/>
              <w:rPr>
                <w:rFonts w:hint="eastAsia" w:ascii="宋体" w:hAnsi="宋体" w:eastAsia="宋体" w:cs="宋体"/>
                <w:highlight w:val="none"/>
              </w:rPr>
            </w:pPr>
            <w:r>
              <w:rPr>
                <w:rFonts w:hint="eastAsia" w:ascii="宋体" w:hAnsi="宋体" w:eastAsia="宋体" w:cs="宋体"/>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spacing w:before="145"/>
              <w:jc w:val="center"/>
              <w:rPr>
                <w:rFonts w:hint="eastAsia" w:ascii="宋体" w:hAnsi="宋体" w:eastAsia="宋体" w:cs="宋体"/>
                <w:highlight w:val="none"/>
              </w:rPr>
            </w:pPr>
            <w:r>
              <w:rPr>
                <w:rFonts w:hint="eastAsia" w:ascii="宋体" w:hAnsi="宋体" w:eastAsia="宋体" w:cs="宋体"/>
                <w:highlight w:val="none"/>
              </w:rPr>
              <w:t>单位行政和技术负责人</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spacing w:before="145"/>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spacing w:before="145"/>
              <w:ind w:left="416"/>
              <w:rPr>
                <w:rFonts w:hint="eastAsia" w:ascii="宋体" w:hAnsi="宋体" w:eastAsia="宋体" w:cs="宋体"/>
                <w:highlight w:val="none"/>
              </w:rPr>
            </w:pPr>
            <w:r>
              <w:rPr>
                <w:rFonts w:hint="eastAsia" w:ascii="宋体" w:hAnsi="宋体" w:eastAsia="宋体" w:cs="宋体"/>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spacing w:before="145"/>
              <w:ind w:left="452"/>
              <w:rPr>
                <w:rFonts w:hint="eastAsia" w:ascii="宋体" w:hAnsi="宋体" w:eastAsia="宋体" w:cs="宋体"/>
                <w:highlight w:val="none"/>
              </w:rPr>
            </w:pPr>
            <w:r>
              <w:rPr>
                <w:rFonts w:hint="eastAsia" w:ascii="宋体" w:hAnsi="宋体" w:eastAsia="宋体" w:cs="宋体"/>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spacing w:before="145"/>
              <w:ind w:left="450"/>
              <w:rPr>
                <w:rFonts w:hint="eastAsia" w:ascii="宋体" w:hAnsi="宋体" w:eastAsia="宋体" w:cs="宋体"/>
                <w:highlight w:val="none"/>
              </w:rPr>
            </w:pPr>
            <w:r>
              <w:rPr>
                <w:rFonts w:hint="eastAsia" w:ascii="宋体" w:hAnsi="宋体" w:eastAsia="宋体" w:cs="宋体"/>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23"/>
              <w:tabs>
                <w:tab w:val="left" w:pos="479"/>
              </w:tabs>
              <w:kinsoku w:val="0"/>
              <w:overflowPunct w:val="0"/>
              <w:spacing w:before="145"/>
              <w:ind w:right="1"/>
              <w:jc w:val="center"/>
              <w:rPr>
                <w:rFonts w:hint="eastAsia" w:ascii="宋体" w:hAnsi="宋体" w:eastAsia="宋体" w:cs="宋体"/>
                <w:highlight w:val="none"/>
              </w:rPr>
            </w:pPr>
            <w:r>
              <w:rPr>
                <w:rFonts w:hint="eastAsia" w:ascii="宋体" w:hAnsi="宋体" w:eastAsia="宋体" w:cs="宋体"/>
                <w:highlight w:val="none"/>
              </w:rPr>
              <w:t>专</w:t>
            </w:r>
            <w:r>
              <w:rPr>
                <w:rFonts w:hint="eastAsia" w:ascii="宋体" w:hAnsi="宋体" w:eastAsia="宋体" w:cs="宋体"/>
                <w:highlight w:val="none"/>
              </w:rPr>
              <w:tab/>
            </w:r>
            <w:r>
              <w:rPr>
                <w:rFonts w:hint="eastAsia" w:ascii="宋体" w:hAnsi="宋体" w:eastAsia="宋体" w:cs="宋体"/>
                <w:highlight w:val="none"/>
              </w:rPr>
              <w:t>业</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3"/>
              <w:tabs>
                <w:tab w:val="left" w:pos="479"/>
              </w:tabs>
              <w:kinsoku w:val="0"/>
              <w:overflowPunct w:val="0"/>
              <w:spacing w:before="145"/>
              <w:ind w:right="1"/>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3"/>
              <w:kinsoku w:val="0"/>
              <w:overflowPunct w:val="0"/>
              <w:rPr>
                <w:rFonts w:hint="eastAsia" w:ascii="宋体" w:hAnsi="宋体" w:eastAsia="宋体" w:cs="宋体"/>
                <w:b/>
                <w:bCs/>
                <w:highlight w:val="none"/>
              </w:rPr>
            </w:pPr>
          </w:p>
          <w:p>
            <w:pPr>
              <w:pStyle w:val="23"/>
              <w:kinsoku w:val="0"/>
              <w:overflowPunct w:val="0"/>
              <w:spacing w:before="1"/>
              <w:rPr>
                <w:rFonts w:hint="eastAsia" w:ascii="宋体" w:hAnsi="宋体" w:eastAsia="宋体" w:cs="宋体"/>
                <w:b/>
                <w:bCs/>
                <w:sz w:val="23"/>
                <w:szCs w:val="23"/>
                <w:highlight w:val="none"/>
              </w:rPr>
            </w:pPr>
          </w:p>
          <w:p>
            <w:pPr>
              <w:pStyle w:val="23"/>
              <w:kinsoku w:val="0"/>
              <w:overflowPunct w:val="0"/>
              <w:spacing w:line="237" w:lineRule="auto"/>
              <w:ind w:left="497" w:right="493"/>
              <w:jc w:val="both"/>
              <w:rPr>
                <w:rFonts w:hint="eastAsia" w:ascii="宋体" w:hAnsi="宋体" w:eastAsia="宋体" w:cs="宋体"/>
                <w:highlight w:val="none"/>
              </w:rPr>
            </w:pPr>
            <w:r>
              <w:rPr>
                <w:rFonts w:hint="eastAsia" w:ascii="宋体" w:hAnsi="宋体" w:eastAsia="宋体" w:cs="宋体"/>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bl>
    <w:p>
      <w:pPr>
        <w:pStyle w:val="9"/>
        <w:kinsoku w:val="0"/>
        <w:overflowPunct w:val="0"/>
        <w:spacing w:before="26" w:line="320" w:lineRule="auto"/>
        <w:ind w:left="1772" w:hanging="1640"/>
        <w:rPr>
          <w:rFonts w:hint="eastAsia" w:ascii="宋体" w:hAnsi="宋体" w:eastAsia="宋体" w:cs="宋体"/>
          <w:b/>
          <w:bCs/>
          <w:w w:val="95"/>
          <w:highlight w:val="none"/>
        </w:rPr>
      </w:pPr>
    </w:p>
    <w:p>
      <w:pPr>
        <w:pStyle w:val="9"/>
        <w:kinsoku w:val="0"/>
        <w:overflowPunct w:val="0"/>
        <w:spacing w:before="26" w:line="320" w:lineRule="auto"/>
        <w:ind w:left="0"/>
        <w:jc w:val="center"/>
        <w:rPr>
          <w:rFonts w:hint="eastAsia" w:ascii="宋体" w:hAnsi="宋体" w:eastAsia="宋体" w:cs="宋体"/>
          <w:highlight w:val="none"/>
        </w:rPr>
      </w:pPr>
      <w:r>
        <w:rPr>
          <w:rFonts w:hint="eastAsia" w:ascii="宋体" w:hAnsi="宋体" w:eastAsia="宋体" w:cs="宋体"/>
          <w:b/>
          <w:bCs/>
          <w:w w:val="95"/>
          <w:highlight w:val="none"/>
        </w:rPr>
        <w:br w:type="page"/>
      </w:r>
      <w:r>
        <w:rPr>
          <w:rFonts w:hint="eastAsia" w:ascii="宋体" w:hAnsi="宋体" w:eastAsia="宋体" w:cs="宋体"/>
          <w:b/>
          <w:bCs/>
          <w:w w:val="95"/>
          <w:highlight w:val="none"/>
        </w:rPr>
        <w:t>（二</w:t>
      </w:r>
      <w:r>
        <w:rPr>
          <w:rFonts w:hint="eastAsia" w:ascii="宋体" w:hAnsi="宋体" w:eastAsia="宋体" w:cs="宋体"/>
          <w:b/>
          <w:bCs/>
          <w:spacing w:val="-15"/>
          <w:w w:val="95"/>
          <w:highlight w:val="none"/>
        </w:rPr>
        <w:t>）</w:t>
      </w:r>
      <w:r>
        <w:rPr>
          <w:rFonts w:hint="eastAsia" w:ascii="宋体" w:hAnsi="宋体" w:eastAsia="宋体" w:cs="宋体"/>
          <w:b/>
          <w:bCs/>
          <w:w w:val="95"/>
          <w:highlight w:val="none"/>
        </w:rPr>
        <w:t>营</w:t>
      </w:r>
      <w:r>
        <w:rPr>
          <w:rFonts w:hint="eastAsia" w:ascii="宋体" w:hAnsi="宋体" w:eastAsia="宋体" w:cs="宋体"/>
          <w:b/>
          <w:bCs/>
          <w:spacing w:val="1"/>
          <w:w w:val="95"/>
          <w:highlight w:val="none"/>
        </w:rPr>
        <w:t>业</w:t>
      </w:r>
      <w:r>
        <w:rPr>
          <w:rFonts w:hint="eastAsia" w:ascii="宋体" w:hAnsi="宋体" w:eastAsia="宋体" w:cs="宋体"/>
          <w:b/>
          <w:bCs/>
          <w:w w:val="95"/>
          <w:highlight w:val="none"/>
        </w:rPr>
        <w:t>执</w:t>
      </w:r>
      <w:r>
        <w:rPr>
          <w:rFonts w:hint="eastAsia" w:ascii="宋体" w:hAnsi="宋体" w:eastAsia="宋体" w:cs="宋体"/>
          <w:b/>
          <w:bCs/>
          <w:spacing w:val="1"/>
          <w:w w:val="95"/>
          <w:highlight w:val="none"/>
        </w:rPr>
        <w:t>照</w:t>
      </w:r>
      <w:r>
        <w:rPr>
          <w:rFonts w:hint="eastAsia" w:ascii="宋体" w:hAnsi="宋体" w:eastAsia="宋体" w:cs="宋体"/>
          <w:b/>
          <w:bCs/>
          <w:w w:val="95"/>
          <w:highlight w:val="none"/>
        </w:rPr>
        <w:t>副本</w:t>
      </w:r>
      <w:r>
        <w:rPr>
          <w:rFonts w:hint="eastAsia" w:ascii="宋体" w:hAnsi="宋体" w:eastAsia="宋体" w:cs="宋体"/>
          <w:b/>
          <w:bCs/>
          <w:spacing w:val="-15"/>
          <w:w w:val="95"/>
          <w:highlight w:val="none"/>
        </w:rPr>
        <w:t>、</w:t>
      </w:r>
      <w:r>
        <w:rPr>
          <w:rFonts w:hint="eastAsia" w:ascii="宋体" w:hAnsi="宋体" w:eastAsia="宋体" w:cs="宋体"/>
          <w:b/>
          <w:bCs/>
          <w:w w:val="95"/>
          <w:highlight w:val="none"/>
        </w:rPr>
        <w:t>税</w:t>
      </w:r>
      <w:r>
        <w:rPr>
          <w:rFonts w:hint="eastAsia" w:ascii="宋体" w:hAnsi="宋体" w:eastAsia="宋体" w:cs="宋体"/>
          <w:b/>
          <w:bCs/>
          <w:spacing w:val="1"/>
          <w:w w:val="95"/>
          <w:highlight w:val="none"/>
        </w:rPr>
        <w:t>务</w:t>
      </w:r>
      <w:r>
        <w:rPr>
          <w:rFonts w:hint="eastAsia" w:ascii="宋体" w:hAnsi="宋体" w:eastAsia="宋体" w:cs="宋体"/>
          <w:b/>
          <w:bCs/>
          <w:w w:val="95"/>
          <w:highlight w:val="none"/>
        </w:rPr>
        <w:t>登</w:t>
      </w:r>
      <w:r>
        <w:rPr>
          <w:rFonts w:hint="eastAsia" w:ascii="宋体" w:hAnsi="宋体" w:eastAsia="宋体" w:cs="宋体"/>
          <w:b/>
          <w:bCs/>
          <w:spacing w:val="1"/>
          <w:w w:val="95"/>
          <w:highlight w:val="none"/>
        </w:rPr>
        <w:t>记</w:t>
      </w:r>
      <w:r>
        <w:rPr>
          <w:rFonts w:hint="eastAsia" w:ascii="宋体" w:hAnsi="宋体" w:eastAsia="宋体" w:cs="宋体"/>
          <w:b/>
          <w:bCs/>
          <w:w w:val="95"/>
          <w:highlight w:val="none"/>
        </w:rPr>
        <w:t>证</w:t>
      </w:r>
      <w:r>
        <w:rPr>
          <w:rFonts w:hint="eastAsia" w:ascii="宋体" w:hAnsi="宋体" w:eastAsia="宋体" w:cs="宋体"/>
          <w:b/>
          <w:bCs/>
          <w:spacing w:val="-17"/>
          <w:w w:val="95"/>
          <w:highlight w:val="none"/>
        </w:rPr>
        <w:t>、</w:t>
      </w:r>
      <w:r>
        <w:rPr>
          <w:rFonts w:hint="eastAsia" w:ascii="宋体" w:hAnsi="宋体" w:eastAsia="宋体" w:cs="宋体"/>
          <w:b/>
          <w:bCs/>
          <w:w w:val="95"/>
          <w:highlight w:val="none"/>
        </w:rPr>
        <w:t>组</w:t>
      </w:r>
      <w:r>
        <w:rPr>
          <w:rFonts w:hint="eastAsia" w:ascii="宋体" w:hAnsi="宋体" w:eastAsia="宋体" w:cs="宋体"/>
          <w:b/>
          <w:bCs/>
          <w:spacing w:val="1"/>
          <w:w w:val="95"/>
          <w:highlight w:val="none"/>
        </w:rPr>
        <w:t>织</w:t>
      </w:r>
      <w:r>
        <w:rPr>
          <w:rFonts w:hint="eastAsia" w:ascii="宋体" w:hAnsi="宋体" w:eastAsia="宋体" w:cs="宋体"/>
          <w:b/>
          <w:bCs/>
          <w:w w:val="95"/>
          <w:highlight w:val="none"/>
        </w:rPr>
        <w:t>机</w:t>
      </w:r>
      <w:r>
        <w:rPr>
          <w:rFonts w:hint="eastAsia" w:ascii="宋体" w:hAnsi="宋体" w:eastAsia="宋体" w:cs="宋体"/>
          <w:b/>
          <w:bCs/>
          <w:spacing w:val="1"/>
          <w:w w:val="95"/>
          <w:highlight w:val="none"/>
        </w:rPr>
        <w:t>构</w:t>
      </w:r>
      <w:r>
        <w:rPr>
          <w:rFonts w:hint="eastAsia" w:ascii="宋体" w:hAnsi="宋体" w:eastAsia="宋体" w:cs="宋体"/>
          <w:b/>
          <w:bCs/>
          <w:w w:val="95"/>
          <w:highlight w:val="none"/>
        </w:rPr>
        <w:t>代码</w:t>
      </w:r>
      <w:r>
        <w:rPr>
          <w:rFonts w:hint="eastAsia" w:ascii="宋体" w:hAnsi="宋体" w:eastAsia="宋体" w:cs="宋体"/>
          <w:b/>
          <w:bCs/>
          <w:spacing w:val="1"/>
          <w:w w:val="95"/>
          <w:highlight w:val="none"/>
        </w:rPr>
        <w:t>证</w:t>
      </w:r>
      <w:r>
        <w:rPr>
          <w:rFonts w:hint="eastAsia" w:ascii="宋体" w:hAnsi="宋体" w:eastAsia="宋体" w:cs="宋体"/>
          <w:b/>
          <w:bCs/>
          <w:spacing w:val="-33"/>
          <w:w w:val="95"/>
          <w:highlight w:val="none"/>
        </w:rPr>
        <w:t>、</w:t>
      </w:r>
      <w:r>
        <w:rPr>
          <w:rFonts w:hint="eastAsia" w:ascii="宋体" w:hAnsi="宋体" w:eastAsia="宋体" w:cs="宋体"/>
          <w:b/>
          <w:bCs/>
          <w:w w:val="95"/>
          <w:highlight w:val="none"/>
        </w:rPr>
        <w:t>（三</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合</w:t>
      </w:r>
      <w:r>
        <w:rPr>
          <w:rFonts w:hint="eastAsia" w:ascii="宋体" w:hAnsi="宋体" w:eastAsia="宋体" w:cs="宋体"/>
          <w:b/>
          <w:bCs/>
          <w:spacing w:val="1"/>
          <w:w w:val="95"/>
          <w:highlight w:val="none"/>
        </w:rPr>
        <w:t>一</w:t>
      </w:r>
      <w:r>
        <w:rPr>
          <w:rFonts w:hint="eastAsia" w:ascii="宋体" w:hAnsi="宋体" w:eastAsia="宋体" w:cs="宋体"/>
          <w:b/>
          <w:bCs/>
          <w:w w:val="95"/>
          <w:highlight w:val="none"/>
        </w:rPr>
        <w:t>的提</w:t>
      </w:r>
      <w:r>
        <w:rPr>
          <w:rFonts w:hint="eastAsia" w:ascii="宋体" w:hAnsi="宋体" w:eastAsia="宋体" w:cs="宋体"/>
          <w:b/>
          <w:bCs/>
          <w:spacing w:val="1"/>
          <w:w w:val="95"/>
          <w:highlight w:val="none"/>
        </w:rPr>
        <w:t>供</w:t>
      </w:r>
      <w:r>
        <w:rPr>
          <w:rFonts w:hint="eastAsia" w:ascii="宋体" w:hAnsi="宋体" w:eastAsia="宋体" w:cs="宋体"/>
          <w:b/>
          <w:bCs/>
          <w:w w:val="95"/>
          <w:highlight w:val="none"/>
        </w:rPr>
        <w:t>统</w:t>
      </w:r>
      <w:r>
        <w:rPr>
          <w:rFonts w:hint="eastAsia" w:ascii="宋体" w:hAnsi="宋体" w:eastAsia="宋体" w:cs="宋体"/>
          <w:b/>
          <w:bCs/>
          <w:spacing w:val="1"/>
          <w:w w:val="95"/>
          <w:highlight w:val="none"/>
        </w:rPr>
        <w:t>一</w:t>
      </w:r>
      <w:r>
        <w:rPr>
          <w:rFonts w:hint="eastAsia" w:ascii="宋体" w:hAnsi="宋体" w:eastAsia="宋体" w:cs="宋体"/>
          <w:b/>
          <w:bCs/>
          <w:w w:val="95"/>
          <w:highlight w:val="none"/>
        </w:rPr>
        <w:t>社会</w:t>
      </w:r>
      <w:r>
        <w:rPr>
          <w:rFonts w:hint="eastAsia" w:ascii="宋体" w:hAnsi="宋体" w:eastAsia="宋体" w:cs="宋体"/>
          <w:b/>
          <w:bCs/>
          <w:spacing w:val="1"/>
          <w:w w:val="95"/>
          <w:highlight w:val="none"/>
        </w:rPr>
        <w:t>信</w:t>
      </w:r>
      <w:r>
        <w:rPr>
          <w:rFonts w:hint="eastAsia" w:ascii="宋体" w:hAnsi="宋体" w:eastAsia="宋体" w:cs="宋体"/>
          <w:b/>
          <w:bCs/>
          <w:w w:val="95"/>
          <w:highlight w:val="none"/>
        </w:rPr>
        <w:t>用</w:t>
      </w:r>
      <w:r>
        <w:rPr>
          <w:rFonts w:hint="eastAsia" w:ascii="宋体" w:hAnsi="宋体" w:eastAsia="宋体" w:cs="宋体"/>
          <w:b/>
          <w:bCs/>
          <w:highlight w:val="none"/>
        </w:rPr>
        <w:t>代码的营业执照）</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（1）企业单位投标提供有效的营业执照（3证合1或多证合1）；</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（2）事业单位投标提供有效的法人证书（带有社会统一信用代码）；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（3）其他组织投标提供有效的登记证书（带有社会统一信用代码）；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（4）自然人投标提供有效的身份证复印件；</w:t>
      </w:r>
    </w:p>
    <w:p>
      <w:pPr>
        <w:pStyle w:val="9"/>
        <w:kinsoku w:val="0"/>
        <w:overflowPunct w:val="0"/>
        <w:spacing w:before="26"/>
        <w:ind w:left="1051" w:right="118"/>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highlight w:val="none"/>
        </w:rPr>
        <w:t>（三）近一年财务状况报告相关材料（复印件加盖单位公章）</w:t>
      </w:r>
    </w:p>
    <w:p>
      <w:pPr>
        <w:pStyle w:val="10"/>
        <w:adjustRightInd w:val="0"/>
        <w:snapToGrid w:val="0"/>
        <w:spacing w:line="360" w:lineRule="auto"/>
        <w:jc w:val="left"/>
        <w:rPr>
          <w:rFonts w:hint="eastAsia" w:ascii="宋体" w:hAnsi="宋体" w:eastAsia="宋体" w:cs="宋体"/>
          <w:b/>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说明：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2019年或2020年审计报告（或基本开户银行出具的资信证明文件）</w:t>
      </w:r>
      <w:r>
        <w:rPr>
          <w:rFonts w:hint="eastAsia" w:ascii="宋体" w:hAnsi="宋体" w:eastAsia="宋体" w:cs="宋体"/>
          <w:color w:val="000000"/>
          <w:kern w:val="0"/>
          <w:sz w:val="24"/>
          <w:highlight w:val="none"/>
        </w:rPr>
        <w:t>，包括 “四表一注”即《资产负债表》《利润表》《现金流量表》《所有者权益变动表》及其附注复印件。</w:t>
      </w:r>
    </w:p>
    <w:p>
      <w:pPr>
        <w:numPr>
          <w:ilvl w:val="0"/>
          <w:numId w:val="6"/>
        </w:numPr>
        <w:spacing w:line="360" w:lineRule="auto"/>
        <w:ind w:firstLine="480"/>
        <w:rPr>
          <w:rFonts w:hint="eastAsia" w:ascii="宋体" w:hAnsi="宋体" w:eastAsia="宋体" w:cs="宋体"/>
          <w:highlight w:val="none"/>
        </w:rPr>
      </w:pPr>
      <w:r>
        <w:rPr>
          <w:rFonts w:hint="eastAsia" w:ascii="宋体" w:hAnsi="宋体" w:eastAsia="宋体" w:cs="宋体"/>
          <w:color w:val="000000"/>
          <w:kern w:val="0"/>
          <w:sz w:val="24"/>
          <w:highlight w:val="none"/>
        </w:rPr>
        <w:t>投标人成立不到1年的，提供季度或月份有关财务报表原件（不需审计）。</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（3）公益类事业单位、自然人无需提供。</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（4）原件或复印件可直接装订，复印件加盖投标人单位章。 </w:t>
      </w:r>
    </w:p>
    <w:p>
      <w:pPr>
        <w:rPr>
          <w:rFonts w:hint="eastAsia" w:ascii="宋体" w:hAnsi="宋体" w:eastAsia="宋体" w:cs="宋体"/>
          <w:highlight w:val="none"/>
        </w:rPr>
      </w:pPr>
    </w:p>
    <w:p>
      <w:pPr>
        <w:pStyle w:val="10"/>
        <w:adjustRightInd w:val="0"/>
        <w:snapToGrid w:val="0"/>
        <w:spacing w:line="360" w:lineRule="auto"/>
        <w:jc w:val="center"/>
        <w:rPr>
          <w:rFonts w:hint="eastAsia" w:ascii="宋体" w:hAnsi="宋体" w:eastAsia="宋体" w:cs="宋体"/>
          <w:b/>
          <w:sz w:val="36"/>
          <w:szCs w:val="36"/>
          <w:highlight w:val="none"/>
        </w:rPr>
      </w:pPr>
      <w:r>
        <w:rPr>
          <w:rFonts w:hint="eastAsia" w:ascii="宋体" w:hAnsi="宋体" w:eastAsia="宋体" w:cs="宋体"/>
          <w:highlight w:val="none"/>
        </w:rPr>
        <w:br w:type="page"/>
      </w:r>
      <w:r>
        <w:rPr>
          <w:rFonts w:hint="eastAsia" w:ascii="宋体" w:hAnsi="宋体" w:eastAsia="宋体" w:cs="宋体"/>
          <w:b/>
          <w:bCs/>
          <w:highlight w:val="none"/>
        </w:rPr>
        <w:t>（四）</w:t>
      </w:r>
      <w:r>
        <w:rPr>
          <w:rFonts w:hint="eastAsia" w:ascii="宋体" w:hAnsi="宋体" w:eastAsia="宋体" w:cs="宋体"/>
          <w:b/>
          <w:bCs/>
          <w:kern w:val="0"/>
          <w:sz w:val="24"/>
          <w:szCs w:val="24"/>
          <w:highlight w:val="none"/>
          <w:lang w:val="en-US" w:eastAsia="zh-CN" w:bidi="ar-SA"/>
        </w:rPr>
        <w:t>税收缴纳证明</w:t>
      </w:r>
    </w:p>
    <w:p>
      <w:pPr>
        <w:pStyle w:val="10"/>
        <w:adjustRightInd w:val="0"/>
        <w:snapToGrid w:val="0"/>
        <w:spacing w:line="360" w:lineRule="auto"/>
        <w:jc w:val="left"/>
        <w:rPr>
          <w:rFonts w:hint="eastAsia" w:ascii="宋体" w:hAnsi="宋体" w:eastAsia="宋体" w:cs="宋体"/>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（1）税收缴纳证明：提供供应商</w:t>
      </w:r>
      <w:r>
        <w:rPr>
          <w:rFonts w:hint="eastAsia" w:ascii="宋体" w:hAnsi="宋体" w:eastAsia="宋体" w:cs="宋体"/>
          <w:color w:val="000000"/>
          <w:kern w:val="0"/>
          <w:sz w:val="24"/>
          <w:highlight w:val="none"/>
          <w:lang w:eastAsia="zh-CN"/>
        </w:rPr>
        <w:t>近半年</w:t>
      </w:r>
      <w:r>
        <w:rPr>
          <w:rFonts w:hint="eastAsia" w:ascii="宋体" w:hAnsi="宋体" w:eastAsia="宋体" w:cs="宋体"/>
          <w:color w:val="000000"/>
          <w:kern w:val="0"/>
          <w:sz w:val="24"/>
          <w:highlight w:val="none"/>
          <w:lang w:val="en-US" w:eastAsia="zh-CN"/>
        </w:rPr>
        <w:t>内</w:t>
      </w:r>
      <w:r>
        <w:rPr>
          <w:rFonts w:hint="eastAsia" w:ascii="宋体" w:hAnsi="宋体" w:eastAsia="宋体" w:cs="宋体"/>
          <w:color w:val="000000"/>
          <w:kern w:val="0"/>
          <w:sz w:val="24"/>
          <w:highlight w:val="none"/>
        </w:rPr>
        <w:t xml:space="preserve">纳税证明； </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（2）依法免税的应提供相关文件证明；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（3）公益类事业单位无需提供；</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（4）新成立未发生缴纳税收事项的投标人，应提供纳税书面承诺；</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9"/>
        <w:numPr>
          <w:ilvl w:val="0"/>
          <w:numId w:val="0"/>
        </w:numPr>
        <w:kinsoku w:val="0"/>
        <w:overflowPunct w:val="0"/>
        <w:spacing w:before="26"/>
        <w:ind w:right="118" w:rightChars="0"/>
        <w:jc w:val="center"/>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（五）单位社会保障缴费证明（复印件加盖公章）</w:t>
      </w:r>
    </w:p>
    <w:p>
      <w:pPr>
        <w:pStyle w:val="10"/>
        <w:adjustRightInd w:val="0"/>
        <w:snapToGrid w:val="0"/>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说明：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（1）社会保障资金缴纳证明：</w:t>
      </w:r>
      <w:r>
        <w:rPr>
          <w:rFonts w:hint="eastAsia" w:ascii="宋体" w:hAnsi="宋体" w:eastAsia="宋体" w:cs="宋体"/>
          <w:color w:val="000000"/>
          <w:kern w:val="0"/>
          <w:sz w:val="24"/>
          <w:highlight w:val="none"/>
          <w:lang w:eastAsia="zh-CN"/>
        </w:rPr>
        <w:t>近半年</w:t>
      </w:r>
      <w:r>
        <w:rPr>
          <w:rFonts w:hint="eastAsia" w:ascii="宋体" w:hAnsi="宋体" w:eastAsia="宋体" w:cs="宋体"/>
          <w:color w:val="000000"/>
          <w:kern w:val="0"/>
          <w:sz w:val="24"/>
          <w:highlight w:val="none"/>
          <w:lang w:val="en-US" w:eastAsia="zh-CN"/>
        </w:rPr>
        <w:t>内</w:t>
      </w:r>
      <w:r>
        <w:rPr>
          <w:rFonts w:hint="eastAsia" w:ascii="宋体" w:hAnsi="宋体" w:eastAsia="宋体" w:cs="宋体"/>
          <w:color w:val="000000"/>
          <w:kern w:val="0"/>
          <w:sz w:val="24"/>
          <w:highlight w:val="none"/>
        </w:rPr>
        <w:t>社保缴纳证明；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（2）依法不需要缴纳社会保障资金的供应商应提供相关文件证明；</w:t>
      </w:r>
    </w:p>
    <w:p>
      <w:pPr>
        <w:pStyle w:val="10"/>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（3）公益类事业单位无需提供；</w:t>
      </w:r>
    </w:p>
    <w:p>
      <w:pPr>
        <w:pStyle w:val="10"/>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（4）新成立未发生缴纳社保资金事项的投标人，应提供缴纳社保资金的书面承诺；</w:t>
      </w:r>
    </w:p>
    <w:p>
      <w:pPr>
        <w:pStyle w:val="10"/>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10"/>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highlight w:val="none"/>
        </w:rPr>
        <w:t>（</w:t>
      </w:r>
      <w:r>
        <w:rPr>
          <w:rFonts w:hint="eastAsia" w:ascii="宋体" w:hAnsi="宋体" w:eastAsia="宋体" w:cs="宋体"/>
          <w:b/>
          <w:bCs/>
          <w:highlight w:val="none"/>
          <w:lang w:eastAsia="zh-CN"/>
        </w:rPr>
        <w:t>六</w:t>
      </w:r>
      <w:r>
        <w:rPr>
          <w:rFonts w:hint="eastAsia" w:ascii="宋体" w:hAnsi="宋体" w:eastAsia="宋体" w:cs="宋体"/>
          <w:b/>
          <w:bCs/>
          <w:highlight w:val="none"/>
        </w:rPr>
        <w:t>）</w:t>
      </w:r>
      <w:r>
        <w:rPr>
          <w:rFonts w:hint="eastAsia" w:ascii="宋体" w:hAnsi="宋体" w:eastAsia="宋体" w:cs="宋体"/>
          <w:b/>
          <w:bCs/>
          <w:kern w:val="0"/>
          <w:sz w:val="24"/>
          <w:szCs w:val="24"/>
          <w:highlight w:val="none"/>
          <w:lang w:val="en-US" w:eastAsia="zh-CN" w:bidi="ar-SA"/>
        </w:rPr>
        <w:t>办公场所证明</w:t>
      </w:r>
    </w:p>
    <w:p>
      <w:pP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br w:type="page"/>
      </w:r>
    </w:p>
    <w:p>
      <w:pPr>
        <w:pStyle w:val="10"/>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p>
    <w:p>
      <w:pPr>
        <w:pStyle w:val="10"/>
        <w:adjustRightInd w:val="0"/>
        <w:snapToGrid w:val="0"/>
        <w:spacing w:line="360" w:lineRule="auto"/>
        <w:ind w:firstLine="482"/>
        <w:jc w:val="center"/>
        <w:rPr>
          <w:rFonts w:hint="eastAsia" w:ascii="宋体" w:hAnsi="宋体" w:eastAsia="宋体" w:cs="宋体"/>
          <w:color w:val="000000"/>
          <w:kern w:val="0"/>
          <w:sz w:val="24"/>
          <w:szCs w:val="24"/>
          <w:highlight w:val="none"/>
        </w:rPr>
      </w:pPr>
      <w:r>
        <w:rPr>
          <w:rFonts w:hint="eastAsia" w:ascii="宋体" w:hAnsi="宋体" w:eastAsia="宋体" w:cs="宋体"/>
          <w:b/>
          <w:bCs/>
          <w:highlight w:val="none"/>
        </w:rPr>
        <w:t>（</w:t>
      </w:r>
      <w:r>
        <w:rPr>
          <w:rFonts w:hint="eastAsia" w:ascii="宋体" w:hAnsi="宋体" w:eastAsia="宋体" w:cs="宋体"/>
          <w:b/>
          <w:bCs/>
          <w:highlight w:val="none"/>
          <w:lang w:eastAsia="zh-CN"/>
        </w:rPr>
        <w:t>七</w:t>
      </w:r>
      <w:r>
        <w:rPr>
          <w:rFonts w:hint="eastAsia" w:ascii="宋体" w:hAnsi="宋体" w:eastAsia="宋体" w:cs="宋体"/>
          <w:b/>
          <w:bCs/>
          <w:highlight w:val="none"/>
        </w:rPr>
        <w:t>）</w:t>
      </w:r>
      <w:r>
        <w:rPr>
          <w:rFonts w:hint="eastAsia" w:ascii="宋体" w:hAnsi="宋体" w:eastAsia="宋体" w:cs="宋体"/>
          <w:b/>
          <w:bCs/>
          <w:kern w:val="0"/>
          <w:sz w:val="24"/>
          <w:szCs w:val="24"/>
          <w:highlight w:val="none"/>
          <w:lang w:val="en-US" w:eastAsia="zh-CN" w:bidi="ar-SA"/>
        </w:rPr>
        <w:t>其他证明材料</w:t>
      </w:r>
    </w:p>
    <w:p>
      <w:pPr>
        <w:pStyle w:val="21"/>
        <w:ind w:firstLine="480"/>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color w:val="000000"/>
          <w:kern w:val="0"/>
          <w:sz w:val="24"/>
          <w:szCs w:val="24"/>
          <w:highlight w:val="none"/>
        </w:rPr>
        <w:t>参加政府采购活动前三年内，在经营活动中没有重大违法记录；近三年经营活动中没有重大违法记录声明函</w:t>
      </w:r>
    </w:p>
    <w:p>
      <w:pPr>
        <w:pStyle w:val="21"/>
        <w:ind w:firstLine="480"/>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000000"/>
          <w:kern w:val="0"/>
          <w:sz w:val="24"/>
          <w:szCs w:val="24"/>
          <w:highlight w:val="none"/>
        </w:rPr>
        <w:t>法律、行政法规规定的其他条件。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网站查询的截图，加盖供应商公章）</w:t>
      </w:r>
    </w:p>
    <w:p>
      <w:pPr>
        <w:pStyle w:val="21"/>
        <w:ind w:firstLine="560"/>
        <w:rPr>
          <w:rFonts w:hint="eastAsia" w:ascii="宋体" w:hAnsi="宋体" w:eastAsia="宋体" w:cs="宋体"/>
          <w:color w:val="000000"/>
          <w:kern w:val="0"/>
          <w:sz w:val="28"/>
          <w:szCs w:val="28"/>
          <w:highlight w:val="none"/>
        </w:rPr>
        <w:sectPr>
          <w:footerReference r:id="rId7"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rPr>
          <w:rFonts w:hint="eastAsia" w:ascii="宋体" w:hAnsi="宋体" w:eastAsia="宋体" w:cs="宋体"/>
          <w:b/>
          <w:szCs w:val="21"/>
          <w:highlight w:val="none"/>
        </w:rPr>
      </w:pPr>
      <w:r>
        <w:rPr>
          <w:rFonts w:hint="eastAsia" w:ascii="宋体" w:hAnsi="宋体" w:eastAsia="宋体" w:cs="宋体"/>
          <w:b/>
          <w:bCs/>
          <w:sz w:val="36"/>
          <w:szCs w:val="36"/>
          <w:highlight w:val="none"/>
        </w:rPr>
        <w:t>八、一般商务条款偏离表</w:t>
      </w:r>
    </w:p>
    <w:p>
      <w:pPr>
        <w:rPr>
          <w:rFonts w:hint="eastAsia" w:ascii="宋体" w:hAnsi="宋体" w:eastAsia="宋体" w:cs="宋体"/>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166"/>
        <w:gridCol w:w="1237"/>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154" w:type="dxa"/>
            <w:noWrap w:val="0"/>
            <w:vAlign w:val="center"/>
          </w:tcPr>
          <w:p>
            <w:pPr>
              <w:jc w:val="left"/>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一般商务条款序号</w:t>
            </w:r>
          </w:p>
        </w:tc>
        <w:tc>
          <w:tcPr>
            <w:tcW w:w="2166" w:type="dxa"/>
            <w:noWrap w:val="0"/>
            <w:vAlign w:val="center"/>
          </w:tcPr>
          <w:p>
            <w:pPr>
              <w:jc w:val="left"/>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条款内容</w:t>
            </w:r>
          </w:p>
        </w:tc>
        <w:tc>
          <w:tcPr>
            <w:tcW w:w="1237" w:type="dxa"/>
            <w:noWrap w:val="0"/>
            <w:vAlign w:val="center"/>
          </w:tcPr>
          <w:p>
            <w:pPr>
              <w:jc w:val="left"/>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是否响应</w:t>
            </w:r>
          </w:p>
        </w:tc>
        <w:tc>
          <w:tcPr>
            <w:tcW w:w="2658" w:type="dxa"/>
            <w:noWrap w:val="0"/>
            <w:vAlign w:val="center"/>
          </w:tcPr>
          <w:p>
            <w:pPr>
              <w:jc w:val="left"/>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154" w:type="dxa"/>
            <w:noWrap w:val="0"/>
            <w:vAlign w:val="center"/>
          </w:tcPr>
          <w:p>
            <w:pPr>
              <w:rPr>
                <w:rFonts w:hint="eastAsia" w:ascii="宋体" w:hAnsi="宋体" w:eastAsia="宋体" w:cs="宋体"/>
                <w:spacing w:val="-1"/>
                <w:kern w:val="0"/>
                <w:sz w:val="24"/>
                <w:szCs w:val="24"/>
                <w:highlight w:val="none"/>
              </w:rPr>
            </w:pPr>
          </w:p>
        </w:tc>
        <w:tc>
          <w:tcPr>
            <w:tcW w:w="2166" w:type="dxa"/>
            <w:noWrap w:val="0"/>
            <w:vAlign w:val="center"/>
          </w:tcPr>
          <w:p>
            <w:pPr>
              <w:rPr>
                <w:rFonts w:hint="eastAsia" w:ascii="宋体" w:hAnsi="宋体" w:eastAsia="宋体" w:cs="宋体"/>
                <w:spacing w:val="-1"/>
                <w:kern w:val="0"/>
                <w:sz w:val="24"/>
                <w:szCs w:val="24"/>
                <w:highlight w:val="none"/>
              </w:rPr>
            </w:pPr>
          </w:p>
        </w:tc>
        <w:tc>
          <w:tcPr>
            <w:tcW w:w="1237"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154" w:type="dxa"/>
            <w:noWrap w:val="0"/>
            <w:vAlign w:val="center"/>
          </w:tcPr>
          <w:p>
            <w:pPr>
              <w:rPr>
                <w:rFonts w:hint="eastAsia" w:ascii="宋体" w:hAnsi="宋体" w:eastAsia="宋体" w:cs="宋体"/>
                <w:spacing w:val="-1"/>
                <w:kern w:val="0"/>
                <w:sz w:val="24"/>
                <w:szCs w:val="24"/>
                <w:highlight w:val="none"/>
              </w:rPr>
            </w:pPr>
          </w:p>
        </w:tc>
        <w:tc>
          <w:tcPr>
            <w:tcW w:w="2166" w:type="dxa"/>
            <w:noWrap w:val="0"/>
            <w:vAlign w:val="center"/>
          </w:tcPr>
          <w:p>
            <w:pPr>
              <w:rPr>
                <w:rFonts w:hint="eastAsia" w:ascii="宋体" w:hAnsi="宋体" w:eastAsia="宋体" w:cs="宋体"/>
                <w:spacing w:val="-1"/>
                <w:kern w:val="0"/>
                <w:sz w:val="24"/>
                <w:szCs w:val="24"/>
                <w:highlight w:val="none"/>
              </w:rPr>
            </w:pPr>
          </w:p>
        </w:tc>
        <w:tc>
          <w:tcPr>
            <w:tcW w:w="1237"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154" w:type="dxa"/>
            <w:noWrap w:val="0"/>
            <w:vAlign w:val="center"/>
          </w:tcPr>
          <w:p>
            <w:pPr>
              <w:rPr>
                <w:rFonts w:hint="eastAsia" w:ascii="宋体" w:hAnsi="宋体" w:eastAsia="宋体" w:cs="宋体"/>
                <w:spacing w:val="-1"/>
                <w:kern w:val="0"/>
                <w:sz w:val="24"/>
                <w:szCs w:val="24"/>
                <w:highlight w:val="none"/>
              </w:rPr>
            </w:pPr>
          </w:p>
        </w:tc>
        <w:tc>
          <w:tcPr>
            <w:tcW w:w="2166" w:type="dxa"/>
            <w:noWrap w:val="0"/>
            <w:vAlign w:val="center"/>
          </w:tcPr>
          <w:p>
            <w:pPr>
              <w:rPr>
                <w:rFonts w:hint="eastAsia" w:ascii="宋体" w:hAnsi="宋体" w:eastAsia="宋体" w:cs="宋体"/>
                <w:spacing w:val="-1"/>
                <w:kern w:val="0"/>
                <w:sz w:val="24"/>
                <w:szCs w:val="24"/>
                <w:highlight w:val="none"/>
              </w:rPr>
            </w:pPr>
          </w:p>
        </w:tc>
        <w:tc>
          <w:tcPr>
            <w:tcW w:w="1237"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4</w:t>
            </w:r>
          </w:p>
        </w:tc>
        <w:tc>
          <w:tcPr>
            <w:tcW w:w="2154" w:type="dxa"/>
            <w:noWrap w:val="0"/>
            <w:vAlign w:val="center"/>
          </w:tcPr>
          <w:p>
            <w:pPr>
              <w:rPr>
                <w:rFonts w:hint="eastAsia" w:ascii="宋体" w:hAnsi="宋体" w:eastAsia="宋体" w:cs="宋体"/>
                <w:spacing w:val="-1"/>
                <w:kern w:val="0"/>
                <w:sz w:val="24"/>
                <w:szCs w:val="24"/>
                <w:highlight w:val="none"/>
              </w:rPr>
            </w:pPr>
          </w:p>
        </w:tc>
        <w:tc>
          <w:tcPr>
            <w:tcW w:w="2166" w:type="dxa"/>
            <w:noWrap w:val="0"/>
            <w:vAlign w:val="center"/>
          </w:tcPr>
          <w:p>
            <w:pPr>
              <w:rPr>
                <w:rFonts w:hint="eastAsia" w:ascii="宋体" w:hAnsi="宋体" w:eastAsia="宋体" w:cs="宋体"/>
                <w:spacing w:val="-1"/>
                <w:kern w:val="0"/>
                <w:sz w:val="24"/>
                <w:szCs w:val="24"/>
                <w:highlight w:val="none"/>
              </w:rPr>
            </w:pPr>
          </w:p>
        </w:tc>
        <w:tc>
          <w:tcPr>
            <w:tcW w:w="1237"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5</w:t>
            </w:r>
          </w:p>
        </w:tc>
        <w:tc>
          <w:tcPr>
            <w:tcW w:w="2154" w:type="dxa"/>
            <w:noWrap w:val="0"/>
            <w:vAlign w:val="center"/>
          </w:tcPr>
          <w:p>
            <w:pPr>
              <w:rPr>
                <w:rFonts w:hint="eastAsia" w:ascii="宋体" w:hAnsi="宋体" w:eastAsia="宋体" w:cs="宋体"/>
                <w:spacing w:val="-1"/>
                <w:kern w:val="0"/>
                <w:sz w:val="24"/>
                <w:szCs w:val="24"/>
                <w:highlight w:val="none"/>
              </w:rPr>
            </w:pPr>
          </w:p>
        </w:tc>
        <w:tc>
          <w:tcPr>
            <w:tcW w:w="2166" w:type="dxa"/>
            <w:noWrap w:val="0"/>
            <w:vAlign w:val="center"/>
          </w:tcPr>
          <w:p>
            <w:pPr>
              <w:rPr>
                <w:rFonts w:hint="eastAsia" w:ascii="宋体" w:hAnsi="宋体" w:eastAsia="宋体" w:cs="宋体"/>
                <w:spacing w:val="-1"/>
                <w:kern w:val="0"/>
                <w:sz w:val="24"/>
                <w:szCs w:val="24"/>
                <w:highlight w:val="none"/>
              </w:rPr>
            </w:pPr>
          </w:p>
        </w:tc>
        <w:tc>
          <w:tcPr>
            <w:tcW w:w="1237"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6</w:t>
            </w:r>
          </w:p>
        </w:tc>
        <w:tc>
          <w:tcPr>
            <w:tcW w:w="2154" w:type="dxa"/>
            <w:noWrap w:val="0"/>
            <w:vAlign w:val="center"/>
          </w:tcPr>
          <w:p>
            <w:pPr>
              <w:rPr>
                <w:rFonts w:hint="eastAsia" w:ascii="宋体" w:hAnsi="宋体" w:eastAsia="宋体" w:cs="宋体"/>
                <w:spacing w:val="-1"/>
                <w:kern w:val="0"/>
                <w:sz w:val="24"/>
                <w:szCs w:val="24"/>
                <w:highlight w:val="none"/>
              </w:rPr>
            </w:pPr>
          </w:p>
        </w:tc>
        <w:tc>
          <w:tcPr>
            <w:tcW w:w="2166" w:type="dxa"/>
            <w:noWrap w:val="0"/>
            <w:vAlign w:val="center"/>
          </w:tcPr>
          <w:p>
            <w:pPr>
              <w:rPr>
                <w:rFonts w:hint="eastAsia" w:ascii="宋体" w:hAnsi="宋体" w:eastAsia="宋体" w:cs="宋体"/>
                <w:spacing w:val="-1"/>
                <w:kern w:val="0"/>
                <w:sz w:val="24"/>
                <w:szCs w:val="24"/>
                <w:highlight w:val="none"/>
              </w:rPr>
            </w:pPr>
          </w:p>
        </w:tc>
        <w:tc>
          <w:tcPr>
            <w:tcW w:w="1237"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7</w:t>
            </w:r>
          </w:p>
        </w:tc>
        <w:tc>
          <w:tcPr>
            <w:tcW w:w="2154" w:type="dxa"/>
            <w:noWrap w:val="0"/>
            <w:vAlign w:val="center"/>
          </w:tcPr>
          <w:p>
            <w:pPr>
              <w:rPr>
                <w:rFonts w:hint="eastAsia" w:ascii="宋体" w:hAnsi="宋体" w:eastAsia="宋体" w:cs="宋体"/>
                <w:spacing w:val="-1"/>
                <w:kern w:val="0"/>
                <w:sz w:val="24"/>
                <w:szCs w:val="24"/>
                <w:highlight w:val="none"/>
              </w:rPr>
            </w:pPr>
          </w:p>
        </w:tc>
        <w:tc>
          <w:tcPr>
            <w:tcW w:w="2166" w:type="dxa"/>
            <w:noWrap w:val="0"/>
            <w:vAlign w:val="center"/>
          </w:tcPr>
          <w:p>
            <w:pPr>
              <w:rPr>
                <w:rFonts w:hint="eastAsia" w:ascii="宋体" w:hAnsi="宋体" w:eastAsia="宋体" w:cs="宋体"/>
                <w:spacing w:val="-1"/>
                <w:kern w:val="0"/>
                <w:sz w:val="24"/>
                <w:szCs w:val="24"/>
                <w:highlight w:val="none"/>
              </w:rPr>
            </w:pPr>
          </w:p>
        </w:tc>
        <w:tc>
          <w:tcPr>
            <w:tcW w:w="1237"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8</w:t>
            </w:r>
          </w:p>
        </w:tc>
        <w:tc>
          <w:tcPr>
            <w:tcW w:w="2154" w:type="dxa"/>
            <w:noWrap w:val="0"/>
            <w:vAlign w:val="center"/>
          </w:tcPr>
          <w:p>
            <w:pPr>
              <w:rPr>
                <w:rFonts w:hint="eastAsia" w:ascii="宋体" w:hAnsi="宋体" w:eastAsia="宋体" w:cs="宋体"/>
                <w:spacing w:val="-1"/>
                <w:kern w:val="0"/>
                <w:sz w:val="24"/>
                <w:szCs w:val="24"/>
                <w:highlight w:val="none"/>
              </w:rPr>
            </w:pPr>
          </w:p>
        </w:tc>
        <w:tc>
          <w:tcPr>
            <w:tcW w:w="2166" w:type="dxa"/>
            <w:noWrap w:val="0"/>
            <w:vAlign w:val="center"/>
          </w:tcPr>
          <w:p>
            <w:pPr>
              <w:rPr>
                <w:rFonts w:hint="eastAsia" w:ascii="宋体" w:hAnsi="宋体" w:eastAsia="宋体" w:cs="宋体"/>
                <w:spacing w:val="-1"/>
                <w:kern w:val="0"/>
                <w:sz w:val="24"/>
                <w:szCs w:val="24"/>
                <w:highlight w:val="none"/>
              </w:rPr>
            </w:pPr>
          </w:p>
        </w:tc>
        <w:tc>
          <w:tcPr>
            <w:tcW w:w="1237"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9</w:t>
            </w:r>
          </w:p>
        </w:tc>
        <w:tc>
          <w:tcPr>
            <w:tcW w:w="2154" w:type="dxa"/>
            <w:noWrap w:val="0"/>
            <w:vAlign w:val="center"/>
          </w:tcPr>
          <w:p>
            <w:pPr>
              <w:rPr>
                <w:rFonts w:hint="eastAsia" w:ascii="宋体" w:hAnsi="宋体" w:eastAsia="宋体" w:cs="宋体"/>
                <w:spacing w:val="-1"/>
                <w:kern w:val="0"/>
                <w:sz w:val="24"/>
                <w:szCs w:val="24"/>
                <w:highlight w:val="none"/>
              </w:rPr>
            </w:pPr>
          </w:p>
        </w:tc>
        <w:tc>
          <w:tcPr>
            <w:tcW w:w="2166" w:type="dxa"/>
            <w:noWrap w:val="0"/>
            <w:vAlign w:val="center"/>
          </w:tcPr>
          <w:p>
            <w:pPr>
              <w:rPr>
                <w:rFonts w:hint="eastAsia" w:ascii="宋体" w:hAnsi="宋体" w:eastAsia="宋体" w:cs="宋体"/>
                <w:spacing w:val="-1"/>
                <w:kern w:val="0"/>
                <w:sz w:val="24"/>
                <w:szCs w:val="24"/>
                <w:highlight w:val="none"/>
              </w:rPr>
            </w:pPr>
          </w:p>
        </w:tc>
        <w:tc>
          <w:tcPr>
            <w:tcW w:w="1237"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10</w:t>
            </w:r>
          </w:p>
        </w:tc>
        <w:tc>
          <w:tcPr>
            <w:tcW w:w="2154" w:type="dxa"/>
            <w:noWrap w:val="0"/>
            <w:vAlign w:val="center"/>
          </w:tcPr>
          <w:p>
            <w:pPr>
              <w:rPr>
                <w:rFonts w:hint="eastAsia" w:ascii="宋体" w:hAnsi="宋体" w:eastAsia="宋体" w:cs="宋体"/>
                <w:spacing w:val="-1"/>
                <w:kern w:val="0"/>
                <w:sz w:val="24"/>
                <w:szCs w:val="24"/>
                <w:highlight w:val="none"/>
              </w:rPr>
            </w:pPr>
          </w:p>
        </w:tc>
        <w:tc>
          <w:tcPr>
            <w:tcW w:w="2166" w:type="dxa"/>
            <w:noWrap w:val="0"/>
            <w:vAlign w:val="center"/>
          </w:tcPr>
          <w:p>
            <w:pPr>
              <w:rPr>
                <w:rFonts w:hint="eastAsia" w:ascii="宋体" w:hAnsi="宋体" w:eastAsia="宋体" w:cs="宋体"/>
                <w:spacing w:val="-1"/>
                <w:kern w:val="0"/>
                <w:sz w:val="24"/>
                <w:szCs w:val="24"/>
                <w:highlight w:val="none"/>
              </w:rPr>
            </w:pPr>
          </w:p>
        </w:tc>
        <w:tc>
          <w:tcPr>
            <w:tcW w:w="1237"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11</w:t>
            </w:r>
          </w:p>
        </w:tc>
        <w:tc>
          <w:tcPr>
            <w:tcW w:w="2154" w:type="dxa"/>
            <w:noWrap w:val="0"/>
            <w:vAlign w:val="center"/>
          </w:tcPr>
          <w:p>
            <w:pPr>
              <w:rPr>
                <w:rFonts w:hint="eastAsia" w:ascii="宋体" w:hAnsi="宋体" w:eastAsia="宋体" w:cs="宋体"/>
                <w:spacing w:val="-1"/>
                <w:kern w:val="0"/>
                <w:sz w:val="24"/>
                <w:szCs w:val="24"/>
                <w:highlight w:val="none"/>
              </w:rPr>
            </w:pPr>
          </w:p>
        </w:tc>
        <w:tc>
          <w:tcPr>
            <w:tcW w:w="2166" w:type="dxa"/>
            <w:noWrap w:val="0"/>
            <w:vAlign w:val="center"/>
          </w:tcPr>
          <w:p>
            <w:pPr>
              <w:rPr>
                <w:rFonts w:hint="eastAsia" w:ascii="宋体" w:hAnsi="宋体" w:eastAsia="宋体" w:cs="宋体"/>
                <w:spacing w:val="-1"/>
                <w:kern w:val="0"/>
                <w:sz w:val="24"/>
                <w:szCs w:val="24"/>
                <w:highlight w:val="none"/>
              </w:rPr>
            </w:pPr>
          </w:p>
        </w:tc>
        <w:tc>
          <w:tcPr>
            <w:tcW w:w="1237"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w:t>
            </w:r>
          </w:p>
        </w:tc>
        <w:tc>
          <w:tcPr>
            <w:tcW w:w="2154" w:type="dxa"/>
            <w:noWrap w:val="0"/>
            <w:vAlign w:val="center"/>
          </w:tcPr>
          <w:p>
            <w:pPr>
              <w:rPr>
                <w:rFonts w:hint="eastAsia" w:ascii="宋体" w:hAnsi="宋体" w:eastAsia="宋体" w:cs="宋体"/>
                <w:spacing w:val="-1"/>
                <w:kern w:val="0"/>
                <w:sz w:val="24"/>
                <w:szCs w:val="24"/>
                <w:highlight w:val="none"/>
              </w:rPr>
            </w:pPr>
          </w:p>
        </w:tc>
        <w:tc>
          <w:tcPr>
            <w:tcW w:w="2166" w:type="dxa"/>
            <w:noWrap w:val="0"/>
            <w:vAlign w:val="center"/>
          </w:tcPr>
          <w:p>
            <w:pPr>
              <w:rPr>
                <w:rFonts w:hint="eastAsia" w:ascii="宋体" w:hAnsi="宋体" w:eastAsia="宋体" w:cs="宋体"/>
                <w:spacing w:val="-1"/>
                <w:kern w:val="0"/>
                <w:sz w:val="24"/>
                <w:szCs w:val="24"/>
                <w:highlight w:val="none"/>
              </w:rPr>
            </w:pPr>
          </w:p>
        </w:tc>
        <w:tc>
          <w:tcPr>
            <w:tcW w:w="1237"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13</w:t>
            </w:r>
          </w:p>
        </w:tc>
        <w:tc>
          <w:tcPr>
            <w:tcW w:w="2154" w:type="dxa"/>
            <w:noWrap w:val="0"/>
            <w:vAlign w:val="center"/>
          </w:tcPr>
          <w:p>
            <w:pPr>
              <w:rPr>
                <w:rFonts w:hint="eastAsia" w:ascii="宋体" w:hAnsi="宋体" w:eastAsia="宋体" w:cs="宋体"/>
                <w:spacing w:val="-1"/>
                <w:kern w:val="0"/>
                <w:sz w:val="24"/>
                <w:szCs w:val="24"/>
                <w:highlight w:val="none"/>
              </w:rPr>
            </w:pPr>
          </w:p>
        </w:tc>
        <w:tc>
          <w:tcPr>
            <w:tcW w:w="2166" w:type="dxa"/>
            <w:noWrap w:val="0"/>
            <w:vAlign w:val="center"/>
          </w:tcPr>
          <w:p>
            <w:pPr>
              <w:rPr>
                <w:rFonts w:hint="eastAsia" w:ascii="宋体" w:hAnsi="宋体" w:eastAsia="宋体" w:cs="宋体"/>
                <w:spacing w:val="-1"/>
                <w:kern w:val="0"/>
                <w:sz w:val="24"/>
                <w:szCs w:val="24"/>
                <w:highlight w:val="none"/>
              </w:rPr>
            </w:pPr>
          </w:p>
        </w:tc>
        <w:tc>
          <w:tcPr>
            <w:tcW w:w="1237"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14</w:t>
            </w:r>
          </w:p>
        </w:tc>
        <w:tc>
          <w:tcPr>
            <w:tcW w:w="2154" w:type="dxa"/>
            <w:noWrap w:val="0"/>
            <w:vAlign w:val="center"/>
          </w:tcPr>
          <w:p>
            <w:pPr>
              <w:rPr>
                <w:rFonts w:hint="eastAsia" w:ascii="宋体" w:hAnsi="宋体" w:eastAsia="宋体" w:cs="宋体"/>
                <w:spacing w:val="-1"/>
                <w:kern w:val="0"/>
                <w:sz w:val="24"/>
                <w:szCs w:val="24"/>
                <w:highlight w:val="none"/>
              </w:rPr>
            </w:pPr>
          </w:p>
        </w:tc>
        <w:tc>
          <w:tcPr>
            <w:tcW w:w="2166" w:type="dxa"/>
            <w:noWrap w:val="0"/>
            <w:vAlign w:val="center"/>
          </w:tcPr>
          <w:p>
            <w:pPr>
              <w:rPr>
                <w:rFonts w:hint="eastAsia" w:ascii="宋体" w:hAnsi="宋体" w:eastAsia="宋体" w:cs="宋体"/>
                <w:spacing w:val="-1"/>
                <w:kern w:val="0"/>
                <w:sz w:val="24"/>
                <w:szCs w:val="24"/>
                <w:highlight w:val="none"/>
              </w:rPr>
            </w:pPr>
          </w:p>
        </w:tc>
        <w:tc>
          <w:tcPr>
            <w:tcW w:w="1237"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15</w:t>
            </w:r>
          </w:p>
        </w:tc>
        <w:tc>
          <w:tcPr>
            <w:tcW w:w="2154" w:type="dxa"/>
            <w:noWrap w:val="0"/>
            <w:vAlign w:val="center"/>
          </w:tcPr>
          <w:p>
            <w:pPr>
              <w:rPr>
                <w:rFonts w:hint="eastAsia" w:ascii="宋体" w:hAnsi="宋体" w:eastAsia="宋体" w:cs="宋体"/>
                <w:spacing w:val="-1"/>
                <w:kern w:val="0"/>
                <w:sz w:val="24"/>
                <w:szCs w:val="24"/>
                <w:highlight w:val="none"/>
              </w:rPr>
            </w:pPr>
          </w:p>
        </w:tc>
        <w:tc>
          <w:tcPr>
            <w:tcW w:w="2166" w:type="dxa"/>
            <w:noWrap w:val="0"/>
            <w:vAlign w:val="center"/>
          </w:tcPr>
          <w:p>
            <w:pPr>
              <w:rPr>
                <w:rFonts w:hint="eastAsia" w:ascii="宋体" w:hAnsi="宋体" w:eastAsia="宋体" w:cs="宋体"/>
                <w:spacing w:val="-1"/>
                <w:kern w:val="0"/>
                <w:sz w:val="24"/>
                <w:szCs w:val="24"/>
                <w:highlight w:val="none"/>
              </w:rPr>
            </w:pPr>
          </w:p>
        </w:tc>
        <w:tc>
          <w:tcPr>
            <w:tcW w:w="1237"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注：请在“偏离说明”栏内扼要说明偏离情况，如无偏离则不需列明。</w:t>
      </w:r>
    </w:p>
    <w:p>
      <w:pPr>
        <w:rPr>
          <w:rFonts w:hint="eastAsia" w:ascii="宋体" w:hAnsi="宋体" w:eastAsia="宋体" w:cs="宋体"/>
          <w:szCs w:val="21"/>
          <w:highlight w:val="none"/>
        </w:rPr>
      </w:pPr>
    </w:p>
    <w:p>
      <w:pPr>
        <w:pStyle w:val="9"/>
        <w:kinsoku w:val="0"/>
        <w:overflowPunct w:val="0"/>
        <w:spacing w:before="34" w:line="357" w:lineRule="auto"/>
        <w:ind w:right="126" w:firstLine="480"/>
        <w:jc w:val="center"/>
        <w:rPr>
          <w:rFonts w:hint="eastAsia" w:ascii="宋体" w:hAnsi="宋体" w:eastAsia="宋体" w:cs="宋体"/>
          <w:sz w:val="18"/>
          <w:szCs w:val="18"/>
          <w:highlight w:val="none"/>
        </w:rPr>
      </w:pPr>
    </w:p>
    <w:p>
      <w:pPr>
        <w:pStyle w:val="9"/>
        <w:tabs>
          <w:tab w:val="left" w:pos="6736"/>
        </w:tabs>
        <w:kinsoku w:val="0"/>
        <w:overflowPunct w:val="0"/>
        <w:spacing w:before="26" w:line="337" w:lineRule="auto"/>
        <w:ind w:right="1526" w:firstLine="3927" w:firstLineChars="1650"/>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9"/>
        <w:tabs>
          <w:tab w:val="left" w:pos="6736"/>
        </w:tabs>
        <w:kinsoku w:val="0"/>
        <w:overflowPunct w:val="0"/>
        <w:spacing w:before="26" w:line="337" w:lineRule="auto"/>
        <w:ind w:right="1526" w:firstLine="2499" w:firstLineChars="1050"/>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（签字）</w:t>
      </w:r>
    </w:p>
    <w:p>
      <w:pPr>
        <w:pStyle w:val="9"/>
        <w:kinsoku w:val="0"/>
        <w:overflowPunct w:val="0"/>
        <w:spacing w:before="11"/>
        <w:ind w:left="0"/>
        <w:rPr>
          <w:rFonts w:hint="eastAsia" w:ascii="宋体" w:hAnsi="宋体" w:eastAsia="宋体" w:cs="宋体"/>
          <w:sz w:val="9"/>
          <w:szCs w:val="9"/>
          <w:highlight w:val="none"/>
        </w:rPr>
      </w:pPr>
    </w:p>
    <w:p>
      <w:pPr>
        <w:pStyle w:val="9"/>
        <w:tabs>
          <w:tab w:val="left" w:pos="5418"/>
          <w:tab w:val="left" w:pos="6258"/>
          <w:tab w:val="left" w:pos="7098"/>
        </w:tabs>
        <w:kinsoku w:val="0"/>
        <w:overflowPunct w:val="0"/>
        <w:spacing w:before="26"/>
        <w:ind w:left="4697"/>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9"/>
        <w:numPr>
          <w:ilvl w:val="0"/>
          <w:numId w:val="7"/>
        </w:numPr>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同类项目业绩介绍</w:t>
      </w:r>
    </w:p>
    <w:p>
      <w:pPr>
        <w:rPr>
          <w:rFonts w:hint="eastAsia" w:ascii="宋体" w:hAnsi="宋体" w:eastAsia="宋体" w:cs="宋体"/>
          <w:spacing w:val="-1"/>
          <w:kern w:val="0"/>
          <w:sz w:val="24"/>
          <w:szCs w:val="24"/>
          <w:highlight w:val="none"/>
          <w:lang w:eastAsia="zh-CN"/>
        </w:rPr>
      </w:pPr>
      <w:r>
        <w:rPr>
          <w:rFonts w:hint="eastAsia" w:ascii="宋体" w:hAnsi="宋体" w:eastAsia="宋体" w:cs="宋体"/>
          <w:spacing w:val="-1"/>
          <w:kern w:val="0"/>
          <w:sz w:val="24"/>
          <w:szCs w:val="24"/>
          <w:highlight w:val="none"/>
        </w:rPr>
        <w:t>供应商提供近</w:t>
      </w:r>
      <w:r>
        <w:rPr>
          <w:rFonts w:hint="eastAsia" w:ascii="宋体" w:hAnsi="宋体" w:eastAsia="宋体" w:cs="宋体"/>
          <w:spacing w:val="-1"/>
          <w:kern w:val="0"/>
          <w:sz w:val="24"/>
          <w:szCs w:val="24"/>
          <w:highlight w:val="none"/>
          <w:lang w:val="en-US" w:eastAsia="zh-CN"/>
        </w:rPr>
        <w:t>3</w:t>
      </w:r>
      <w:r>
        <w:rPr>
          <w:rFonts w:hint="eastAsia" w:ascii="宋体" w:hAnsi="宋体" w:eastAsia="宋体" w:cs="宋体"/>
          <w:spacing w:val="-1"/>
          <w:kern w:val="0"/>
          <w:sz w:val="24"/>
          <w:szCs w:val="24"/>
          <w:highlight w:val="none"/>
        </w:rPr>
        <w:t>年（201</w:t>
      </w:r>
      <w:r>
        <w:rPr>
          <w:rFonts w:hint="eastAsia" w:ascii="宋体" w:hAnsi="宋体" w:eastAsia="宋体" w:cs="宋体"/>
          <w:spacing w:val="-1"/>
          <w:kern w:val="0"/>
          <w:sz w:val="24"/>
          <w:szCs w:val="24"/>
          <w:highlight w:val="none"/>
          <w:lang w:val="en-US" w:eastAsia="zh-CN"/>
        </w:rPr>
        <w:t>8</w:t>
      </w:r>
      <w:r>
        <w:rPr>
          <w:rFonts w:hint="eastAsia" w:ascii="宋体" w:hAnsi="宋体" w:eastAsia="宋体" w:cs="宋体"/>
          <w:spacing w:val="-1"/>
          <w:kern w:val="0"/>
          <w:sz w:val="24"/>
          <w:szCs w:val="24"/>
          <w:highlight w:val="none"/>
        </w:rPr>
        <w:t>年</w:t>
      </w:r>
      <w:r>
        <w:rPr>
          <w:rFonts w:hint="eastAsia" w:ascii="宋体" w:hAnsi="宋体" w:eastAsia="宋体" w:cs="宋体"/>
          <w:spacing w:val="-1"/>
          <w:kern w:val="0"/>
          <w:sz w:val="24"/>
          <w:szCs w:val="24"/>
          <w:highlight w:val="none"/>
          <w:lang w:val="en-US" w:eastAsia="zh-CN"/>
        </w:rPr>
        <w:t>9</w:t>
      </w:r>
      <w:r>
        <w:rPr>
          <w:rFonts w:hint="eastAsia" w:ascii="宋体" w:hAnsi="宋体" w:eastAsia="宋体" w:cs="宋体"/>
          <w:spacing w:val="-1"/>
          <w:kern w:val="0"/>
          <w:sz w:val="24"/>
          <w:szCs w:val="24"/>
          <w:highlight w:val="none"/>
        </w:rPr>
        <w:t>月1日至投标文件递交截止日前）独立承担的与本项目类似的业绩</w:t>
      </w:r>
      <w:r>
        <w:rPr>
          <w:rFonts w:hint="eastAsia" w:ascii="宋体" w:hAnsi="宋体" w:eastAsia="宋体" w:cs="宋体"/>
          <w:spacing w:val="-1"/>
          <w:kern w:val="0"/>
          <w:sz w:val="24"/>
          <w:szCs w:val="24"/>
          <w:highlight w:val="none"/>
          <w:lang w:eastAsia="zh-CN"/>
        </w:rPr>
        <w:t>：</w:t>
      </w:r>
    </w:p>
    <w:p>
      <w:pPr>
        <w:pStyle w:val="9"/>
        <w:kinsoku w:val="0"/>
        <w:overflowPunct w:val="0"/>
        <w:spacing w:before="0"/>
        <w:ind w:left="0"/>
        <w:rPr>
          <w:rFonts w:hint="eastAsia" w:ascii="宋体" w:hAnsi="宋体" w:eastAsia="宋体" w:cs="宋体"/>
          <w:b/>
          <w:bCs/>
          <w:sz w:val="20"/>
          <w:szCs w:val="20"/>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28"/>
        <w:gridCol w:w="3159"/>
        <w:gridCol w:w="1221"/>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22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客户名称</w:t>
            </w:r>
          </w:p>
        </w:tc>
        <w:tc>
          <w:tcPr>
            <w:tcW w:w="3159"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项目名称及合同金额（万元）</w:t>
            </w:r>
          </w:p>
        </w:tc>
        <w:tc>
          <w:tcPr>
            <w:tcW w:w="1221"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实施时间</w:t>
            </w:r>
          </w:p>
        </w:tc>
        <w:tc>
          <w:tcPr>
            <w:tcW w:w="1720"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228" w:type="dxa"/>
            <w:noWrap w:val="0"/>
            <w:vAlign w:val="center"/>
          </w:tcPr>
          <w:p>
            <w:pPr>
              <w:jc w:val="center"/>
              <w:rPr>
                <w:rFonts w:hint="eastAsia" w:ascii="宋体" w:hAnsi="宋体" w:eastAsia="宋体" w:cs="宋体"/>
                <w:spacing w:val="-1"/>
                <w:kern w:val="0"/>
                <w:sz w:val="24"/>
                <w:szCs w:val="24"/>
                <w:highlight w:val="none"/>
              </w:rPr>
            </w:pPr>
          </w:p>
        </w:tc>
        <w:tc>
          <w:tcPr>
            <w:tcW w:w="3159" w:type="dxa"/>
            <w:noWrap w:val="0"/>
            <w:vAlign w:val="center"/>
          </w:tcPr>
          <w:p>
            <w:pPr>
              <w:jc w:val="center"/>
              <w:rPr>
                <w:rFonts w:hint="eastAsia" w:ascii="宋体" w:hAnsi="宋体" w:eastAsia="宋体" w:cs="宋体"/>
                <w:spacing w:val="-1"/>
                <w:kern w:val="0"/>
                <w:sz w:val="24"/>
                <w:szCs w:val="24"/>
                <w:highlight w:val="none"/>
              </w:rPr>
            </w:pPr>
          </w:p>
        </w:tc>
        <w:tc>
          <w:tcPr>
            <w:tcW w:w="1221" w:type="dxa"/>
            <w:noWrap w:val="0"/>
            <w:vAlign w:val="center"/>
          </w:tcPr>
          <w:p>
            <w:pPr>
              <w:jc w:val="center"/>
              <w:rPr>
                <w:rFonts w:hint="eastAsia" w:ascii="宋体" w:hAnsi="宋体" w:eastAsia="宋体" w:cs="宋体"/>
                <w:spacing w:val="-1"/>
                <w:kern w:val="0"/>
                <w:sz w:val="24"/>
                <w:szCs w:val="24"/>
                <w:highlight w:val="none"/>
              </w:rPr>
            </w:pPr>
          </w:p>
        </w:tc>
        <w:tc>
          <w:tcPr>
            <w:tcW w:w="1720"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228" w:type="dxa"/>
            <w:noWrap w:val="0"/>
            <w:vAlign w:val="center"/>
          </w:tcPr>
          <w:p>
            <w:pPr>
              <w:jc w:val="center"/>
              <w:rPr>
                <w:rFonts w:hint="eastAsia" w:ascii="宋体" w:hAnsi="宋体" w:eastAsia="宋体" w:cs="宋体"/>
                <w:spacing w:val="-1"/>
                <w:kern w:val="0"/>
                <w:sz w:val="24"/>
                <w:szCs w:val="24"/>
                <w:highlight w:val="none"/>
              </w:rPr>
            </w:pPr>
          </w:p>
        </w:tc>
        <w:tc>
          <w:tcPr>
            <w:tcW w:w="3159" w:type="dxa"/>
            <w:noWrap w:val="0"/>
            <w:vAlign w:val="center"/>
          </w:tcPr>
          <w:p>
            <w:pPr>
              <w:jc w:val="center"/>
              <w:rPr>
                <w:rFonts w:hint="eastAsia" w:ascii="宋体" w:hAnsi="宋体" w:eastAsia="宋体" w:cs="宋体"/>
                <w:spacing w:val="-1"/>
                <w:kern w:val="0"/>
                <w:sz w:val="24"/>
                <w:szCs w:val="24"/>
                <w:highlight w:val="none"/>
              </w:rPr>
            </w:pPr>
          </w:p>
        </w:tc>
        <w:tc>
          <w:tcPr>
            <w:tcW w:w="1221" w:type="dxa"/>
            <w:noWrap w:val="0"/>
            <w:vAlign w:val="center"/>
          </w:tcPr>
          <w:p>
            <w:pPr>
              <w:jc w:val="center"/>
              <w:rPr>
                <w:rFonts w:hint="eastAsia" w:ascii="宋体" w:hAnsi="宋体" w:eastAsia="宋体" w:cs="宋体"/>
                <w:spacing w:val="-1"/>
                <w:kern w:val="0"/>
                <w:sz w:val="24"/>
                <w:szCs w:val="24"/>
                <w:highlight w:val="none"/>
              </w:rPr>
            </w:pPr>
          </w:p>
        </w:tc>
        <w:tc>
          <w:tcPr>
            <w:tcW w:w="1720"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228" w:type="dxa"/>
            <w:noWrap w:val="0"/>
            <w:vAlign w:val="center"/>
          </w:tcPr>
          <w:p>
            <w:pPr>
              <w:jc w:val="center"/>
              <w:rPr>
                <w:rFonts w:hint="eastAsia" w:ascii="宋体" w:hAnsi="宋体" w:eastAsia="宋体" w:cs="宋体"/>
                <w:spacing w:val="-1"/>
                <w:kern w:val="0"/>
                <w:sz w:val="24"/>
                <w:szCs w:val="24"/>
                <w:highlight w:val="none"/>
              </w:rPr>
            </w:pPr>
          </w:p>
        </w:tc>
        <w:tc>
          <w:tcPr>
            <w:tcW w:w="3159" w:type="dxa"/>
            <w:noWrap w:val="0"/>
            <w:vAlign w:val="center"/>
          </w:tcPr>
          <w:p>
            <w:pPr>
              <w:jc w:val="center"/>
              <w:rPr>
                <w:rFonts w:hint="eastAsia" w:ascii="宋体" w:hAnsi="宋体" w:eastAsia="宋体" w:cs="宋体"/>
                <w:spacing w:val="-1"/>
                <w:kern w:val="0"/>
                <w:sz w:val="24"/>
                <w:szCs w:val="24"/>
                <w:highlight w:val="none"/>
              </w:rPr>
            </w:pPr>
          </w:p>
        </w:tc>
        <w:tc>
          <w:tcPr>
            <w:tcW w:w="1221" w:type="dxa"/>
            <w:noWrap w:val="0"/>
            <w:vAlign w:val="center"/>
          </w:tcPr>
          <w:p>
            <w:pPr>
              <w:jc w:val="center"/>
              <w:rPr>
                <w:rFonts w:hint="eastAsia" w:ascii="宋体" w:hAnsi="宋体" w:eastAsia="宋体" w:cs="宋体"/>
                <w:spacing w:val="-1"/>
                <w:kern w:val="0"/>
                <w:sz w:val="24"/>
                <w:szCs w:val="24"/>
                <w:highlight w:val="none"/>
              </w:rPr>
            </w:pPr>
          </w:p>
        </w:tc>
        <w:tc>
          <w:tcPr>
            <w:tcW w:w="1720"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w:t>
            </w:r>
          </w:p>
        </w:tc>
        <w:tc>
          <w:tcPr>
            <w:tcW w:w="2228" w:type="dxa"/>
            <w:noWrap w:val="0"/>
            <w:vAlign w:val="center"/>
          </w:tcPr>
          <w:p>
            <w:pPr>
              <w:jc w:val="center"/>
              <w:rPr>
                <w:rFonts w:hint="eastAsia" w:ascii="宋体" w:hAnsi="宋体" w:eastAsia="宋体" w:cs="宋体"/>
                <w:spacing w:val="-1"/>
                <w:kern w:val="0"/>
                <w:sz w:val="24"/>
                <w:szCs w:val="24"/>
                <w:highlight w:val="none"/>
              </w:rPr>
            </w:pPr>
          </w:p>
        </w:tc>
        <w:tc>
          <w:tcPr>
            <w:tcW w:w="3159" w:type="dxa"/>
            <w:noWrap w:val="0"/>
            <w:vAlign w:val="center"/>
          </w:tcPr>
          <w:p>
            <w:pPr>
              <w:jc w:val="center"/>
              <w:rPr>
                <w:rFonts w:hint="eastAsia" w:ascii="宋体" w:hAnsi="宋体" w:eastAsia="宋体" w:cs="宋体"/>
                <w:spacing w:val="-1"/>
                <w:kern w:val="0"/>
                <w:sz w:val="24"/>
                <w:szCs w:val="24"/>
                <w:highlight w:val="none"/>
              </w:rPr>
            </w:pPr>
          </w:p>
        </w:tc>
        <w:tc>
          <w:tcPr>
            <w:tcW w:w="1221" w:type="dxa"/>
            <w:noWrap w:val="0"/>
            <w:vAlign w:val="center"/>
          </w:tcPr>
          <w:p>
            <w:pPr>
              <w:jc w:val="center"/>
              <w:rPr>
                <w:rFonts w:hint="eastAsia" w:ascii="宋体" w:hAnsi="宋体" w:eastAsia="宋体" w:cs="宋体"/>
                <w:spacing w:val="-1"/>
                <w:kern w:val="0"/>
                <w:sz w:val="24"/>
                <w:szCs w:val="24"/>
                <w:highlight w:val="none"/>
              </w:rPr>
            </w:pPr>
          </w:p>
        </w:tc>
        <w:tc>
          <w:tcPr>
            <w:tcW w:w="1720" w:type="dxa"/>
            <w:noWrap w:val="0"/>
            <w:vAlign w:val="center"/>
          </w:tcPr>
          <w:p>
            <w:pPr>
              <w:jc w:val="cente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注：根据评审表的要求提交相应资料。</w:t>
      </w:r>
    </w:p>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业绩证明（以合同或中标通知书为准，在投标文件中附合同扫描件或中标通知书扫描件加盖单位公章，须携带原件备查，弄虚作假者取消其投标资格）。</w:t>
      </w:r>
    </w:p>
    <w:p>
      <w:pPr>
        <w:pStyle w:val="9"/>
        <w:kinsoku w:val="0"/>
        <w:overflowPunct w:val="0"/>
        <w:spacing w:before="0"/>
        <w:ind w:left="0"/>
        <w:rPr>
          <w:rFonts w:hint="eastAsia" w:ascii="宋体" w:hAnsi="宋体" w:eastAsia="宋体" w:cs="宋体"/>
          <w:highlight w:val="none"/>
        </w:rPr>
      </w:pPr>
    </w:p>
    <w:p>
      <w:pPr>
        <w:pStyle w:val="9"/>
        <w:kinsoku w:val="0"/>
        <w:overflowPunct w:val="0"/>
        <w:spacing w:before="10"/>
        <w:ind w:left="0"/>
        <w:rPr>
          <w:rFonts w:hint="eastAsia" w:ascii="宋体" w:hAnsi="宋体" w:eastAsia="宋体" w:cs="宋体"/>
          <w:sz w:val="29"/>
          <w:szCs w:val="29"/>
          <w:highlight w:val="none"/>
        </w:rPr>
      </w:pPr>
    </w:p>
    <w:p>
      <w:pPr>
        <w:pStyle w:val="9"/>
        <w:tabs>
          <w:tab w:val="left" w:pos="7078"/>
        </w:tabs>
        <w:kinsoku w:val="0"/>
        <w:overflowPunct w:val="0"/>
        <w:spacing w:before="0" w:line="337" w:lineRule="auto"/>
        <w:ind w:left="3598" w:right="1266"/>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ab/>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9"/>
        <w:tabs>
          <w:tab w:val="left" w:pos="7078"/>
        </w:tabs>
        <w:kinsoku w:val="0"/>
        <w:overflowPunct w:val="0"/>
        <w:spacing w:before="0" w:line="337" w:lineRule="auto"/>
        <w:ind w:left="3598" w:right="1266"/>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ab/>
      </w:r>
      <w:r>
        <w:rPr>
          <w:rFonts w:hint="eastAsia" w:ascii="宋体" w:hAnsi="宋体" w:eastAsia="宋体" w:cs="宋体"/>
          <w:highlight w:val="none"/>
          <w:u w:val="single"/>
        </w:rPr>
        <w:t>（签字）</w:t>
      </w:r>
    </w:p>
    <w:p>
      <w:pPr>
        <w:pStyle w:val="9"/>
        <w:kinsoku w:val="0"/>
        <w:overflowPunct w:val="0"/>
        <w:spacing w:before="11"/>
        <w:ind w:left="0"/>
        <w:rPr>
          <w:rFonts w:hint="eastAsia" w:ascii="宋体" w:hAnsi="宋体" w:eastAsia="宋体" w:cs="宋体"/>
          <w:sz w:val="9"/>
          <w:szCs w:val="9"/>
          <w:highlight w:val="none"/>
        </w:rPr>
      </w:pPr>
    </w:p>
    <w:p>
      <w:pPr>
        <w:pStyle w:val="9"/>
        <w:tabs>
          <w:tab w:val="left" w:pos="5158"/>
          <w:tab w:val="left" w:pos="5998"/>
          <w:tab w:val="left" w:pos="6838"/>
        </w:tabs>
        <w:kinsoku w:val="0"/>
        <w:overflowPunct w:val="0"/>
        <w:spacing w:before="26"/>
        <w:ind w:left="4437" w:right="118"/>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9"/>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十、中小企业声明函（符合本声明函填写）</w:t>
      </w:r>
    </w:p>
    <w:p>
      <w:pPr>
        <w:pStyle w:val="9"/>
        <w:kinsoku w:val="0"/>
        <w:overflowPunct w:val="0"/>
        <w:spacing w:before="0"/>
        <w:ind w:left="0"/>
        <w:rPr>
          <w:rFonts w:hint="eastAsia" w:ascii="宋体" w:hAnsi="宋体" w:eastAsia="宋体" w:cs="宋体"/>
          <w:b/>
          <w:bCs/>
          <w:sz w:val="32"/>
          <w:szCs w:val="32"/>
          <w:highlight w:val="none"/>
        </w:rPr>
      </w:pPr>
    </w:p>
    <w:p>
      <w:pPr>
        <w:pStyle w:val="9"/>
        <w:tabs>
          <w:tab w:val="left" w:pos="3943"/>
        </w:tabs>
        <w:kinsoku w:val="0"/>
        <w:overflowPunct w:val="0"/>
        <w:spacing w:before="0" w:line="475" w:lineRule="auto"/>
        <w:ind w:right="232" w:firstLine="480"/>
        <w:jc w:val="both"/>
        <w:rPr>
          <w:rFonts w:hint="eastAsia" w:ascii="宋体" w:hAnsi="宋体" w:eastAsia="宋体" w:cs="宋体"/>
          <w:highlight w:val="none"/>
        </w:rPr>
      </w:pPr>
      <w:r>
        <w:rPr>
          <w:rFonts w:hint="eastAsia" w:ascii="宋体" w:hAnsi="宋体" w:eastAsia="宋体" w:cs="宋体"/>
          <w:spacing w:val="1"/>
          <w:highlight w:val="none"/>
        </w:rPr>
        <w:t>本公司郑重声明，根据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的规定，本公司为</w:t>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（请填写：中型、小型、微型）企业。即，本公司</w:t>
      </w:r>
      <w:r>
        <w:rPr>
          <w:rFonts w:hint="eastAsia" w:ascii="宋体" w:hAnsi="宋体" w:eastAsia="宋体" w:cs="宋体"/>
          <w:spacing w:val="35"/>
          <w:highlight w:val="none"/>
        </w:rPr>
        <w:t xml:space="preserve"> </w:t>
      </w:r>
      <w:r>
        <w:rPr>
          <w:rFonts w:hint="eastAsia" w:ascii="宋体" w:hAnsi="宋体" w:eastAsia="宋体" w:cs="宋体"/>
          <w:highlight w:val="none"/>
        </w:rPr>
        <w:t>同时满足以下条件：</w:t>
      </w:r>
    </w:p>
    <w:p>
      <w:pPr>
        <w:pStyle w:val="9"/>
        <w:tabs>
          <w:tab w:val="left" w:pos="1558"/>
        </w:tabs>
        <w:kinsoku w:val="0"/>
        <w:overflowPunct w:val="0"/>
        <w:spacing w:before="71" w:line="475" w:lineRule="auto"/>
        <w:ind w:right="234" w:firstLine="480"/>
        <w:jc w:val="both"/>
        <w:rPr>
          <w:rFonts w:hint="eastAsia" w:ascii="宋体" w:hAnsi="宋体" w:eastAsia="宋体" w:cs="宋体"/>
          <w:highlight w:val="none"/>
        </w:rPr>
      </w:pPr>
      <w:r>
        <w:rPr>
          <w:rFonts w:hint="eastAsia" w:ascii="宋体" w:hAnsi="宋体" w:eastAsia="宋体" w:cs="宋体"/>
          <w:spacing w:val="-2"/>
          <w:highlight w:val="none"/>
        </w:rPr>
        <w:t>1.根据《工业和信息化部、国家统计局、国家发展和改革委员会、财政部关于印发</w:t>
      </w:r>
      <w:r>
        <w:rPr>
          <w:rFonts w:hint="eastAsia" w:ascii="宋体" w:hAnsi="宋体" w:eastAsia="宋体" w:cs="宋体"/>
          <w:spacing w:val="53"/>
          <w:highlight w:val="none"/>
        </w:rPr>
        <w:t xml:space="preserve"> </w:t>
      </w:r>
      <w:r>
        <w:rPr>
          <w:rFonts w:hint="eastAsia" w:ascii="宋体" w:hAnsi="宋体" w:eastAsia="宋体" w:cs="宋体"/>
          <w:highlight w:val="none"/>
        </w:rPr>
        <w:t>中小企业划型标准规定的通知》（工信部联企业[2011]300</w:t>
      </w:r>
      <w:r>
        <w:rPr>
          <w:rFonts w:hint="eastAsia" w:ascii="宋体" w:hAnsi="宋体" w:eastAsia="宋体" w:cs="宋体"/>
          <w:spacing w:val="-60"/>
          <w:highlight w:val="none"/>
        </w:rPr>
        <w:t xml:space="preserve"> </w:t>
      </w:r>
      <w:r>
        <w:rPr>
          <w:rFonts w:hint="eastAsia" w:ascii="宋体" w:hAnsi="宋体" w:eastAsia="宋体" w:cs="宋体"/>
          <w:highlight w:val="none"/>
        </w:rPr>
        <w:t>号）规定的划分标准，本公</w:t>
      </w:r>
      <w:r>
        <w:rPr>
          <w:rFonts w:hint="eastAsia" w:ascii="宋体" w:hAnsi="宋体" w:eastAsia="宋体" w:cs="宋体"/>
          <w:spacing w:val="30"/>
          <w:highlight w:val="none"/>
        </w:rPr>
        <w:t xml:space="preserve"> </w:t>
      </w:r>
      <w:r>
        <w:rPr>
          <w:rFonts w:hint="eastAsia" w:ascii="宋体" w:hAnsi="宋体" w:eastAsia="宋体" w:cs="宋体"/>
          <w:spacing w:val="-1"/>
          <w:highlight w:val="none"/>
        </w:rPr>
        <w:t>司为</w:t>
      </w:r>
      <w:r>
        <w:rPr>
          <w:rFonts w:hint="eastAsia" w:ascii="宋体" w:hAnsi="宋体" w:eastAsia="宋体" w:cs="宋体"/>
          <w:spacing w:val="-1"/>
          <w:highlight w:val="none"/>
          <w:u w:val="single"/>
        </w:rPr>
        <w:tab/>
      </w:r>
      <w:r>
        <w:rPr>
          <w:rFonts w:hint="eastAsia" w:ascii="宋体" w:hAnsi="宋体" w:eastAsia="宋体" w:cs="宋体"/>
          <w:highlight w:val="none"/>
        </w:rPr>
        <w:t>（请填写：中型、小型、微型）企业。</w:t>
      </w:r>
    </w:p>
    <w:p>
      <w:pPr>
        <w:pStyle w:val="9"/>
        <w:tabs>
          <w:tab w:val="left" w:pos="3919"/>
          <w:tab w:val="left" w:pos="6264"/>
          <w:tab w:val="left" w:pos="7399"/>
        </w:tabs>
        <w:kinsoku w:val="0"/>
        <w:overflowPunct w:val="0"/>
        <w:spacing w:before="71" w:line="475" w:lineRule="auto"/>
        <w:ind w:right="114" w:firstLine="480"/>
        <w:rPr>
          <w:rFonts w:hint="eastAsia" w:ascii="宋体" w:hAnsi="宋体" w:eastAsia="宋体" w:cs="宋体"/>
          <w:highlight w:val="none"/>
        </w:rPr>
      </w:pPr>
      <w:r>
        <w:rPr>
          <w:rFonts w:hint="eastAsia" w:ascii="宋体" w:hAnsi="宋体" w:eastAsia="宋体" w:cs="宋体"/>
          <w:spacing w:val="2"/>
          <w:highlight w:val="none"/>
        </w:rPr>
        <w:t>2.本公司参加</w:t>
      </w:r>
      <w:r>
        <w:rPr>
          <w:rFonts w:hint="eastAsia" w:ascii="宋体" w:hAnsi="宋体" w:eastAsia="宋体" w:cs="宋体"/>
          <w:spacing w:val="2"/>
          <w:highlight w:val="none"/>
          <w:u w:val="single"/>
        </w:rPr>
        <w:tab/>
      </w:r>
      <w:r>
        <w:rPr>
          <w:rFonts w:hint="eastAsia" w:ascii="宋体" w:hAnsi="宋体" w:eastAsia="宋体" w:cs="宋体"/>
          <w:spacing w:val="3"/>
          <w:highlight w:val="none"/>
        </w:rPr>
        <w:t>单位的</w:t>
      </w:r>
      <w:r>
        <w:rPr>
          <w:rFonts w:hint="eastAsia" w:ascii="宋体" w:hAnsi="宋体" w:eastAsia="宋体" w:cs="宋体"/>
          <w:spacing w:val="3"/>
          <w:highlight w:val="none"/>
          <w:u w:val="single"/>
        </w:rPr>
        <w:tab/>
      </w:r>
      <w:r>
        <w:rPr>
          <w:rFonts w:hint="eastAsia" w:ascii="宋体" w:hAnsi="宋体" w:eastAsia="宋体" w:cs="宋体"/>
          <w:spacing w:val="3"/>
          <w:highlight w:val="none"/>
        </w:rPr>
        <w:t>项目采购活动提供本企业制</w:t>
      </w:r>
      <w:r>
        <w:rPr>
          <w:rFonts w:hint="eastAsia" w:ascii="宋体" w:hAnsi="宋体" w:eastAsia="宋体" w:cs="宋体"/>
          <w:spacing w:val="25"/>
          <w:highlight w:val="none"/>
        </w:rPr>
        <w:t xml:space="preserve"> </w:t>
      </w:r>
      <w:r>
        <w:rPr>
          <w:rFonts w:hint="eastAsia" w:ascii="宋体" w:hAnsi="宋体" w:eastAsia="宋体" w:cs="宋体"/>
          <w:spacing w:val="-2"/>
          <w:highlight w:val="none"/>
        </w:rPr>
        <w:t>造的货物，由本企业承担工程、提供服务，或者提供其他</w:t>
      </w:r>
      <w:r>
        <w:rPr>
          <w:rFonts w:hint="eastAsia" w:ascii="宋体" w:hAnsi="宋体" w:eastAsia="宋体" w:cs="宋体"/>
          <w:spacing w:val="-2"/>
          <w:highlight w:val="none"/>
          <w:u w:val="single"/>
        </w:rPr>
        <w:tab/>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w:t>
      </w:r>
      <w:r>
        <w:rPr>
          <w:rFonts w:hint="eastAsia" w:ascii="宋体" w:hAnsi="宋体" w:eastAsia="宋体" w:cs="宋体"/>
          <w:spacing w:val="51"/>
          <w:highlight w:val="none"/>
        </w:rPr>
        <w:t xml:space="preserve"> </w:t>
      </w:r>
      <w:r>
        <w:rPr>
          <w:rFonts w:hint="eastAsia" w:ascii="宋体" w:hAnsi="宋体" w:eastAsia="宋体" w:cs="宋体"/>
          <w:highlight w:val="none"/>
        </w:rPr>
        <w:t>小型、微型）企业制造的货物。本条所称货物不包括使用大型企业注册商标的货物。</w:t>
      </w:r>
    </w:p>
    <w:p>
      <w:pPr>
        <w:pStyle w:val="9"/>
        <w:kinsoku w:val="0"/>
        <w:overflowPunct w:val="0"/>
        <w:spacing w:before="71" w:line="475" w:lineRule="auto"/>
        <w:ind w:right="234" w:firstLine="480"/>
        <w:jc w:val="both"/>
        <w:rPr>
          <w:rFonts w:hint="eastAsia" w:ascii="宋体" w:hAnsi="宋体" w:eastAsia="宋体" w:cs="宋体"/>
          <w:highlight w:val="none"/>
        </w:rPr>
      </w:pPr>
      <w:r>
        <w:rPr>
          <w:rFonts w:hint="eastAsia" w:ascii="宋体" w:hAnsi="宋体" w:eastAsia="宋体" w:cs="宋体"/>
          <w:spacing w:val="4"/>
          <w:highlight w:val="none"/>
        </w:rPr>
        <w:t>3.提交本声明函的投标人必须在谈判响应性文件中提供相应的证明材料并对材料</w:t>
      </w:r>
      <w:r>
        <w:rPr>
          <w:rFonts w:hint="eastAsia" w:ascii="宋体" w:hAnsi="宋体" w:eastAsia="宋体" w:cs="宋体"/>
          <w:spacing w:val="50"/>
          <w:highlight w:val="none"/>
        </w:rPr>
        <w:t xml:space="preserve"> </w:t>
      </w:r>
      <w:r>
        <w:rPr>
          <w:rFonts w:hint="eastAsia" w:ascii="宋体" w:hAnsi="宋体" w:eastAsia="宋体" w:cs="宋体"/>
          <w:spacing w:val="-2"/>
          <w:highlight w:val="none"/>
        </w:rPr>
        <w:t>的真实性负法律责任。证明材料包括：上一年度及上一月的财务报表；从业人员名单及</w:t>
      </w:r>
      <w:r>
        <w:rPr>
          <w:rFonts w:hint="eastAsia" w:ascii="宋体" w:hAnsi="宋体" w:eastAsia="宋体" w:cs="宋体"/>
          <w:spacing w:val="55"/>
          <w:highlight w:val="none"/>
        </w:rPr>
        <w:t xml:space="preserve"> </w:t>
      </w:r>
      <w:r>
        <w:rPr>
          <w:rFonts w:hint="eastAsia" w:ascii="宋体" w:hAnsi="宋体" w:eastAsia="宋体" w:cs="宋体"/>
          <w:highlight w:val="none"/>
        </w:rPr>
        <w:t>工资发放明细表。</w:t>
      </w:r>
    </w:p>
    <w:p>
      <w:pPr>
        <w:pStyle w:val="9"/>
        <w:kinsoku w:val="0"/>
        <w:overflowPunct w:val="0"/>
        <w:spacing w:before="71"/>
        <w:ind w:left="598"/>
        <w:rPr>
          <w:rFonts w:hint="eastAsia" w:ascii="宋体" w:hAnsi="宋体" w:eastAsia="宋体" w:cs="宋体"/>
          <w:highlight w:val="none"/>
        </w:rPr>
      </w:pPr>
      <w:r>
        <w:rPr>
          <w:rFonts w:hint="eastAsia" w:ascii="宋体" w:hAnsi="宋体" w:eastAsia="宋体" w:cs="宋体"/>
          <w:highlight w:val="none"/>
        </w:rPr>
        <w:t>本公司对上述声明的真实性负责。如有虚假，将依法承担相应责任。</w:t>
      </w:r>
    </w:p>
    <w:p>
      <w:pPr>
        <w:pStyle w:val="9"/>
        <w:kinsoku w:val="0"/>
        <w:overflowPunct w:val="0"/>
        <w:spacing w:before="0"/>
        <w:ind w:left="0"/>
        <w:rPr>
          <w:rFonts w:hint="eastAsia" w:ascii="宋体" w:hAnsi="宋体" w:eastAsia="宋体" w:cs="宋体"/>
          <w:highlight w:val="none"/>
        </w:rPr>
      </w:pPr>
    </w:p>
    <w:p>
      <w:pPr>
        <w:pStyle w:val="9"/>
        <w:kinsoku w:val="0"/>
        <w:overflowPunct w:val="0"/>
        <w:spacing w:before="0"/>
        <w:ind w:left="0"/>
        <w:rPr>
          <w:rFonts w:hint="eastAsia" w:ascii="宋体" w:hAnsi="宋体" w:eastAsia="宋体" w:cs="宋体"/>
          <w:highlight w:val="none"/>
        </w:rPr>
      </w:pPr>
    </w:p>
    <w:p>
      <w:pPr>
        <w:pStyle w:val="9"/>
        <w:kinsoku w:val="0"/>
        <w:overflowPunct w:val="0"/>
        <w:spacing w:before="9"/>
        <w:ind w:left="0"/>
        <w:rPr>
          <w:rFonts w:hint="eastAsia" w:ascii="宋体" w:hAnsi="宋体" w:eastAsia="宋体" w:cs="宋体"/>
          <w:sz w:val="19"/>
          <w:szCs w:val="19"/>
          <w:highlight w:val="none"/>
        </w:rPr>
      </w:pPr>
    </w:p>
    <w:p>
      <w:pPr>
        <w:pStyle w:val="9"/>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9"/>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9"/>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9"/>
        <w:kinsoku w:val="0"/>
        <w:overflowPunct w:val="0"/>
        <w:spacing w:before="11"/>
        <w:ind w:left="0"/>
        <w:rPr>
          <w:rFonts w:hint="eastAsia" w:ascii="宋体" w:hAnsi="宋体" w:eastAsia="宋体" w:cs="宋体"/>
          <w:sz w:val="9"/>
          <w:szCs w:val="9"/>
          <w:highlight w:val="none"/>
        </w:rPr>
      </w:pPr>
    </w:p>
    <w:p>
      <w:pPr>
        <w:pStyle w:val="9"/>
        <w:kinsoku w:val="0"/>
        <w:overflowPunct w:val="0"/>
        <w:spacing w:before="0"/>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pStyle w:val="9"/>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spacing w:val="8"/>
          <w:w w:val="95"/>
          <w:sz w:val="21"/>
          <w:szCs w:val="21"/>
          <w:highlight w:val="none"/>
        </w:rPr>
        <w:t>1、填写前请认真阅读《工业和信息化部、国家统计局、国家发展和改革委员会、财政</w:t>
      </w:r>
      <w:r>
        <w:rPr>
          <w:rFonts w:hint="eastAsia" w:ascii="宋体" w:hAnsi="宋体" w:eastAsia="宋体" w:cs="宋体"/>
          <w:w w:val="95"/>
          <w:sz w:val="21"/>
          <w:szCs w:val="21"/>
          <w:highlight w:val="none"/>
        </w:rPr>
        <w:t>部关于印发中小企业划型标准规定的通知》（工信部联企业[2011]300 号）和《财政部工业和信息化部关于印发《政府采购促进中小企业发展管理办法》（财库﹝2020﹞46 号）相关规定。</w:t>
      </w:r>
    </w:p>
    <w:p>
      <w:pPr>
        <w:pStyle w:val="9"/>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2、中小企业部分提供其他中小企业制造货物的应另附说明，并与开标一览表保持一致。</w:t>
      </w:r>
    </w:p>
    <w:p>
      <w:pPr>
        <w:pStyle w:val="9"/>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3、未按上述要求提供、填写的，评审时不予以考虑。</w:t>
      </w:r>
    </w:p>
    <w:p>
      <w:pPr>
        <w:pStyle w:val="9"/>
        <w:kinsoku w:val="0"/>
        <w:overflowPunct w:val="0"/>
        <w:spacing w:before="133" w:line="356" w:lineRule="auto"/>
        <w:ind w:right="248" w:firstLine="420"/>
        <w:jc w:val="both"/>
        <w:rPr>
          <w:rFonts w:hint="eastAsia" w:ascii="宋体" w:hAnsi="宋体" w:eastAsia="宋体" w:cs="宋体"/>
          <w:b/>
          <w:bCs/>
          <w:highlight w:val="none"/>
        </w:rPr>
      </w:pPr>
      <w:r>
        <w:rPr>
          <w:rFonts w:hint="eastAsia" w:ascii="宋体" w:hAnsi="宋体" w:eastAsia="宋体" w:cs="宋体"/>
          <w:w w:val="95"/>
          <w:sz w:val="21"/>
          <w:szCs w:val="21"/>
          <w:highlight w:val="none"/>
        </w:rPr>
        <w:br w:type="page"/>
      </w:r>
      <w:r>
        <w:rPr>
          <w:rFonts w:hint="eastAsia" w:ascii="宋体" w:hAnsi="宋体" w:eastAsia="宋体" w:cs="宋体"/>
          <w:b/>
          <w:bCs/>
          <w:sz w:val="36"/>
          <w:szCs w:val="36"/>
          <w:highlight w:val="none"/>
        </w:rPr>
        <w:t>十一、残疾人福利性单位声明函（符合本声明函填写）</w:t>
      </w:r>
    </w:p>
    <w:p>
      <w:pPr>
        <w:pStyle w:val="9"/>
        <w:kinsoku w:val="0"/>
        <w:overflowPunct w:val="0"/>
        <w:spacing w:before="0"/>
        <w:ind w:left="0"/>
        <w:rPr>
          <w:rFonts w:hint="eastAsia" w:ascii="宋体" w:hAnsi="宋体" w:eastAsia="宋体" w:cs="宋体"/>
          <w:b/>
          <w:bCs/>
          <w:sz w:val="32"/>
          <w:szCs w:val="32"/>
          <w:highlight w:val="none"/>
        </w:rPr>
      </w:pPr>
    </w:p>
    <w:p>
      <w:pPr>
        <w:pStyle w:val="9"/>
        <w:tabs>
          <w:tab w:val="left" w:pos="3211"/>
          <w:tab w:val="left" w:pos="4651"/>
        </w:tabs>
        <w:kinsoku w:val="0"/>
        <w:overflowPunct w:val="0"/>
        <w:spacing w:before="264" w:line="356" w:lineRule="auto"/>
        <w:ind w:right="118" w:firstLine="480"/>
        <w:rPr>
          <w:rFonts w:hint="eastAsia" w:ascii="宋体" w:hAnsi="宋体" w:eastAsia="宋体" w:cs="宋体"/>
          <w:highlight w:val="none"/>
        </w:rPr>
      </w:pPr>
      <w:r>
        <w:rPr>
          <w:rFonts w:hint="eastAsia" w:ascii="宋体" w:hAnsi="宋体" w:eastAsia="宋体" w:cs="宋体"/>
          <w:highlight w:val="none"/>
        </w:rPr>
        <w:t>本单位郑重声明</w:t>
      </w:r>
      <w:r>
        <w:rPr>
          <w:rFonts w:hint="eastAsia" w:ascii="宋体" w:hAnsi="宋体" w:eastAsia="宋体" w:cs="宋体"/>
          <w:spacing w:val="-27"/>
          <w:highlight w:val="none"/>
        </w:rPr>
        <w:t>，</w:t>
      </w:r>
      <w:r>
        <w:rPr>
          <w:rFonts w:hint="eastAsia" w:ascii="宋体" w:hAnsi="宋体" w:eastAsia="宋体" w:cs="宋体"/>
          <w:highlight w:val="none"/>
        </w:rPr>
        <w:t>根</w:t>
      </w:r>
      <w:r>
        <w:rPr>
          <w:rFonts w:hint="eastAsia" w:ascii="宋体" w:hAnsi="宋体" w:eastAsia="宋体" w:cs="宋体"/>
          <w:spacing w:val="-24"/>
          <w:highlight w:val="none"/>
        </w:rPr>
        <w:t>据</w:t>
      </w:r>
      <w:r>
        <w:rPr>
          <w:rFonts w:hint="eastAsia" w:ascii="宋体" w:hAnsi="宋体" w:eastAsia="宋体" w:cs="宋体"/>
          <w:highlight w:val="none"/>
        </w:rPr>
        <w:t>《财政部 民政部 中国残疾人联合会关于促进残疾人就业政府采购政策的通知》（财库〔2017〕141</w:t>
      </w:r>
      <w:r>
        <w:rPr>
          <w:rFonts w:hint="eastAsia" w:ascii="宋体" w:hAnsi="宋体" w:eastAsia="宋体" w:cs="宋体"/>
          <w:spacing w:val="-58"/>
          <w:highlight w:val="none"/>
        </w:rPr>
        <w:t xml:space="preserve"> </w:t>
      </w:r>
      <w:r>
        <w:rPr>
          <w:rFonts w:hint="eastAsia" w:ascii="宋体" w:hAnsi="宋体" w:eastAsia="宋体" w:cs="宋体"/>
          <w:highlight w:val="none"/>
        </w:rPr>
        <w:t>号）的规定，本单位为符合条件的残疾人福利性单位</w:t>
      </w:r>
      <w:r>
        <w:rPr>
          <w:rFonts w:hint="eastAsia" w:ascii="宋体" w:hAnsi="宋体" w:eastAsia="宋体" w:cs="宋体"/>
          <w:spacing w:val="-27"/>
          <w:highlight w:val="none"/>
        </w:rPr>
        <w:t>，</w:t>
      </w:r>
      <w:r>
        <w:rPr>
          <w:rFonts w:hint="eastAsia" w:ascii="宋体" w:hAnsi="宋体" w:eastAsia="宋体" w:cs="宋体"/>
          <w:highlight w:val="none"/>
        </w:rPr>
        <w:t>且本单位参加</w:t>
      </w:r>
      <w:r>
        <w:rPr>
          <w:rFonts w:hint="eastAsia" w:ascii="宋体" w:hAnsi="宋体" w:eastAsia="宋体" w:cs="宋体"/>
          <w:highlight w:val="none"/>
          <w:u w:val="single"/>
        </w:rPr>
        <w:tab/>
      </w:r>
      <w:r>
        <w:rPr>
          <w:rFonts w:hint="eastAsia" w:ascii="宋体" w:hAnsi="宋体" w:eastAsia="宋体" w:cs="宋体"/>
          <w:highlight w:val="none"/>
        </w:rPr>
        <w:t>单位的</w:t>
      </w:r>
      <w:r>
        <w:rPr>
          <w:rFonts w:hint="eastAsia" w:ascii="宋体" w:hAnsi="宋体" w:eastAsia="宋体" w:cs="宋体"/>
          <w:highlight w:val="none"/>
          <w:u w:val="single"/>
        </w:rPr>
        <w:tab/>
      </w:r>
      <w:r>
        <w:rPr>
          <w:rFonts w:hint="eastAsia" w:ascii="宋体" w:hAnsi="宋体" w:eastAsia="宋体" w:cs="宋体"/>
          <w:highlight w:val="none"/>
        </w:rPr>
        <w:t>项目采购活动提供本单位制造的货</w:t>
      </w:r>
      <w:r>
        <w:rPr>
          <w:rFonts w:hint="eastAsia" w:ascii="宋体" w:hAnsi="宋体" w:eastAsia="宋体" w:cs="宋体"/>
          <w:spacing w:val="-22"/>
          <w:highlight w:val="none"/>
        </w:rPr>
        <w:t>物</w:t>
      </w:r>
      <w:r>
        <w:rPr>
          <w:rFonts w:hint="eastAsia" w:ascii="宋体" w:hAnsi="宋体" w:eastAsia="宋体" w:cs="宋体"/>
          <w:spacing w:val="-3"/>
          <w:highlight w:val="none"/>
        </w:rPr>
        <w:t>（</w:t>
      </w:r>
      <w:r>
        <w:rPr>
          <w:rFonts w:hint="eastAsia" w:ascii="宋体" w:hAnsi="宋体" w:eastAsia="宋体" w:cs="宋体"/>
          <w:highlight w:val="none"/>
        </w:rPr>
        <w:t>由本</w:t>
      </w:r>
      <w:r>
        <w:rPr>
          <w:rFonts w:hint="eastAsia" w:ascii="宋体" w:hAnsi="宋体" w:eastAsia="宋体" w:cs="宋体"/>
          <w:spacing w:val="1"/>
          <w:highlight w:val="none"/>
        </w:rPr>
        <w:t>单位承担工程/提供服务），或者提供其他残疾人福利性单位制造的货物（不包括使用</w:t>
      </w:r>
      <w:r>
        <w:rPr>
          <w:rFonts w:hint="eastAsia" w:ascii="宋体" w:hAnsi="宋体" w:eastAsia="宋体" w:cs="宋体"/>
          <w:highlight w:val="none"/>
        </w:rPr>
        <w:t>非残疾人福利性单位注册商标的货物）。 本单位对上述声明的真实性负责，如有虚假，将依法承担相应责任。</w:t>
      </w:r>
    </w:p>
    <w:p>
      <w:pPr>
        <w:pStyle w:val="9"/>
        <w:kinsoku w:val="0"/>
        <w:overflowPunct w:val="0"/>
        <w:spacing w:before="0"/>
        <w:ind w:left="0"/>
        <w:rPr>
          <w:rFonts w:hint="eastAsia" w:ascii="宋体" w:hAnsi="宋体" w:eastAsia="宋体" w:cs="宋体"/>
          <w:highlight w:val="none"/>
        </w:rPr>
      </w:pPr>
    </w:p>
    <w:p>
      <w:pPr>
        <w:pStyle w:val="9"/>
        <w:kinsoku w:val="0"/>
        <w:overflowPunct w:val="0"/>
        <w:spacing w:before="0"/>
        <w:ind w:left="0"/>
        <w:rPr>
          <w:rFonts w:hint="eastAsia" w:ascii="宋体" w:hAnsi="宋体" w:eastAsia="宋体" w:cs="宋体"/>
          <w:highlight w:val="none"/>
        </w:rPr>
      </w:pPr>
    </w:p>
    <w:p>
      <w:pPr>
        <w:pStyle w:val="9"/>
        <w:kinsoku w:val="0"/>
        <w:overflowPunct w:val="0"/>
        <w:spacing w:before="3"/>
        <w:ind w:left="0"/>
        <w:rPr>
          <w:rFonts w:hint="eastAsia" w:ascii="宋体" w:hAnsi="宋体" w:eastAsia="宋体" w:cs="宋体"/>
          <w:sz w:val="26"/>
          <w:szCs w:val="26"/>
          <w:highlight w:val="none"/>
        </w:rPr>
      </w:pPr>
    </w:p>
    <w:p>
      <w:pPr>
        <w:pStyle w:val="9"/>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9"/>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9"/>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9"/>
        <w:kinsoku w:val="0"/>
        <w:overflowPunct w:val="0"/>
        <w:spacing w:before="0"/>
        <w:ind w:left="0"/>
        <w:rPr>
          <w:rFonts w:hint="eastAsia" w:ascii="宋体" w:hAnsi="宋体" w:eastAsia="宋体" w:cs="宋体"/>
          <w:highlight w:val="none"/>
        </w:rPr>
      </w:pPr>
    </w:p>
    <w:p>
      <w:pPr>
        <w:pStyle w:val="9"/>
        <w:kinsoku w:val="0"/>
        <w:overflowPunct w:val="0"/>
        <w:spacing w:before="0"/>
        <w:ind w:left="0"/>
        <w:rPr>
          <w:rFonts w:hint="eastAsia" w:ascii="宋体" w:hAnsi="宋体" w:eastAsia="宋体" w:cs="宋体"/>
          <w:highlight w:val="none"/>
        </w:rPr>
      </w:pPr>
    </w:p>
    <w:p>
      <w:pPr>
        <w:pStyle w:val="9"/>
        <w:kinsoku w:val="0"/>
        <w:overflowPunct w:val="0"/>
        <w:spacing w:before="3"/>
        <w:ind w:left="0"/>
        <w:rPr>
          <w:rFonts w:hint="eastAsia" w:ascii="宋体" w:hAnsi="宋体" w:eastAsia="宋体" w:cs="宋体"/>
          <w:sz w:val="26"/>
          <w:szCs w:val="26"/>
          <w:highlight w:val="none"/>
        </w:rPr>
      </w:pPr>
    </w:p>
    <w:p>
      <w:pPr>
        <w:pStyle w:val="9"/>
        <w:kinsoku w:val="0"/>
        <w:overflowPunct w:val="0"/>
        <w:spacing w:before="0" w:line="313" w:lineRule="exact"/>
        <w:rPr>
          <w:rFonts w:hint="eastAsia" w:ascii="宋体" w:hAnsi="宋体" w:eastAsia="宋体" w:cs="宋体"/>
          <w:highlight w:val="none"/>
        </w:rPr>
      </w:pPr>
      <w:r>
        <w:rPr>
          <w:rFonts w:hint="eastAsia" w:ascii="宋体" w:hAnsi="宋体" w:eastAsia="宋体" w:cs="宋体"/>
          <w:highlight w:val="none"/>
        </w:rPr>
        <w:t>说明：</w:t>
      </w:r>
    </w:p>
    <w:p>
      <w:pPr>
        <w:pStyle w:val="9"/>
        <w:kinsoku w:val="0"/>
        <w:overflowPunct w:val="0"/>
        <w:spacing w:before="1" w:line="237" w:lineRule="auto"/>
        <w:ind w:right="118"/>
        <w:rPr>
          <w:rFonts w:hint="eastAsia" w:ascii="宋体" w:hAnsi="宋体" w:eastAsia="宋体" w:cs="宋体"/>
          <w:highlight w:val="none"/>
        </w:rPr>
      </w:pPr>
      <w:r>
        <w:rPr>
          <w:rFonts w:hint="eastAsia" w:ascii="宋体" w:hAnsi="宋体" w:eastAsia="宋体" w:cs="宋体"/>
          <w:highlight w:val="none"/>
        </w:rPr>
        <w:t>1.填写前请认真阅</w:t>
      </w:r>
      <w:r>
        <w:rPr>
          <w:rFonts w:hint="eastAsia" w:ascii="宋体" w:hAnsi="宋体" w:eastAsia="宋体" w:cs="宋体"/>
          <w:spacing w:val="-51"/>
          <w:highlight w:val="none"/>
        </w:rPr>
        <w:t>读</w:t>
      </w:r>
      <w:r>
        <w:rPr>
          <w:rFonts w:hint="eastAsia" w:ascii="宋体" w:hAnsi="宋体" w:eastAsia="宋体" w:cs="宋体"/>
          <w:highlight w:val="none"/>
        </w:rPr>
        <w:t>《财政部 民政部 中国残疾人联合会关于促进残疾人就业政府采购 政策的通知》（财库〔2017〕141</w:t>
      </w:r>
      <w:r>
        <w:rPr>
          <w:rFonts w:hint="eastAsia" w:ascii="宋体" w:hAnsi="宋体" w:eastAsia="宋体" w:cs="宋体"/>
          <w:spacing w:val="-60"/>
          <w:highlight w:val="none"/>
        </w:rPr>
        <w:t xml:space="preserve"> </w:t>
      </w:r>
      <w:r>
        <w:rPr>
          <w:rFonts w:hint="eastAsia" w:ascii="宋体" w:hAnsi="宋体" w:eastAsia="宋体" w:cs="宋体"/>
          <w:highlight w:val="none"/>
        </w:rPr>
        <w:t>号）相关规定。 2.残疾人福利性单位应在本声明函后提供相关证明材料。</w:t>
      </w:r>
    </w:p>
    <w:p>
      <w:pPr>
        <w:pStyle w:val="9"/>
        <w:kinsoku w:val="0"/>
        <w:overflowPunct w:val="0"/>
        <w:spacing w:before="0" w:line="310" w:lineRule="exact"/>
        <w:rPr>
          <w:rFonts w:hint="eastAsia" w:ascii="宋体" w:hAnsi="宋体" w:eastAsia="宋体" w:cs="宋体"/>
          <w:highlight w:val="none"/>
        </w:rPr>
      </w:pPr>
      <w:r>
        <w:rPr>
          <w:rFonts w:hint="eastAsia" w:ascii="宋体" w:hAnsi="宋体" w:eastAsia="宋体" w:cs="宋体"/>
          <w:highlight w:val="none"/>
        </w:rPr>
        <w:t>3.未按上述要求提供、填写的，评审时不予以考虑。</w:t>
      </w:r>
    </w:p>
    <w:p>
      <w:pPr>
        <w:pStyle w:val="9"/>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十二、缴纳招标代理服务费承诺书</w:t>
      </w:r>
    </w:p>
    <w:p>
      <w:pPr>
        <w:pStyle w:val="9"/>
        <w:kinsoku w:val="0"/>
        <w:overflowPunct w:val="0"/>
        <w:spacing w:before="6"/>
        <w:ind w:left="0"/>
        <w:rPr>
          <w:rFonts w:hint="eastAsia" w:ascii="宋体" w:hAnsi="宋体" w:eastAsia="宋体" w:cs="宋体"/>
          <w:b/>
          <w:bCs/>
          <w:sz w:val="26"/>
          <w:szCs w:val="26"/>
          <w:highlight w:val="none"/>
        </w:rPr>
      </w:pPr>
    </w:p>
    <w:p>
      <w:pPr>
        <w:pStyle w:val="27"/>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ascii="宋体" w:hAnsi="宋体" w:eastAsia="宋体" w:cs="宋体"/>
          <w:spacing w:val="1"/>
          <w:highlight w:val="none"/>
          <w:lang w:eastAsia="zh-CN"/>
        </w:rPr>
        <w:t>新疆信尔成工程项目管理有限公司</w:t>
      </w:r>
    </w:p>
    <w:p>
      <w:pPr>
        <w:pStyle w:val="9"/>
        <w:kinsoku w:val="0"/>
        <w:overflowPunct w:val="0"/>
        <w:spacing w:before="10"/>
        <w:ind w:left="0"/>
        <w:rPr>
          <w:rFonts w:hint="eastAsia" w:ascii="宋体" w:hAnsi="宋体" w:eastAsia="宋体" w:cs="宋体"/>
          <w:b/>
          <w:bCs/>
          <w:sz w:val="14"/>
          <w:szCs w:val="14"/>
          <w:highlight w:val="none"/>
        </w:rPr>
      </w:pPr>
    </w:p>
    <w:p>
      <w:pPr>
        <w:pStyle w:val="9"/>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如果我方在贵公司组织的项目名称：</w:t>
      </w:r>
      <w:r>
        <w:rPr>
          <w:rFonts w:hint="eastAsia" w:ascii="宋体" w:hAnsi="宋体" w:eastAsia="宋体" w:cs="宋体"/>
          <w:highlight w:val="none"/>
          <w:u w:val="single"/>
        </w:rPr>
        <w:tab/>
      </w:r>
      <w:r>
        <w:rPr>
          <w:rFonts w:hint="eastAsia" w:ascii="宋体" w:hAnsi="宋体" w:eastAsia="宋体" w:cs="宋体"/>
          <w:highlight w:val="none"/>
          <w:u w:val="single"/>
        </w:rPr>
        <w:t xml:space="preserve">       （项目编号：   </w:t>
      </w:r>
      <w:r>
        <w:rPr>
          <w:rFonts w:hint="eastAsia" w:ascii="宋体" w:hAnsi="宋体" w:eastAsia="宋体" w:cs="宋体"/>
          <w:highlight w:val="none"/>
          <w:u w:val="single"/>
        </w:rPr>
        <w:tab/>
      </w:r>
      <w:r>
        <w:rPr>
          <w:rFonts w:hint="eastAsia" w:ascii="宋体" w:hAnsi="宋体" w:eastAsia="宋体" w:cs="宋体"/>
          <w:highlight w:val="none"/>
          <w:u w:val="single"/>
        </w:rPr>
        <w:t>）</w:t>
      </w:r>
      <w:r>
        <w:rPr>
          <w:rFonts w:hint="eastAsia" w:ascii="宋体" w:hAnsi="宋体" w:eastAsia="宋体" w:cs="宋体"/>
          <w:highlight w:val="none"/>
        </w:rPr>
        <w:t>磋商采购项目中被确定为成交供应商候选人，我方保证在收到《成交通知书》前，按照磋商文件的规定向贵公司</w:t>
      </w:r>
      <w:r>
        <w:rPr>
          <w:rFonts w:hint="eastAsia" w:ascii="宋体" w:hAnsi="宋体" w:eastAsia="宋体" w:cs="宋体"/>
          <w:spacing w:val="4"/>
          <w:highlight w:val="none"/>
        </w:rPr>
        <w:t>缴纳</w:t>
      </w:r>
      <w:r>
        <w:rPr>
          <w:rFonts w:hint="eastAsia" w:ascii="宋体" w:hAnsi="宋体" w:eastAsia="宋体" w:cs="宋体"/>
          <w:highlight w:val="none"/>
        </w:rPr>
        <w:t>招标代理服务费。</w:t>
      </w:r>
    </w:p>
    <w:p>
      <w:pPr>
        <w:pStyle w:val="9"/>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我方如违约，愿凭贵公司开出的违约通知，按上述承诺金额的200％在采购人与我方签订的采购合同款项中扣付，并在此同意和要求采购人（应</w:t>
      </w:r>
      <w:r>
        <w:rPr>
          <w:rFonts w:hint="eastAsia" w:ascii="宋体" w:hAnsi="宋体" w:eastAsia="宋体" w:cs="宋体"/>
          <w:highlight w:val="none"/>
          <w:lang w:eastAsia="zh-CN"/>
        </w:rPr>
        <w:t>新疆信尔成工程项目管理有限公司</w:t>
      </w:r>
      <w:r>
        <w:rPr>
          <w:rFonts w:hint="eastAsia" w:ascii="宋体" w:hAnsi="宋体" w:eastAsia="宋体" w:cs="宋体"/>
          <w:highlight w:val="none"/>
        </w:rPr>
        <w:t>的要求）办理支付手续。</w:t>
      </w:r>
    </w:p>
    <w:p>
      <w:pPr>
        <w:pStyle w:val="9"/>
        <w:kinsoku w:val="0"/>
        <w:overflowPunct w:val="0"/>
        <w:spacing w:before="34" w:line="358" w:lineRule="auto"/>
        <w:ind w:left="119" w:right="125" w:firstLine="480" w:firstLineChars="200"/>
        <w:rPr>
          <w:rFonts w:hint="eastAsia" w:ascii="宋体" w:hAnsi="宋体" w:eastAsia="宋体" w:cs="宋体"/>
          <w:spacing w:val="-1"/>
          <w:w w:val="95"/>
          <w:highlight w:val="none"/>
        </w:rPr>
      </w:pPr>
      <w:r>
        <w:rPr>
          <w:rFonts w:hint="eastAsia" w:ascii="宋体" w:hAnsi="宋体" w:eastAsia="宋体" w:cs="宋体"/>
          <w:highlight w:val="none"/>
        </w:rPr>
        <w:t>特此承诺！</w:t>
      </w:r>
    </w:p>
    <w:p>
      <w:pPr>
        <w:pStyle w:val="9"/>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9"/>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9"/>
        <w:kinsoku w:val="0"/>
        <w:wordWrap w:val="0"/>
        <w:overflowPunct w:val="0"/>
        <w:spacing w:before="34" w:line="358" w:lineRule="auto"/>
        <w:ind w:left="119" w:right="125" w:firstLine="480" w:firstLineChars="200"/>
        <w:jc w:val="righ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 xml:space="preserve">日   </w:t>
      </w:r>
    </w:p>
    <w:p>
      <w:pPr>
        <w:pStyle w:val="9"/>
        <w:kinsoku w:val="0"/>
        <w:overflowPunct w:val="0"/>
        <w:spacing w:before="34" w:line="357" w:lineRule="auto"/>
        <w:ind w:right="126" w:firstLine="480"/>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十三、退还保证金说明函</w:t>
      </w:r>
    </w:p>
    <w:p>
      <w:pPr>
        <w:pStyle w:val="9"/>
        <w:kinsoku w:val="0"/>
        <w:overflowPunct w:val="0"/>
        <w:spacing w:before="6"/>
        <w:ind w:left="0"/>
        <w:rPr>
          <w:rFonts w:hint="eastAsia" w:ascii="宋体" w:hAnsi="宋体" w:eastAsia="宋体" w:cs="宋体"/>
          <w:b/>
          <w:bCs/>
          <w:sz w:val="26"/>
          <w:szCs w:val="26"/>
          <w:highlight w:val="none"/>
        </w:rPr>
      </w:pPr>
    </w:p>
    <w:p>
      <w:pPr>
        <w:pStyle w:val="27"/>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ascii="宋体" w:hAnsi="宋体" w:eastAsia="宋体" w:cs="宋体"/>
          <w:spacing w:val="1"/>
          <w:highlight w:val="none"/>
          <w:lang w:eastAsia="zh-CN"/>
        </w:rPr>
        <w:t>新疆信尔成工程项目管理有限公司</w:t>
      </w:r>
    </w:p>
    <w:p>
      <w:pPr>
        <w:spacing w:line="360" w:lineRule="auto"/>
        <w:ind w:firstLine="420"/>
        <w:rPr>
          <w:rFonts w:hint="eastAsia" w:ascii="宋体" w:hAnsi="宋体" w:eastAsia="宋体" w:cs="宋体"/>
          <w:kern w:val="0"/>
          <w:sz w:val="24"/>
          <w:szCs w:val="24"/>
          <w:highlight w:val="none"/>
        </w:rPr>
      </w:pPr>
    </w:p>
    <w:p>
      <w:pPr>
        <w:spacing w:line="360" w:lineRule="auto"/>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我单位已按</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项目（项目编号：</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）的招标文件要求，提交的报价保证金</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大写金额</w:t>
      </w:r>
      <w:r>
        <w:rPr>
          <w:rFonts w:hint="eastAsia" w:ascii="宋体" w:hAnsi="宋体" w:eastAsia="宋体" w:cs="宋体"/>
          <w:kern w:val="0"/>
          <w:sz w:val="24"/>
          <w:szCs w:val="24"/>
          <w:highlight w:val="none"/>
        </w:rPr>
        <w:t>）元，请贵公司退还时划到以下帐户：</w:t>
      </w:r>
    </w:p>
    <w:p>
      <w:pPr>
        <w:tabs>
          <w:tab w:val="left" w:pos="676"/>
          <w:tab w:val="left" w:pos="2330"/>
          <w:tab w:val="left" w:pos="9230"/>
        </w:tabs>
        <w:autoSpaceDE w:val="0"/>
        <w:autoSpaceDN w:val="0"/>
        <w:adjustRightInd w:val="0"/>
        <w:spacing w:before="120" w:line="360" w:lineRule="auto"/>
        <w:rPr>
          <w:rFonts w:hint="eastAsia" w:ascii="宋体" w:hAnsi="宋体" w:eastAsia="宋体" w:cs="宋体"/>
          <w:kern w:val="0"/>
          <w:sz w:val="24"/>
          <w:szCs w:val="24"/>
          <w:highlight w:val="none"/>
        </w:rPr>
      </w:pPr>
    </w:p>
    <w:p>
      <w:pPr>
        <w:pStyle w:val="10"/>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 款 单 位：</w:t>
      </w:r>
    </w:p>
    <w:p>
      <w:pPr>
        <w:pStyle w:val="10"/>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收款单位地址：</w:t>
      </w:r>
    </w:p>
    <w:p>
      <w:pPr>
        <w:pStyle w:val="10"/>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开 户 银 行：</w:t>
      </w:r>
    </w:p>
    <w:p>
      <w:pPr>
        <w:pStyle w:val="10"/>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帐       号：</w:t>
      </w:r>
    </w:p>
    <w:p>
      <w:pPr>
        <w:pStyle w:val="10"/>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人：</w:t>
      </w:r>
    </w:p>
    <w:p>
      <w:pPr>
        <w:pStyle w:val="10"/>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电 话：</w:t>
      </w:r>
    </w:p>
    <w:p>
      <w:pPr>
        <w:pStyle w:val="10"/>
        <w:spacing w:line="360" w:lineRule="auto"/>
        <w:rPr>
          <w:rFonts w:hint="eastAsia" w:ascii="宋体" w:hAnsi="宋体" w:eastAsia="宋体" w:cs="宋体"/>
          <w:kern w:val="0"/>
          <w:sz w:val="24"/>
          <w:highlight w:val="none"/>
        </w:rPr>
      </w:pPr>
    </w:p>
    <w:p>
      <w:pPr>
        <w:pStyle w:val="1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（联系人和电话请填写财务人员，以便我公司财务人员核实退还保证金账户正确性）</w:t>
      </w:r>
    </w:p>
    <w:p>
      <w:pPr>
        <w:pStyle w:val="9"/>
        <w:tabs>
          <w:tab w:val="left" w:pos="8107"/>
          <w:tab w:val="left" w:pos="8227"/>
        </w:tabs>
        <w:kinsoku w:val="0"/>
        <w:overflowPunct w:val="0"/>
        <w:spacing w:before="0" w:line="381" w:lineRule="auto"/>
        <w:ind w:left="4027" w:right="118"/>
        <w:rPr>
          <w:rFonts w:hint="eastAsia" w:ascii="宋体" w:hAnsi="宋体" w:eastAsia="宋体" w:cs="宋体"/>
          <w:highlight w:val="none"/>
        </w:rPr>
      </w:pPr>
    </w:p>
    <w:p>
      <w:pPr>
        <w:pStyle w:val="9"/>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9"/>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9"/>
        <w:kinsoku w:val="0"/>
        <w:wordWrap w:val="0"/>
        <w:overflowPunct w:val="0"/>
        <w:spacing w:before="34" w:line="358" w:lineRule="auto"/>
        <w:ind w:left="119" w:right="125" w:firstLine="480" w:firstLineChars="200"/>
        <w:jc w:val="righ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 xml:space="preserve">日   </w:t>
      </w:r>
    </w:p>
    <w:p>
      <w:pPr>
        <w:pStyle w:val="28"/>
        <w:tabs>
          <w:tab w:val="left" w:pos="2763"/>
        </w:tabs>
        <w:kinsoku w:val="0"/>
        <w:overflowPunct w:val="0"/>
        <w:spacing w:before="143"/>
        <w:jc w:val="center"/>
        <w:outlineLvl w:val="9"/>
        <w:rPr>
          <w:rFonts w:hint="eastAsia" w:ascii="宋体" w:hAnsi="宋体" w:eastAsia="宋体" w:cs="宋体"/>
          <w:b w:val="0"/>
          <w:bCs w:val="0"/>
          <w:highlight w:val="none"/>
        </w:rPr>
      </w:pPr>
    </w:p>
    <w:p>
      <w:pPr>
        <w:pStyle w:val="9"/>
        <w:kinsoku w:val="0"/>
        <w:overflowPunct w:val="0"/>
        <w:spacing w:before="34" w:line="358" w:lineRule="auto"/>
        <w:ind w:left="119" w:right="125" w:firstLine="480" w:firstLineChars="200"/>
        <w:jc w:val="right"/>
        <w:rPr>
          <w:rFonts w:hint="eastAsia" w:ascii="宋体" w:hAnsi="宋体" w:eastAsia="宋体" w:cs="宋体"/>
          <w:b/>
          <w:bCs/>
          <w:sz w:val="36"/>
          <w:szCs w:val="36"/>
          <w:highlight w:val="none"/>
        </w:rPr>
      </w:pPr>
      <w:r>
        <w:rPr>
          <w:rFonts w:hint="eastAsia" w:ascii="宋体" w:hAnsi="宋体" w:eastAsia="宋体" w:cs="宋体"/>
          <w:highlight w:val="none"/>
        </w:rPr>
        <w:t xml:space="preserve">        </w:t>
      </w:r>
      <w:r>
        <w:rPr>
          <w:rFonts w:hint="eastAsia" w:ascii="宋体" w:hAnsi="宋体" w:eastAsia="宋体" w:cs="宋体"/>
          <w:spacing w:val="-1"/>
          <w:w w:val="95"/>
          <w:highlight w:val="none"/>
        </w:rPr>
        <w:br w:type="page"/>
      </w:r>
    </w:p>
    <w:p>
      <w:pPr>
        <w:pStyle w:val="9"/>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十四、其他商务资格证明资料</w:t>
      </w:r>
    </w:p>
    <w:p>
      <w:pPr>
        <w:pStyle w:val="9"/>
        <w:kinsoku w:val="0"/>
        <w:overflowPunct w:val="0"/>
        <w:spacing w:before="0" w:line="940" w:lineRule="exact"/>
        <w:ind w:left="0"/>
        <w:jc w:val="center"/>
        <w:rPr>
          <w:rFonts w:hint="eastAsia" w:ascii="宋体" w:hAnsi="宋体" w:eastAsia="宋体" w:cs="宋体"/>
          <w:highlight w:val="none"/>
        </w:rPr>
      </w:pPr>
      <w:r>
        <w:rPr>
          <w:rFonts w:hint="eastAsia" w:ascii="宋体" w:hAnsi="宋体" w:eastAsia="宋体" w:cs="宋体"/>
          <w:highlight w:val="none"/>
        </w:rPr>
        <w:br w:type="page"/>
      </w:r>
    </w:p>
    <w:p>
      <w:pPr>
        <w:pStyle w:val="9"/>
        <w:kinsoku w:val="0"/>
        <w:overflowPunct w:val="0"/>
        <w:spacing w:before="0" w:line="940" w:lineRule="exact"/>
        <w:ind w:left="0"/>
        <w:jc w:val="center"/>
        <w:rPr>
          <w:rFonts w:hint="eastAsia" w:ascii="宋体" w:hAnsi="宋体" w:eastAsia="宋体" w:cs="宋体"/>
          <w:highlight w:val="none"/>
        </w:rPr>
      </w:pPr>
    </w:p>
    <w:p>
      <w:pPr>
        <w:pStyle w:val="9"/>
        <w:kinsoku w:val="0"/>
        <w:overflowPunct w:val="0"/>
        <w:spacing w:before="0" w:line="940" w:lineRule="exact"/>
        <w:ind w:left="0"/>
        <w:jc w:val="center"/>
        <w:rPr>
          <w:rFonts w:hint="eastAsia" w:ascii="宋体" w:hAnsi="宋体" w:eastAsia="宋体" w:cs="宋体"/>
          <w:highlight w:val="none"/>
        </w:rPr>
      </w:pPr>
    </w:p>
    <w:p>
      <w:pPr>
        <w:pStyle w:val="9"/>
        <w:kinsoku w:val="0"/>
        <w:overflowPunct w:val="0"/>
        <w:spacing w:before="0" w:line="940" w:lineRule="exact"/>
        <w:ind w:left="0"/>
        <w:jc w:val="center"/>
        <w:rPr>
          <w:rFonts w:hint="eastAsia" w:ascii="宋体" w:hAnsi="宋体" w:eastAsia="宋体" w:cs="宋体"/>
          <w:highlight w:val="none"/>
        </w:rPr>
      </w:pPr>
    </w:p>
    <w:p>
      <w:pPr>
        <w:pStyle w:val="9"/>
        <w:kinsoku w:val="0"/>
        <w:overflowPunct w:val="0"/>
        <w:spacing w:before="0" w:line="940" w:lineRule="exact"/>
        <w:ind w:left="0"/>
        <w:jc w:val="center"/>
        <w:rPr>
          <w:rFonts w:hint="eastAsia" w:ascii="宋体" w:hAnsi="宋体" w:eastAsia="宋体" w:cs="宋体"/>
          <w:highlight w:val="none"/>
        </w:rPr>
      </w:pPr>
    </w:p>
    <w:p>
      <w:pPr>
        <w:pStyle w:val="9"/>
        <w:kinsoku w:val="0"/>
        <w:overflowPunct w:val="0"/>
        <w:spacing w:before="0" w:line="940" w:lineRule="exact"/>
        <w:ind w:left="0"/>
        <w:jc w:val="center"/>
        <w:rPr>
          <w:rFonts w:hint="eastAsia" w:ascii="宋体" w:hAnsi="宋体" w:eastAsia="宋体" w:cs="宋体"/>
          <w:highlight w:val="none"/>
        </w:rPr>
      </w:pPr>
    </w:p>
    <w:p>
      <w:pPr>
        <w:pStyle w:val="9"/>
        <w:kinsoku w:val="0"/>
        <w:overflowPunct w:val="0"/>
        <w:spacing w:before="0" w:line="940" w:lineRule="exact"/>
        <w:ind w:left="0"/>
        <w:jc w:val="center"/>
        <w:rPr>
          <w:rFonts w:hint="eastAsia" w:ascii="宋体" w:hAnsi="宋体" w:eastAsia="宋体" w:cs="宋体"/>
          <w:highlight w:val="none"/>
        </w:rPr>
      </w:pPr>
    </w:p>
    <w:p>
      <w:pPr>
        <w:pStyle w:val="9"/>
        <w:kinsoku w:val="0"/>
        <w:overflowPunct w:val="0"/>
        <w:spacing w:before="0" w:line="940" w:lineRule="exact"/>
        <w:ind w:left="0"/>
        <w:jc w:val="center"/>
        <w:rPr>
          <w:rFonts w:hint="eastAsia" w:ascii="宋体" w:hAnsi="宋体" w:eastAsia="宋体" w:cs="宋体"/>
          <w:sz w:val="96"/>
          <w:szCs w:val="84"/>
          <w:highlight w:val="none"/>
        </w:rPr>
      </w:pPr>
      <w:r>
        <w:rPr>
          <w:rFonts w:hint="eastAsia" w:ascii="宋体" w:hAnsi="宋体" w:eastAsia="宋体" w:cs="宋体"/>
          <w:b/>
          <w:bCs/>
          <w:spacing w:val="2"/>
          <w:sz w:val="96"/>
          <w:szCs w:val="84"/>
          <w:highlight w:val="none"/>
        </w:rPr>
        <w:t>（二）技术部分</w:t>
      </w:r>
    </w:p>
    <w:p>
      <w:pPr>
        <w:pStyle w:val="9"/>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十五、项目实施方案</w:t>
      </w: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技术方案</w:t>
      </w:r>
    </w:p>
    <w:p>
      <w:pPr>
        <w:pStyle w:val="21"/>
        <w:rPr>
          <w:rFonts w:hint="eastAsia" w:ascii="宋体" w:hAnsi="宋体" w:eastAsia="宋体" w:cs="宋体"/>
          <w:highlight w:val="none"/>
        </w:rPr>
      </w:pPr>
    </w:p>
    <w:p>
      <w:pPr>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1.1</w:t>
      </w:r>
      <w:r>
        <w:rPr>
          <w:rFonts w:hint="eastAsia" w:ascii="宋体" w:hAnsi="宋体" w:eastAsia="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对本项目的理解与认识</w:t>
      </w:r>
      <w:r>
        <w:rPr>
          <w:rFonts w:hint="eastAsia" w:ascii="宋体" w:hAnsi="宋体" w:eastAsia="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eastAsia="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eastAsia="宋体" w:cs="宋体"/>
          <w:kern w:val="0"/>
          <w:sz w:val="24"/>
          <w:szCs w:val="24"/>
          <w:highlight w:val="none"/>
          <w:lang w:eastAsia="zh-CN"/>
        </w:rPr>
        <w:t>和详细评审表编制；</w:t>
      </w:r>
    </w:p>
    <w:p>
      <w:pPr>
        <w:pStyle w:val="21"/>
        <w:rPr>
          <w:rFonts w:hint="eastAsia" w:ascii="宋体" w:hAnsi="宋体" w:eastAsia="宋体" w:cs="宋体"/>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w:t>
      </w:r>
      <w:r>
        <w:rPr>
          <w:rFonts w:hint="eastAsia" w:ascii="宋体" w:hAnsi="宋体" w:eastAsia="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技术参数响应表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87"/>
        <w:gridCol w:w="3538"/>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78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规格/要求</w:t>
            </w:r>
          </w:p>
        </w:tc>
        <w:tc>
          <w:tcPr>
            <w:tcW w:w="353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投标/响应实际参数</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(投标供应商应按响应货物/服务实际数据填写)</w:t>
            </w:r>
          </w:p>
        </w:tc>
        <w:tc>
          <w:tcPr>
            <w:tcW w:w="219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是否偏离（无偏离/正偏离/负偏离）</w:t>
            </w:r>
          </w:p>
        </w:tc>
        <w:tc>
          <w:tcPr>
            <w:tcW w:w="7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偏离简述</w:t>
            </w:r>
          </w:p>
        </w:tc>
        <w:tc>
          <w:tcPr>
            <w:tcW w:w="126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注：1.投标供应商必须对应《磋商内容》的内容逐条响应。清单必须与《报价明细表》一致</w:t>
      </w:r>
      <w:r>
        <w:rPr>
          <w:rFonts w:hint="eastAsia" w:ascii="宋体" w:hAnsi="宋体" w:eastAsia="宋体" w:cs="宋体"/>
          <w:kern w:val="0"/>
          <w:sz w:val="24"/>
          <w:szCs w:val="24"/>
          <w:highlight w:val="none"/>
          <w:lang w:eastAsia="zh-CN"/>
        </w:rPr>
        <w:t>；</w:t>
      </w:r>
    </w:p>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2.投标供应商响应招标需求应具体、明确，含糊不清、不确切或伪造、变造证明材料的，按照不完全响应或者完全不响应处理。构成提供虚假材料的，移送监管部门查处</w:t>
      </w:r>
      <w:r>
        <w:rPr>
          <w:rFonts w:hint="eastAsia" w:ascii="宋体" w:hAnsi="宋体" w:eastAsia="宋体" w:cs="宋体"/>
          <w:kern w:val="0"/>
          <w:sz w:val="24"/>
          <w:szCs w:val="24"/>
          <w:highlight w:val="none"/>
          <w:lang w:eastAsia="zh-CN"/>
        </w:rPr>
        <w:t>；</w:t>
      </w:r>
    </w:p>
    <w:p>
      <w:pP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3.说明：在偏离项必须注明正偏离、负偏离或无偏离。</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w:t>
      </w:r>
      <w:r>
        <w:rPr>
          <w:rFonts w:hint="eastAsia" w:ascii="宋体" w:hAnsi="宋体" w:eastAsia="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难点、重点分析</w:t>
      </w:r>
      <w:r>
        <w:rPr>
          <w:rFonts w:hint="eastAsia" w:ascii="宋体" w:hAnsi="宋体" w:eastAsia="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eastAsia="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eastAsia="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ascii="宋体" w:hAnsi="宋体" w:eastAsia="宋体" w:cs="宋体"/>
          <w:highlight w:val="none"/>
        </w:rPr>
      </w:pPr>
      <w:r>
        <w:rPr>
          <w:rFonts w:hint="eastAsia" w:ascii="宋体" w:hAnsi="宋体" w:eastAsia="宋体" w:cs="宋体"/>
          <w:b/>
          <w:kern w:val="0"/>
          <w:sz w:val="24"/>
          <w:szCs w:val="24"/>
          <w:highlight w:val="none"/>
        </w:rPr>
        <w:t>1.4</w:t>
      </w:r>
      <w:r>
        <w:rPr>
          <w:rFonts w:hint="eastAsia" w:ascii="宋体" w:hAnsi="宋体" w:eastAsia="宋体" w:cs="宋体"/>
          <w:b/>
          <w:kern w:val="0"/>
          <w:sz w:val="24"/>
          <w:szCs w:val="24"/>
          <w:highlight w:val="none"/>
          <w:lang w:val="en-US" w:eastAsia="zh-CN"/>
        </w:rPr>
        <w:t xml:space="preserve">  </w:t>
      </w:r>
      <w:r>
        <w:rPr>
          <w:rFonts w:hint="eastAsia" w:ascii="宋体" w:hAnsi="宋体" w:eastAsia="宋体" w:cs="宋体"/>
          <w:b/>
          <w:bCs/>
          <w:color w:val="auto"/>
          <w:sz w:val="24"/>
          <w:szCs w:val="24"/>
          <w:highlight w:val="none"/>
          <w:lang w:val="zh-CN"/>
        </w:rPr>
        <w:t>总体实施方案</w:t>
      </w:r>
      <w:r>
        <w:rPr>
          <w:rFonts w:hint="eastAsia" w:ascii="宋体" w:hAnsi="宋体" w:eastAsia="宋体" w:cs="宋体"/>
          <w:b/>
          <w:kern w:val="0"/>
          <w:sz w:val="24"/>
          <w:szCs w:val="24"/>
          <w:highlight w:val="none"/>
          <w:lang w:val="en-US" w:eastAsia="zh-CN"/>
        </w:rPr>
        <w:t>：</w:t>
      </w:r>
      <w:r>
        <w:rPr>
          <w:rFonts w:hint="eastAsia" w:ascii="宋体" w:hAnsi="宋体" w:eastAsia="宋体" w:cs="宋体"/>
          <w:kern w:val="0"/>
          <w:sz w:val="24"/>
          <w:szCs w:val="24"/>
          <w:highlight w:val="none"/>
        </w:rPr>
        <w:t>主要根据《</w:t>
      </w:r>
      <w:r>
        <w:rPr>
          <w:rFonts w:hint="eastAsia" w:ascii="宋体" w:hAnsi="宋体" w:eastAsia="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eastAsia="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3"/>
        <w:spacing w:before="4" w:line="360" w:lineRule="exact"/>
        <w:ind w:left="4" w:right="12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1.5</w:t>
      </w:r>
      <w:r>
        <w:rPr>
          <w:rFonts w:hint="eastAsia" w:ascii="宋体" w:hAnsi="宋体" w:eastAsia="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应急预备方案</w:t>
      </w:r>
      <w:r>
        <w:rPr>
          <w:rFonts w:hint="eastAsia" w:ascii="宋体" w:hAnsi="宋体" w:eastAsia="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eastAsia="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eastAsia="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3"/>
        <w:spacing w:before="4" w:line="360" w:lineRule="exact"/>
        <w:ind w:left="4" w:right="129"/>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1.6  工作进度和服务质量控制措施：</w:t>
      </w:r>
      <w:r>
        <w:rPr>
          <w:rFonts w:hint="eastAsia" w:ascii="宋体" w:hAnsi="宋体" w:eastAsia="宋体" w:cs="宋体"/>
          <w:kern w:val="0"/>
          <w:sz w:val="24"/>
          <w:szCs w:val="24"/>
          <w:highlight w:val="none"/>
        </w:rPr>
        <w:t>主要根据《</w:t>
      </w:r>
      <w:r>
        <w:rPr>
          <w:rFonts w:hint="eastAsia" w:ascii="宋体" w:hAnsi="宋体" w:eastAsia="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eastAsia="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3"/>
        <w:spacing w:before="4" w:line="360" w:lineRule="exact"/>
        <w:ind w:left="4" w:right="129"/>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1.7  服务承诺及保障：</w:t>
      </w:r>
      <w:r>
        <w:rPr>
          <w:rFonts w:hint="eastAsia" w:ascii="宋体" w:hAnsi="宋体" w:eastAsia="宋体" w:cs="宋体"/>
          <w:kern w:val="0"/>
          <w:sz w:val="24"/>
          <w:szCs w:val="24"/>
          <w:highlight w:val="none"/>
        </w:rPr>
        <w:t>主要根据《</w:t>
      </w:r>
      <w:r>
        <w:rPr>
          <w:rFonts w:hint="eastAsia" w:ascii="宋体" w:hAnsi="宋体" w:eastAsia="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eastAsia="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lang w:val="en-US" w:eastAsia="zh-CN"/>
        </w:rPr>
        <w:t xml:space="preserve">1.8  </w:t>
      </w:r>
      <w:r>
        <w:rPr>
          <w:rFonts w:hint="eastAsia" w:ascii="宋体" w:hAnsi="宋体" w:eastAsia="宋体" w:cs="宋体"/>
          <w:b/>
          <w:kern w:val="0"/>
          <w:sz w:val="24"/>
          <w:szCs w:val="24"/>
          <w:highlight w:val="none"/>
        </w:rPr>
        <w:t>投标供应商认为必要说明的其他内容</w:t>
      </w:r>
      <w:r>
        <w:rPr>
          <w:rFonts w:hint="eastAsia" w:ascii="宋体" w:hAnsi="宋体" w:eastAsia="宋体" w:cs="宋体"/>
          <w:b/>
          <w:kern w:val="0"/>
          <w:sz w:val="24"/>
          <w:szCs w:val="24"/>
          <w:highlight w:val="none"/>
          <w:lang w:eastAsia="zh-CN"/>
        </w:rPr>
        <w:t>（根据采购需求和详细评审表</w:t>
      </w:r>
      <w:r>
        <w:rPr>
          <w:rFonts w:hint="eastAsia" w:ascii="宋体" w:hAnsi="宋体" w:eastAsia="宋体" w:cs="宋体"/>
          <w:b/>
          <w:kern w:val="0"/>
          <w:sz w:val="24"/>
          <w:szCs w:val="24"/>
          <w:highlight w:val="none"/>
          <w:lang w:val="en-US" w:eastAsia="zh-CN"/>
        </w:rPr>
        <w:t>编制</w:t>
      </w:r>
      <w:r>
        <w:rPr>
          <w:rFonts w:hint="eastAsia" w:ascii="宋体" w:hAnsi="宋体" w:eastAsia="宋体" w:cs="宋体"/>
          <w:b/>
          <w:kern w:val="0"/>
          <w:sz w:val="24"/>
          <w:szCs w:val="24"/>
          <w:highlight w:val="none"/>
          <w:lang w:eastAsia="zh-CN"/>
        </w:rPr>
        <w:t>）</w:t>
      </w:r>
    </w:p>
    <w:p>
      <w:pPr>
        <w:rPr>
          <w:rFonts w:hint="eastAsia" w:ascii="宋体" w:hAnsi="宋体" w:eastAsia="宋体" w:cs="宋体"/>
          <w:szCs w:val="21"/>
          <w:highlight w:val="none"/>
          <w:lang w:val="en-GB"/>
        </w:rPr>
      </w:pPr>
    </w:p>
    <w:p>
      <w:pPr>
        <w:rPr>
          <w:rFonts w:hint="eastAsia" w:ascii="宋体" w:hAnsi="宋体" w:eastAsia="宋体" w:cs="宋体"/>
          <w:szCs w:val="21"/>
          <w:highlight w:val="none"/>
          <w:lang w:val="en-GB"/>
        </w:rPr>
      </w:pPr>
    </w:p>
    <w:p>
      <w:pPr>
        <w:rPr>
          <w:rFonts w:hint="eastAsia" w:ascii="宋体" w:hAnsi="宋体" w:eastAsia="宋体" w:cs="宋体"/>
          <w:b/>
          <w:szCs w:val="21"/>
          <w:highlight w:val="none"/>
        </w:rPr>
      </w:pPr>
      <w:r>
        <w:rPr>
          <w:rFonts w:hint="eastAsia" w:ascii="宋体" w:hAnsi="宋体" w:eastAsia="宋体" w:cs="宋体"/>
          <w:b/>
          <w:szCs w:val="21"/>
          <w:highlight w:val="none"/>
        </w:rPr>
        <w:br w:type="page"/>
      </w:r>
      <w:r>
        <w:rPr>
          <w:rFonts w:hint="eastAsia" w:ascii="宋体" w:hAnsi="宋体" w:eastAsia="宋体" w:cs="宋体"/>
          <w:b/>
          <w:kern w:val="0"/>
          <w:sz w:val="24"/>
          <w:szCs w:val="24"/>
          <w:highlight w:val="none"/>
        </w:rPr>
        <w:t>2</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拟任执行管理及技术人员情况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0"/>
        <w:gridCol w:w="870"/>
        <w:gridCol w:w="2710"/>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职责分工</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870"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现职务</w:t>
            </w:r>
          </w:p>
        </w:tc>
        <w:tc>
          <w:tcPr>
            <w:tcW w:w="2710"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曾主持/参与的</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同类项目经历</w:t>
            </w:r>
          </w:p>
        </w:tc>
        <w:tc>
          <w:tcPr>
            <w:tcW w:w="697"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职称</w:t>
            </w:r>
          </w:p>
        </w:tc>
        <w:tc>
          <w:tcPr>
            <w:tcW w:w="69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专业工龄</w:t>
            </w:r>
          </w:p>
        </w:tc>
        <w:tc>
          <w:tcPr>
            <w:tcW w:w="156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项目负责人</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710"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42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专业人员</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710"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710"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710"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restart"/>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其他主要技术人员</w:t>
            </w: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710"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710"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710"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710"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870"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710"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注：根据评审表的要求提交相应资料</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如身份证</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学历证书、社保证明、</w:t>
      </w:r>
      <w:r>
        <w:rPr>
          <w:rFonts w:hint="eastAsia" w:ascii="宋体" w:hAnsi="宋体" w:eastAsia="宋体" w:cs="宋体"/>
          <w:kern w:val="0"/>
          <w:sz w:val="24"/>
          <w:szCs w:val="24"/>
          <w:highlight w:val="none"/>
          <w:lang w:val="en-US" w:eastAsia="zh-CN"/>
        </w:rPr>
        <w:t>职称证</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资格证书</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业绩证明等</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履约进度计划表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拟定时间安排</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计划完成的工作内容</w:t>
            </w:r>
          </w:p>
        </w:tc>
        <w:tc>
          <w:tcPr>
            <w:tcW w:w="251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  年  月   日</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签定合同并生效</w:t>
            </w: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注：各投标供应商根据项目内容要求及时间范围要求，制定各子项目详细、科学合理、可执行的项目实施计划排期表</w:t>
      </w:r>
    </w:p>
    <w:p>
      <w:pPr>
        <w:rPr>
          <w:rFonts w:hint="eastAsia" w:ascii="宋体" w:hAnsi="宋体" w:eastAsia="宋体" w:cs="宋体"/>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4</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需要采购人提供的附加条件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76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76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76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76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76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注：投标人完成本项目需要采购人配合或提供的条件必须在上表列出，否则将视为投标人同意按现有条件完成本项目。如上表所列附加条件含有采购人不能接受的，将被视为投标无效。</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val="en-US" w:eastAsia="zh-CN"/>
        </w:rPr>
        <w:t>5</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其它重要事项说明及承诺</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（如有，请扼要叙述）</w:t>
      </w:r>
    </w:p>
    <w:p>
      <w:pPr>
        <w:pStyle w:val="9"/>
        <w:kinsoku w:val="0"/>
        <w:overflowPunct w:val="0"/>
        <w:spacing w:before="34" w:line="357" w:lineRule="auto"/>
        <w:ind w:left="0" w:right="126" w:firstLine="120" w:firstLineChars="50"/>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十六、供应商认为需要提交的技术资料</w:t>
      </w:r>
    </w:p>
    <w:p>
      <w:pPr>
        <w:rPr>
          <w:rFonts w:hint="eastAsia" w:ascii="宋体" w:hAnsi="宋体" w:eastAsia="宋体" w:cs="宋体"/>
          <w:highlight w:val="none"/>
        </w:rPr>
      </w:pPr>
    </w:p>
    <w:sectPr>
      <w:footerReference r:id="rId9" w:type="first"/>
      <w:footerReference r:id="rId8"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szCs w:val="24"/>
      </w:rP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VJs8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yVJs8oBAACdAwAADgAAAAAAAAABACAAAAAeAQAAZHJzL2Uyb0Rv&#10;Yy54bWxQSwUGAAAAAAYABgBZAQAAWgUAAAAA&#10;">
              <v:fill on="f" focussize="0,0"/>
              <v:stroke on="f"/>
              <v:imagedata o:title=""/>
              <o:lock v:ext="edit" aspectratio="f"/>
              <v:textbox inset="0mm,0mm,0mm,0mm" style="mso-fit-shape-to-text:t;">
                <w:txbxContent>
                  <w:p>
                    <w:pPr>
                      <w:pStyle w:val="11"/>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7 -</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5jDvsoBAACd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5jDvsoBAACdAwAADgAAAAAAAAABACAAAAAeAQAAZHJzL2Uyb0Rv&#10;Yy54bWxQSwUGAAAAAAYABgBZAQAAWgUAAAAA&#10;">
              <v:fill on="f" focussize="0,0"/>
              <v:stroke on="f"/>
              <v:imagedata o:title=""/>
              <o:lock v:ext="edit" aspectratio="f"/>
              <v:textbox inset="0mm,0mm,0mm,0mm" style="mso-fit-shape-to-text:t;">
                <w:txbxContent>
                  <w:p>
                    <w:pPr>
                      <w:pStyle w:val="11"/>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7 -</w:t>
                    </w:r>
                    <w:r>
                      <w:rPr>
                        <w:sz w:val="24"/>
                        <w:szCs w:val="24"/>
                      </w:rPr>
                      <w:fldChar w:fldCharType="end"/>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posOffset>2992120</wp:posOffset>
              </wp:positionH>
              <wp:positionV relativeFrom="paragraph">
                <wp:posOffset>-19050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- 0 -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5.6pt;margin-top:-1.5pt;height:144pt;width:144pt;mso-position-horizontal-relative:margin;mso-wrap-style:none;z-index:251662336;mso-width-relative:page;mso-height-relative:page;" filled="f" stroked="f" coordsize="21600,21600" o:gfxdata="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zZbeNcAAAAKAQAADwAAAAAAAAABACAAAAAiAAAAZHJzL2Rv&#10;d25yZXYueG1sUEsBAhQAFAAAAAgAh07iQBRQUArJAQAAnQMAAA4AAAAAAAAAAQAgAAAAJgEAAGRy&#10;cy9lMm9Eb2MueG1sUEsFBgAAAAAGAAYAWQEAAGEFAAAAAA==&#10;">
              <v:fill on="f" focussize="0,0"/>
              <v:stroke on="f"/>
              <v:imagedata o:title=""/>
              <o:lock v:ext="edit" aspectratio="f"/>
              <v:textbox inset="0mm,0mm,0mm,0mm" style="mso-fit-shape-to-text:t;">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- 0 -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before="0" w:line="14" w:lineRule="auto"/>
      <w:ind w:left="0"/>
      <w:rPr>
        <w:rFonts w:ascii="Times New Roman" w:eastAsia="宋体" w:cs="Times New Roman"/>
        <w:sz w:val="20"/>
        <w:szCs w:val="20"/>
      </w:rPr>
    </w:pPr>
    <w:r>
      <w:rPr>
        <w:sz w:val="24"/>
      </w:rPr>
      <w:pict>
        <v:shape id="PowerPlusWaterMarkObject37265" o:spid="_x0000_s2053" o:spt="136" type="#_x0000_t136" style="position:absolute;left:0pt;margin-left:21.5pt;margin-top:295.75pt;height:23pt;width:413.5pt;mso-position-horizontal-relative:margin;mso-position-vertical-relative:margin;rotation:-2949120f;z-index:-251652096;mso-width-relative:page;mso-height-relative:page;" fillcolor="#C0C0C0" filled="t" stroked="f" coordsize="21600,21600" adj="10800">
          <v:path/>
          <v:fill on="t" color2="#FFFFFF" opacity="32768f" focussize="0,0"/>
          <v:stroke on="f"/>
          <v:imagedata o:title=""/>
          <o:lock v:ext="edit" aspectratio="t"/>
          <v:textpath on="t" fitshape="t" fitpath="t" trim="t" xscale="f" string="2021-2022年度新疆旅游统计数据管理及分析研究项目" style="font-family:宋体;font-size:20pt;v-same-letter-heights:f;v-text-align:center;"/>
        </v:shape>
      </w:pict>
    </w:r>
    <w: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121" name="任意多边形 121"/>
              <wp:cNvGraphicFramePr/>
              <a:graphic xmlns:a="http://schemas.openxmlformats.org/drawingml/2006/main">
                <a:graphicData uri="http://schemas.microsoft.com/office/word/2010/wordprocessingShape">
                  <wps:wsp>
                    <wps:cNvSpPr/>
                    <wps:spPr>
                      <a:xfrm>
                        <a:off x="0" y="0"/>
                        <a:ext cx="5760085" cy="12700"/>
                      </a:xfrm>
                      <a:custGeom>
                        <a:avLst/>
                        <a:gdLst/>
                        <a:ahLst/>
                        <a:cxnLst/>
                        <a:pathLst>
                          <a:path w="9071" h="20">
                            <a:moveTo>
                              <a:pt x="0" y="0"/>
                            </a:moveTo>
                            <a:lnTo>
                              <a:pt x="9071"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L2iy2gAAAAwBAAAPAAAAAAAAAAEAIAAAACIAAABkcnMvZG93&#10;bnJldi54bWxQSwECFAAUAAAACACHTuJAMWMQuTcCAACSBAAADgAAAAAAAAABACAAAAApAQAAZHJz&#10;L2Uyb0RvYy54bWxQSwUGAAAAAAYABgBZAQAA0gUAAAAA&#10;" path="m0,0l9071,0e">
              <v:fill on="f" focussize="0,0"/>
              <v:stroke weight="0.82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PowerPlusWaterMarkObject65150" o:spid="_x0000_s2054" o:spt="136" type="#_x0000_t136" style="position:absolute;left:0pt;height:23pt;width:413pt;mso-position-horizontal:center;mso-position-horizontal-relative:margin;mso-position-vertical:center;mso-position-vertical-relative:margin;rotation:-2949120f;z-index:-251651072;mso-width-relative:page;mso-height-relative:page;" fillcolor="#C0C0C0" filled="t" stroked="f" coordsize="21600,21600" adj="10800">
          <v:path/>
          <v:fill on="t" color2="#FFFFFF" opacity="32768f" focussize="0,0"/>
          <v:stroke on="f"/>
          <v:imagedata o:title=""/>
          <o:lock v:ext="edit" aspectratio="t"/>
          <v:textpath on="t" fitshape="t" fitpath="t" trim="t" xscale="f" string="2021-2022年度新疆旅游统计数据管理及分析研究项目" style="font-family:宋体;font-size:2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69C97"/>
    <w:multiLevelType w:val="multilevel"/>
    <w:tmpl w:val="91B69C97"/>
    <w:lvl w:ilvl="0" w:tentative="0">
      <w:start w:val="1"/>
      <w:numFmt w:val="decimal"/>
      <w:lvlText w:val="%1."/>
      <w:lvlJc w:val="left"/>
      <w:pPr>
        <w:ind w:left="1181"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006" w:hanging="241"/>
      </w:pPr>
      <w:rPr>
        <w:rFonts w:hint="default"/>
        <w:lang w:val="zh-CN" w:eastAsia="zh-CN" w:bidi="zh-CN"/>
      </w:rPr>
    </w:lvl>
    <w:lvl w:ilvl="2" w:tentative="0">
      <w:start w:val="0"/>
      <w:numFmt w:val="bullet"/>
      <w:lvlText w:val="•"/>
      <w:lvlJc w:val="left"/>
      <w:pPr>
        <w:ind w:left="2833" w:hanging="241"/>
      </w:pPr>
      <w:rPr>
        <w:rFonts w:hint="default"/>
        <w:lang w:val="zh-CN" w:eastAsia="zh-CN" w:bidi="zh-CN"/>
      </w:rPr>
    </w:lvl>
    <w:lvl w:ilvl="3" w:tentative="0">
      <w:start w:val="0"/>
      <w:numFmt w:val="bullet"/>
      <w:lvlText w:val="•"/>
      <w:lvlJc w:val="left"/>
      <w:pPr>
        <w:ind w:left="3659" w:hanging="241"/>
      </w:pPr>
      <w:rPr>
        <w:rFonts w:hint="default"/>
        <w:lang w:val="zh-CN" w:eastAsia="zh-CN" w:bidi="zh-CN"/>
      </w:rPr>
    </w:lvl>
    <w:lvl w:ilvl="4" w:tentative="0">
      <w:start w:val="0"/>
      <w:numFmt w:val="bullet"/>
      <w:lvlText w:val="•"/>
      <w:lvlJc w:val="left"/>
      <w:pPr>
        <w:ind w:left="4486" w:hanging="241"/>
      </w:pPr>
      <w:rPr>
        <w:rFonts w:hint="default"/>
        <w:lang w:val="zh-CN" w:eastAsia="zh-CN" w:bidi="zh-CN"/>
      </w:rPr>
    </w:lvl>
    <w:lvl w:ilvl="5" w:tentative="0">
      <w:start w:val="0"/>
      <w:numFmt w:val="bullet"/>
      <w:lvlText w:val="•"/>
      <w:lvlJc w:val="left"/>
      <w:pPr>
        <w:ind w:left="5313" w:hanging="241"/>
      </w:pPr>
      <w:rPr>
        <w:rFonts w:hint="default"/>
        <w:lang w:val="zh-CN" w:eastAsia="zh-CN" w:bidi="zh-CN"/>
      </w:rPr>
    </w:lvl>
    <w:lvl w:ilvl="6" w:tentative="0">
      <w:start w:val="0"/>
      <w:numFmt w:val="bullet"/>
      <w:lvlText w:val="•"/>
      <w:lvlJc w:val="left"/>
      <w:pPr>
        <w:ind w:left="6139" w:hanging="241"/>
      </w:pPr>
      <w:rPr>
        <w:rFonts w:hint="default"/>
        <w:lang w:val="zh-CN" w:eastAsia="zh-CN" w:bidi="zh-CN"/>
      </w:rPr>
    </w:lvl>
    <w:lvl w:ilvl="7" w:tentative="0">
      <w:start w:val="0"/>
      <w:numFmt w:val="bullet"/>
      <w:lvlText w:val="•"/>
      <w:lvlJc w:val="left"/>
      <w:pPr>
        <w:ind w:left="6966" w:hanging="241"/>
      </w:pPr>
      <w:rPr>
        <w:rFonts w:hint="default"/>
        <w:lang w:val="zh-CN" w:eastAsia="zh-CN" w:bidi="zh-CN"/>
      </w:rPr>
    </w:lvl>
    <w:lvl w:ilvl="8" w:tentative="0">
      <w:start w:val="0"/>
      <w:numFmt w:val="bullet"/>
      <w:lvlText w:val="•"/>
      <w:lvlJc w:val="left"/>
      <w:pPr>
        <w:ind w:left="7793" w:hanging="241"/>
      </w:pPr>
      <w:rPr>
        <w:rFonts w:hint="default"/>
        <w:lang w:val="zh-CN" w:eastAsia="zh-CN" w:bidi="zh-CN"/>
      </w:rPr>
    </w:lvl>
  </w:abstractNum>
  <w:abstractNum w:abstractNumId="1">
    <w:nsid w:val="BE8A4F4C"/>
    <w:multiLevelType w:val="multilevel"/>
    <w:tmpl w:val="BE8A4F4C"/>
    <w:lvl w:ilvl="0" w:tentative="0">
      <w:start w:val="1"/>
      <w:numFmt w:val="decimal"/>
      <w:lvlText w:val="%1."/>
      <w:lvlJc w:val="left"/>
      <w:pPr>
        <w:ind w:left="1181"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006" w:hanging="241"/>
      </w:pPr>
      <w:rPr>
        <w:rFonts w:hint="default"/>
        <w:lang w:val="zh-CN" w:eastAsia="zh-CN" w:bidi="zh-CN"/>
      </w:rPr>
    </w:lvl>
    <w:lvl w:ilvl="2" w:tentative="0">
      <w:start w:val="0"/>
      <w:numFmt w:val="bullet"/>
      <w:lvlText w:val="•"/>
      <w:lvlJc w:val="left"/>
      <w:pPr>
        <w:ind w:left="2833" w:hanging="241"/>
      </w:pPr>
      <w:rPr>
        <w:rFonts w:hint="default"/>
        <w:lang w:val="zh-CN" w:eastAsia="zh-CN" w:bidi="zh-CN"/>
      </w:rPr>
    </w:lvl>
    <w:lvl w:ilvl="3" w:tentative="0">
      <w:start w:val="0"/>
      <w:numFmt w:val="bullet"/>
      <w:lvlText w:val="•"/>
      <w:lvlJc w:val="left"/>
      <w:pPr>
        <w:ind w:left="3659" w:hanging="241"/>
      </w:pPr>
      <w:rPr>
        <w:rFonts w:hint="default"/>
        <w:lang w:val="zh-CN" w:eastAsia="zh-CN" w:bidi="zh-CN"/>
      </w:rPr>
    </w:lvl>
    <w:lvl w:ilvl="4" w:tentative="0">
      <w:start w:val="0"/>
      <w:numFmt w:val="bullet"/>
      <w:lvlText w:val="•"/>
      <w:lvlJc w:val="left"/>
      <w:pPr>
        <w:ind w:left="4486" w:hanging="241"/>
      </w:pPr>
      <w:rPr>
        <w:rFonts w:hint="default"/>
        <w:lang w:val="zh-CN" w:eastAsia="zh-CN" w:bidi="zh-CN"/>
      </w:rPr>
    </w:lvl>
    <w:lvl w:ilvl="5" w:tentative="0">
      <w:start w:val="0"/>
      <w:numFmt w:val="bullet"/>
      <w:lvlText w:val="•"/>
      <w:lvlJc w:val="left"/>
      <w:pPr>
        <w:ind w:left="5313" w:hanging="241"/>
      </w:pPr>
      <w:rPr>
        <w:rFonts w:hint="default"/>
        <w:lang w:val="zh-CN" w:eastAsia="zh-CN" w:bidi="zh-CN"/>
      </w:rPr>
    </w:lvl>
    <w:lvl w:ilvl="6" w:tentative="0">
      <w:start w:val="0"/>
      <w:numFmt w:val="bullet"/>
      <w:lvlText w:val="•"/>
      <w:lvlJc w:val="left"/>
      <w:pPr>
        <w:ind w:left="6139" w:hanging="241"/>
      </w:pPr>
      <w:rPr>
        <w:rFonts w:hint="default"/>
        <w:lang w:val="zh-CN" w:eastAsia="zh-CN" w:bidi="zh-CN"/>
      </w:rPr>
    </w:lvl>
    <w:lvl w:ilvl="7" w:tentative="0">
      <w:start w:val="0"/>
      <w:numFmt w:val="bullet"/>
      <w:lvlText w:val="•"/>
      <w:lvlJc w:val="left"/>
      <w:pPr>
        <w:ind w:left="6966" w:hanging="241"/>
      </w:pPr>
      <w:rPr>
        <w:rFonts w:hint="default"/>
        <w:lang w:val="zh-CN" w:eastAsia="zh-CN" w:bidi="zh-CN"/>
      </w:rPr>
    </w:lvl>
    <w:lvl w:ilvl="8" w:tentative="0">
      <w:start w:val="0"/>
      <w:numFmt w:val="bullet"/>
      <w:lvlText w:val="•"/>
      <w:lvlJc w:val="left"/>
      <w:pPr>
        <w:ind w:left="7793" w:hanging="241"/>
      </w:pPr>
      <w:rPr>
        <w:rFonts w:hint="default"/>
        <w:lang w:val="zh-CN" w:eastAsia="zh-CN" w:bidi="zh-CN"/>
      </w:rPr>
    </w:lvl>
  </w:abstractNum>
  <w:abstractNum w:abstractNumId="2">
    <w:nsid w:val="C3D7BE3C"/>
    <w:multiLevelType w:val="singleLevel"/>
    <w:tmpl w:val="C3D7BE3C"/>
    <w:lvl w:ilvl="0" w:tentative="0">
      <w:start w:val="4"/>
      <w:numFmt w:val="chineseCounting"/>
      <w:lvlText w:val="第%1章"/>
      <w:lvlJc w:val="left"/>
      <w:rPr>
        <w:rFonts w:hint="eastAsia"/>
      </w:rPr>
    </w:lvl>
  </w:abstractNum>
  <w:abstractNum w:abstractNumId="3">
    <w:nsid w:val="DDD85877"/>
    <w:multiLevelType w:val="singleLevel"/>
    <w:tmpl w:val="DDD85877"/>
    <w:lvl w:ilvl="0" w:tentative="0">
      <w:start w:val="9"/>
      <w:numFmt w:val="chineseCounting"/>
      <w:suff w:val="nothing"/>
      <w:lvlText w:val="%1、"/>
      <w:lvlJc w:val="left"/>
      <w:rPr>
        <w:rFonts w:hint="eastAsia"/>
      </w:rPr>
    </w:lvl>
  </w:abstractNum>
  <w:abstractNum w:abstractNumId="4">
    <w:nsid w:val="00000004"/>
    <w:multiLevelType w:val="singleLevel"/>
    <w:tmpl w:val="00000004"/>
    <w:lvl w:ilvl="0" w:tentative="0">
      <w:start w:val="2"/>
      <w:numFmt w:val="decimal"/>
      <w:suff w:val="nothing"/>
      <w:lvlText w:val="（%1）"/>
      <w:lvlJc w:val="left"/>
    </w:lvl>
  </w:abstractNum>
  <w:abstractNum w:abstractNumId="5">
    <w:nsid w:val="1BCBBCF0"/>
    <w:multiLevelType w:val="multilevel"/>
    <w:tmpl w:val="1BCBBCF0"/>
    <w:lvl w:ilvl="0" w:tentative="0">
      <w:start w:val="1"/>
      <w:numFmt w:val="decimal"/>
      <w:lvlText w:val="%1."/>
      <w:lvlJc w:val="left"/>
      <w:pPr>
        <w:ind w:left="880" w:hanging="241"/>
        <w:jc w:val="left"/>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1736" w:hanging="241"/>
      </w:pPr>
      <w:rPr>
        <w:rFonts w:hint="default"/>
        <w:lang w:val="zh-CN" w:eastAsia="zh-CN" w:bidi="zh-CN"/>
      </w:rPr>
    </w:lvl>
    <w:lvl w:ilvl="2" w:tentative="0">
      <w:start w:val="0"/>
      <w:numFmt w:val="bullet"/>
      <w:lvlText w:val="•"/>
      <w:lvlJc w:val="left"/>
      <w:pPr>
        <w:ind w:left="2593" w:hanging="241"/>
      </w:pPr>
      <w:rPr>
        <w:rFonts w:hint="default"/>
        <w:lang w:val="zh-CN" w:eastAsia="zh-CN" w:bidi="zh-CN"/>
      </w:rPr>
    </w:lvl>
    <w:lvl w:ilvl="3" w:tentative="0">
      <w:start w:val="0"/>
      <w:numFmt w:val="bullet"/>
      <w:lvlText w:val="•"/>
      <w:lvlJc w:val="left"/>
      <w:pPr>
        <w:ind w:left="3449" w:hanging="241"/>
      </w:pPr>
      <w:rPr>
        <w:rFonts w:hint="default"/>
        <w:lang w:val="zh-CN" w:eastAsia="zh-CN" w:bidi="zh-CN"/>
      </w:rPr>
    </w:lvl>
    <w:lvl w:ilvl="4" w:tentative="0">
      <w:start w:val="0"/>
      <w:numFmt w:val="bullet"/>
      <w:lvlText w:val="•"/>
      <w:lvlJc w:val="left"/>
      <w:pPr>
        <w:ind w:left="4306" w:hanging="241"/>
      </w:pPr>
      <w:rPr>
        <w:rFonts w:hint="default"/>
        <w:lang w:val="zh-CN" w:eastAsia="zh-CN" w:bidi="zh-CN"/>
      </w:rPr>
    </w:lvl>
    <w:lvl w:ilvl="5" w:tentative="0">
      <w:start w:val="0"/>
      <w:numFmt w:val="bullet"/>
      <w:lvlText w:val="•"/>
      <w:lvlJc w:val="left"/>
      <w:pPr>
        <w:ind w:left="5163" w:hanging="241"/>
      </w:pPr>
      <w:rPr>
        <w:rFonts w:hint="default"/>
        <w:lang w:val="zh-CN" w:eastAsia="zh-CN" w:bidi="zh-CN"/>
      </w:rPr>
    </w:lvl>
    <w:lvl w:ilvl="6" w:tentative="0">
      <w:start w:val="0"/>
      <w:numFmt w:val="bullet"/>
      <w:lvlText w:val="•"/>
      <w:lvlJc w:val="left"/>
      <w:pPr>
        <w:ind w:left="6019" w:hanging="241"/>
      </w:pPr>
      <w:rPr>
        <w:rFonts w:hint="default"/>
        <w:lang w:val="zh-CN" w:eastAsia="zh-CN" w:bidi="zh-CN"/>
      </w:rPr>
    </w:lvl>
    <w:lvl w:ilvl="7" w:tentative="0">
      <w:start w:val="0"/>
      <w:numFmt w:val="bullet"/>
      <w:lvlText w:val="•"/>
      <w:lvlJc w:val="left"/>
      <w:pPr>
        <w:ind w:left="6876" w:hanging="241"/>
      </w:pPr>
      <w:rPr>
        <w:rFonts w:hint="default"/>
        <w:lang w:val="zh-CN" w:eastAsia="zh-CN" w:bidi="zh-CN"/>
      </w:rPr>
    </w:lvl>
    <w:lvl w:ilvl="8" w:tentative="0">
      <w:start w:val="0"/>
      <w:numFmt w:val="bullet"/>
      <w:lvlText w:val="•"/>
      <w:lvlJc w:val="left"/>
      <w:pPr>
        <w:ind w:left="7733" w:hanging="241"/>
      </w:pPr>
      <w:rPr>
        <w:rFonts w:hint="default"/>
        <w:lang w:val="zh-CN" w:eastAsia="zh-CN" w:bidi="zh-CN"/>
      </w:rPr>
    </w:lvl>
  </w:abstractNum>
  <w:abstractNum w:abstractNumId="6">
    <w:nsid w:val="7E333B28"/>
    <w:multiLevelType w:val="multilevel"/>
    <w:tmpl w:val="7E333B28"/>
    <w:lvl w:ilvl="0" w:tentative="0">
      <w:start w:val="1"/>
      <w:numFmt w:val="bullet"/>
      <w:pStyle w:val="2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2"/>
  </w:num>
  <w:num w:numId="3">
    <w:abstractNumId w:val="0"/>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22B9F"/>
    <w:rsid w:val="005B2D18"/>
    <w:rsid w:val="01A641D0"/>
    <w:rsid w:val="02C859F1"/>
    <w:rsid w:val="02D54BBE"/>
    <w:rsid w:val="03660413"/>
    <w:rsid w:val="037647BE"/>
    <w:rsid w:val="04C156A3"/>
    <w:rsid w:val="04D33A99"/>
    <w:rsid w:val="05024DDA"/>
    <w:rsid w:val="052D54A2"/>
    <w:rsid w:val="05AF18B5"/>
    <w:rsid w:val="05ED1DB7"/>
    <w:rsid w:val="065D6CA9"/>
    <w:rsid w:val="06AE1072"/>
    <w:rsid w:val="07033AF5"/>
    <w:rsid w:val="07832581"/>
    <w:rsid w:val="07D171D5"/>
    <w:rsid w:val="09AA1EA5"/>
    <w:rsid w:val="0A490BCF"/>
    <w:rsid w:val="0B0D16E9"/>
    <w:rsid w:val="0B6207EB"/>
    <w:rsid w:val="0BCE228A"/>
    <w:rsid w:val="0BE462B0"/>
    <w:rsid w:val="0D722B9F"/>
    <w:rsid w:val="0E3D36FB"/>
    <w:rsid w:val="0F105F11"/>
    <w:rsid w:val="0FDD7132"/>
    <w:rsid w:val="10296D60"/>
    <w:rsid w:val="105F3455"/>
    <w:rsid w:val="106E3A04"/>
    <w:rsid w:val="10B7577E"/>
    <w:rsid w:val="12370660"/>
    <w:rsid w:val="128214B9"/>
    <w:rsid w:val="12A45171"/>
    <w:rsid w:val="1469427D"/>
    <w:rsid w:val="14EC0895"/>
    <w:rsid w:val="164F5D70"/>
    <w:rsid w:val="16C1237E"/>
    <w:rsid w:val="16D27FFE"/>
    <w:rsid w:val="16E57034"/>
    <w:rsid w:val="17F46788"/>
    <w:rsid w:val="180A0683"/>
    <w:rsid w:val="18AA7D07"/>
    <w:rsid w:val="18F76906"/>
    <w:rsid w:val="19087A6A"/>
    <w:rsid w:val="19CD436B"/>
    <w:rsid w:val="1AAB70F6"/>
    <w:rsid w:val="1B293CB2"/>
    <w:rsid w:val="1B440995"/>
    <w:rsid w:val="1B8B6B38"/>
    <w:rsid w:val="1BDB75AB"/>
    <w:rsid w:val="1C0E372A"/>
    <w:rsid w:val="1E171CEE"/>
    <w:rsid w:val="1EE81750"/>
    <w:rsid w:val="206B641A"/>
    <w:rsid w:val="20B21509"/>
    <w:rsid w:val="20B71E96"/>
    <w:rsid w:val="212C654D"/>
    <w:rsid w:val="21C26E21"/>
    <w:rsid w:val="23684ACA"/>
    <w:rsid w:val="237F76D1"/>
    <w:rsid w:val="23983876"/>
    <w:rsid w:val="23B3162D"/>
    <w:rsid w:val="24332C5B"/>
    <w:rsid w:val="247A4E23"/>
    <w:rsid w:val="24D72DED"/>
    <w:rsid w:val="27575AB7"/>
    <w:rsid w:val="27F66A6E"/>
    <w:rsid w:val="27FE4AB5"/>
    <w:rsid w:val="28DE6727"/>
    <w:rsid w:val="291749B1"/>
    <w:rsid w:val="29BB4774"/>
    <w:rsid w:val="29DE4A09"/>
    <w:rsid w:val="2AFE4DF2"/>
    <w:rsid w:val="2B322628"/>
    <w:rsid w:val="2B6606F2"/>
    <w:rsid w:val="2D7331D2"/>
    <w:rsid w:val="2E432C8D"/>
    <w:rsid w:val="2F915AF5"/>
    <w:rsid w:val="30C343DF"/>
    <w:rsid w:val="30DB3D98"/>
    <w:rsid w:val="317402E2"/>
    <w:rsid w:val="31D85621"/>
    <w:rsid w:val="321278B4"/>
    <w:rsid w:val="329D5129"/>
    <w:rsid w:val="33200116"/>
    <w:rsid w:val="33AF3455"/>
    <w:rsid w:val="33CF656B"/>
    <w:rsid w:val="33DE0756"/>
    <w:rsid w:val="33DF1E85"/>
    <w:rsid w:val="3431484C"/>
    <w:rsid w:val="34DB4D3A"/>
    <w:rsid w:val="34F50991"/>
    <w:rsid w:val="351D643D"/>
    <w:rsid w:val="352F41BF"/>
    <w:rsid w:val="373B07C5"/>
    <w:rsid w:val="37FB3F4A"/>
    <w:rsid w:val="387C458C"/>
    <w:rsid w:val="38EA35B2"/>
    <w:rsid w:val="3A3425DF"/>
    <w:rsid w:val="3B0D29C0"/>
    <w:rsid w:val="3B9901C7"/>
    <w:rsid w:val="3CC25D2D"/>
    <w:rsid w:val="3DEC5593"/>
    <w:rsid w:val="3FBD7627"/>
    <w:rsid w:val="3FF67D83"/>
    <w:rsid w:val="40266B78"/>
    <w:rsid w:val="40D87544"/>
    <w:rsid w:val="410636DF"/>
    <w:rsid w:val="420F7B33"/>
    <w:rsid w:val="42605233"/>
    <w:rsid w:val="42A7253C"/>
    <w:rsid w:val="437B38B5"/>
    <w:rsid w:val="43E25048"/>
    <w:rsid w:val="444116DD"/>
    <w:rsid w:val="44691C2D"/>
    <w:rsid w:val="44F75541"/>
    <w:rsid w:val="46640791"/>
    <w:rsid w:val="492A66C2"/>
    <w:rsid w:val="4B7F667A"/>
    <w:rsid w:val="4BE80AE3"/>
    <w:rsid w:val="4C0A37FB"/>
    <w:rsid w:val="4CDC4388"/>
    <w:rsid w:val="4CE80E9B"/>
    <w:rsid w:val="4DE54EF3"/>
    <w:rsid w:val="4F9D2711"/>
    <w:rsid w:val="4FC50091"/>
    <w:rsid w:val="516F25D8"/>
    <w:rsid w:val="52244813"/>
    <w:rsid w:val="5458037C"/>
    <w:rsid w:val="54BC322C"/>
    <w:rsid w:val="556E649B"/>
    <w:rsid w:val="55C6152F"/>
    <w:rsid w:val="5617749A"/>
    <w:rsid w:val="56761C3C"/>
    <w:rsid w:val="571D7746"/>
    <w:rsid w:val="57477C09"/>
    <w:rsid w:val="5A0F1D95"/>
    <w:rsid w:val="5A2107E0"/>
    <w:rsid w:val="5A2A6A29"/>
    <w:rsid w:val="5BF6333D"/>
    <w:rsid w:val="5C18191F"/>
    <w:rsid w:val="5C556A6C"/>
    <w:rsid w:val="5C6A74BC"/>
    <w:rsid w:val="5C895F12"/>
    <w:rsid w:val="5DBA57B6"/>
    <w:rsid w:val="5E925133"/>
    <w:rsid w:val="5ECD4E4C"/>
    <w:rsid w:val="5FE656F6"/>
    <w:rsid w:val="60B65262"/>
    <w:rsid w:val="611F0FB1"/>
    <w:rsid w:val="61FC658F"/>
    <w:rsid w:val="62F27A68"/>
    <w:rsid w:val="632E4BAE"/>
    <w:rsid w:val="63D03541"/>
    <w:rsid w:val="641F1F24"/>
    <w:rsid w:val="64390033"/>
    <w:rsid w:val="644E1569"/>
    <w:rsid w:val="64F122F9"/>
    <w:rsid w:val="65B633F8"/>
    <w:rsid w:val="66175069"/>
    <w:rsid w:val="67703F3D"/>
    <w:rsid w:val="68D64BC1"/>
    <w:rsid w:val="69721CA2"/>
    <w:rsid w:val="6A0115D7"/>
    <w:rsid w:val="6CF43C6B"/>
    <w:rsid w:val="6D32361F"/>
    <w:rsid w:val="6DD67BF8"/>
    <w:rsid w:val="6E9E234F"/>
    <w:rsid w:val="6FBE6EFA"/>
    <w:rsid w:val="6FF757B1"/>
    <w:rsid w:val="70F91EEA"/>
    <w:rsid w:val="71CF7331"/>
    <w:rsid w:val="7263008B"/>
    <w:rsid w:val="72B426CE"/>
    <w:rsid w:val="7334147F"/>
    <w:rsid w:val="74525D34"/>
    <w:rsid w:val="748875E0"/>
    <w:rsid w:val="752E52B2"/>
    <w:rsid w:val="752E6E5E"/>
    <w:rsid w:val="75821E12"/>
    <w:rsid w:val="75CE7976"/>
    <w:rsid w:val="76B37CD8"/>
    <w:rsid w:val="76FC6368"/>
    <w:rsid w:val="770937CE"/>
    <w:rsid w:val="77983E77"/>
    <w:rsid w:val="779B1E77"/>
    <w:rsid w:val="786617BC"/>
    <w:rsid w:val="7A323CFA"/>
    <w:rsid w:val="7A783AA1"/>
    <w:rsid w:val="7CC628BE"/>
    <w:rsid w:val="7D5B0D49"/>
    <w:rsid w:val="7DB10760"/>
    <w:rsid w:val="7E0C05DA"/>
    <w:rsid w:val="7E1D4F8D"/>
    <w:rsid w:val="7F636E3E"/>
    <w:rsid w:val="7F70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keepNext/>
      <w:keepLines/>
      <w:spacing w:line="800" w:lineRule="exact"/>
      <w:jc w:val="center"/>
      <w:outlineLvl w:val="0"/>
    </w:pPr>
    <w:rPr>
      <w:rFonts w:eastAsia="仿宋"/>
      <w:b/>
      <w:bCs/>
      <w:kern w:val="44"/>
      <w:sz w:val="32"/>
      <w:szCs w:val="44"/>
    </w:rPr>
  </w:style>
  <w:style w:type="paragraph" w:styleId="5">
    <w:name w:val="heading 2"/>
    <w:basedOn w:val="1"/>
    <w:next w:val="1"/>
    <w:qFormat/>
    <w:uiPriority w:val="9"/>
    <w:pPr>
      <w:keepNext/>
      <w:keepLines/>
      <w:spacing w:line="416" w:lineRule="auto"/>
      <w:jc w:val="center"/>
      <w:outlineLvl w:val="1"/>
    </w:pPr>
    <w:rPr>
      <w:rFonts w:ascii="Cambria" w:hAnsi="Cambria" w:eastAsia="仿宋" w:cs="Times New Roman"/>
      <w:b/>
      <w:bCs/>
      <w:sz w:val="32"/>
      <w:szCs w:val="32"/>
    </w:rPr>
  </w:style>
  <w:style w:type="paragraph" w:styleId="6">
    <w:name w:val="heading 3"/>
    <w:basedOn w:val="1"/>
    <w:next w:val="1"/>
    <w:unhideWhenUsed/>
    <w:qFormat/>
    <w:uiPriority w:val="0"/>
    <w:pPr>
      <w:keepNext/>
      <w:keepLines/>
      <w:spacing w:before="260" w:after="260" w:line="416" w:lineRule="auto"/>
      <w:outlineLvl w:val="2"/>
    </w:pPr>
    <w:rPr>
      <w:rFonts w:eastAsia="黑体"/>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spacing w:before="280" w:after="156" w:line="377" w:lineRule="auto"/>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next w:val="8"/>
    <w:qFormat/>
    <w:uiPriority w:val="0"/>
    <w:pPr>
      <w:ind w:firstLine="420"/>
    </w:pPr>
    <w:rPr>
      <w:szCs w:val="20"/>
    </w:rPr>
  </w:style>
  <w:style w:type="paragraph" w:styleId="8">
    <w:name w:val="toc 4"/>
    <w:basedOn w:val="1"/>
    <w:next w:val="1"/>
    <w:unhideWhenUsed/>
    <w:qFormat/>
    <w:uiPriority w:val="39"/>
    <w:pPr>
      <w:ind w:left="1260" w:leftChars="600"/>
    </w:pPr>
  </w:style>
  <w:style w:type="paragraph" w:styleId="9">
    <w:name w:val="Body Text"/>
    <w:basedOn w:val="1"/>
    <w:next w:val="1"/>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10">
    <w:name w:val="Plain Text"/>
    <w:basedOn w:val="1"/>
    <w:qFormat/>
    <w:uiPriority w:val="0"/>
    <w:rPr>
      <w:rFonts w:ascii="宋体" w:hAnsi="Times New Roman"/>
      <w:szCs w:val="24"/>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unhideWhenUsed/>
    <w:qFormat/>
    <w:uiPriority w:val="39"/>
    <w:pPr>
      <w:tabs>
        <w:tab w:val="right" w:leader="dot" w:pos="9400"/>
      </w:tabs>
      <w:spacing w:line="520" w:lineRule="exact"/>
      <w:jc w:val="left"/>
    </w:pPr>
  </w:style>
  <w:style w:type="paragraph" w:styleId="14">
    <w:name w:val="Body Text Indent 3"/>
    <w:basedOn w:val="1"/>
    <w:qFormat/>
    <w:uiPriority w:val="0"/>
    <w:pPr>
      <w:spacing w:line="410" w:lineRule="exact"/>
      <w:ind w:left="619" w:leftChars="295" w:firstLine="390" w:firstLineChars="179"/>
    </w:pPr>
    <w:rPr>
      <w:rFonts w:ascii="宋体" w:hAnsi="宋体"/>
      <w:spacing w:val="4"/>
    </w:rPr>
  </w:style>
  <w:style w:type="paragraph" w:styleId="15">
    <w:name w:val="toc 2"/>
    <w:basedOn w:val="1"/>
    <w:next w:val="1"/>
    <w:unhideWhenUsed/>
    <w:qFormat/>
    <w:uiPriority w:val="39"/>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9">
    <w:name w:val="Hyperlink"/>
    <w:unhideWhenUsed/>
    <w:qFormat/>
    <w:uiPriority w:val="99"/>
    <w:rPr>
      <w:color w:val="0000FF"/>
      <w:u w:val="single"/>
    </w:rPr>
  </w:style>
  <w:style w:type="paragraph" w:customStyle="1" w:styleId="20">
    <w:name w:val="Normal Indent1"/>
    <w:basedOn w:val="1"/>
    <w:qFormat/>
    <w:uiPriority w:val="99"/>
    <w:pPr>
      <w:ind w:firstLine="880" w:firstLineChars="200"/>
    </w:pPr>
  </w:style>
  <w:style w:type="paragraph" w:customStyle="1" w:styleId="21">
    <w:name w:val="正文缩进1"/>
    <w:basedOn w:val="1"/>
    <w:qFormat/>
    <w:uiPriority w:val="0"/>
    <w:pPr>
      <w:ind w:firstLine="420" w:firstLineChars="200"/>
    </w:pPr>
  </w:style>
  <w:style w:type="character" w:customStyle="1" w:styleId="22">
    <w:name w:val="NormalCharacter"/>
    <w:semiHidden/>
    <w:qFormat/>
    <w:uiPriority w:val="0"/>
  </w:style>
  <w:style w:type="paragraph" w:customStyle="1" w:styleId="23">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24">
    <w:name w:val="Heading 6"/>
    <w:basedOn w:val="1"/>
    <w:qFormat/>
    <w:uiPriority w:val="1"/>
    <w:pPr>
      <w:autoSpaceDE w:val="0"/>
      <w:autoSpaceDN w:val="0"/>
      <w:adjustRightInd w:val="0"/>
      <w:ind w:left="1448"/>
      <w:jc w:val="left"/>
      <w:outlineLvl w:val="5"/>
    </w:pPr>
    <w:rPr>
      <w:rFonts w:ascii="仿宋" w:hAnsi="Times New Roman" w:eastAsia="仿宋" w:cs="仿宋"/>
      <w:b/>
      <w:bCs/>
      <w:kern w:val="0"/>
      <w:sz w:val="32"/>
      <w:szCs w:val="32"/>
    </w:rPr>
  </w:style>
  <w:style w:type="paragraph" w:customStyle="1" w:styleId="25">
    <w:name w:val="Heading 8"/>
    <w:basedOn w:val="1"/>
    <w:qFormat/>
    <w:uiPriority w:val="1"/>
    <w:pPr>
      <w:autoSpaceDE w:val="0"/>
      <w:autoSpaceDN w:val="0"/>
      <w:adjustRightInd w:val="0"/>
      <w:spacing w:before="14"/>
      <w:ind w:left="118"/>
      <w:jc w:val="left"/>
      <w:outlineLvl w:val="7"/>
    </w:pPr>
    <w:rPr>
      <w:rFonts w:ascii="仿宋" w:hAnsi="Times New Roman" w:eastAsia="仿宋" w:cs="仿宋"/>
      <w:b/>
      <w:bCs/>
      <w:kern w:val="0"/>
      <w:sz w:val="28"/>
      <w:szCs w:val="28"/>
    </w:rPr>
  </w:style>
  <w:style w:type="paragraph" w:customStyle="1" w:styleId="26">
    <w:name w:val="Heading 1"/>
    <w:basedOn w:val="1"/>
    <w:qFormat/>
    <w:uiPriority w:val="1"/>
    <w:pPr>
      <w:autoSpaceDE w:val="0"/>
      <w:autoSpaceDN w:val="0"/>
      <w:adjustRightInd w:val="0"/>
      <w:ind w:left="82"/>
      <w:jc w:val="left"/>
      <w:outlineLvl w:val="0"/>
    </w:pPr>
    <w:rPr>
      <w:rFonts w:ascii="宋体" w:hAnsi="Times New Roman" w:cs="宋体"/>
      <w:b/>
      <w:bCs/>
      <w:kern w:val="0"/>
      <w:sz w:val="32"/>
      <w:szCs w:val="32"/>
    </w:rPr>
  </w:style>
  <w:style w:type="paragraph" w:customStyle="1" w:styleId="27">
    <w:name w:val="Heading 4"/>
    <w:basedOn w:val="1"/>
    <w:qFormat/>
    <w:uiPriority w:val="1"/>
    <w:pPr>
      <w:autoSpaceDE w:val="0"/>
      <w:autoSpaceDN w:val="0"/>
      <w:adjustRightInd w:val="0"/>
      <w:ind w:left="120"/>
      <w:jc w:val="left"/>
      <w:outlineLvl w:val="3"/>
    </w:pPr>
    <w:rPr>
      <w:rFonts w:ascii="宋体" w:hAnsi="Times New Roman" w:cs="宋体"/>
      <w:b/>
      <w:bCs/>
      <w:kern w:val="0"/>
      <w:szCs w:val="21"/>
    </w:rPr>
  </w:style>
  <w:style w:type="paragraph" w:customStyle="1" w:styleId="28">
    <w:name w:val="Heading 2"/>
    <w:basedOn w:val="1"/>
    <w:qFormat/>
    <w:uiPriority w:val="1"/>
    <w:pPr>
      <w:autoSpaceDE w:val="0"/>
      <w:autoSpaceDN w:val="0"/>
      <w:adjustRightInd w:val="0"/>
      <w:jc w:val="left"/>
      <w:outlineLvl w:val="1"/>
    </w:pPr>
    <w:rPr>
      <w:rFonts w:ascii="仿宋" w:hAnsi="Times New Roman" w:eastAsia="仿宋" w:cs="仿宋"/>
      <w:b/>
      <w:bCs/>
      <w:kern w:val="0"/>
      <w:sz w:val="72"/>
      <w:szCs w:val="72"/>
    </w:rPr>
  </w:style>
  <w:style w:type="paragraph" w:customStyle="1" w:styleId="29">
    <w:name w:val="列表内容"/>
    <w:basedOn w:val="1"/>
    <w:qFormat/>
    <w:uiPriority w:val="0"/>
    <w:pPr>
      <w:numPr>
        <w:ilvl w:val="0"/>
        <w:numId w:val="1"/>
      </w:numPr>
      <w:spacing w:before="46" w:beforeLines="15" w:after="46" w:afterLines="15" w:line="260" w:lineRule="exact"/>
    </w:pPr>
    <w:rPr>
      <w:rFonts w:ascii="Verdana" w:hAnsi="Verdana"/>
      <w:szCs w:val="18"/>
    </w:rPr>
  </w:style>
  <w:style w:type="paragraph" w:customStyle="1" w:styleId="3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qFormat/>
    <w:uiPriority w:val="1"/>
    <w:pPr>
      <w:spacing w:before="160"/>
      <w:ind w:left="1180" w:hanging="718"/>
    </w:pPr>
    <w:rPr>
      <w:rFonts w:ascii="宋体" w:hAnsi="宋体" w:eastAsia="宋体" w:cs="宋体"/>
      <w:lang w:val="zh-CN" w:eastAsia="zh-CN" w:bidi="zh-CN"/>
    </w:rPr>
  </w:style>
  <w:style w:type="paragraph" w:customStyle="1" w:styleId="32">
    <w:name w:val="Default"/>
    <w:qFormat/>
    <w:uiPriority w:val="0"/>
    <w:pPr>
      <w:widowControl w:val="0"/>
      <w:autoSpaceDE w:val="0"/>
      <w:autoSpaceDN w:val="0"/>
      <w:adjustRightInd w:val="0"/>
    </w:pPr>
    <w:rPr>
      <w:rFonts w:ascii="Calibri" w:hAnsi="Calibri" w:eastAsia="宋体" w:cs="Times New Roman"/>
      <w:color w:val="000000"/>
      <w:kern w:val="0"/>
      <w:sz w:val="24"/>
      <w:szCs w:val="22"/>
      <w:lang w:val="en-US" w:eastAsia="zh-CN" w:bidi="ar-SA"/>
    </w:rPr>
  </w:style>
  <w:style w:type="character" w:customStyle="1" w:styleId="33">
    <w:name w:val="font41"/>
    <w:basedOn w:val="18"/>
    <w:qFormat/>
    <w:uiPriority w:val="0"/>
    <w:rPr>
      <w:rFonts w:hint="eastAsia" w:ascii="黑体" w:hAnsi="宋体" w:eastAsia="黑体" w:cs="黑体"/>
      <w:b/>
      <w:bCs/>
      <w:color w:val="000000"/>
      <w:sz w:val="18"/>
      <w:szCs w:val="18"/>
      <w:u w:val="none"/>
    </w:rPr>
  </w:style>
  <w:style w:type="character" w:customStyle="1" w:styleId="34">
    <w:name w:val="font01"/>
    <w:basedOn w:val="18"/>
    <w:qFormat/>
    <w:uiPriority w:val="0"/>
    <w:rPr>
      <w:rFonts w:hint="eastAsia" w:ascii="黑体" w:hAnsi="宋体" w:eastAsia="黑体" w:cs="黑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customShpInfo spid="_x0000_s1026" textRotate="1"/>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2020-07-11T04:02:00Z</dcterms:created>
  <dc:creator>先生</dc:creator>
  <cp:lastModifiedBy>李欣茹</cp:lastModifiedBy>
  <cp:lastPrinted>2021-09-26T11:15:00Z</cp:lastPrinted>
  <dcterms:modified xsi:type="dcterms:W3CDTF">2021-10-08T08:49:11Z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B0DA3A79BFC5462EB5FC0122EBA3B735</vt:lpwstr>
  </property>
</Properties>
</file>