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auto"/>
          <w:sz w:val="52"/>
          <w:szCs w:val="52"/>
          <w:highlight w:val="none"/>
        </w:rPr>
      </w:pPr>
    </w:p>
    <w:p>
      <w:pPr>
        <w:rPr>
          <w:rFonts w:hint="eastAsia" w:ascii="宋体" w:hAnsi="宋体" w:eastAsia="宋体" w:cs="宋体"/>
          <w:color w:val="auto"/>
          <w:sz w:val="52"/>
          <w:szCs w:val="52"/>
          <w:highlight w:val="none"/>
        </w:rPr>
      </w:pPr>
    </w:p>
    <w:p>
      <w:pPr>
        <w:pStyle w:val="2"/>
        <w:jc w:val="center"/>
        <w:rPr>
          <w:rFonts w:hint="eastAsia"/>
          <w:color w:val="auto"/>
          <w:highlight w:val="none"/>
        </w:rPr>
      </w:pPr>
    </w:p>
    <w:p>
      <w:pPr>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克拉玛依市纤维检验所—老旧实验室</w:t>
      </w:r>
    </w:p>
    <w:p>
      <w:pPr>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维修改造</w:t>
      </w:r>
    </w:p>
    <w:p>
      <w:pPr>
        <w:pStyle w:val="2"/>
        <w:rPr>
          <w:rFonts w:hint="eastAsia"/>
          <w:color w:val="auto"/>
          <w:highlight w:val="none"/>
          <w:lang w:eastAsia="zh-CN"/>
        </w:rPr>
      </w:pPr>
    </w:p>
    <w:p>
      <w:pPr>
        <w:pStyle w:val="2"/>
        <w:spacing w:line="480" w:lineRule="auto"/>
        <w:jc w:val="center"/>
        <w:rPr>
          <w:rFonts w:hint="eastAsia" w:ascii="宋体" w:hAnsi="宋体" w:eastAsia="宋体" w:cs="宋体"/>
          <w:b/>
          <w:bCs/>
          <w:color w:val="auto"/>
          <w:sz w:val="40"/>
          <w:szCs w:val="40"/>
          <w:highlight w:val="none"/>
          <w:lang w:eastAsia="zh-CN"/>
        </w:rPr>
      </w:pPr>
      <w:r>
        <w:rPr>
          <w:rFonts w:hint="eastAsia" w:ascii="宋体" w:hAnsi="宋体" w:cs="宋体"/>
          <w:b/>
          <w:bCs/>
          <w:color w:val="auto"/>
          <w:sz w:val="40"/>
          <w:szCs w:val="40"/>
          <w:highlight w:val="none"/>
          <w:lang w:eastAsia="zh-CN"/>
        </w:rPr>
        <w:t>竞争性磋商文件</w:t>
      </w: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napToGrid w:val="0"/>
        <w:spacing w:line="480" w:lineRule="auto"/>
        <w:jc w:val="center"/>
        <w:rPr>
          <w:rFonts w:hint="eastAsia" w:ascii="宋体" w:hAnsi="宋体" w:eastAsia="宋体" w:cs="宋体"/>
          <w:b/>
          <w:bCs/>
          <w:color w:val="auto"/>
          <w:sz w:val="32"/>
          <w:szCs w:val="32"/>
          <w:highlight w:val="none"/>
          <w:lang w:val="en-US"/>
        </w:rPr>
      </w:pPr>
      <w:r>
        <w:rPr>
          <w:rFonts w:hint="eastAsia" w:ascii="宋体" w:hAnsi="宋体" w:eastAsia="宋体" w:cs="宋体"/>
          <w:b/>
          <w:color w:val="auto"/>
          <w:sz w:val="30"/>
          <w:szCs w:val="30"/>
          <w:highlight w:val="none"/>
        </w:rPr>
        <w:t>（文件编号：</w:t>
      </w:r>
      <w:r>
        <w:rPr>
          <w:rFonts w:hint="eastAsia" w:ascii="宋体" w:hAnsi="宋体" w:eastAsia="宋体" w:cs="宋体"/>
          <w:b/>
          <w:color w:val="auto"/>
          <w:sz w:val="30"/>
          <w:szCs w:val="30"/>
          <w:highlight w:val="none"/>
          <w:lang w:eastAsia="zh-CN"/>
        </w:rPr>
        <w:t>JKJL[ZC]2021-52</w:t>
      </w:r>
      <w:r>
        <w:rPr>
          <w:rFonts w:hint="eastAsia" w:ascii="宋体" w:hAnsi="宋体" w:eastAsia="宋体" w:cs="宋体"/>
          <w:b/>
          <w:color w:val="auto"/>
          <w:sz w:val="30"/>
          <w:szCs w:val="30"/>
          <w:highlight w:val="none"/>
          <w:lang w:val="en-US" w:eastAsia="zh-CN"/>
        </w:rPr>
        <w:t>）</w:t>
      </w:r>
    </w:p>
    <w:p>
      <w:pPr>
        <w:pStyle w:val="2"/>
        <w:rPr>
          <w:rFonts w:hint="eastAsia" w:ascii="宋体" w:hAnsi="宋体" w:eastAsia="宋体" w:cs="宋体"/>
          <w:b/>
          <w:bCs/>
          <w:color w:val="auto"/>
          <w:sz w:val="32"/>
          <w:szCs w:val="32"/>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pacing w:line="480" w:lineRule="auto"/>
        <w:rPr>
          <w:rFonts w:hint="eastAsia" w:ascii="宋体" w:hAnsi="宋体" w:eastAsia="宋体" w:cs="宋体"/>
          <w:b/>
          <w:bCs/>
          <w:color w:val="auto"/>
          <w:sz w:val="28"/>
          <w:szCs w:val="28"/>
          <w:highlight w:val="none"/>
        </w:rPr>
      </w:pPr>
    </w:p>
    <w:p>
      <w:pPr>
        <w:spacing w:line="480" w:lineRule="auto"/>
        <w:ind w:firstLine="562" w:firstLineChars="200"/>
        <w:rPr>
          <w:rFonts w:hint="eastAsia" w:ascii="宋体" w:hAnsi="宋体" w:eastAsia="宋体" w:cs="宋体"/>
          <w:b/>
          <w:bCs/>
          <w:color w:val="auto"/>
          <w:sz w:val="28"/>
          <w:szCs w:val="28"/>
          <w:highlight w:val="none"/>
          <w:lang w:eastAsia="zh-CN"/>
        </w:rPr>
      </w:pPr>
      <w:r>
        <w:rPr>
          <w:rFonts w:hint="eastAsia" w:ascii="宋体" w:hAnsi="宋体" w:cs="宋体"/>
          <w:b/>
          <w:color w:val="auto"/>
          <w:sz w:val="28"/>
          <w:szCs w:val="28"/>
          <w:highlight w:val="none"/>
        </w:rPr>
        <w:t>招  标  人：</w:t>
      </w:r>
      <w:r>
        <w:rPr>
          <w:rFonts w:hint="eastAsia" w:ascii="宋体" w:hAnsi="宋体" w:cs="宋体"/>
          <w:b/>
          <w:bCs/>
          <w:color w:val="auto"/>
          <w:sz w:val="28"/>
          <w:szCs w:val="28"/>
          <w:highlight w:val="none"/>
          <w:lang w:eastAsia="zh-CN"/>
        </w:rPr>
        <w:t>克拉玛依市纤维检验所</w:t>
      </w:r>
    </w:p>
    <w:p>
      <w:pPr>
        <w:spacing w:line="360" w:lineRule="auto"/>
        <w:ind w:firstLine="562" w:firstLineChars="200"/>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联  系  人：</w:t>
      </w:r>
      <w:r>
        <w:rPr>
          <w:rFonts w:hint="eastAsia" w:ascii="宋体" w:hAnsi="宋体" w:cs="宋体"/>
          <w:b/>
          <w:color w:val="auto"/>
          <w:sz w:val="28"/>
          <w:szCs w:val="28"/>
          <w:highlight w:val="none"/>
          <w:lang w:eastAsia="zh-CN"/>
        </w:rPr>
        <w:t>慈典</w:t>
      </w:r>
    </w:p>
    <w:p>
      <w:pPr>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lang w:eastAsia="zh-CN"/>
        </w:rPr>
        <w:t>采购代理机构</w:t>
      </w:r>
      <w:r>
        <w:rPr>
          <w:rFonts w:hint="eastAsia" w:ascii="宋体" w:hAnsi="宋体" w:cs="宋体"/>
          <w:b/>
          <w:color w:val="auto"/>
          <w:sz w:val="28"/>
          <w:szCs w:val="28"/>
          <w:highlight w:val="none"/>
        </w:rPr>
        <w:t>：克拉玛依市金科工程监理有限责任公司</w:t>
      </w:r>
    </w:p>
    <w:p>
      <w:pPr>
        <w:spacing w:line="360" w:lineRule="auto"/>
        <w:ind w:firstLine="562" w:firstLineChars="200"/>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联  系  人：</w:t>
      </w:r>
      <w:r>
        <w:rPr>
          <w:rFonts w:hint="eastAsia" w:ascii="宋体" w:hAnsi="宋体" w:cs="宋体"/>
          <w:b/>
          <w:color w:val="auto"/>
          <w:sz w:val="28"/>
          <w:szCs w:val="28"/>
          <w:highlight w:val="none"/>
          <w:lang w:eastAsia="zh-CN"/>
        </w:rPr>
        <w:t>蒙秋蓉</w:t>
      </w:r>
    </w:p>
    <w:p>
      <w:pPr>
        <w:spacing w:line="360" w:lineRule="auto"/>
        <w:ind w:firstLine="562" w:firstLineChars="200"/>
        <w:rPr>
          <w:rFonts w:hint="default" w:ascii="宋体" w:hAnsi="宋体" w:eastAsia="宋体" w:cs="宋体"/>
          <w:b/>
          <w:bCs/>
          <w:color w:val="auto"/>
          <w:sz w:val="28"/>
          <w:szCs w:val="28"/>
          <w:highlight w:val="none"/>
          <w:lang w:val="en-US" w:eastAsia="zh-CN"/>
        </w:rPr>
      </w:pPr>
      <w:r>
        <w:rPr>
          <w:rFonts w:hint="eastAsia" w:ascii="宋体" w:hAnsi="宋体" w:cs="宋体"/>
          <w:b/>
          <w:color w:val="auto"/>
          <w:sz w:val="28"/>
          <w:szCs w:val="28"/>
          <w:highlight w:val="none"/>
        </w:rPr>
        <w:t>联系电话：</w:t>
      </w:r>
      <w:r>
        <w:rPr>
          <w:rFonts w:hint="eastAsia" w:ascii="宋体" w:hAnsi="宋体" w:cs="宋体"/>
          <w:b/>
          <w:color w:val="auto"/>
          <w:sz w:val="28"/>
          <w:szCs w:val="28"/>
          <w:highlight w:val="none"/>
          <w:lang w:val="en-US" w:eastAsia="zh-CN"/>
        </w:rPr>
        <w:t>15719079587</w:t>
      </w:r>
    </w:p>
    <w:p>
      <w:pPr>
        <w:pStyle w:val="2"/>
        <w:rPr>
          <w:rFonts w:hint="eastAsia" w:ascii="宋体" w:hAnsi="宋体" w:eastAsia="宋体" w:cs="宋体"/>
          <w:color w:val="auto"/>
          <w:highlight w:val="none"/>
        </w:rPr>
      </w:pPr>
    </w:p>
    <w:p>
      <w:pPr>
        <w:pStyle w:val="2"/>
        <w:jc w:val="center"/>
        <w:rPr>
          <w:rFonts w:hint="eastAsia" w:ascii="宋体" w:hAnsi="宋体" w:eastAsia="宋体" w:cs="宋体"/>
          <w:b/>
          <w:bCs/>
          <w:color w:val="auto"/>
          <w:kern w:val="2"/>
          <w:sz w:val="28"/>
          <w:szCs w:val="28"/>
          <w:highlight w:val="none"/>
          <w:lang w:val="en-US" w:eastAsia="zh-CN" w:bidi="ar-SA"/>
        </w:rPr>
      </w:pPr>
    </w:p>
    <w:p>
      <w:pPr>
        <w:pStyle w:val="2"/>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二〇二一年</w:t>
      </w:r>
      <w:r>
        <w:rPr>
          <w:rFonts w:hint="eastAsia" w:ascii="宋体" w:hAnsi="宋体" w:cs="宋体"/>
          <w:b/>
          <w:bCs/>
          <w:color w:val="auto"/>
          <w:kern w:val="2"/>
          <w:sz w:val="28"/>
          <w:szCs w:val="28"/>
          <w:highlight w:val="none"/>
          <w:lang w:val="en-US" w:eastAsia="zh-CN" w:bidi="ar-SA"/>
        </w:rPr>
        <w:t>十</w:t>
      </w:r>
      <w:r>
        <w:rPr>
          <w:rFonts w:hint="eastAsia" w:ascii="宋体" w:hAnsi="宋体" w:eastAsia="宋体" w:cs="宋体"/>
          <w:b/>
          <w:bCs/>
          <w:color w:val="auto"/>
          <w:kern w:val="2"/>
          <w:sz w:val="28"/>
          <w:szCs w:val="28"/>
          <w:highlight w:val="none"/>
          <w:lang w:val="en-US" w:eastAsia="zh-CN" w:bidi="ar-SA"/>
        </w:rPr>
        <w:t>月</w:t>
      </w:r>
    </w:p>
    <w:p>
      <w:pPr>
        <w:pageBreakBefore/>
        <w:spacing w:line="500" w:lineRule="exact"/>
        <w:jc w:val="center"/>
        <w:rPr>
          <w:rFonts w:hint="eastAsia" w:ascii="宋体" w:hAnsi="宋体" w:cs="宋体"/>
          <w:b/>
          <w:bCs/>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ageBreakBefore/>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总  目  录</w:t>
      </w:r>
    </w:p>
    <w:p>
      <w:pPr>
        <w:pStyle w:val="34"/>
        <w:tabs>
          <w:tab w:val="right" w:leader="dot" w:pos="9185"/>
        </w:tabs>
        <w:spacing w:line="600" w:lineRule="auto"/>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第一章、</w:t>
      </w:r>
      <w:r>
        <w:rPr>
          <w:rFonts w:hint="eastAsia" w:ascii="宋体" w:hAnsi="宋体" w:cs="宋体"/>
          <w:b/>
          <w:color w:val="auto"/>
          <w:kern w:val="2"/>
          <w:sz w:val="24"/>
          <w:szCs w:val="24"/>
          <w:highlight w:val="none"/>
          <w:lang w:eastAsia="zh-CN"/>
        </w:rPr>
        <w:t>竞争性磋商</w:t>
      </w:r>
      <w:r>
        <w:rPr>
          <w:rFonts w:hint="eastAsia" w:ascii="宋体" w:hAnsi="宋体" w:cs="宋体"/>
          <w:b/>
          <w:color w:val="auto"/>
          <w:kern w:val="2"/>
          <w:sz w:val="24"/>
          <w:szCs w:val="24"/>
          <w:highlight w:val="none"/>
        </w:rPr>
        <w:t>公告</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1</w:t>
      </w:r>
    </w:p>
    <w:p>
      <w:pPr>
        <w:pStyle w:val="34"/>
        <w:tabs>
          <w:tab w:val="right" w:leader="dot" w:pos="9185"/>
        </w:tabs>
        <w:spacing w:line="600" w:lineRule="auto"/>
        <w:rPr>
          <w:rFonts w:hint="eastAsia"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第二章、</w:t>
      </w:r>
      <w:r>
        <w:rPr>
          <w:rFonts w:hint="eastAsia" w:ascii="宋体" w:hAnsi="宋体" w:cs="宋体"/>
          <w:b/>
          <w:color w:val="auto"/>
          <w:kern w:val="2"/>
          <w:sz w:val="24"/>
          <w:szCs w:val="24"/>
          <w:highlight w:val="none"/>
          <w:lang w:eastAsia="zh-CN"/>
        </w:rPr>
        <w:t>供应商</w:t>
      </w:r>
      <w:r>
        <w:rPr>
          <w:rFonts w:hint="eastAsia" w:ascii="宋体" w:hAnsi="宋体" w:cs="宋体"/>
          <w:b/>
          <w:color w:val="auto"/>
          <w:kern w:val="2"/>
          <w:sz w:val="24"/>
          <w:szCs w:val="24"/>
          <w:highlight w:val="none"/>
        </w:rPr>
        <w:t>须知</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4</w:t>
      </w:r>
    </w:p>
    <w:p>
      <w:pPr>
        <w:pStyle w:val="34"/>
        <w:tabs>
          <w:tab w:val="right" w:leader="dot" w:pos="9185"/>
        </w:tabs>
        <w:spacing w:line="600" w:lineRule="auto"/>
        <w:rPr>
          <w:rFonts w:hint="default" w:ascii="宋体" w:hAnsi="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第三章、项目采购需求</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28</w:t>
      </w:r>
    </w:p>
    <w:p>
      <w:pPr>
        <w:pStyle w:val="34"/>
        <w:tabs>
          <w:tab w:val="right" w:leader="dot" w:pos="9185"/>
        </w:tabs>
        <w:spacing w:line="600" w:lineRule="auto"/>
        <w:rPr>
          <w:rFonts w:hint="default" w:ascii="宋体" w:hAnsi="宋体" w:eastAsia="宋体" w:cs="宋体"/>
          <w:b/>
          <w:color w:val="auto"/>
          <w:kern w:val="2"/>
          <w:sz w:val="24"/>
          <w:szCs w:val="24"/>
          <w:highlight w:val="none"/>
          <w:lang w:val="en-US" w:eastAsia="zh-CN"/>
        </w:rPr>
      </w:pPr>
      <w:r>
        <w:rPr>
          <w:rFonts w:hint="eastAsia" w:ascii="宋体" w:hAnsi="宋体" w:cs="宋体"/>
          <w:b/>
          <w:bCs/>
          <w:color w:val="auto"/>
          <w:sz w:val="24"/>
          <w:szCs w:val="24"/>
          <w:highlight w:val="none"/>
        </w:rPr>
        <w:t>第四章、合同条款（主要内容）</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31</w:t>
      </w:r>
    </w:p>
    <w:p>
      <w:pPr>
        <w:pStyle w:val="34"/>
        <w:tabs>
          <w:tab w:val="right" w:leader="dot" w:pos="9185"/>
        </w:tabs>
        <w:spacing w:line="600" w:lineRule="auto"/>
        <w:rPr>
          <w:rFonts w:hint="default" w:ascii="宋体" w:hAnsi="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w:t>
      </w:r>
      <w:r>
        <w:rPr>
          <w:rFonts w:hint="eastAsia" w:ascii="宋体" w:hAnsi="宋体" w:cs="宋体"/>
          <w:b/>
          <w:color w:val="auto"/>
          <w:kern w:val="2"/>
          <w:sz w:val="24"/>
          <w:szCs w:val="24"/>
          <w:highlight w:val="none"/>
          <w:lang w:eastAsia="zh-CN"/>
        </w:rPr>
        <w:t>五</w:t>
      </w:r>
      <w:r>
        <w:rPr>
          <w:rFonts w:hint="eastAsia" w:ascii="宋体" w:hAnsi="宋体" w:cs="宋体"/>
          <w:b/>
          <w:color w:val="auto"/>
          <w:kern w:val="2"/>
          <w:sz w:val="24"/>
          <w:szCs w:val="24"/>
          <w:highlight w:val="none"/>
        </w:rPr>
        <w:t>章、</w:t>
      </w:r>
      <w:r>
        <w:rPr>
          <w:rFonts w:hint="eastAsia" w:ascii="宋体" w:hAnsi="宋体" w:cs="宋体"/>
          <w:b/>
          <w:color w:val="auto"/>
          <w:kern w:val="2"/>
          <w:sz w:val="24"/>
          <w:szCs w:val="24"/>
          <w:highlight w:val="none"/>
          <w:lang w:eastAsia="zh-CN"/>
        </w:rPr>
        <w:t>响应文件</w:t>
      </w:r>
      <w:r>
        <w:rPr>
          <w:rFonts w:hint="eastAsia" w:ascii="宋体" w:hAnsi="宋体" w:cs="宋体"/>
          <w:b/>
          <w:color w:val="auto"/>
          <w:kern w:val="2"/>
          <w:sz w:val="24"/>
          <w:szCs w:val="24"/>
          <w:highlight w:val="none"/>
        </w:rPr>
        <w:t>格式</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64</w:t>
      </w:r>
    </w:p>
    <w:p>
      <w:pPr>
        <w:pStyle w:val="34"/>
        <w:tabs>
          <w:tab w:val="right" w:leader="dot" w:pos="9185"/>
        </w:tabs>
        <w:spacing w:line="600" w:lineRule="auto"/>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w:t>
      </w:r>
      <w:r>
        <w:rPr>
          <w:rFonts w:hint="eastAsia" w:ascii="宋体" w:hAnsi="宋体" w:cs="宋体"/>
          <w:b/>
          <w:color w:val="auto"/>
          <w:kern w:val="2"/>
          <w:sz w:val="24"/>
          <w:szCs w:val="24"/>
          <w:highlight w:val="none"/>
          <w:lang w:eastAsia="zh-CN"/>
        </w:rPr>
        <w:t>六</w:t>
      </w:r>
      <w:r>
        <w:rPr>
          <w:rFonts w:hint="eastAsia" w:ascii="宋体" w:hAnsi="宋体" w:cs="宋体"/>
          <w:b/>
          <w:color w:val="auto"/>
          <w:kern w:val="2"/>
          <w:sz w:val="24"/>
          <w:szCs w:val="24"/>
          <w:highlight w:val="none"/>
        </w:rPr>
        <w:t>章、评标标准（</w:t>
      </w:r>
      <w:r>
        <w:rPr>
          <w:rFonts w:hint="eastAsia" w:ascii="宋体" w:hAnsi="宋体" w:cs="宋体"/>
          <w:b/>
          <w:color w:val="auto"/>
          <w:kern w:val="2"/>
          <w:sz w:val="24"/>
          <w:szCs w:val="24"/>
          <w:highlight w:val="none"/>
          <w:lang w:eastAsia="zh-CN"/>
        </w:rPr>
        <w:t>综合评分法</w:t>
      </w:r>
      <w:r>
        <w:rPr>
          <w:rFonts w:hint="eastAsia" w:ascii="宋体" w:hAnsi="宋体" w:cs="宋体"/>
          <w:b/>
          <w:color w:val="auto"/>
          <w:kern w:val="2"/>
          <w:sz w:val="24"/>
          <w:szCs w:val="24"/>
          <w:highlight w:val="none"/>
        </w:rPr>
        <w:t>）</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102</w:t>
      </w: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keepNext w:val="0"/>
        <w:keepLines w:val="0"/>
        <w:pageBreakBefore w:val="0"/>
        <w:numPr>
          <w:ilvl w:val="0"/>
          <w:numId w:val="0"/>
        </w:numPr>
        <w:tabs>
          <w:tab w:val="left" w:pos="1230"/>
          <w:tab w:val="left" w:pos="1275"/>
        </w:tabs>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 w:val="28"/>
          <w:szCs w:val="28"/>
          <w:highlight w:val="none"/>
          <w:lang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0" w:name="_Toc30713_WPSOffice_Level1"/>
    </w:p>
    <w:p>
      <w:pPr>
        <w:keepNext w:val="0"/>
        <w:keepLines w:val="0"/>
        <w:pageBreakBefore w:val="0"/>
        <w:numPr>
          <w:ilvl w:val="0"/>
          <w:numId w:val="0"/>
        </w:numPr>
        <w:tabs>
          <w:tab w:val="left" w:pos="1230"/>
          <w:tab w:val="left" w:pos="12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第一章、</w:t>
      </w:r>
      <w:bookmarkEnd w:id="0"/>
      <w:r>
        <w:rPr>
          <w:rFonts w:hint="eastAsia" w:ascii="宋体" w:hAnsi="宋体" w:cs="宋体"/>
          <w:b/>
          <w:bCs/>
          <w:color w:val="auto"/>
          <w:sz w:val="28"/>
          <w:szCs w:val="28"/>
          <w:highlight w:val="none"/>
          <w:lang w:eastAsia="zh-CN"/>
        </w:rPr>
        <w:t>竞争性磋商采购公告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克拉玛依市纤维检验所</w:t>
      </w:r>
      <w:r>
        <w:rPr>
          <w:rFonts w:hint="eastAsia" w:ascii="宋体" w:hAnsi="宋体" w:cs="宋体"/>
          <w:color w:val="auto"/>
          <w:sz w:val="24"/>
          <w:szCs w:val="24"/>
          <w:highlight w:val="none"/>
          <w:u w:val="single"/>
          <w:lang w:val="en-US" w:eastAsia="zh-CN"/>
        </w:rPr>
        <w:t>—老旧实验室维修改造</w:t>
      </w:r>
      <w:r>
        <w:rPr>
          <w:rFonts w:hint="eastAsia" w:ascii="宋体" w:hAnsi="宋体" w:eastAsia="宋体" w:cs="宋体"/>
          <w:color w:val="auto"/>
          <w:sz w:val="24"/>
          <w:szCs w:val="24"/>
          <w:highlight w:val="none"/>
          <w:u w:val="none"/>
          <w:lang w:val="en-US" w:eastAsia="zh-CN"/>
        </w:rPr>
        <w:t>的潜在</w:t>
      </w:r>
      <w:r>
        <w:rPr>
          <w:rFonts w:hint="eastAsia" w:ascii="宋体" w:hAnsi="宋体" w:cs="宋体"/>
          <w:color w:val="auto"/>
          <w:sz w:val="24"/>
          <w:szCs w:val="24"/>
          <w:highlight w:val="none"/>
          <w:u w:val="none"/>
          <w:lang w:val="en-US" w:eastAsia="zh-CN"/>
        </w:rPr>
        <w:t>供应商</w:t>
      </w:r>
      <w:r>
        <w:rPr>
          <w:rFonts w:hint="eastAsia" w:ascii="宋体" w:hAnsi="宋体" w:eastAsia="宋体" w:cs="宋体"/>
          <w:color w:val="auto"/>
          <w:sz w:val="24"/>
          <w:szCs w:val="24"/>
          <w:highlight w:val="none"/>
          <w:u w:val="none"/>
          <w:lang w:val="en-US" w:eastAsia="zh-CN"/>
        </w:rPr>
        <w:t>应在</w:t>
      </w:r>
      <w:r>
        <w:rPr>
          <w:rFonts w:hint="eastAsia" w:ascii="宋体" w:hAnsi="宋体" w:eastAsia="宋体" w:cs="宋体"/>
          <w:color w:val="auto"/>
          <w:sz w:val="24"/>
          <w:szCs w:val="24"/>
          <w:highlight w:val="none"/>
          <w:u w:val="single"/>
          <w:lang w:val="en-US" w:eastAsia="zh-CN"/>
        </w:rPr>
        <w:t>克拉玛依市金科工程监理有限责任公司（克拉玛依市石化工业园团结路12号）</w:t>
      </w:r>
      <w:r>
        <w:rPr>
          <w:rFonts w:hint="eastAsia" w:ascii="宋体" w:hAnsi="宋体" w:eastAsia="宋体" w:cs="宋体"/>
          <w:color w:val="auto"/>
          <w:sz w:val="24"/>
          <w:szCs w:val="24"/>
          <w:highlight w:val="none"/>
          <w:u w:val="none"/>
          <w:lang w:val="en-US" w:eastAsia="zh-CN"/>
        </w:rPr>
        <w:t>获取</w:t>
      </w:r>
      <w:r>
        <w:rPr>
          <w:rFonts w:hint="eastAsia" w:ascii="宋体" w:hAnsi="宋体" w:cs="宋体"/>
          <w:color w:val="auto"/>
          <w:sz w:val="24"/>
          <w:szCs w:val="24"/>
          <w:highlight w:val="none"/>
          <w:u w:val="none"/>
          <w:lang w:val="en-US" w:eastAsia="zh-CN"/>
        </w:rPr>
        <w:t>竞争性磋商文件</w:t>
      </w:r>
      <w:r>
        <w:rPr>
          <w:rFonts w:hint="eastAsia" w:ascii="宋体" w:hAnsi="宋体" w:eastAsia="宋体" w:cs="宋体"/>
          <w:color w:val="auto"/>
          <w:sz w:val="24"/>
          <w:szCs w:val="24"/>
          <w:highlight w:val="none"/>
          <w:u w:val="none"/>
          <w:lang w:val="en-US" w:eastAsia="zh-CN"/>
        </w:rPr>
        <w:t>，并于202</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val="en-US" w:eastAsia="zh-CN"/>
        </w:rPr>
        <w:t>年</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27</w:t>
      </w:r>
      <w:r>
        <w:rPr>
          <w:rFonts w:hint="eastAsia" w:ascii="宋体" w:hAnsi="宋体" w:eastAsia="宋体" w:cs="宋体"/>
          <w:color w:val="auto"/>
          <w:sz w:val="24"/>
          <w:szCs w:val="24"/>
          <w:highlight w:val="none"/>
          <w:u w:val="none"/>
          <w:lang w:val="en-US" w:eastAsia="zh-CN"/>
        </w:rPr>
        <w:t xml:space="preserve">日 </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en-US" w:eastAsia="zh-CN"/>
        </w:rPr>
        <w:t xml:space="preserve"> 点 </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 xml:space="preserve"> 分（北京时间）前递交</w:t>
      </w:r>
      <w:r>
        <w:rPr>
          <w:rFonts w:hint="eastAsia" w:ascii="宋体" w:hAnsi="宋体" w:cs="宋体"/>
          <w:color w:val="auto"/>
          <w:sz w:val="24"/>
          <w:szCs w:val="24"/>
          <w:highlight w:val="none"/>
          <w:u w:val="none"/>
          <w:lang w:val="en-US" w:eastAsia="zh-CN"/>
        </w:rPr>
        <w:t>响应文件</w:t>
      </w:r>
      <w:r>
        <w:rPr>
          <w:rFonts w:hint="eastAsia" w:ascii="宋体" w:hAnsi="宋体" w:eastAsia="宋体" w:cs="宋体"/>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bidi="ar-SA"/>
        </w:rPr>
      </w:pPr>
      <w:bookmarkStart w:id="1" w:name="_Toc28359079"/>
      <w:bookmarkStart w:id="2" w:name="_Toc35393790"/>
      <w:bookmarkStart w:id="3" w:name="_Toc28359002"/>
      <w:bookmarkStart w:id="4" w:name="_Toc35393621"/>
      <w:bookmarkStart w:id="5" w:name="_Hlk24379207"/>
      <w:r>
        <w:rPr>
          <w:rFonts w:hint="eastAsia" w:ascii="宋体" w:hAnsi="宋体" w:eastAsia="宋体" w:cs="宋体"/>
          <w:b/>
          <w:bCs/>
          <w:color w:val="auto"/>
          <w:kern w:val="0"/>
          <w:sz w:val="24"/>
          <w:szCs w:val="24"/>
          <w:highlight w:val="none"/>
          <w:lang w:val="en-US" w:eastAsia="zh-CN" w:bidi="ar-SA"/>
        </w:rPr>
        <w:t>一、项目基本情况</w:t>
      </w:r>
      <w:bookmarkEnd w:id="1"/>
      <w:bookmarkEnd w:id="2"/>
      <w:bookmarkEnd w:id="3"/>
      <w:bookmarkEnd w:id="4"/>
    </w:p>
    <w:bookmarkEnd w:id="5"/>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2"/>
          <w:highlight w:val="none"/>
        </w:rPr>
      </w:pPr>
      <w:bookmarkStart w:id="6" w:name="_Toc35393622"/>
      <w:bookmarkStart w:id="7" w:name="_Toc35393791"/>
      <w:bookmarkStart w:id="8" w:name="_Toc28359003"/>
      <w:bookmarkStart w:id="9" w:name="_Toc28359080"/>
      <w:r>
        <w:rPr>
          <w:rFonts w:hint="eastAsia" w:ascii="宋体" w:hAnsi="宋体" w:cs="宋体"/>
          <w:bCs/>
          <w:color w:val="auto"/>
          <w:kern w:val="0"/>
          <w:sz w:val="24"/>
          <w:szCs w:val="22"/>
          <w:highlight w:val="none"/>
        </w:rPr>
        <w:t>项目编号：</w:t>
      </w:r>
      <w:r>
        <w:rPr>
          <w:rFonts w:hint="eastAsia" w:ascii="宋体" w:hAnsi="宋体" w:cs="宋体"/>
          <w:bCs/>
          <w:color w:val="auto"/>
          <w:kern w:val="0"/>
          <w:sz w:val="24"/>
          <w:szCs w:val="22"/>
          <w:highlight w:val="none"/>
          <w:lang w:eastAsia="zh-CN"/>
        </w:rPr>
        <w:t>JKJL[ZC]2021-52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eastAsia="zh-CN"/>
        </w:rPr>
      </w:pPr>
      <w:r>
        <w:rPr>
          <w:rFonts w:hint="eastAsia" w:ascii="宋体" w:hAnsi="宋体" w:cs="宋体"/>
          <w:bCs/>
          <w:color w:val="auto"/>
          <w:kern w:val="0"/>
          <w:sz w:val="24"/>
          <w:szCs w:val="22"/>
          <w:highlight w:val="none"/>
        </w:rPr>
        <w:t>项目名称：</w:t>
      </w:r>
      <w:r>
        <w:rPr>
          <w:rFonts w:hint="eastAsia" w:ascii="宋体" w:hAnsi="宋体" w:cs="宋体"/>
          <w:bCs/>
          <w:color w:val="auto"/>
          <w:kern w:val="0"/>
          <w:sz w:val="24"/>
          <w:szCs w:val="22"/>
          <w:highlight w:val="none"/>
          <w:lang w:eastAsia="zh-CN"/>
        </w:rPr>
        <w:t>克拉玛依市纤维检验所—</w:t>
      </w:r>
      <w:r>
        <w:rPr>
          <w:rFonts w:hint="eastAsia" w:ascii="宋体" w:hAnsi="宋体" w:cs="宋体"/>
          <w:bCs/>
          <w:color w:val="auto"/>
          <w:kern w:val="0"/>
          <w:sz w:val="24"/>
          <w:szCs w:val="22"/>
          <w:highlight w:val="none"/>
          <w:lang w:val="en-US" w:eastAsia="zh-CN"/>
        </w:rPr>
        <w:t>老旧实验室</w:t>
      </w:r>
      <w:r>
        <w:rPr>
          <w:rFonts w:hint="eastAsia" w:ascii="宋体" w:hAnsi="宋体" w:cs="宋体"/>
          <w:bCs/>
          <w:color w:val="auto"/>
          <w:kern w:val="0"/>
          <w:sz w:val="24"/>
          <w:szCs w:val="22"/>
          <w:highlight w:val="none"/>
          <w:lang w:eastAsia="zh-CN"/>
        </w:rPr>
        <w:t>维修改造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eastAsia="zh-CN"/>
        </w:rPr>
      </w:pPr>
      <w:r>
        <w:rPr>
          <w:rFonts w:hint="eastAsia" w:ascii="宋体" w:hAnsi="宋体" w:cs="宋体"/>
          <w:bCs/>
          <w:color w:val="auto"/>
          <w:kern w:val="0"/>
          <w:sz w:val="24"/>
          <w:szCs w:val="22"/>
          <w:highlight w:val="none"/>
        </w:rPr>
        <w:t>采购方式：</w:t>
      </w:r>
      <w:r>
        <w:rPr>
          <w:rFonts w:hint="eastAsia" w:ascii="宋体" w:hAnsi="宋体" w:cs="宋体"/>
          <w:bCs/>
          <w:color w:val="auto"/>
          <w:kern w:val="0"/>
          <w:sz w:val="24"/>
          <w:szCs w:val="22"/>
          <w:highlight w:val="none"/>
          <w:lang w:eastAsia="zh-CN"/>
        </w:rPr>
        <w:t>竞争性磋商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cs="宋体"/>
          <w:bCs/>
          <w:color w:val="auto"/>
          <w:kern w:val="0"/>
          <w:sz w:val="24"/>
          <w:szCs w:val="22"/>
          <w:highlight w:val="none"/>
        </w:rPr>
        <w:t>预算金额（元）：</w:t>
      </w:r>
      <w:r>
        <w:rPr>
          <w:rFonts w:hint="eastAsia" w:ascii="宋体" w:hAnsi="宋体" w:cs="宋体"/>
          <w:bCs/>
          <w:color w:val="auto"/>
          <w:kern w:val="0"/>
          <w:sz w:val="24"/>
          <w:szCs w:val="22"/>
          <w:highlight w:val="none"/>
          <w:lang w:val="en-US" w:eastAsia="zh-CN"/>
        </w:rPr>
        <w:t>2200000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2"/>
          <w:highlight w:val="none"/>
        </w:rPr>
      </w:pPr>
      <w:r>
        <w:rPr>
          <w:rFonts w:hint="eastAsia" w:ascii="宋体" w:hAnsi="宋体" w:cs="宋体"/>
          <w:bCs/>
          <w:color w:val="auto"/>
          <w:kern w:val="0"/>
          <w:sz w:val="24"/>
          <w:szCs w:val="22"/>
          <w:highlight w:val="none"/>
        </w:rPr>
        <w:t>最高限价（元）：</w:t>
      </w:r>
      <w:r>
        <w:rPr>
          <w:rFonts w:hint="eastAsia" w:ascii="宋体" w:hAnsi="宋体" w:cs="宋体"/>
          <w:bCs/>
          <w:color w:val="auto"/>
          <w:kern w:val="0"/>
          <w:sz w:val="24"/>
          <w:szCs w:val="22"/>
          <w:highlight w:val="none"/>
          <w:lang w:val="en-US" w:eastAsia="zh-CN"/>
        </w:rPr>
        <w:t>2200000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eastAsia="zh-CN"/>
        </w:rPr>
      </w:pPr>
      <w:r>
        <w:rPr>
          <w:rFonts w:hint="eastAsia" w:ascii="宋体" w:hAnsi="宋体" w:cs="宋体"/>
          <w:bCs/>
          <w:color w:val="auto"/>
          <w:kern w:val="0"/>
          <w:sz w:val="24"/>
          <w:szCs w:val="22"/>
          <w:highlight w:val="none"/>
        </w:rPr>
        <w:t>采购需求：详见</w:t>
      </w:r>
      <w:r>
        <w:rPr>
          <w:rFonts w:hint="eastAsia" w:ascii="宋体" w:hAnsi="宋体" w:cs="宋体"/>
          <w:bCs/>
          <w:color w:val="auto"/>
          <w:kern w:val="0"/>
          <w:sz w:val="24"/>
          <w:szCs w:val="22"/>
          <w:highlight w:val="none"/>
          <w:lang w:eastAsia="zh-CN"/>
        </w:rPr>
        <w:t>竞争性磋商文件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2"/>
          <w:highlight w:val="none"/>
        </w:rPr>
      </w:pPr>
      <w:r>
        <w:rPr>
          <w:rFonts w:hint="eastAsia" w:ascii="宋体" w:hAnsi="宋体" w:cs="宋体"/>
          <w:bCs/>
          <w:color w:val="auto"/>
          <w:kern w:val="0"/>
          <w:sz w:val="24"/>
          <w:szCs w:val="22"/>
          <w:highlight w:val="none"/>
        </w:rPr>
        <w:t>标项一: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eastAsia="zh-CN"/>
        </w:rPr>
      </w:pPr>
      <w:r>
        <w:rPr>
          <w:rFonts w:hint="eastAsia" w:ascii="宋体" w:hAnsi="宋体" w:cs="宋体"/>
          <w:bCs/>
          <w:color w:val="auto"/>
          <w:kern w:val="0"/>
          <w:sz w:val="24"/>
          <w:szCs w:val="22"/>
          <w:highlight w:val="none"/>
        </w:rPr>
        <w:t>标项名称:</w:t>
      </w:r>
      <w:r>
        <w:rPr>
          <w:rFonts w:hint="eastAsia" w:ascii="宋体" w:hAnsi="宋体" w:cs="宋体"/>
          <w:bCs/>
          <w:color w:val="auto"/>
          <w:kern w:val="0"/>
          <w:sz w:val="24"/>
          <w:szCs w:val="22"/>
          <w:highlight w:val="none"/>
          <w:lang w:eastAsia="zh-CN"/>
        </w:rPr>
        <w:t>克拉玛依市纤维检验所—老旧实验室维修改造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2"/>
          <w:highlight w:val="none"/>
        </w:rPr>
      </w:pPr>
      <w:r>
        <w:rPr>
          <w:rFonts w:hint="eastAsia" w:ascii="宋体" w:hAnsi="宋体" w:cs="宋体"/>
          <w:bCs/>
          <w:color w:val="auto"/>
          <w:kern w:val="0"/>
          <w:sz w:val="24"/>
          <w:szCs w:val="22"/>
          <w:highlight w:val="none"/>
        </w:rPr>
        <w:t>数量:1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2"/>
          <w:highlight w:val="none"/>
        </w:rPr>
      </w:pPr>
      <w:r>
        <w:rPr>
          <w:rFonts w:hint="eastAsia" w:ascii="宋体" w:hAnsi="宋体" w:cs="宋体"/>
          <w:bCs/>
          <w:color w:val="auto"/>
          <w:kern w:val="0"/>
          <w:sz w:val="24"/>
          <w:szCs w:val="22"/>
          <w:highlight w:val="none"/>
        </w:rPr>
        <w:t>预算金额（元）:</w:t>
      </w:r>
      <w:r>
        <w:rPr>
          <w:rFonts w:hint="eastAsia" w:ascii="宋体" w:hAnsi="宋体" w:cs="宋体"/>
          <w:bCs/>
          <w:color w:val="auto"/>
          <w:kern w:val="0"/>
          <w:sz w:val="24"/>
          <w:szCs w:val="22"/>
          <w:highlight w:val="none"/>
          <w:lang w:val="en-US" w:eastAsia="zh-CN"/>
        </w:rPr>
        <w:t>2200000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2"/>
          <w:highlight w:val="none"/>
        </w:rPr>
      </w:pPr>
      <w:r>
        <w:rPr>
          <w:rFonts w:hint="eastAsia" w:ascii="宋体" w:hAnsi="宋体" w:cs="宋体"/>
          <w:bCs/>
          <w:color w:val="auto"/>
          <w:kern w:val="0"/>
          <w:sz w:val="24"/>
          <w:szCs w:val="22"/>
          <w:highlight w:val="none"/>
        </w:rPr>
        <w:t>简要规格描述或项目基本概况介绍、用途：详见“</w:t>
      </w:r>
      <w:r>
        <w:rPr>
          <w:rFonts w:hint="eastAsia" w:ascii="宋体" w:hAnsi="宋体" w:cs="宋体"/>
          <w:bCs/>
          <w:color w:val="auto"/>
          <w:kern w:val="0"/>
          <w:sz w:val="24"/>
          <w:szCs w:val="22"/>
          <w:highlight w:val="none"/>
          <w:lang w:eastAsia="zh-CN"/>
        </w:rPr>
        <w:t>竞争性磋商文件</w:t>
      </w:r>
      <w:r>
        <w:rPr>
          <w:rFonts w:hint="eastAsia" w:ascii="宋体" w:hAnsi="宋体" w:cs="宋体"/>
          <w:bCs/>
          <w:color w:val="auto"/>
          <w:kern w:val="0"/>
          <w:sz w:val="24"/>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2"/>
          <w:highlight w:val="none"/>
        </w:rPr>
      </w:pPr>
      <w:r>
        <w:rPr>
          <w:rFonts w:hint="eastAsia" w:ascii="宋体" w:hAnsi="宋体" w:cs="宋体"/>
          <w:bCs/>
          <w:color w:val="auto"/>
          <w:kern w:val="0"/>
          <w:sz w:val="24"/>
          <w:szCs w:val="22"/>
          <w:highlight w:val="none"/>
        </w:rPr>
        <w:t>本项目（是/否）接受联合体投标：否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二、申请人的资格要求</w:t>
      </w:r>
      <w:bookmarkEnd w:id="6"/>
      <w:bookmarkEnd w:id="7"/>
      <w:bookmarkEnd w:id="8"/>
      <w:bookmarkEnd w:id="9"/>
      <w:r>
        <w:rPr>
          <w:rFonts w:hint="eastAsia" w:ascii="宋体" w:hAnsi="宋体" w:cs="宋体"/>
          <w:b/>
          <w:bCs/>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10" w:name="_Toc28359081"/>
      <w:bookmarkStart w:id="11" w:name="_Toc35393623"/>
      <w:bookmarkStart w:id="12" w:name="_Toc35393792"/>
      <w:bookmarkStart w:id="13" w:name="_Toc28359004"/>
      <w:r>
        <w:rPr>
          <w:rFonts w:hint="eastAsia" w:ascii="宋体" w:hAnsi="宋体" w:eastAsia="宋体" w:cs="宋体"/>
          <w:color w:val="auto"/>
          <w:kern w:val="0"/>
          <w:sz w:val="24"/>
          <w:szCs w:val="24"/>
          <w:highlight w:val="none"/>
          <w:lang w:val="en-US" w:eastAsia="zh-CN" w:bidi="ar-S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bCs/>
          <w:color w:val="auto"/>
          <w:kern w:val="0"/>
          <w:sz w:val="24"/>
          <w:szCs w:val="22"/>
          <w:highlight w:val="none"/>
          <w:lang w:val="en-US" w:eastAsia="zh-CN"/>
        </w:rPr>
        <w:t>2.</w:t>
      </w:r>
      <w:r>
        <w:rPr>
          <w:rFonts w:hint="eastAsia" w:ascii="宋体" w:hAnsi="宋体" w:cs="宋体"/>
          <w:bCs/>
          <w:color w:val="auto"/>
          <w:kern w:val="0"/>
          <w:sz w:val="24"/>
          <w:szCs w:val="22"/>
          <w:highlight w:val="none"/>
        </w:rPr>
        <w:t>落实政府采购政策需满足的资格要求：按照《财政部工业和信息化部关于印发&lt;政府采购促进中小企业发展管理办法&gt;的通知》（财库〔2020〕46号）的规定，落实促进中小企业发展政策；</w:t>
      </w:r>
      <w:r>
        <w:rPr>
          <w:rFonts w:hint="eastAsia" w:ascii="宋体" w:hAnsi="宋体" w:eastAsia="宋体" w:cs="宋体"/>
          <w:color w:val="auto"/>
          <w:kern w:val="0"/>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lang w:val="en-US" w:eastAsia="zh-CN"/>
        </w:rPr>
        <w:t>3.</w:t>
      </w:r>
      <w:r>
        <w:rPr>
          <w:rFonts w:hint="eastAsia" w:ascii="宋体" w:hAnsi="宋体" w:cs="宋体"/>
          <w:bCs/>
          <w:color w:val="auto"/>
          <w:kern w:val="0"/>
          <w:sz w:val="24"/>
          <w:szCs w:val="22"/>
          <w:highlight w:val="none"/>
          <w:lang w:eastAsia="zh-CN"/>
        </w:rPr>
        <w:t>供应商</w:t>
      </w:r>
      <w:r>
        <w:rPr>
          <w:rFonts w:hint="eastAsia" w:ascii="宋体" w:hAnsi="宋体" w:eastAsia="宋体" w:cs="宋体"/>
          <w:bCs/>
          <w:color w:val="auto"/>
          <w:kern w:val="0"/>
          <w:sz w:val="24"/>
          <w:szCs w:val="22"/>
          <w:highlight w:val="none"/>
        </w:rPr>
        <w:t>为中小企业/小微企业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4.根据《财政部关于在政</w:t>
      </w:r>
      <w:r>
        <w:rPr>
          <w:rFonts w:hint="eastAsia" w:ascii="宋体" w:hAnsi="宋体" w:cs="宋体"/>
          <w:bCs/>
          <w:color w:val="auto"/>
          <w:kern w:val="0"/>
          <w:sz w:val="24"/>
          <w:szCs w:val="22"/>
          <w:highlight w:val="none"/>
          <w:lang w:val="en-US" w:eastAsia="zh-CN"/>
        </w:rPr>
        <w:t>府采购活动中查询及使用信用记录有关问题的通知》（财库﹝2016﹞125号）的要求，凡拟参加本次招标项目的投标单位，投标单位未被列入“信用中国”网站（www.creditchina.gov.cn）失信被执行人、重大税收违法案件当事人名单及中国政府采购网（www.ccgp.gov.cn）“政府采购严重违法失信行为信息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2"/>
          <w:highlight w:val="none"/>
          <w:lang w:val="en-US" w:eastAsia="zh-CN"/>
        </w:rPr>
      </w:pPr>
      <w:r>
        <w:rPr>
          <w:rFonts w:hint="eastAsia" w:ascii="宋体" w:hAnsi="宋体" w:cs="宋体"/>
          <w:bCs/>
          <w:color w:val="auto"/>
          <w:kern w:val="0"/>
          <w:sz w:val="24"/>
          <w:szCs w:val="22"/>
          <w:highlight w:val="none"/>
          <w:lang w:val="en-US" w:eastAsia="zh-CN"/>
        </w:rPr>
        <w:t>5.本项目的特定资格要求：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2"/>
          <w:highlight w:val="none"/>
          <w:lang w:val="en-US" w:eastAsia="zh-CN"/>
        </w:rPr>
      </w:pPr>
      <w:r>
        <w:rPr>
          <w:rFonts w:hint="eastAsia" w:ascii="宋体" w:hAnsi="宋体" w:cs="宋体"/>
          <w:bCs/>
          <w:color w:val="auto"/>
          <w:kern w:val="0"/>
          <w:sz w:val="24"/>
          <w:szCs w:val="22"/>
          <w:highlight w:val="none"/>
          <w:lang w:val="en-US" w:eastAsia="zh-CN"/>
        </w:rPr>
        <w:t>5.1具有建设行政主管部门颁发的建筑工程施工总承包叁级及以上资质或建筑装修装饰工程贰级及以上资质，并具有有效的安全生产许可证；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2"/>
          <w:highlight w:val="none"/>
          <w:lang w:val="en-US" w:eastAsia="zh-CN"/>
        </w:rPr>
      </w:pPr>
      <w:r>
        <w:rPr>
          <w:rFonts w:hint="eastAsia" w:ascii="宋体" w:hAnsi="宋体" w:cs="宋体"/>
          <w:bCs/>
          <w:color w:val="auto"/>
          <w:kern w:val="0"/>
          <w:sz w:val="24"/>
          <w:szCs w:val="22"/>
          <w:highlight w:val="none"/>
          <w:lang w:val="en-US" w:eastAsia="zh-CN"/>
        </w:rPr>
        <w:t>5.2拟派项目负责人应具有建设行政主管部门核发的建筑工程贰级及以上建造师注册证书，并取得安全生产考核合格证（A类或B类），同时提供可以证明证书在有效期内的相关资料。疆外申请人拟派的项目主要管理人员必须为建设工程企业信息登记册（建筑业企业）中相对应的已备案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宋体" w:hAnsi="宋体" w:cs="宋体"/>
          <w:bCs/>
          <w:color w:val="auto"/>
          <w:kern w:val="0"/>
          <w:sz w:val="24"/>
          <w:szCs w:val="22"/>
          <w:highlight w:val="none"/>
          <w:lang w:val="en-US" w:eastAsia="zh-CN"/>
        </w:rPr>
        <w:t>5.3疆外申请人应具有新疆维吾尔自治区住房和城乡建设厅出具的有效期内的《（2021）年新疆维吾尔自治区区外建设工程企业信息登记册（建筑业企业）》且登记册中具备本竞争性磋商采购公告要求的相应资质。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三、获取</w:t>
      </w:r>
      <w:bookmarkEnd w:id="10"/>
      <w:bookmarkEnd w:id="11"/>
      <w:bookmarkEnd w:id="12"/>
      <w:bookmarkEnd w:id="13"/>
      <w:r>
        <w:rPr>
          <w:rFonts w:hint="eastAsia" w:ascii="宋体" w:hAnsi="宋体" w:cs="宋体"/>
          <w:b/>
          <w:bCs/>
          <w:color w:val="auto"/>
          <w:kern w:val="0"/>
          <w:sz w:val="24"/>
          <w:szCs w:val="24"/>
          <w:highlight w:val="none"/>
          <w:lang w:val="en-US" w:eastAsia="zh-CN" w:bidi="ar-SA"/>
        </w:rPr>
        <w:t>竞争性磋商文件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时间：20</w:t>
      </w:r>
      <w:r>
        <w:rPr>
          <w:rFonts w:hint="eastAsia" w:ascii="宋体" w:hAnsi="宋体" w:cs="宋体"/>
          <w:color w:val="auto"/>
          <w:kern w:val="0"/>
          <w:sz w:val="24"/>
          <w:szCs w:val="24"/>
          <w:highlight w:val="none"/>
          <w:lang w:val="en-US" w:eastAsia="zh-CN" w:bidi="ar-SA"/>
        </w:rPr>
        <w:t>21</w:t>
      </w:r>
      <w:r>
        <w:rPr>
          <w:rFonts w:hint="eastAsia" w:ascii="宋体" w:hAnsi="宋体" w:eastAsia="宋体" w:cs="宋体"/>
          <w:color w:val="auto"/>
          <w:kern w:val="0"/>
          <w:sz w:val="24"/>
          <w:szCs w:val="24"/>
          <w:highlight w:val="none"/>
          <w:lang w:val="en-US" w:eastAsia="zh-CN" w:bidi="ar-SA"/>
        </w:rPr>
        <w:t>年</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15</w:t>
      </w:r>
      <w:r>
        <w:rPr>
          <w:rFonts w:hint="eastAsia" w:ascii="宋体" w:hAnsi="宋体" w:eastAsia="宋体" w:cs="宋体"/>
          <w:color w:val="auto"/>
          <w:kern w:val="0"/>
          <w:sz w:val="24"/>
          <w:szCs w:val="24"/>
          <w:highlight w:val="none"/>
          <w:lang w:val="en-US" w:eastAsia="zh-CN" w:bidi="ar-SA"/>
        </w:rPr>
        <w:t>日至20</w:t>
      </w:r>
      <w:r>
        <w:rPr>
          <w:rFonts w:hint="eastAsia" w:ascii="宋体" w:hAnsi="宋体" w:cs="宋体"/>
          <w:color w:val="auto"/>
          <w:kern w:val="0"/>
          <w:sz w:val="24"/>
          <w:szCs w:val="24"/>
          <w:highlight w:val="none"/>
          <w:lang w:val="en-US" w:eastAsia="zh-CN" w:bidi="ar-SA"/>
        </w:rPr>
        <w:t>21</w:t>
      </w:r>
      <w:r>
        <w:rPr>
          <w:rFonts w:hint="eastAsia" w:ascii="宋体" w:hAnsi="宋体" w:eastAsia="宋体" w:cs="宋体"/>
          <w:color w:val="auto"/>
          <w:kern w:val="0"/>
          <w:sz w:val="24"/>
          <w:szCs w:val="24"/>
          <w:highlight w:val="none"/>
          <w:lang w:val="en-US" w:eastAsia="zh-CN" w:bidi="ar-SA"/>
        </w:rPr>
        <w:t>年</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26</w:t>
      </w:r>
      <w:r>
        <w:rPr>
          <w:rFonts w:hint="eastAsia" w:ascii="宋体" w:hAnsi="宋体" w:eastAsia="宋体" w:cs="宋体"/>
          <w:color w:val="auto"/>
          <w:kern w:val="0"/>
          <w:sz w:val="24"/>
          <w:szCs w:val="24"/>
          <w:highlight w:val="none"/>
          <w:lang w:val="en-US" w:eastAsia="zh-CN" w:bidi="ar-SA"/>
        </w:rPr>
        <w:t>日，每天上午10点至13点，下午16点至19点</w:t>
      </w:r>
      <w:r>
        <w:rPr>
          <w:rFonts w:hint="eastAsia" w:ascii="宋体" w:hAnsi="宋体" w:cs="宋体"/>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地点：克拉玛依市金科工程监理有限责任公司（克拉玛依市石化工业园团结路1</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方式：线</w:t>
      </w:r>
      <w:r>
        <w:rPr>
          <w:rFonts w:hint="eastAsia" w:ascii="宋体" w:hAnsi="宋体" w:cs="宋体"/>
          <w:color w:val="auto"/>
          <w:kern w:val="0"/>
          <w:sz w:val="24"/>
          <w:szCs w:val="24"/>
          <w:highlight w:val="none"/>
          <w:lang w:val="en-US" w:eastAsia="zh-CN" w:bidi="ar-SA"/>
        </w:rPr>
        <w:t>下</w:t>
      </w:r>
      <w:r>
        <w:rPr>
          <w:rFonts w:hint="eastAsia" w:ascii="宋体" w:hAnsi="宋体" w:eastAsia="宋体" w:cs="宋体"/>
          <w:color w:val="auto"/>
          <w:kern w:val="0"/>
          <w:sz w:val="24"/>
          <w:szCs w:val="24"/>
          <w:highlight w:val="none"/>
          <w:lang w:val="en-US" w:eastAsia="zh-CN" w:bidi="ar-SA"/>
        </w:rPr>
        <w:t xml:space="preserve">获取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售价：300元</w:t>
      </w:r>
      <w:r>
        <w:rPr>
          <w:rFonts w:hint="eastAsia" w:ascii="宋体" w:hAnsi="宋体" w:cs="宋体"/>
          <w:color w:val="auto"/>
          <w:kern w:val="0"/>
          <w:sz w:val="24"/>
          <w:szCs w:val="24"/>
          <w:highlight w:val="none"/>
          <w:lang w:val="en-US" w:eastAsia="zh-CN" w:bidi="ar-SA"/>
        </w:rPr>
        <w:t>/份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lang w:val="en-US" w:eastAsia="zh-CN" w:bidi="ar-SA"/>
        </w:rPr>
      </w:pPr>
      <w:bookmarkStart w:id="14" w:name="_Toc28359005"/>
      <w:bookmarkStart w:id="15" w:name="_Toc28359082"/>
      <w:bookmarkStart w:id="16" w:name="_Toc35393793"/>
      <w:bookmarkStart w:id="17" w:name="_Toc35393624"/>
      <w:r>
        <w:rPr>
          <w:rFonts w:hint="eastAsia" w:ascii="宋体" w:hAnsi="宋体" w:eastAsia="宋体" w:cs="宋体"/>
          <w:b/>
          <w:bCs/>
          <w:color w:val="auto"/>
          <w:kern w:val="0"/>
          <w:sz w:val="24"/>
          <w:szCs w:val="24"/>
          <w:highlight w:val="none"/>
          <w:lang w:val="en-US" w:eastAsia="zh-CN" w:bidi="ar-SA"/>
        </w:rPr>
        <w:t>四、</w:t>
      </w:r>
      <w:bookmarkEnd w:id="14"/>
      <w:bookmarkEnd w:id="15"/>
      <w:bookmarkEnd w:id="16"/>
      <w:bookmarkEnd w:id="17"/>
      <w:r>
        <w:rPr>
          <w:rFonts w:hint="eastAsia" w:ascii="宋体" w:hAnsi="宋体" w:cs="宋体"/>
          <w:b/>
          <w:bCs/>
          <w:color w:val="auto"/>
          <w:kern w:val="0"/>
          <w:sz w:val="24"/>
          <w:szCs w:val="24"/>
          <w:highlight w:val="none"/>
          <w:lang w:val="en-US" w:eastAsia="zh-CN" w:bidi="ar-SA"/>
        </w:rPr>
        <w:t>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截止</w:t>
      </w:r>
      <w:r>
        <w:rPr>
          <w:rFonts w:hint="eastAsia" w:ascii="宋体" w:hAnsi="宋体" w:eastAsia="宋体" w:cs="宋体"/>
          <w:color w:val="auto"/>
          <w:kern w:val="0"/>
          <w:sz w:val="24"/>
          <w:szCs w:val="24"/>
          <w:highlight w:val="none"/>
          <w:lang w:val="en-US" w:eastAsia="zh-CN" w:bidi="ar-SA"/>
        </w:rPr>
        <w:t>时间：202</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年</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27</w:t>
      </w:r>
      <w:r>
        <w:rPr>
          <w:rFonts w:hint="eastAsia" w:ascii="宋体" w:hAnsi="宋体" w:eastAsia="宋体" w:cs="宋体"/>
          <w:color w:val="auto"/>
          <w:kern w:val="0"/>
          <w:sz w:val="24"/>
          <w:szCs w:val="24"/>
          <w:highlight w:val="none"/>
          <w:lang w:val="en-US" w:eastAsia="zh-CN" w:bidi="ar-SA"/>
        </w:rPr>
        <w:t>日1</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点</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0分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地点：克拉玛依市金科工程监理有限责任公司（克拉玛依市石化工业园团结路1</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号）</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开启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25"/>
          <w:rFonts w:hint="eastAsia" w:ascii="宋体" w:hAnsi="宋体" w:cs="宋体"/>
          <w:b w:val="0"/>
          <w:bCs/>
          <w:color w:val="auto"/>
          <w:kern w:val="0"/>
          <w:sz w:val="24"/>
          <w:szCs w:val="22"/>
          <w:highlight w:val="none"/>
          <w:lang w:val="en-US" w:eastAsia="zh-CN" w:bidi="ar-SA"/>
        </w:rPr>
      </w:pPr>
      <w:r>
        <w:rPr>
          <w:rFonts w:hint="eastAsia"/>
          <w:color w:val="auto"/>
          <w:highlight w:val="none"/>
          <w:lang w:val="en-US" w:eastAsia="zh-CN"/>
        </w:rPr>
        <w:t xml:space="preserve"> </w:t>
      </w:r>
      <w:r>
        <w:rPr>
          <w:rStyle w:val="25"/>
          <w:rFonts w:hint="eastAsia" w:ascii="宋体" w:hAnsi="宋体" w:cs="宋体"/>
          <w:b w:val="0"/>
          <w:bCs/>
          <w:color w:val="auto"/>
          <w:kern w:val="0"/>
          <w:sz w:val="24"/>
          <w:szCs w:val="22"/>
          <w:highlight w:val="none"/>
          <w:lang w:val="en-US" w:eastAsia="zh-CN" w:bidi="ar-SA"/>
        </w:rPr>
        <w:t>时间：2021年10月27日11点00分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Style w:val="25"/>
          <w:rFonts w:hint="eastAsia" w:ascii="宋体" w:hAnsi="宋体" w:cs="宋体"/>
          <w:b w:val="0"/>
          <w:bCs/>
          <w:color w:val="auto"/>
          <w:kern w:val="0"/>
          <w:sz w:val="24"/>
          <w:szCs w:val="22"/>
          <w:highlight w:val="none"/>
          <w:lang w:val="en-US" w:eastAsia="zh-CN" w:bidi="ar-SA"/>
        </w:rPr>
        <w:t>地点：克拉玛依市金科工程监理有限责任公司（克拉玛依市石化工业园团结路12号）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lang w:val="en-US" w:eastAsia="zh-CN" w:bidi="ar-SA"/>
        </w:rPr>
      </w:pPr>
      <w:bookmarkStart w:id="18" w:name="_Toc28359007"/>
      <w:bookmarkStart w:id="19" w:name="_Toc35393794"/>
      <w:bookmarkStart w:id="20" w:name="_Toc28359084"/>
      <w:bookmarkStart w:id="21" w:name="_Toc35393625"/>
      <w:r>
        <w:rPr>
          <w:rFonts w:hint="eastAsia" w:ascii="宋体" w:hAnsi="宋体" w:cs="宋体"/>
          <w:b/>
          <w:bCs/>
          <w:color w:val="auto"/>
          <w:kern w:val="0"/>
          <w:sz w:val="24"/>
          <w:szCs w:val="24"/>
          <w:highlight w:val="none"/>
          <w:lang w:val="en-US" w:eastAsia="zh-CN" w:bidi="ar-SA"/>
        </w:rPr>
        <w:t>六</w:t>
      </w:r>
      <w:r>
        <w:rPr>
          <w:rFonts w:hint="eastAsia" w:ascii="宋体" w:hAnsi="宋体" w:eastAsia="宋体" w:cs="宋体"/>
          <w:b/>
          <w:bCs/>
          <w:color w:val="auto"/>
          <w:kern w:val="0"/>
          <w:sz w:val="24"/>
          <w:szCs w:val="24"/>
          <w:highlight w:val="none"/>
          <w:lang w:val="en-US" w:eastAsia="zh-CN" w:bidi="ar-SA"/>
        </w:rPr>
        <w:t>、公告期限</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lang w:val="en-US" w:eastAsia="zh-CN" w:bidi="ar-SA"/>
        </w:rPr>
      </w:pPr>
      <w:bookmarkStart w:id="22" w:name="_Toc35393795"/>
      <w:bookmarkStart w:id="23" w:name="_Toc35393626"/>
      <w:r>
        <w:rPr>
          <w:rFonts w:hint="eastAsia" w:ascii="宋体" w:hAnsi="宋体" w:cs="宋体"/>
          <w:b/>
          <w:bCs/>
          <w:color w:val="auto"/>
          <w:kern w:val="0"/>
          <w:sz w:val="24"/>
          <w:szCs w:val="24"/>
          <w:highlight w:val="none"/>
          <w:lang w:val="en-US" w:eastAsia="zh-CN" w:bidi="ar-SA"/>
        </w:rPr>
        <w:t>七</w:t>
      </w:r>
      <w:r>
        <w:rPr>
          <w:rFonts w:hint="eastAsia" w:ascii="宋体" w:hAnsi="宋体" w:eastAsia="宋体" w:cs="宋体"/>
          <w:b/>
          <w:bCs/>
          <w:color w:val="auto"/>
          <w:kern w:val="0"/>
          <w:sz w:val="24"/>
          <w:szCs w:val="24"/>
          <w:highlight w:val="none"/>
          <w:lang w:val="en-US" w:eastAsia="zh-CN" w:bidi="ar-SA"/>
        </w:rPr>
        <w:t>、其他补充事宜</w:t>
      </w:r>
      <w:bookmarkEnd w:id="22"/>
      <w:bookmarkEnd w:id="23"/>
    </w:p>
    <w:p>
      <w:pPr>
        <w:pStyle w:val="18"/>
        <w:spacing w:before="75" w:beforeAutospacing="0" w:after="75" w:afterAutospacing="0" w:line="360" w:lineRule="auto"/>
        <w:ind w:firstLine="480" w:firstLineChars="200"/>
        <w:rPr>
          <w:rFonts w:hint="eastAsia" w:cs="宋体"/>
          <w:b w:val="0"/>
          <w:bCs w:val="0"/>
          <w:color w:val="auto"/>
          <w:sz w:val="24"/>
          <w:szCs w:val="24"/>
          <w:highlight w:val="none"/>
        </w:rPr>
      </w:pPr>
      <w:bookmarkStart w:id="24" w:name="_Toc35393796"/>
      <w:bookmarkStart w:id="25" w:name="_Toc28359085"/>
      <w:bookmarkStart w:id="26" w:name="_Toc28359008"/>
      <w:bookmarkStart w:id="27" w:name="_Toc35393627"/>
      <w:r>
        <w:rPr>
          <w:rFonts w:hint="eastAsia" w:cs="宋体"/>
          <w:b w:val="0"/>
          <w:bCs w:val="0"/>
          <w:color w:val="auto"/>
          <w:sz w:val="24"/>
          <w:szCs w:val="24"/>
          <w:highlight w:val="none"/>
        </w:rPr>
        <w:t>参加现场</w:t>
      </w:r>
      <w:r>
        <w:rPr>
          <w:rFonts w:hint="eastAsia" w:cs="宋体"/>
          <w:b w:val="0"/>
          <w:bCs w:val="0"/>
          <w:color w:val="auto"/>
          <w:sz w:val="24"/>
          <w:szCs w:val="24"/>
          <w:highlight w:val="none"/>
          <w:lang w:eastAsia="zh-CN"/>
        </w:rPr>
        <w:t>投标</w:t>
      </w:r>
      <w:r>
        <w:rPr>
          <w:rFonts w:hint="eastAsia" w:cs="宋体"/>
          <w:b w:val="0"/>
          <w:bCs w:val="0"/>
          <w:color w:val="auto"/>
          <w:sz w:val="24"/>
          <w:szCs w:val="24"/>
          <w:highlight w:val="none"/>
        </w:rPr>
        <w:t>活动的所有人员须自行全程佩戴口罩，配合进行体温检测和身份登记，符合疫情防控要求方可参加现场</w:t>
      </w:r>
      <w:r>
        <w:rPr>
          <w:rFonts w:hint="eastAsia" w:cs="宋体"/>
          <w:b w:val="0"/>
          <w:bCs w:val="0"/>
          <w:color w:val="auto"/>
          <w:sz w:val="24"/>
          <w:szCs w:val="24"/>
          <w:highlight w:val="none"/>
          <w:lang w:eastAsia="zh-CN"/>
        </w:rPr>
        <w:t>投标</w:t>
      </w:r>
      <w:r>
        <w:rPr>
          <w:rFonts w:hint="eastAsia" w:cs="宋体"/>
          <w:b w:val="0"/>
          <w:bCs w:val="0"/>
          <w:color w:val="auto"/>
          <w:sz w:val="24"/>
          <w:szCs w:val="24"/>
          <w:highlight w:val="none"/>
        </w:rPr>
        <w:t>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八</w:t>
      </w:r>
      <w:r>
        <w:rPr>
          <w:rFonts w:hint="eastAsia" w:ascii="宋体" w:hAnsi="宋体" w:eastAsia="宋体" w:cs="宋体"/>
          <w:b/>
          <w:bCs/>
          <w:color w:val="auto"/>
          <w:kern w:val="0"/>
          <w:sz w:val="24"/>
          <w:szCs w:val="24"/>
          <w:highlight w:val="none"/>
          <w:lang w:val="en-US" w:eastAsia="zh-CN" w:bidi="ar-SA"/>
        </w:rPr>
        <w:t>、对本次招标提出询问，请按以下方式联系</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采购人</w:t>
      </w:r>
      <w:r>
        <w:rPr>
          <w:rFonts w:hint="eastAsia" w:ascii="宋体" w:hAnsi="宋体" w:eastAsia="宋体" w:cs="宋体"/>
          <w:color w:val="auto"/>
          <w:kern w:val="0"/>
          <w:sz w:val="24"/>
          <w:szCs w:val="24"/>
          <w:highlight w:val="none"/>
          <w:lang w:val="en-US" w:eastAsia="zh-CN" w:bidi="ar-SA"/>
        </w:rPr>
        <w:t>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 称：克拉玛依市纤维检验所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地址：克拉玛依市拓湖路10号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28" w:name="_Toc28359086"/>
      <w:bookmarkStart w:id="29" w:name="_Toc28359009"/>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采购代理机构</w:t>
      </w:r>
      <w:r>
        <w:rPr>
          <w:rFonts w:hint="eastAsia" w:ascii="宋体" w:hAnsi="宋体" w:eastAsia="宋体" w:cs="宋体"/>
          <w:color w:val="auto"/>
          <w:kern w:val="0"/>
          <w:sz w:val="24"/>
          <w:szCs w:val="24"/>
          <w:highlight w:val="none"/>
          <w:lang w:val="en-US" w:eastAsia="zh-CN" w:bidi="ar-SA"/>
        </w:rPr>
        <w:t>信息</w:t>
      </w:r>
      <w:bookmarkEnd w:id="28"/>
      <w:bookmarkEnd w:id="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 称：克拉玛依市金科工程监理有限责任公司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址：克拉玛依市石化工业园团结路1</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w:t>
      </w:r>
      <w:bookmarkStart w:id="30" w:name="_Toc28359010"/>
      <w:bookmarkStart w:id="31" w:name="_Toc28359087"/>
      <w:r>
        <w:rPr>
          <w:rFonts w:hint="eastAsia" w:ascii="宋体" w:hAnsi="宋体" w:eastAsia="宋体" w:cs="宋体"/>
          <w:color w:val="auto"/>
          <w:kern w:val="0"/>
          <w:sz w:val="24"/>
          <w:szCs w:val="24"/>
          <w:highlight w:val="none"/>
          <w:lang w:val="en-US" w:eastAsia="zh-CN" w:bidi="ar-SA"/>
        </w:rPr>
        <w:t>13999508739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3.项目联系方式</w:t>
      </w:r>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项目联系人：</w:t>
      </w:r>
      <w:r>
        <w:rPr>
          <w:rFonts w:hint="eastAsia" w:ascii="宋体" w:hAnsi="宋体" w:cs="宋体"/>
          <w:color w:val="auto"/>
          <w:kern w:val="0"/>
          <w:sz w:val="24"/>
          <w:szCs w:val="24"/>
          <w:highlight w:val="none"/>
          <w:lang w:val="en-US" w:eastAsia="zh-CN" w:bidi="ar-SA"/>
        </w:rPr>
        <w:t>蒙秋蓉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 话：</w:t>
      </w:r>
      <w:r>
        <w:rPr>
          <w:rFonts w:hint="eastAsia" w:ascii="宋体" w:hAnsi="宋体" w:cs="宋体"/>
          <w:color w:val="auto"/>
          <w:kern w:val="0"/>
          <w:sz w:val="24"/>
          <w:szCs w:val="24"/>
          <w:highlight w:val="none"/>
          <w:lang w:val="en-US" w:eastAsia="zh-CN" w:bidi="ar-SA"/>
        </w:rPr>
        <w:t>15719079587</w:t>
      </w: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r>
        <w:rPr>
          <w:rStyle w:val="25"/>
          <w:rFonts w:hint="eastAsia" w:cs="宋体"/>
          <w:b/>
          <w:bCs w:val="0"/>
          <w:color w:val="auto"/>
          <w:sz w:val="28"/>
          <w:szCs w:val="28"/>
          <w:highlight w:val="none"/>
        </w:rPr>
        <w:t>​</w:t>
      </w: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bookmarkStart w:id="682" w:name="_GoBack"/>
      <w:bookmarkEnd w:id="682"/>
    </w:p>
    <w:p>
      <w:pPr>
        <w:pStyle w:val="18"/>
        <w:spacing w:before="75" w:beforeAutospacing="0" w:after="75" w:afterAutospacing="0" w:line="320" w:lineRule="exact"/>
        <w:jc w:val="both"/>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r>
        <w:rPr>
          <w:rStyle w:val="25"/>
          <w:rFonts w:hint="eastAsia" w:cs="宋体"/>
          <w:b/>
          <w:bCs w:val="0"/>
          <w:color w:val="auto"/>
          <w:sz w:val="28"/>
          <w:szCs w:val="28"/>
          <w:highlight w:val="none"/>
        </w:rPr>
        <w:t xml:space="preserve">第二章 </w:t>
      </w:r>
      <w:r>
        <w:rPr>
          <w:rStyle w:val="25"/>
          <w:rFonts w:hint="eastAsia" w:cs="宋体"/>
          <w:b/>
          <w:bCs w:val="0"/>
          <w:color w:val="auto"/>
          <w:sz w:val="28"/>
          <w:szCs w:val="28"/>
          <w:highlight w:val="none"/>
          <w:lang w:eastAsia="zh-CN"/>
        </w:rPr>
        <w:t>供应商</w:t>
      </w:r>
      <w:r>
        <w:rPr>
          <w:rStyle w:val="25"/>
          <w:rFonts w:hint="eastAsia" w:cs="宋体"/>
          <w:b/>
          <w:bCs w:val="0"/>
          <w:color w:val="auto"/>
          <w:sz w:val="28"/>
          <w:szCs w:val="28"/>
          <w:highlight w:val="none"/>
        </w:rPr>
        <w:t>须知</w:t>
      </w:r>
    </w:p>
    <w:p>
      <w:pPr>
        <w:pStyle w:val="18"/>
        <w:spacing w:before="75" w:beforeAutospacing="0" w:after="75" w:afterAutospacing="0" w:line="240" w:lineRule="auto"/>
        <w:jc w:val="center"/>
        <w:rPr>
          <w:rStyle w:val="25"/>
          <w:rFonts w:hint="eastAsia" w:cs="宋体"/>
          <w:b/>
          <w:bCs w:val="0"/>
          <w:color w:val="auto"/>
          <w:sz w:val="28"/>
          <w:szCs w:val="28"/>
          <w:highlight w:val="none"/>
        </w:rPr>
      </w:pPr>
      <w:r>
        <w:rPr>
          <w:rStyle w:val="25"/>
          <w:rFonts w:hint="eastAsia" w:cs="宋体"/>
          <w:b/>
          <w:bCs w:val="0"/>
          <w:color w:val="auto"/>
          <w:sz w:val="28"/>
          <w:szCs w:val="28"/>
          <w:highlight w:val="none"/>
        </w:rPr>
        <w:t>前附表</w:t>
      </w:r>
    </w:p>
    <w:tbl>
      <w:tblPr>
        <w:tblStyle w:val="22"/>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54" w:type="dxa"/>
            <w:noWrap w:val="0"/>
            <w:vAlign w:val="center"/>
          </w:tcPr>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项号</w:t>
            </w:r>
          </w:p>
        </w:tc>
        <w:tc>
          <w:tcPr>
            <w:tcW w:w="8480" w:type="dxa"/>
            <w:noWrap w:val="0"/>
            <w:vAlign w:val="center"/>
          </w:tcPr>
          <w:p>
            <w:pPr>
              <w:pStyle w:val="18"/>
              <w:spacing w:before="75" w:beforeAutospacing="0" w:after="75" w:afterAutospacing="0" w:line="320" w:lineRule="exact"/>
              <w:jc w:val="center"/>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4" w:type="dxa"/>
            <w:noWrap w:val="0"/>
            <w:vAlign w:val="center"/>
          </w:tcPr>
          <w:p>
            <w:pPr>
              <w:pStyle w:val="18"/>
              <w:spacing w:before="75" w:beforeAutospacing="0" w:after="75" w:afterAutospacing="0" w:line="320" w:lineRule="exact"/>
              <w:jc w:val="center"/>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1</w:t>
            </w:r>
          </w:p>
        </w:tc>
        <w:tc>
          <w:tcPr>
            <w:tcW w:w="8480" w:type="dxa"/>
            <w:noWrap w:val="0"/>
            <w:vAlign w:val="center"/>
          </w:tcPr>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项目名称：</w:t>
            </w:r>
            <w:r>
              <w:rPr>
                <w:rFonts w:hint="eastAsia" w:cs="宋体"/>
                <w:color w:val="auto"/>
                <w:kern w:val="0"/>
                <w:sz w:val="24"/>
                <w:szCs w:val="24"/>
                <w:highlight w:val="none"/>
                <w:lang w:val="en-US" w:eastAsia="zh-CN" w:bidi="ar-SA"/>
              </w:rPr>
              <w:t>克拉玛依市纤维检验所—老旧实验室维修改造</w:t>
            </w:r>
          </w:p>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lang w:val="en-US" w:eastAsia="zh-CN"/>
              </w:rPr>
            </w:pPr>
            <w:r>
              <w:rPr>
                <w:rStyle w:val="25"/>
                <w:rFonts w:hint="eastAsia" w:cs="宋体"/>
                <w:b w:val="0"/>
                <w:bCs/>
                <w:color w:val="auto"/>
                <w:sz w:val="24"/>
                <w:szCs w:val="24"/>
                <w:highlight w:val="none"/>
                <w:lang w:val="en-US" w:eastAsia="zh-CN"/>
              </w:rPr>
              <w:t>竞争性磋商文件</w:t>
            </w:r>
            <w:r>
              <w:rPr>
                <w:rStyle w:val="25"/>
                <w:rFonts w:hint="eastAsia" w:ascii="宋体" w:hAnsi="宋体" w:eastAsia="宋体" w:cs="宋体"/>
                <w:b w:val="0"/>
                <w:bCs/>
                <w:color w:val="auto"/>
                <w:sz w:val="24"/>
                <w:szCs w:val="24"/>
                <w:highlight w:val="none"/>
                <w:lang w:val="en-US" w:eastAsia="zh-CN"/>
              </w:rPr>
              <w:t>编号：JKJL[ZC]2021-52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54" w:type="dxa"/>
            <w:noWrap w:val="0"/>
            <w:vAlign w:val="center"/>
          </w:tcPr>
          <w:p>
            <w:pPr>
              <w:pStyle w:val="18"/>
              <w:spacing w:before="75" w:beforeAutospacing="0" w:after="75" w:afterAutospacing="0" w:line="320" w:lineRule="exact"/>
              <w:jc w:val="center"/>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2</w:t>
            </w:r>
          </w:p>
        </w:tc>
        <w:tc>
          <w:tcPr>
            <w:tcW w:w="8480" w:type="dxa"/>
            <w:noWrap w:val="0"/>
            <w:vAlign w:val="center"/>
          </w:tcPr>
          <w:p>
            <w:pPr>
              <w:pStyle w:val="18"/>
              <w:spacing w:before="75" w:beforeAutospacing="0" w:after="75" w:afterAutospacing="0" w:line="320" w:lineRule="exact"/>
              <w:jc w:val="both"/>
              <w:rPr>
                <w:rStyle w:val="25"/>
                <w:rFonts w:hint="eastAsia" w:ascii="宋体" w:hAnsi="宋体" w:eastAsia="宋体" w:cs="宋体"/>
                <w:b w:val="0"/>
                <w:bCs/>
                <w:color w:val="auto"/>
                <w:sz w:val="24"/>
                <w:szCs w:val="24"/>
                <w:highlight w:val="none"/>
                <w:lang w:val="en-US" w:eastAsia="zh-CN"/>
              </w:rPr>
            </w:pPr>
            <w:r>
              <w:rPr>
                <w:rStyle w:val="25"/>
                <w:rFonts w:hint="eastAsia" w:cs="宋体"/>
                <w:b w:val="0"/>
                <w:bCs/>
                <w:color w:val="auto"/>
                <w:sz w:val="24"/>
                <w:szCs w:val="24"/>
                <w:highlight w:val="none"/>
                <w:lang w:val="en-US" w:eastAsia="zh-CN"/>
              </w:rPr>
              <w:t>采购人</w:t>
            </w:r>
            <w:r>
              <w:rPr>
                <w:rStyle w:val="25"/>
                <w:rFonts w:hint="eastAsia" w:ascii="宋体" w:hAnsi="宋体" w:eastAsia="宋体" w:cs="宋体"/>
                <w:b w:val="0"/>
                <w:bCs/>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SA"/>
              </w:rPr>
              <w:t>克拉玛依市纤维检验所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854" w:type="dxa"/>
            <w:noWrap w:val="0"/>
            <w:vAlign w:val="center"/>
          </w:tcPr>
          <w:p>
            <w:pPr>
              <w:pStyle w:val="18"/>
              <w:spacing w:before="75" w:beforeAutospacing="0" w:after="75" w:afterAutospacing="0" w:line="320" w:lineRule="exact"/>
              <w:jc w:val="center"/>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3</w:t>
            </w:r>
          </w:p>
        </w:tc>
        <w:tc>
          <w:tcPr>
            <w:tcW w:w="8480" w:type="dxa"/>
            <w:noWrap w:val="0"/>
            <w:vAlign w:val="center"/>
          </w:tcPr>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lang w:val="en-US" w:eastAsia="zh-CN"/>
              </w:rPr>
            </w:pPr>
            <w:r>
              <w:rPr>
                <w:rStyle w:val="25"/>
                <w:rFonts w:hint="eastAsia" w:cs="宋体"/>
                <w:b w:val="0"/>
                <w:bCs/>
                <w:color w:val="auto"/>
                <w:sz w:val="24"/>
                <w:szCs w:val="24"/>
                <w:highlight w:val="none"/>
                <w:lang w:val="en-US" w:eastAsia="zh-CN"/>
              </w:rPr>
              <w:t>采购代理机构</w:t>
            </w:r>
            <w:r>
              <w:rPr>
                <w:rStyle w:val="25"/>
                <w:rFonts w:hint="eastAsia" w:ascii="宋体" w:hAnsi="宋体" w:eastAsia="宋体" w:cs="宋体"/>
                <w:b w:val="0"/>
                <w:bCs/>
                <w:color w:val="auto"/>
                <w:sz w:val="24"/>
                <w:szCs w:val="24"/>
                <w:highlight w:val="none"/>
                <w:lang w:val="en-US" w:eastAsia="zh-CN"/>
              </w:rPr>
              <w:t>：克拉玛依市金科工程监理有限责任公司</w:t>
            </w:r>
          </w:p>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 xml:space="preserve">地址：克拉玛依市石化工业园团结路12号    </w:t>
            </w:r>
          </w:p>
          <w:p>
            <w:pPr>
              <w:pStyle w:val="18"/>
              <w:spacing w:before="75" w:beforeAutospacing="0" w:after="75" w:afterAutospacing="0" w:line="320" w:lineRule="exact"/>
              <w:rPr>
                <w:rStyle w:val="25"/>
                <w:rFonts w:hint="default"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联系人：</w:t>
            </w:r>
            <w:r>
              <w:rPr>
                <w:rStyle w:val="25"/>
                <w:rFonts w:hint="eastAsia" w:cs="宋体"/>
                <w:b w:val="0"/>
                <w:bCs/>
                <w:color w:val="auto"/>
                <w:sz w:val="24"/>
                <w:szCs w:val="24"/>
                <w:highlight w:val="none"/>
                <w:lang w:val="en-US" w:eastAsia="zh-CN"/>
              </w:rPr>
              <w:t>蒙秋蓉</w:t>
            </w:r>
            <w:r>
              <w:rPr>
                <w:rStyle w:val="25"/>
                <w:rFonts w:hint="eastAsia" w:ascii="宋体" w:hAnsi="宋体" w:eastAsia="宋体" w:cs="宋体"/>
                <w:b w:val="0"/>
                <w:bCs/>
                <w:color w:val="auto"/>
                <w:sz w:val="24"/>
                <w:szCs w:val="24"/>
                <w:highlight w:val="none"/>
                <w:lang w:val="en-US" w:eastAsia="zh-CN"/>
              </w:rPr>
              <w:t xml:space="preserve">           联系电话：</w:t>
            </w:r>
            <w:r>
              <w:rPr>
                <w:rStyle w:val="25"/>
                <w:rFonts w:hint="eastAsia" w:cs="宋体"/>
                <w:b w:val="0"/>
                <w:bCs/>
                <w:color w:val="auto"/>
                <w:sz w:val="24"/>
                <w:szCs w:val="24"/>
                <w:highlight w:val="none"/>
                <w:lang w:val="en-US" w:eastAsia="zh-CN"/>
              </w:rPr>
              <w:t>15719079587</w:t>
            </w:r>
          </w:p>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开户行：中国工商银行股份有限公司克拉玛依石化支行</w:t>
            </w:r>
          </w:p>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银行账号：3003021509024510885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4" w:type="dxa"/>
            <w:noWrap w:val="0"/>
            <w:vAlign w:val="center"/>
          </w:tcPr>
          <w:p>
            <w:pPr>
              <w:pStyle w:val="18"/>
              <w:spacing w:before="75" w:beforeAutospacing="0" w:after="75" w:afterAutospacing="0" w:line="320" w:lineRule="exact"/>
              <w:jc w:val="center"/>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4</w:t>
            </w:r>
          </w:p>
        </w:tc>
        <w:tc>
          <w:tcPr>
            <w:tcW w:w="8480" w:type="dxa"/>
            <w:noWrap w:val="0"/>
            <w:vAlign w:val="center"/>
          </w:tcPr>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lang w:val="en-US" w:eastAsia="zh-CN"/>
              </w:rPr>
            </w:pPr>
            <w:r>
              <w:rPr>
                <w:rStyle w:val="25"/>
                <w:rFonts w:hint="eastAsia" w:cs="宋体"/>
                <w:b w:val="0"/>
                <w:bCs/>
                <w:color w:val="auto"/>
                <w:sz w:val="24"/>
                <w:szCs w:val="24"/>
                <w:highlight w:val="none"/>
                <w:lang w:val="en-US" w:eastAsia="zh-CN"/>
              </w:rPr>
              <w:t>响应文件</w:t>
            </w:r>
            <w:r>
              <w:rPr>
                <w:rStyle w:val="25"/>
                <w:rFonts w:hint="eastAsia" w:ascii="宋体" w:hAnsi="宋体" w:eastAsia="宋体" w:cs="宋体"/>
                <w:b w:val="0"/>
                <w:bCs/>
                <w:color w:val="auto"/>
                <w:sz w:val="24"/>
                <w:szCs w:val="24"/>
                <w:highlight w:val="none"/>
                <w:lang w:val="en-US" w:eastAsia="zh-CN"/>
              </w:rPr>
              <w:t>有效期：递交</w:t>
            </w:r>
            <w:r>
              <w:rPr>
                <w:rStyle w:val="25"/>
                <w:rFonts w:hint="eastAsia" w:cs="宋体"/>
                <w:b w:val="0"/>
                <w:bCs/>
                <w:color w:val="auto"/>
                <w:sz w:val="24"/>
                <w:szCs w:val="24"/>
                <w:highlight w:val="none"/>
                <w:lang w:val="en-US" w:eastAsia="zh-CN"/>
              </w:rPr>
              <w:t>响应文件</w:t>
            </w:r>
            <w:r>
              <w:rPr>
                <w:rStyle w:val="25"/>
                <w:rFonts w:hint="eastAsia" w:ascii="宋体" w:hAnsi="宋体" w:eastAsia="宋体" w:cs="宋体"/>
                <w:b w:val="0"/>
                <w:bCs/>
                <w:color w:val="auto"/>
                <w:sz w:val="24"/>
                <w:szCs w:val="24"/>
                <w:highlight w:val="none"/>
                <w:lang w:val="en-US" w:eastAsia="zh-CN"/>
              </w:rPr>
              <w:t>截止之日起</w:t>
            </w:r>
            <w:r>
              <w:rPr>
                <w:rStyle w:val="25"/>
                <w:rFonts w:hint="eastAsia" w:cs="宋体"/>
                <w:b w:val="0"/>
                <w:bCs/>
                <w:color w:val="auto"/>
                <w:sz w:val="24"/>
                <w:szCs w:val="24"/>
                <w:highlight w:val="none"/>
                <w:lang w:val="en-US" w:eastAsia="zh-CN"/>
              </w:rPr>
              <w:t>9</w:t>
            </w:r>
            <w:r>
              <w:rPr>
                <w:rStyle w:val="25"/>
                <w:rFonts w:hint="eastAsia" w:ascii="宋体" w:hAnsi="宋体" w:eastAsia="宋体" w:cs="宋体"/>
                <w:b w:val="0"/>
                <w:bCs/>
                <w:color w:val="auto"/>
                <w:sz w:val="24"/>
                <w:szCs w:val="24"/>
                <w:highlight w:val="none"/>
                <w:lang w:val="en-US" w:eastAsia="zh-CN"/>
              </w:rPr>
              <w:t>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4" w:type="dxa"/>
            <w:noWrap w:val="0"/>
            <w:vAlign w:val="center"/>
          </w:tcPr>
          <w:p>
            <w:pPr>
              <w:pStyle w:val="18"/>
              <w:spacing w:before="75" w:beforeAutospacing="0" w:after="75" w:afterAutospacing="0" w:line="320" w:lineRule="exact"/>
              <w:jc w:val="center"/>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5</w:t>
            </w:r>
          </w:p>
        </w:tc>
        <w:tc>
          <w:tcPr>
            <w:tcW w:w="8480" w:type="dxa"/>
            <w:noWrap w:val="0"/>
            <w:vAlign w:val="center"/>
          </w:tcPr>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lang w:val="en-US" w:eastAsia="zh-CN"/>
              </w:rPr>
            </w:pPr>
            <w:r>
              <w:rPr>
                <w:rStyle w:val="25"/>
                <w:rFonts w:hint="eastAsia" w:cs="宋体"/>
                <w:b w:val="0"/>
                <w:bCs/>
                <w:color w:val="auto"/>
                <w:sz w:val="24"/>
                <w:szCs w:val="24"/>
                <w:highlight w:val="none"/>
                <w:lang w:val="en-US" w:eastAsia="zh-CN"/>
              </w:rPr>
              <w:t>响应文件</w:t>
            </w:r>
            <w:r>
              <w:rPr>
                <w:rStyle w:val="25"/>
                <w:rFonts w:hint="eastAsia" w:ascii="宋体" w:hAnsi="宋体" w:eastAsia="宋体" w:cs="宋体"/>
                <w:b w:val="0"/>
                <w:bCs/>
                <w:color w:val="auto"/>
                <w:sz w:val="24"/>
                <w:szCs w:val="24"/>
                <w:highlight w:val="none"/>
                <w:lang w:val="en-US" w:eastAsia="zh-CN"/>
              </w:rPr>
              <w:t>的份数：</w:t>
            </w:r>
            <w:r>
              <w:rPr>
                <w:rFonts w:hint="eastAsia" w:ascii="宋体" w:hAnsi="宋体" w:eastAsia="宋体" w:cs="宋体"/>
                <w:b/>
                <w:color w:val="auto"/>
                <w:sz w:val="24"/>
                <w:szCs w:val="24"/>
                <w:highlight w:val="none"/>
              </w:rPr>
              <w:t>一式</w:t>
            </w:r>
            <w:r>
              <w:rPr>
                <w:rFonts w:hint="eastAsia" w:cs="宋体"/>
                <w:b/>
                <w:color w:val="auto"/>
                <w:sz w:val="24"/>
                <w:szCs w:val="24"/>
                <w:highlight w:val="none"/>
                <w:u w:val="single"/>
                <w:lang w:eastAsia="zh-CN"/>
              </w:rPr>
              <w:t>伍</w:t>
            </w:r>
            <w:r>
              <w:rPr>
                <w:rFonts w:hint="eastAsia" w:ascii="宋体" w:hAnsi="宋体" w:eastAsia="宋体" w:cs="宋体"/>
                <w:b/>
                <w:color w:val="auto"/>
                <w:sz w:val="24"/>
                <w:szCs w:val="24"/>
                <w:highlight w:val="none"/>
              </w:rPr>
              <w:t>份，其中正本</w:t>
            </w:r>
            <w:r>
              <w:rPr>
                <w:rFonts w:hint="eastAsia" w:ascii="宋体" w:hAnsi="宋体" w:eastAsia="宋体" w:cs="宋体"/>
                <w:b/>
                <w:color w:val="auto"/>
                <w:sz w:val="24"/>
                <w:szCs w:val="24"/>
                <w:highlight w:val="none"/>
                <w:u w:val="single"/>
                <w:lang w:eastAsia="zh-CN"/>
              </w:rPr>
              <w:t>壹</w:t>
            </w:r>
            <w:r>
              <w:rPr>
                <w:rFonts w:hint="eastAsia" w:ascii="宋体" w:hAnsi="宋体" w:eastAsia="宋体" w:cs="宋体"/>
                <w:b/>
                <w:color w:val="auto"/>
                <w:sz w:val="24"/>
                <w:szCs w:val="24"/>
                <w:highlight w:val="none"/>
              </w:rPr>
              <w:t>份，副本</w:t>
            </w:r>
            <w:r>
              <w:rPr>
                <w:rFonts w:hint="eastAsia" w:cs="宋体"/>
                <w:b/>
                <w:color w:val="auto"/>
                <w:sz w:val="24"/>
                <w:szCs w:val="24"/>
                <w:highlight w:val="none"/>
                <w:u w:val="single"/>
                <w:lang w:eastAsia="zh-CN"/>
              </w:rPr>
              <w:t>肆</w:t>
            </w:r>
            <w:r>
              <w:rPr>
                <w:rFonts w:hint="eastAsia" w:ascii="宋体" w:hAnsi="宋体" w:eastAsia="宋体" w:cs="宋体"/>
                <w:b/>
                <w:color w:val="auto"/>
                <w:sz w:val="24"/>
                <w:szCs w:val="24"/>
                <w:highlight w:val="none"/>
              </w:rPr>
              <w:t>份</w:t>
            </w:r>
            <w:r>
              <w:rPr>
                <w:rFonts w:hint="eastAsia" w:ascii="宋体" w:hAnsi="宋体" w:eastAsia="宋体" w:cs="宋体"/>
                <w:b/>
                <w:color w:val="auto"/>
                <w:kern w:val="2"/>
                <w:sz w:val="24"/>
                <w:szCs w:val="24"/>
                <w:highlight w:val="none"/>
                <w:lang w:val="en-US" w:eastAsia="zh-CN"/>
              </w:rPr>
              <w:t>（不加密光盘或U盘一式贰份）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854" w:type="dxa"/>
            <w:noWrap w:val="0"/>
            <w:vAlign w:val="center"/>
          </w:tcPr>
          <w:p>
            <w:pPr>
              <w:pStyle w:val="18"/>
              <w:spacing w:before="75" w:beforeAutospacing="0" w:after="75" w:afterAutospacing="0" w:line="320" w:lineRule="exact"/>
              <w:jc w:val="center"/>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6</w:t>
            </w:r>
          </w:p>
        </w:tc>
        <w:tc>
          <w:tcPr>
            <w:tcW w:w="8480" w:type="dxa"/>
            <w:noWrap w:val="0"/>
            <w:vAlign w:val="center"/>
          </w:tcPr>
          <w:p>
            <w:pPr>
              <w:pStyle w:val="6"/>
              <w:spacing w:line="400" w:lineRule="exact"/>
              <w:ind w:firstLine="0"/>
              <w:jc w:val="both"/>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采购人不统一组织各供应商实地考察，各供应商自行对采购项目进行考察。</w:t>
            </w:r>
          </w:p>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rPr>
            </w:pPr>
            <w:r>
              <w:rPr>
                <w:rFonts w:hint="eastAsia" w:hAnsi="宋体" w:cs="宋体"/>
                <w:b w:val="0"/>
                <w:bCs w:val="0"/>
                <w:color w:val="auto"/>
                <w:sz w:val="24"/>
                <w:szCs w:val="24"/>
                <w:highlight w:val="none"/>
              </w:rPr>
              <w:t>如有疑问，于2021年</w:t>
            </w:r>
            <w:r>
              <w:rPr>
                <w:rFonts w:hint="eastAsia" w:cs="宋体"/>
                <w:b w:val="0"/>
                <w:bCs w:val="0"/>
                <w:color w:val="auto"/>
                <w:sz w:val="24"/>
                <w:szCs w:val="24"/>
                <w:highlight w:val="none"/>
                <w:lang w:val="en-US" w:eastAsia="zh-CN"/>
              </w:rPr>
              <w:t>10</w:t>
            </w:r>
            <w:r>
              <w:rPr>
                <w:rFonts w:hint="eastAsia" w:hAnsi="宋体" w:cs="宋体"/>
                <w:b w:val="0"/>
                <w:bCs w:val="0"/>
                <w:color w:val="auto"/>
                <w:sz w:val="24"/>
                <w:szCs w:val="24"/>
                <w:highlight w:val="none"/>
              </w:rPr>
              <w:t>月</w:t>
            </w:r>
            <w:r>
              <w:rPr>
                <w:rFonts w:hint="eastAsia" w:cs="宋体"/>
                <w:b w:val="0"/>
                <w:bCs w:val="0"/>
                <w:color w:val="auto"/>
                <w:sz w:val="24"/>
                <w:szCs w:val="24"/>
                <w:highlight w:val="none"/>
                <w:lang w:val="en-US" w:eastAsia="zh-CN"/>
              </w:rPr>
              <w:t>22</w:t>
            </w:r>
            <w:r>
              <w:rPr>
                <w:rFonts w:hint="eastAsia" w:hAnsi="宋体" w:cs="宋体"/>
                <w:b w:val="0"/>
                <w:bCs w:val="0"/>
                <w:color w:val="auto"/>
                <w:sz w:val="24"/>
                <w:szCs w:val="24"/>
                <w:highlight w:val="none"/>
              </w:rPr>
              <w:t>日19:00前以书面形式（必须加盖</w:t>
            </w:r>
            <w:r>
              <w:rPr>
                <w:rFonts w:hint="eastAsia" w:cs="宋体"/>
                <w:b w:val="0"/>
                <w:bCs w:val="0"/>
                <w:color w:val="auto"/>
                <w:sz w:val="24"/>
                <w:szCs w:val="24"/>
                <w:highlight w:val="none"/>
                <w:lang w:eastAsia="zh-CN"/>
              </w:rPr>
              <w:t>供应商</w:t>
            </w:r>
            <w:r>
              <w:rPr>
                <w:rFonts w:hint="eastAsia" w:hAnsi="宋体" w:cs="宋体"/>
                <w:b w:val="0"/>
                <w:bCs w:val="0"/>
                <w:color w:val="auto"/>
                <w:sz w:val="24"/>
                <w:szCs w:val="24"/>
                <w:highlight w:val="none"/>
              </w:rPr>
              <w:t>公章）送达或传真至</w:t>
            </w:r>
            <w:r>
              <w:rPr>
                <w:rFonts w:hint="eastAsia" w:cs="宋体"/>
                <w:b w:val="0"/>
                <w:bCs w:val="0"/>
                <w:color w:val="auto"/>
                <w:sz w:val="24"/>
                <w:szCs w:val="24"/>
                <w:highlight w:val="none"/>
                <w:lang w:eastAsia="zh-CN"/>
              </w:rPr>
              <w:t>采购代理机构</w:t>
            </w:r>
            <w:r>
              <w:rPr>
                <w:rFonts w:hint="eastAsia" w:hAnsi="宋体" w:cs="宋体"/>
                <w:b w:val="0"/>
                <w:bCs w:val="0"/>
                <w:color w:val="auto"/>
                <w:sz w:val="24"/>
                <w:szCs w:val="24"/>
                <w:highlight w:val="none"/>
              </w:rPr>
              <w:t>（同时将疑问电子版发</w:t>
            </w:r>
            <w:r>
              <w:rPr>
                <w:rFonts w:hint="eastAsia" w:hAnsi="宋体" w:cs="宋体"/>
                <w:b w:val="0"/>
                <w:bCs w:val="0"/>
                <w:color w:val="auto"/>
                <w:sz w:val="24"/>
                <w:szCs w:val="24"/>
                <w:highlight w:val="none"/>
                <w:lang w:val="en-US" w:eastAsia="zh-CN"/>
              </w:rPr>
              <w:t>448430538</w:t>
            </w:r>
            <w:r>
              <w:rPr>
                <w:rFonts w:hint="eastAsia" w:hAnsi="宋体" w:cs="宋体"/>
                <w:b w:val="0"/>
                <w:bCs w:val="0"/>
                <w:color w:val="auto"/>
                <w:sz w:val="24"/>
                <w:szCs w:val="24"/>
                <w:highlight w:val="none"/>
              </w:rPr>
              <w:t>@qq.com）。</w:t>
            </w:r>
            <w:r>
              <w:rPr>
                <w:rFonts w:hint="eastAsia" w:cs="宋体"/>
                <w:b w:val="0"/>
                <w:bCs w:val="0"/>
                <w:color w:val="auto"/>
                <w:sz w:val="24"/>
                <w:szCs w:val="24"/>
                <w:highlight w:val="none"/>
                <w:lang w:eastAsia="zh-CN"/>
              </w:rPr>
              <w:t>采购人</w:t>
            </w:r>
            <w:r>
              <w:rPr>
                <w:rFonts w:hint="eastAsia" w:hAnsi="宋体" w:cs="宋体"/>
                <w:b w:val="0"/>
                <w:bCs w:val="0"/>
                <w:color w:val="auto"/>
                <w:sz w:val="24"/>
                <w:szCs w:val="24"/>
                <w:highlight w:val="none"/>
              </w:rPr>
              <w:t>和</w:t>
            </w:r>
            <w:r>
              <w:rPr>
                <w:rFonts w:hint="eastAsia" w:cs="宋体"/>
                <w:b w:val="0"/>
                <w:bCs w:val="0"/>
                <w:color w:val="auto"/>
                <w:sz w:val="24"/>
                <w:szCs w:val="24"/>
                <w:highlight w:val="none"/>
                <w:lang w:eastAsia="zh-CN"/>
              </w:rPr>
              <w:t>采购代理机构</w:t>
            </w:r>
            <w:r>
              <w:rPr>
                <w:rFonts w:hint="eastAsia" w:hAnsi="宋体" w:cs="宋体"/>
                <w:b w:val="0"/>
                <w:bCs w:val="0"/>
                <w:color w:val="auto"/>
                <w:sz w:val="24"/>
                <w:szCs w:val="24"/>
                <w:highlight w:val="none"/>
              </w:rPr>
              <w:t>将视情况以书面形式予以答复，并发至领取</w:t>
            </w:r>
            <w:r>
              <w:rPr>
                <w:rFonts w:hint="eastAsia" w:cs="宋体"/>
                <w:b w:val="0"/>
                <w:bCs w:val="0"/>
                <w:color w:val="auto"/>
                <w:sz w:val="24"/>
                <w:szCs w:val="24"/>
                <w:highlight w:val="none"/>
                <w:lang w:eastAsia="zh-CN"/>
              </w:rPr>
              <w:t>竞争性磋商文件</w:t>
            </w:r>
            <w:r>
              <w:rPr>
                <w:rFonts w:hint="eastAsia" w:hAnsi="宋体" w:cs="宋体"/>
                <w:b w:val="0"/>
                <w:bCs w:val="0"/>
                <w:color w:val="auto"/>
                <w:sz w:val="24"/>
                <w:szCs w:val="24"/>
                <w:highlight w:val="none"/>
              </w:rPr>
              <w:t>的各</w:t>
            </w:r>
            <w:r>
              <w:rPr>
                <w:rFonts w:hint="eastAsia" w:cs="宋体"/>
                <w:b w:val="0"/>
                <w:bCs w:val="0"/>
                <w:color w:val="auto"/>
                <w:sz w:val="24"/>
                <w:szCs w:val="24"/>
                <w:highlight w:val="none"/>
                <w:lang w:eastAsia="zh-CN"/>
              </w:rPr>
              <w:t>供应商</w:t>
            </w:r>
            <w:r>
              <w:rPr>
                <w:rFonts w:hint="eastAsia" w:hAnsi="宋体" w:cs="宋体"/>
                <w:b w:val="0"/>
                <w:bCs w:val="0"/>
                <w:color w:val="auto"/>
                <w:sz w:val="24"/>
                <w:szCs w:val="24"/>
                <w:highlight w:val="none"/>
              </w:rPr>
              <w:t>。超过此时间所提疑问</w:t>
            </w:r>
            <w:r>
              <w:rPr>
                <w:rFonts w:hint="eastAsia" w:cs="宋体"/>
                <w:b w:val="0"/>
                <w:bCs w:val="0"/>
                <w:color w:val="auto"/>
                <w:sz w:val="24"/>
                <w:szCs w:val="24"/>
                <w:highlight w:val="none"/>
                <w:lang w:eastAsia="zh-CN"/>
              </w:rPr>
              <w:t>采购人</w:t>
            </w:r>
            <w:r>
              <w:rPr>
                <w:rFonts w:hint="eastAsia" w:hAnsi="宋体" w:cs="宋体"/>
                <w:b w:val="0"/>
                <w:bCs w:val="0"/>
                <w:color w:val="auto"/>
                <w:sz w:val="24"/>
                <w:szCs w:val="24"/>
                <w:highlight w:val="none"/>
              </w:rPr>
              <w:t>或</w:t>
            </w:r>
            <w:r>
              <w:rPr>
                <w:rFonts w:hint="eastAsia" w:cs="宋体"/>
                <w:b w:val="0"/>
                <w:bCs w:val="0"/>
                <w:color w:val="auto"/>
                <w:sz w:val="24"/>
                <w:szCs w:val="24"/>
                <w:highlight w:val="none"/>
                <w:lang w:eastAsia="zh-CN"/>
              </w:rPr>
              <w:t>采购代理机构</w:t>
            </w:r>
            <w:r>
              <w:rPr>
                <w:rFonts w:hint="eastAsia" w:hAnsi="宋体" w:cs="宋体"/>
                <w:b w:val="0"/>
                <w:bCs w:val="0"/>
                <w:color w:val="auto"/>
                <w:sz w:val="24"/>
                <w:szCs w:val="24"/>
                <w:highlight w:val="none"/>
              </w:rPr>
              <w:t>均不予答复。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854" w:type="dxa"/>
            <w:noWrap w:val="0"/>
            <w:vAlign w:val="center"/>
          </w:tcPr>
          <w:p>
            <w:pPr>
              <w:pStyle w:val="18"/>
              <w:spacing w:before="75" w:beforeAutospacing="0" w:after="75" w:afterAutospacing="0" w:line="320" w:lineRule="exact"/>
              <w:jc w:val="center"/>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7</w:t>
            </w:r>
          </w:p>
        </w:tc>
        <w:tc>
          <w:tcPr>
            <w:tcW w:w="8480" w:type="dxa"/>
            <w:noWrap w:val="0"/>
            <w:vAlign w:val="center"/>
          </w:tcPr>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递交</w:t>
            </w:r>
            <w:r>
              <w:rPr>
                <w:rStyle w:val="25"/>
                <w:rFonts w:hint="eastAsia" w:cs="宋体"/>
                <w:b w:val="0"/>
                <w:bCs/>
                <w:color w:val="auto"/>
                <w:sz w:val="24"/>
                <w:szCs w:val="24"/>
                <w:highlight w:val="none"/>
                <w:lang w:val="en-US" w:eastAsia="zh-CN"/>
              </w:rPr>
              <w:t>响应文件</w:t>
            </w:r>
            <w:r>
              <w:rPr>
                <w:rStyle w:val="25"/>
                <w:rFonts w:hint="eastAsia" w:ascii="宋体" w:hAnsi="宋体" w:eastAsia="宋体" w:cs="宋体"/>
                <w:b w:val="0"/>
                <w:bCs/>
                <w:color w:val="auto"/>
                <w:sz w:val="24"/>
                <w:szCs w:val="24"/>
                <w:highlight w:val="none"/>
                <w:lang w:val="en-US" w:eastAsia="zh-CN"/>
              </w:rPr>
              <w:t>截止时间：2021年</w:t>
            </w:r>
            <w:r>
              <w:rPr>
                <w:rStyle w:val="25"/>
                <w:rFonts w:hint="eastAsia" w:cs="宋体"/>
                <w:b w:val="0"/>
                <w:bCs/>
                <w:color w:val="auto"/>
                <w:sz w:val="24"/>
                <w:szCs w:val="24"/>
                <w:highlight w:val="none"/>
                <w:lang w:val="en-US" w:eastAsia="zh-CN"/>
              </w:rPr>
              <w:t>10</w:t>
            </w:r>
            <w:r>
              <w:rPr>
                <w:rStyle w:val="25"/>
                <w:rFonts w:hint="eastAsia" w:ascii="宋体" w:hAnsi="宋体" w:eastAsia="宋体" w:cs="宋体"/>
                <w:b w:val="0"/>
                <w:bCs/>
                <w:color w:val="auto"/>
                <w:sz w:val="24"/>
                <w:szCs w:val="24"/>
                <w:highlight w:val="none"/>
                <w:lang w:val="en-US" w:eastAsia="zh-CN"/>
              </w:rPr>
              <w:t>月</w:t>
            </w:r>
            <w:r>
              <w:rPr>
                <w:rStyle w:val="25"/>
                <w:rFonts w:hint="eastAsia" w:cs="宋体"/>
                <w:b w:val="0"/>
                <w:bCs/>
                <w:color w:val="auto"/>
                <w:sz w:val="24"/>
                <w:szCs w:val="24"/>
                <w:highlight w:val="none"/>
                <w:lang w:val="en-US" w:eastAsia="zh-CN"/>
              </w:rPr>
              <w:t>27</w:t>
            </w:r>
            <w:r>
              <w:rPr>
                <w:rStyle w:val="25"/>
                <w:rFonts w:hint="eastAsia" w:ascii="宋体" w:hAnsi="宋体" w:eastAsia="宋体" w:cs="宋体"/>
                <w:b w:val="0"/>
                <w:bCs/>
                <w:color w:val="auto"/>
                <w:sz w:val="24"/>
                <w:szCs w:val="24"/>
                <w:highlight w:val="none"/>
                <w:lang w:val="en-US" w:eastAsia="zh-CN"/>
              </w:rPr>
              <w:t>日1</w:t>
            </w:r>
            <w:r>
              <w:rPr>
                <w:rStyle w:val="25"/>
                <w:rFonts w:hint="eastAsia" w:cs="宋体"/>
                <w:b w:val="0"/>
                <w:bCs/>
                <w:color w:val="auto"/>
                <w:sz w:val="24"/>
                <w:szCs w:val="24"/>
                <w:highlight w:val="none"/>
                <w:lang w:val="en-US" w:eastAsia="zh-CN"/>
              </w:rPr>
              <w:t>1</w:t>
            </w:r>
            <w:r>
              <w:rPr>
                <w:rStyle w:val="25"/>
                <w:rFonts w:hint="eastAsia" w:ascii="宋体" w:hAnsi="宋体" w:eastAsia="宋体" w:cs="宋体"/>
                <w:b w:val="0"/>
                <w:bCs/>
                <w:color w:val="auto"/>
                <w:sz w:val="24"/>
                <w:szCs w:val="24"/>
                <w:highlight w:val="none"/>
                <w:lang w:val="en-US" w:eastAsia="zh-CN"/>
              </w:rPr>
              <w:t>:</w:t>
            </w:r>
            <w:r>
              <w:rPr>
                <w:rStyle w:val="25"/>
                <w:rFonts w:hint="eastAsia" w:cs="宋体"/>
                <w:b w:val="0"/>
                <w:bCs/>
                <w:color w:val="auto"/>
                <w:sz w:val="24"/>
                <w:szCs w:val="24"/>
                <w:highlight w:val="none"/>
                <w:lang w:val="en-US" w:eastAsia="zh-CN"/>
              </w:rPr>
              <w:t>0</w:t>
            </w:r>
            <w:r>
              <w:rPr>
                <w:rStyle w:val="25"/>
                <w:rFonts w:hint="eastAsia" w:ascii="宋体" w:hAnsi="宋体" w:eastAsia="宋体" w:cs="宋体"/>
                <w:b w:val="0"/>
                <w:bCs/>
                <w:color w:val="auto"/>
                <w:sz w:val="24"/>
                <w:szCs w:val="24"/>
                <w:highlight w:val="none"/>
                <w:lang w:val="en-US" w:eastAsia="zh-CN"/>
              </w:rPr>
              <w:t>0</w:t>
            </w:r>
          </w:p>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递交</w:t>
            </w:r>
            <w:r>
              <w:rPr>
                <w:rStyle w:val="25"/>
                <w:rFonts w:hint="eastAsia" w:cs="宋体"/>
                <w:b w:val="0"/>
                <w:bCs/>
                <w:color w:val="auto"/>
                <w:sz w:val="24"/>
                <w:szCs w:val="24"/>
                <w:highlight w:val="none"/>
                <w:lang w:val="en-US" w:eastAsia="zh-CN"/>
              </w:rPr>
              <w:t>响应文件</w:t>
            </w:r>
            <w:r>
              <w:rPr>
                <w:rStyle w:val="25"/>
                <w:rFonts w:hint="eastAsia" w:ascii="宋体" w:hAnsi="宋体" w:eastAsia="宋体" w:cs="宋体"/>
                <w:b w:val="0"/>
                <w:bCs/>
                <w:color w:val="auto"/>
                <w:sz w:val="24"/>
                <w:szCs w:val="24"/>
                <w:highlight w:val="none"/>
                <w:lang w:val="en-US" w:eastAsia="zh-CN"/>
              </w:rPr>
              <w:t>地点：克拉玛依市金科工程监理有限责任公司（克拉玛依市石化工业园团结路12号）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4" w:type="dxa"/>
            <w:noWrap w:val="0"/>
            <w:vAlign w:val="center"/>
          </w:tcPr>
          <w:p>
            <w:pPr>
              <w:pStyle w:val="18"/>
              <w:spacing w:before="75" w:beforeAutospacing="0" w:after="75" w:afterAutospacing="0" w:line="320" w:lineRule="exact"/>
              <w:jc w:val="center"/>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8</w:t>
            </w:r>
          </w:p>
        </w:tc>
        <w:tc>
          <w:tcPr>
            <w:tcW w:w="8480" w:type="dxa"/>
            <w:noWrap w:val="0"/>
            <w:vAlign w:val="center"/>
          </w:tcPr>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lang w:val="en-US" w:eastAsia="zh-CN"/>
              </w:rPr>
            </w:pPr>
            <w:r>
              <w:rPr>
                <w:rStyle w:val="25"/>
                <w:rFonts w:hint="eastAsia" w:cs="宋体"/>
                <w:b w:val="0"/>
                <w:bCs/>
                <w:color w:val="auto"/>
                <w:sz w:val="24"/>
                <w:szCs w:val="24"/>
                <w:highlight w:val="none"/>
                <w:lang w:val="en-US" w:eastAsia="zh-CN"/>
              </w:rPr>
              <w:t>响应文件</w:t>
            </w:r>
            <w:r>
              <w:rPr>
                <w:rStyle w:val="25"/>
                <w:rFonts w:hint="eastAsia" w:ascii="宋体" w:hAnsi="宋体" w:eastAsia="宋体" w:cs="宋体"/>
                <w:b w:val="0"/>
                <w:bCs/>
                <w:color w:val="auto"/>
                <w:sz w:val="24"/>
                <w:szCs w:val="24"/>
                <w:highlight w:val="none"/>
                <w:lang w:val="en-US" w:eastAsia="zh-CN"/>
              </w:rPr>
              <w:t>开启时间：2021年</w:t>
            </w:r>
            <w:r>
              <w:rPr>
                <w:rStyle w:val="25"/>
                <w:rFonts w:hint="eastAsia" w:cs="宋体"/>
                <w:b w:val="0"/>
                <w:bCs/>
                <w:color w:val="auto"/>
                <w:sz w:val="24"/>
                <w:szCs w:val="24"/>
                <w:highlight w:val="none"/>
                <w:lang w:val="en-US" w:eastAsia="zh-CN"/>
              </w:rPr>
              <w:t>10</w:t>
            </w:r>
            <w:r>
              <w:rPr>
                <w:rStyle w:val="25"/>
                <w:rFonts w:hint="eastAsia" w:ascii="宋体" w:hAnsi="宋体" w:eastAsia="宋体" w:cs="宋体"/>
                <w:b w:val="0"/>
                <w:bCs/>
                <w:color w:val="auto"/>
                <w:sz w:val="24"/>
                <w:szCs w:val="24"/>
                <w:highlight w:val="none"/>
                <w:lang w:val="en-US" w:eastAsia="zh-CN"/>
              </w:rPr>
              <w:t>月</w:t>
            </w:r>
            <w:r>
              <w:rPr>
                <w:rStyle w:val="25"/>
                <w:rFonts w:hint="eastAsia" w:cs="宋体"/>
                <w:b w:val="0"/>
                <w:bCs/>
                <w:color w:val="auto"/>
                <w:sz w:val="24"/>
                <w:szCs w:val="24"/>
                <w:highlight w:val="none"/>
                <w:lang w:val="en-US" w:eastAsia="zh-CN"/>
              </w:rPr>
              <w:t>27</w:t>
            </w:r>
            <w:r>
              <w:rPr>
                <w:rStyle w:val="25"/>
                <w:rFonts w:hint="eastAsia" w:ascii="宋体" w:hAnsi="宋体" w:eastAsia="宋体" w:cs="宋体"/>
                <w:b w:val="0"/>
                <w:bCs/>
                <w:color w:val="auto"/>
                <w:sz w:val="24"/>
                <w:szCs w:val="24"/>
                <w:highlight w:val="none"/>
                <w:lang w:val="en-US" w:eastAsia="zh-CN"/>
              </w:rPr>
              <w:t>日1</w:t>
            </w:r>
            <w:r>
              <w:rPr>
                <w:rStyle w:val="25"/>
                <w:rFonts w:hint="eastAsia" w:cs="宋体"/>
                <w:b w:val="0"/>
                <w:bCs/>
                <w:color w:val="auto"/>
                <w:sz w:val="24"/>
                <w:szCs w:val="24"/>
                <w:highlight w:val="none"/>
                <w:lang w:val="en-US" w:eastAsia="zh-CN"/>
              </w:rPr>
              <w:t>1</w:t>
            </w:r>
            <w:r>
              <w:rPr>
                <w:rStyle w:val="25"/>
                <w:rFonts w:hint="eastAsia" w:ascii="宋体" w:hAnsi="宋体" w:eastAsia="宋体" w:cs="宋体"/>
                <w:b w:val="0"/>
                <w:bCs/>
                <w:color w:val="auto"/>
                <w:sz w:val="24"/>
                <w:szCs w:val="24"/>
                <w:highlight w:val="none"/>
                <w:lang w:val="en-US" w:eastAsia="zh-CN"/>
              </w:rPr>
              <w:t>:</w:t>
            </w:r>
            <w:r>
              <w:rPr>
                <w:rStyle w:val="25"/>
                <w:rFonts w:hint="eastAsia" w:cs="宋体"/>
                <w:b w:val="0"/>
                <w:bCs/>
                <w:color w:val="auto"/>
                <w:sz w:val="24"/>
                <w:szCs w:val="24"/>
                <w:highlight w:val="none"/>
                <w:lang w:val="en-US" w:eastAsia="zh-CN"/>
              </w:rPr>
              <w:t>0</w:t>
            </w:r>
            <w:r>
              <w:rPr>
                <w:rStyle w:val="25"/>
                <w:rFonts w:hint="eastAsia" w:ascii="宋体" w:hAnsi="宋体" w:eastAsia="宋体" w:cs="宋体"/>
                <w:b w:val="0"/>
                <w:bCs/>
                <w:color w:val="auto"/>
                <w:sz w:val="24"/>
                <w:szCs w:val="24"/>
                <w:highlight w:val="none"/>
                <w:lang w:val="en-US" w:eastAsia="zh-CN"/>
              </w:rPr>
              <w:t>0</w:t>
            </w:r>
          </w:p>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lang w:val="en-US" w:eastAsia="zh-CN"/>
              </w:rPr>
            </w:pPr>
            <w:r>
              <w:rPr>
                <w:rStyle w:val="25"/>
                <w:rFonts w:hint="eastAsia" w:cs="宋体"/>
                <w:b w:val="0"/>
                <w:bCs/>
                <w:color w:val="auto"/>
                <w:sz w:val="24"/>
                <w:szCs w:val="24"/>
                <w:highlight w:val="none"/>
                <w:lang w:val="en-US" w:eastAsia="zh-CN"/>
              </w:rPr>
              <w:t>响应文件</w:t>
            </w:r>
            <w:r>
              <w:rPr>
                <w:rStyle w:val="25"/>
                <w:rFonts w:hint="eastAsia" w:ascii="宋体" w:hAnsi="宋体" w:eastAsia="宋体" w:cs="宋体"/>
                <w:b w:val="0"/>
                <w:bCs/>
                <w:color w:val="auto"/>
                <w:sz w:val="24"/>
                <w:szCs w:val="24"/>
                <w:highlight w:val="none"/>
                <w:lang w:val="en-US" w:eastAsia="zh-CN"/>
              </w:rPr>
              <w:t>开启时间：克拉玛依市金科工程监理有限责任公司（克拉玛依市石化工业园团结路12号）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54" w:type="dxa"/>
            <w:noWrap w:val="0"/>
            <w:vAlign w:val="center"/>
          </w:tcPr>
          <w:p>
            <w:pPr>
              <w:pStyle w:val="18"/>
              <w:spacing w:before="75" w:beforeAutospacing="0" w:after="75" w:afterAutospacing="0" w:line="320" w:lineRule="exact"/>
              <w:jc w:val="center"/>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9</w:t>
            </w:r>
          </w:p>
        </w:tc>
        <w:tc>
          <w:tcPr>
            <w:tcW w:w="8480" w:type="dxa"/>
            <w:noWrap w:val="0"/>
            <w:vAlign w:val="center"/>
          </w:tcPr>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采购项目总预算：￥</w:t>
            </w:r>
            <w:r>
              <w:rPr>
                <w:rFonts w:hint="eastAsia" w:cs="宋体"/>
                <w:color w:val="auto"/>
                <w:kern w:val="0"/>
                <w:sz w:val="24"/>
                <w:szCs w:val="24"/>
                <w:highlight w:val="none"/>
                <w:lang w:val="en-US" w:eastAsia="zh-CN" w:bidi="ar-SA"/>
              </w:rPr>
              <w:t>220</w:t>
            </w:r>
            <w:r>
              <w:rPr>
                <w:rStyle w:val="25"/>
                <w:rFonts w:hint="eastAsia" w:ascii="宋体" w:hAnsi="宋体" w:eastAsia="宋体" w:cs="宋体"/>
                <w:b w:val="0"/>
                <w:bCs/>
                <w:color w:val="auto"/>
                <w:sz w:val="24"/>
                <w:szCs w:val="24"/>
                <w:highlight w:val="none"/>
                <w:lang w:val="en-US" w:eastAsia="zh-CN"/>
              </w:rPr>
              <w:t>万元（大写：人民币</w:t>
            </w:r>
            <w:r>
              <w:rPr>
                <w:rStyle w:val="25"/>
                <w:rFonts w:hint="eastAsia" w:cs="宋体"/>
                <w:b w:val="0"/>
                <w:bCs/>
                <w:color w:val="auto"/>
                <w:sz w:val="24"/>
                <w:szCs w:val="24"/>
                <w:highlight w:val="none"/>
                <w:lang w:val="en-US" w:eastAsia="zh-CN"/>
              </w:rPr>
              <w:t>贰佰贰拾万元整</w:t>
            </w:r>
            <w:r>
              <w:rPr>
                <w:rStyle w:val="25"/>
                <w:rFonts w:hint="eastAsia" w:ascii="宋体" w:hAnsi="宋体" w:eastAsia="宋体" w:cs="宋体"/>
                <w:b w:val="0"/>
                <w:bCs/>
                <w:color w:val="auto"/>
                <w:sz w:val="24"/>
                <w:szCs w:val="24"/>
                <w:highlight w:val="none"/>
                <w:lang w:val="en-US" w:eastAsia="zh-CN"/>
              </w:rPr>
              <w:t>）；各</w:t>
            </w:r>
            <w:r>
              <w:rPr>
                <w:rStyle w:val="25"/>
                <w:rFonts w:hint="eastAsia" w:cs="宋体"/>
                <w:b w:val="0"/>
                <w:bCs/>
                <w:color w:val="auto"/>
                <w:sz w:val="24"/>
                <w:szCs w:val="24"/>
                <w:highlight w:val="none"/>
                <w:lang w:val="en-US" w:eastAsia="zh-CN"/>
              </w:rPr>
              <w:t>供应商</w:t>
            </w:r>
            <w:r>
              <w:rPr>
                <w:rStyle w:val="25"/>
                <w:rFonts w:hint="eastAsia" w:ascii="宋体" w:hAnsi="宋体" w:eastAsia="宋体" w:cs="宋体"/>
                <w:b w:val="0"/>
                <w:bCs/>
                <w:color w:val="auto"/>
                <w:sz w:val="24"/>
                <w:szCs w:val="24"/>
                <w:highlight w:val="none"/>
                <w:lang w:val="en-US" w:eastAsia="zh-CN"/>
              </w:rPr>
              <w:t>的商务报价如超过采购项目预算，则该</w:t>
            </w:r>
            <w:r>
              <w:rPr>
                <w:rStyle w:val="25"/>
                <w:rFonts w:hint="eastAsia" w:cs="宋体"/>
                <w:b w:val="0"/>
                <w:bCs/>
                <w:color w:val="auto"/>
                <w:sz w:val="24"/>
                <w:szCs w:val="24"/>
                <w:highlight w:val="none"/>
                <w:lang w:val="en-US" w:eastAsia="zh-CN"/>
              </w:rPr>
              <w:t>供应商</w:t>
            </w:r>
            <w:r>
              <w:rPr>
                <w:rStyle w:val="25"/>
                <w:rFonts w:hint="eastAsia" w:ascii="宋体" w:hAnsi="宋体" w:eastAsia="宋体" w:cs="宋体"/>
                <w:b w:val="0"/>
                <w:bCs/>
                <w:color w:val="auto"/>
                <w:sz w:val="24"/>
                <w:szCs w:val="24"/>
                <w:highlight w:val="none"/>
                <w:lang w:val="en-US" w:eastAsia="zh-CN"/>
              </w:rPr>
              <w:t>的</w:t>
            </w:r>
            <w:r>
              <w:rPr>
                <w:rStyle w:val="25"/>
                <w:rFonts w:hint="eastAsia" w:cs="宋体"/>
                <w:b w:val="0"/>
                <w:bCs/>
                <w:color w:val="auto"/>
                <w:sz w:val="24"/>
                <w:szCs w:val="24"/>
                <w:highlight w:val="none"/>
                <w:lang w:val="en-US" w:eastAsia="zh-CN"/>
              </w:rPr>
              <w:t>响应文件</w:t>
            </w:r>
            <w:r>
              <w:rPr>
                <w:rStyle w:val="25"/>
                <w:rFonts w:hint="eastAsia" w:ascii="宋体" w:hAnsi="宋体" w:eastAsia="宋体" w:cs="宋体"/>
                <w:b w:val="0"/>
                <w:bCs/>
                <w:color w:val="auto"/>
                <w:sz w:val="24"/>
                <w:szCs w:val="24"/>
                <w:highlight w:val="none"/>
                <w:lang w:val="en-US" w:eastAsia="zh-CN"/>
              </w:rPr>
              <w:t>作无效</w:t>
            </w:r>
            <w:r>
              <w:rPr>
                <w:rStyle w:val="25"/>
                <w:rFonts w:hint="eastAsia" w:cs="宋体"/>
                <w:b w:val="0"/>
                <w:bCs/>
                <w:color w:val="auto"/>
                <w:sz w:val="24"/>
                <w:szCs w:val="24"/>
                <w:highlight w:val="none"/>
                <w:lang w:val="en-US" w:eastAsia="zh-CN"/>
              </w:rPr>
              <w:t>投标</w:t>
            </w:r>
            <w:r>
              <w:rPr>
                <w:rStyle w:val="25"/>
                <w:rFonts w:hint="eastAsia" w:ascii="宋体" w:hAnsi="宋体" w:eastAsia="宋体" w:cs="宋体"/>
                <w:b w:val="0"/>
                <w:bCs/>
                <w:color w:val="auto"/>
                <w:sz w:val="24"/>
                <w:szCs w:val="24"/>
                <w:highlight w:val="none"/>
                <w:lang w:val="en-US" w:eastAsia="zh-CN"/>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854" w:type="dxa"/>
            <w:noWrap w:val="0"/>
            <w:vAlign w:val="center"/>
          </w:tcPr>
          <w:p>
            <w:pPr>
              <w:pStyle w:val="18"/>
              <w:spacing w:before="75" w:beforeAutospacing="0" w:after="75" w:afterAutospacing="0" w:line="320" w:lineRule="exact"/>
              <w:jc w:val="center"/>
              <w:rPr>
                <w:rStyle w:val="25"/>
                <w:rFonts w:hint="default" w:ascii="宋体" w:hAnsi="宋体" w:eastAsia="宋体" w:cs="宋体"/>
                <w:b w:val="0"/>
                <w:bCs/>
                <w:color w:val="auto"/>
                <w:sz w:val="24"/>
                <w:szCs w:val="24"/>
                <w:highlight w:val="none"/>
                <w:lang w:val="en-US" w:eastAsia="zh-CN"/>
              </w:rPr>
            </w:pPr>
            <w:r>
              <w:rPr>
                <w:rStyle w:val="25"/>
                <w:rFonts w:hint="eastAsia" w:cs="宋体"/>
                <w:b w:val="0"/>
                <w:bCs/>
                <w:color w:val="auto"/>
                <w:sz w:val="24"/>
                <w:szCs w:val="24"/>
                <w:highlight w:val="none"/>
                <w:lang w:val="en-US" w:eastAsia="zh-CN"/>
              </w:rPr>
              <w:t>10</w:t>
            </w:r>
          </w:p>
        </w:tc>
        <w:tc>
          <w:tcPr>
            <w:tcW w:w="8480" w:type="dxa"/>
            <w:noWrap w:val="0"/>
            <w:vAlign w:val="center"/>
          </w:tcPr>
          <w:p>
            <w:pPr>
              <w:pStyle w:val="18"/>
              <w:spacing w:before="75" w:beforeAutospacing="0" w:after="75" w:afterAutospacing="0" w:line="320" w:lineRule="exact"/>
              <w:rPr>
                <w:rStyle w:val="25"/>
                <w:rFonts w:hint="eastAsia" w:ascii="宋体" w:hAnsi="宋体" w:eastAsia="宋体" w:cs="宋体"/>
                <w:b w:val="0"/>
                <w:bCs/>
                <w:color w:val="auto"/>
                <w:sz w:val="24"/>
                <w:szCs w:val="24"/>
                <w:highlight w:val="none"/>
                <w:lang w:val="en-US" w:eastAsia="zh-CN"/>
              </w:rPr>
            </w:pPr>
            <w:r>
              <w:rPr>
                <w:rFonts w:hint="eastAsia" w:hAnsi="宋体" w:cs="宋体"/>
                <w:b w:val="0"/>
                <w:bCs w:val="0"/>
                <w:color w:val="auto"/>
                <w:sz w:val="24"/>
                <w:szCs w:val="24"/>
                <w:highlight w:val="none"/>
              </w:rPr>
              <w:t>招标代理费：</w:t>
            </w:r>
            <w:r>
              <w:rPr>
                <w:rFonts w:hint="eastAsia" w:hAnsi="宋体" w:cs="宋体"/>
                <w:b w:val="0"/>
                <w:bCs w:val="0"/>
                <w:color w:val="auto"/>
                <w:sz w:val="24"/>
                <w:highlight w:val="none"/>
              </w:rPr>
              <w:t>经与</w:t>
            </w:r>
            <w:r>
              <w:rPr>
                <w:rFonts w:hint="eastAsia" w:cs="宋体"/>
                <w:b w:val="0"/>
                <w:bCs w:val="0"/>
                <w:color w:val="auto"/>
                <w:sz w:val="24"/>
                <w:highlight w:val="none"/>
                <w:lang w:eastAsia="zh-CN"/>
              </w:rPr>
              <w:t>采购人</w:t>
            </w:r>
            <w:r>
              <w:rPr>
                <w:rFonts w:hint="eastAsia" w:hAnsi="宋体" w:cs="宋体"/>
                <w:b w:val="0"/>
                <w:bCs w:val="0"/>
                <w:color w:val="auto"/>
                <w:sz w:val="24"/>
                <w:highlight w:val="none"/>
              </w:rPr>
              <w:t>协商，本项目招标代理服务费由</w:t>
            </w:r>
            <w:r>
              <w:rPr>
                <w:rFonts w:hint="eastAsia" w:cs="宋体"/>
                <w:b w:val="0"/>
                <w:bCs w:val="0"/>
                <w:color w:val="auto"/>
                <w:sz w:val="24"/>
                <w:highlight w:val="none"/>
                <w:lang w:eastAsia="zh-CN"/>
              </w:rPr>
              <w:t>成交</w:t>
            </w:r>
            <w:r>
              <w:rPr>
                <w:rFonts w:hint="eastAsia" w:hAnsi="宋体" w:cs="宋体"/>
                <w:b w:val="0"/>
                <w:bCs w:val="0"/>
                <w:color w:val="auto"/>
                <w:sz w:val="24"/>
                <w:highlight w:val="none"/>
                <w:lang w:eastAsia="zh-CN"/>
              </w:rPr>
              <w:t>单位</w:t>
            </w:r>
            <w:r>
              <w:rPr>
                <w:rFonts w:hint="eastAsia" w:hAnsi="宋体" w:cs="宋体"/>
                <w:b w:val="0"/>
                <w:bCs w:val="0"/>
                <w:color w:val="auto"/>
                <w:sz w:val="24"/>
                <w:highlight w:val="none"/>
              </w:rPr>
              <w:t>在领取</w:t>
            </w:r>
            <w:r>
              <w:rPr>
                <w:rFonts w:hint="eastAsia" w:cs="宋体"/>
                <w:b w:val="0"/>
                <w:bCs w:val="0"/>
                <w:color w:val="auto"/>
                <w:sz w:val="24"/>
                <w:highlight w:val="none"/>
                <w:lang w:eastAsia="zh-CN"/>
              </w:rPr>
              <w:t>成交</w:t>
            </w:r>
            <w:r>
              <w:rPr>
                <w:rFonts w:hint="eastAsia" w:hAnsi="宋体" w:cs="宋体"/>
                <w:b w:val="0"/>
                <w:bCs w:val="0"/>
                <w:color w:val="auto"/>
                <w:sz w:val="24"/>
                <w:highlight w:val="none"/>
              </w:rPr>
              <w:t>通知书同时向</w:t>
            </w:r>
            <w:r>
              <w:rPr>
                <w:rFonts w:hint="eastAsia" w:cs="宋体"/>
                <w:b w:val="0"/>
                <w:bCs w:val="0"/>
                <w:color w:val="auto"/>
                <w:sz w:val="24"/>
                <w:highlight w:val="none"/>
                <w:lang w:eastAsia="zh-CN"/>
              </w:rPr>
              <w:t>采购代理机构</w:t>
            </w:r>
            <w:r>
              <w:rPr>
                <w:rFonts w:hint="eastAsia" w:hAnsi="宋体" w:cs="宋体"/>
                <w:b w:val="0"/>
                <w:bCs w:val="0"/>
                <w:color w:val="auto"/>
                <w:sz w:val="24"/>
                <w:highlight w:val="none"/>
              </w:rPr>
              <w:t>支付，招标代理服务费</w:t>
            </w:r>
            <w:r>
              <w:rPr>
                <w:rFonts w:hint="eastAsia" w:hAnsi="宋体" w:cs="宋体"/>
                <w:b w:val="0"/>
                <w:bCs w:val="0"/>
                <w:color w:val="auto"/>
                <w:sz w:val="24"/>
                <w:highlight w:val="none"/>
                <w:lang w:eastAsia="zh-CN"/>
              </w:rPr>
              <w:t>为</w:t>
            </w:r>
            <w:r>
              <w:rPr>
                <w:rFonts w:hint="eastAsia" w:cs="宋体"/>
                <w:b w:val="0"/>
                <w:bCs w:val="0"/>
                <w:color w:val="auto"/>
                <w:sz w:val="24"/>
                <w:highlight w:val="none"/>
                <w:lang w:val="en-US" w:eastAsia="zh-CN"/>
              </w:rPr>
              <w:t>22000</w:t>
            </w:r>
            <w:r>
              <w:rPr>
                <w:rFonts w:hint="eastAsia" w:hAnsi="宋体" w:cs="宋体"/>
                <w:b w:val="0"/>
                <w:bCs w:val="0"/>
                <w:color w:val="auto"/>
                <w:sz w:val="24"/>
                <w:highlight w:val="none"/>
                <w:lang w:val="en-US" w:eastAsia="zh-CN"/>
              </w:rPr>
              <w:t>元</w:t>
            </w:r>
            <w:r>
              <w:rPr>
                <w:rFonts w:hint="eastAsia" w:hAnsi="宋体" w:cs="宋体"/>
                <w:b w:val="0"/>
                <w:bCs w:val="0"/>
                <w:color w:val="auto"/>
                <w:sz w:val="24"/>
                <w:highlight w:val="none"/>
              </w:rPr>
              <w:t>。</w:t>
            </w:r>
          </w:p>
        </w:tc>
      </w:tr>
    </w:tbl>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jc w:val="center"/>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A</w:t>
      </w:r>
      <w:bookmarkStart w:id="32" w:name="_Toc154996576"/>
      <w:r>
        <w:rPr>
          <w:rStyle w:val="25"/>
          <w:rFonts w:hint="eastAsia" w:cs="宋体"/>
          <w:b/>
          <w:bCs w:val="0"/>
          <w:color w:val="auto"/>
          <w:sz w:val="24"/>
          <w:szCs w:val="24"/>
          <w:highlight w:val="none"/>
        </w:rPr>
        <w:t>说明</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33" w:name="_Toc243906311"/>
      <w:bookmarkStart w:id="34" w:name="_Toc233274811"/>
      <w:bookmarkStart w:id="35" w:name="_Toc246216180"/>
      <w:bookmarkStart w:id="36" w:name="_Toc243907571"/>
      <w:r>
        <w:rPr>
          <w:rStyle w:val="25"/>
          <w:rFonts w:hint="eastAsia" w:cs="宋体"/>
          <w:b/>
          <w:bCs w:val="0"/>
          <w:color w:val="auto"/>
          <w:sz w:val="24"/>
          <w:szCs w:val="24"/>
          <w:highlight w:val="none"/>
        </w:rPr>
        <w:t>1、适用范围</w:t>
      </w:r>
      <w:bookmarkEnd w:id="33"/>
      <w:bookmarkEnd w:id="34"/>
      <w:bookmarkEnd w:id="35"/>
      <w:bookmarkEnd w:id="36"/>
      <w:r>
        <w:rPr>
          <w:rStyle w:val="25"/>
          <w:rFonts w:hint="eastAsia" w:cs="宋体"/>
          <w:b/>
          <w:bCs w:val="0"/>
          <w:color w:val="auto"/>
          <w:sz w:val="24"/>
          <w:szCs w:val="24"/>
          <w:highlight w:val="none"/>
        </w:rPr>
        <w:t>及</w:t>
      </w:r>
      <w:r>
        <w:rPr>
          <w:rStyle w:val="25"/>
          <w:rFonts w:hint="eastAsia" w:cs="宋体"/>
          <w:b/>
          <w:bCs w:val="0"/>
          <w:color w:val="auto"/>
          <w:sz w:val="24"/>
          <w:szCs w:val="24"/>
          <w:highlight w:val="none"/>
          <w:lang w:eastAsia="zh-CN"/>
        </w:rPr>
        <w:t>评标</w:t>
      </w:r>
      <w:r>
        <w:rPr>
          <w:rStyle w:val="25"/>
          <w:rFonts w:hint="eastAsia" w:cs="宋体"/>
          <w:b/>
          <w:bCs w:val="0"/>
          <w:color w:val="auto"/>
          <w:sz w:val="24"/>
          <w:szCs w:val="24"/>
          <w:highlight w:val="none"/>
        </w:rPr>
        <w:t>依据</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1.1适用范围</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本</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仅针对于</w:t>
      </w:r>
      <w:r>
        <w:rPr>
          <w:rStyle w:val="25"/>
          <w:rFonts w:hint="eastAsia" w:cs="宋体"/>
          <w:b w:val="0"/>
          <w:bCs/>
          <w:color w:val="auto"/>
          <w:sz w:val="24"/>
          <w:szCs w:val="24"/>
          <w:highlight w:val="none"/>
          <w:lang w:eastAsia="zh-CN"/>
        </w:rPr>
        <w:t>克拉玛依市纤维检验所—老旧实验室维修改造</w:t>
      </w:r>
      <w:r>
        <w:rPr>
          <w:rStyle w:val="25"/>
          <w:rFonts w:hint="eastAsia" w:cs="宋体"/>
          <w:b w:val="0"/>
          <w:bCs/>
          <w:color w:val="auto"/>
          <w:sz w:val="24"/>
          <w:szCs w:val="24"/>
          <w:highlight w:val="none"/>
        </w:rPr>
        <w:t>的招标。</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default" w:eastAsia="宋体" w:cs="宋体"/>
          <w:b w:val="0"/>
          <w:bCs/>
          <w:color w:val="auto"/>
          <w:sz w:val="24"/>
          <w:szCs w:val="24"/>
          <w:highlight w:val="none"/>
          <w:lang w:val="en-US" w:eastAsia="zh-CN"/>
        </w:rPr>
      </w:pPr>
      <w:r>
        <w:rPr>
          <w:rStyle w:val="25"/>
          <w:rFonts w:hint="eastAsia" w:cs="宋体"/>
          <w:b w:val="0"/>
          <w:bCs/>
          <w:color w:val="auto"/>
          <w:sz w:val="24"/>
          <w:szCs w:val="24"/>
          <w:highlight w:val="none"/>
        </w:rPr>
        <w:t>1.2</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依据</w:t>
      </w:r>
      <w:r>
        <w:rPr>
          <w:rStyle w:val="25"/>
          <w:rFonts w:hint="eastAsia" w:cs="宋体"/>
          <w:b w:val="0"/>
          <w:bCs/>
          <w:color w:val="auto"/>
          <w:sz w:val="24"/>
          <w:szCs w:val="24"/>
          <w:highlight w:val="none"/>
          <w:lang w:val="en-US" w:eastAsia="zh-CN"/>
        </w:rPr>
        <w:t xml:space="preserve">  </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根据《中华人民共和国政府采购法》、《中华人民共和国政府采购实施条例》、《财政部关于印发〈政府采购竞争性竞争性磋商采购方式管理暂行办法〉的通知》（财库〔2014〕214号）及有关法律、法规。</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37" w:name="_Toc233274812"/>
      <w:bookmarkStart w:id="38" w:name="_Toc243907572"/>
      <w:bookmarkStart w:id="39" w:name="_Toc243906312"/>
      <w:bookmarkStart w:id="40" w:name="_Toc246216181"/>
      <w:r>
        <w:rPr>
          <w:rStyle w:val="25"/>
          <w:rFonts w:hint="eastAsia" w:cs="宋体"/>
          <w:b/>
          <w:bCs w:val="0"/>
          <w:color w:val="auto"/>
          <w:sz w:val="24"/>
          <w:szCs w:val="24"/>
          <w:highlight w:val="none"/>
        </w:rPr>
        <w:t>2、定义</w:t>
      </w:r>
      <w:bookmarkEnd w:id="37"/>
      <w:bookmarkEnd w:id="38"/>
      <w:bookmarkEnd w:id="39"/>
      <w:bookmarkEnd w:id="40"/>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2.1“</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”系指</w:t>
      </w:r>
      <w:r>
        <w:rPr>
          <w:rStyle w:val="25"/>
          <w:rFonts w:hint="eastAsia" w:cs="宋体"/>
          <w:b w:val="0"/>
          <w:bCs/>
          <w:color w:val="auto"/>
          <w:sz w:val="24"/>
          <w:szCs w:val="24"/>
          <w:highlight w:val="none"/>
          <w:lang w:eastAsia="zh-CN"/>
        </w:rPr>
        <w:t>克拉玛依市纤维检验所</w:t>
      </w:r>
      <w:r>
        <w:rPr>
          <w:rStyle w:val="25"/>
          <w:rFonts w:hint="eastAsia" w:cs="宋体"/>
          <w:b w:val="0"/>
          <w:bCs/>
          <w:color w:val="auto"/>
          <w:sz w:val="24"/>
          <w:szCs w:val="24"/>
          <w:highlight w:val="none"/>
        </w:rPr>
        <w:t>，在签订和执行合同阶段称“</w:t>
      </w:r>
      <w:r>
        <w:rPr>
          <w:rStyle w:val="25"/>
          <w:rFonts w:hint="eastAsia" w:cs="宋体"/>
          <w:b w:val="0"/>
          <w:bCs/>
          <w:color w:val="auto"/>
          <w:sz w:val="24"/>
          <w:szCs w:val="24"/>
          <w:highlight w:val="none"/>
          <w:lang w:eastAsia="zh-CN"/>
        </w:rPr>
        <w:t>甲方</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2.2“</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”系指</w:t>
      </w:r>
      <w:r>
        <w:rPr>
          <w:rStyle w:val="25"/>
          <w:rFonts w:hint="eastAsia" w:cs="宋体"/>
          <w:b w:val="0"/>
          <w:bCs/>
          <w:color w:val="auto"/>
          <w:sz w:val="24"/>
          <w:szCs w:val="24"/>
          <w:highlight w:val="none"/>
          <w:lang w:eastAsia="zh-CN"/>
        </w:rPr>
        <w:t>克拉玛依市金科工程监理有限责任公司</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2.3“</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”系指具备资格并</w:t>
      </w:r>
      <w:r>
        <w:rPr>
          <w:rStyle w:val="25"/>
          <w:rFonts w:hint="eastAsia" w:cs="宋体"/>
          <w:b w:val="0"/>
          <w:bCs/>
          <w:color w:val="auto"/>
          <w:sz w:val="24"/>
          <w:szCs w:val="24"/>
          <w:highlight w:val="none"/>
          <w:lang w:eastAsia="zh-CN"/>
        </w:rPr>
        <w:t>投标竞争性磋商文件</w:t>
      </w:r>
      <w:r>
        <w:rPr>
          <w:rStyle w:val="25"/>
          <w:rFonts w:hint="eastAsia" w:cs="宋体"/>
          <w:b w:val="0"/>
          <w:bCs/>
          <w:color w:val="auto"/>
          <w:sz w:val="24"/>
          <w:szCs w:val="24"/>
          <w:highlight w:val="none"/>
        </w:rPr>
        <w:t>要求提交</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的法人，</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若</w:t>
      </w:r>
      <w:r>
        <w:rPr>
          <w:rStyle w:val="25"/>
          <w:rFonts w:hint="eastAsia" w:cs="宋体"/>
          <w:b w:val="0"/>
          <w:bCs/>
          <w:color w:val="auto"/>
          <w:sz w:val="24"/>
          <w:szCs w:val="24"/>
          <w:highlight w:val="none"/>
          <w:lang w:eastAsia="zh-CN"/>
        </w:rPr>
        <w:t>成交</w:t>
      </w:r>
      <w:r>
        <w:rPr>
          <w:rStyle w:val="25"/>
          <w:rFonts w:hint="eastAsia" w:cs="宋体"/>
          <w:b w:val="0"/>
          <w:bCs/>
          <w:color w:val="auto"/>
          <w:sz w:val="24"/>
          <w:szCs w:val="24"/>
          <w:highlight w:val="none"/>
        </w:rPr>
        <w:t>，在签订和执行合同阶段称“</w:t>
      </w:r>
      <w:r>
        <w:rPr>
          <w:rStyle w:val="25"/>
          <w:rFonts w:hint="eastAsia" w:cs="宋体"/>
          <w:b w:val="0"/>
          <w:bCs/>
          <w:color w:val="auto"/>
          <w:sz w:val="24"/>
          <w:szCs w:val="24"/>
          <w:highlight w:val="none"/>
          <w:lang w:eastAsia="zh-CN"/>
        </w:rPr>
        <w:t>乙方</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2.4 “</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”系指由</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向</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发出的本</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项目的全部文件（包括修改文件、项目采购需求、补充文件、答疑纪要、各种通知和附件等）。</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2.5“</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”系指</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根据</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提交的所有文件及电子文档（不加密光盘）。</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2.6“服务”系指合同条款、技术规范及标准、项目采购需求、本</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规定，</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为保证完成</w:t>
      </w:r>
      <w:r>
        <w:rPr>
          <w:rStyle w:val="25"/>
          <w:rFonts w:hint="eastAsia" w:cs="宋体"/>
          <w:b w:val="0"/>
          <w:bCs/>
          <w:color w:val="auto"/>
          <w:sz w:val="24"/>
          <w:szCs w:val="24"/>
          <w:highlight w:val="none"/>
          <w:lang w:eastAsia="zh-CN"/>
        </w:rPr>
        <w:t>克拉玛依市纤维检验所—老旧实验室维修改造</w:t>
      </w:r>
      <w:r>
        <w:rPr>
          <w:rStyle w:val="25"/>
          <w:rFonts w:hint="eastAsia" w:cs="宋体"/>
          <w:b w:val="0"/>
          <w:bCs/>
          <w:color w:val="auto"/>
          <w:sz w:val="24"/>
          <w:szCs w:val="24"/>
          <w:highlight w:val="none"/>
        </w:rPr>
        <w:t>应承担的</w:t>
      </w:r>
      <w:r>
        <w:rPr>
          <w:rStyle w:val="25"/>
          <w:rFonts w:hint="eastAsia" w:cs="宋体"/>
          <w:b w:val="0"/>
          <w:bCs/>
          <w:color w:val="auto"/>
          <w:sz w:val="24"/>
          <w:szCs w:val="24"/>
          <w:highlight w:val="none"/>
          <w:lang w:eastAsia="zh-CN"/>
        </w:rPr>
        <w:t>全部</w:t>
      </w:r>
      <w:r>
        <w:rPr>
          <w:rStyle w:val="25"/>
          <w:rFonts w:hint="eastAsia" w:cs="宋体"/>
          <w:b w:val="0"/>
          <w:bCs/>
          <w:color w:val="auto"/>
          <w:sz w:val="24"/>
          <w:szCs w:val="24"/>
          <w:highlight w:val="none"/>
        </w:rPr>
        <w:t>工作及责任和义务。</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2.7凡提及的“天、日期、星期、月份和年份”系指公历日历的日历天、日期、星期、月份和年份。 </w:t>
      </w:r>
    </w:p>
    <w:p>
      <w:pPr>
        <w:pStyle w:val="18"/>
        <w:keepNext w:val="0"/>
        <w:keepLines w:val="0"/>
        <w:pageBreakBefore w:val="0"/>
        <w:widowControl/>
        <w:numPr>
          <w:ilvl w:val="0"/>
          <w:numId w:val="4"/>
        </w:numPr>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lang w:val="en-US" w:eastAsia="zh-CN"/>
        </w:rPr>
      </w:pPr>
      <w:bookmarkStart w:id="41" w:name="_Toc243906314"/>
      <w:bookmarkStart w:id="42" w:name="_Toc243907574"/>
      <w:bookmarkStart w:id="43" w:name="_Toc246216183"/>
      <w:bookmarkStart w:id="44" w:name="_Toc233274814"/>
      <w:r>
        <w:rPr>
          <w:rStyle w:val="25"/>
          <w:rFonts w:hint="eastAsia" w:cs="宋体"/>
          <w:b/>
          <w:bCs w:val="0"/>
          <w:color w:val="auto"/>
          <w:sz w:val="24"/>
          <w:szCs w:val="24"/>
          <w:highlight w:val="none"/>
          <w:lang w:val="en-US" w:eastAsia="zh-CN"/>
        </w:rPr>
        <w:t>项目概况、范围、要求、工期及质量目标</w:t>
      </w:r>
    </w:p>
    <w:p>
      <w:pPr>
        <w:pStyle w:val="18"/>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360" w:lineRule="auto"/>
        <w:textAlignment w:val="auto"/>
        <w:rPr>
          <w:rStyle w:val="25"/>
          <w:rFonts w:hint="default" w:cs="宋体"/>
          <w:b/>
          <w:bCs w:val="0"/>
          <w:color w:val="auto"/>
          <w:sz w:val="24"/>
          <w:szCs w:val="24"/>
          <w:highlight w:val="none"/>
          <w:lang w:val="en-US" w:eastAsia="zh-CN"/>
        </w:rPr>
      </w:pPr>
      <w:r>
        <w:rPr>
          <w:rStyle w:val="25"/>
          <w:rFonts w:hint="eastAsia" w:cs="宋体"/>
          <w:b w:val="0"/>
          <w:bCs/>
          <w:color w:val="auto"/>
          <w:sz w:val="24"/>
          <w:szCs w:val="24"/>
          <w:highlight w:val="none"/>
          <w:lang w:val="en-US" w:eastAsia="zh-CN"/>
        </w:rPr>
        <w:t xml:space="preserve">    3.1项目概况：（与施工设计图纸不一致之处，以施工设计图纸为准）：对克拉玛依市纤维检验所—老旧实验室维修改造，其中包含供水、排水、采暖等工作内容。</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val="en-US" w:eastAsia="zh-CN"/>
        </w:rPr>
      </w:pPr>
      <w:r>
        <w:rPr>
          <w:rStyle w:val="25"/>
          <w:rFonts w:hint="eastAsia" w:cs="宋体"/>
          <w:b w:val="0"/>
          <w:bCs/>
          <w:color w:val="auto"/>
          <w:sz w:val="24"/>
          <w:szCs w:val="24"/>
          <w:highlight w:val="none"/>
        </w:rPr>
        <w:t>3.</w:t>
      </w:r>
      <w:r>
        <w:rPr>
          <w:rStyle w:val="25"/>
          <w:rFonts w:hint="eastAsia" w:cs="宋体"/>
          <w:b w:val="0"/>
          <w:bCs/>
          <w:color w:val="auto"/>
          <w:sz w:val="24"/>
          <w:szCs w:val="24"/>
          <w:highlight w:val="none"/>
          <w:lang w:val="en-US" w:eastAsia="zh-CN"/>
        </w:rPr>
        <w:t>2</w:t>
      </w:r>
      <w:r>
        <w:rPr>
          <w:rStyle w:val="25"/>
          <w:rFonts w:hint="eastAsia" w:cs="宋体"/>
          <w:b w:val="0"/>
          <w:bCs/>
          <w:color w:val="auto"/>
          <w:sz w:val="24"/>
          <w:szCs w:val="24"/>
          <w:highlight w:val="none"/>
          <w:lang w:eastAsia="zh-CN"/>
        </w:rPr>
        <w:t>招标范围</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完成克拉玛依市纤维检验所—老旧实验室维修改造工程施工设计图纸所包括的建筑工程、改造工程（含拆除及恢复工作内容）等</w:t>
      </w:r>
      <w:r>
        <w:rPr>
          <w:rStyle w:val="25"/>
          <w:rFonts w:hint="eastAsia" w:cs="宋体"/>
          <w:b w:val="0"/>
          <w:bCs/>
          <w:color w:val="auto"/>
          <w:sz w:val="24"/>
          <w:szCs w:val="24"/>
          <w:highlight w:val="none"/>
          <w:lang w:val="en-US" w:eastAsia="zh-CN"/>
        </w:rPr>
        <w:t>全部施工内容以及合同条款、技术规范及标准、技术规格及要求、施工设计图纸、项目采购需求、本竞争性磋商文件约定的全部内容及责任和义务。</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本项目施工设计图纸和工程量清单供投标参考。本项目以总价进行结算，增加或减少的工程量，结算时总价不予调整。</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default" w:ascii="Times New Roman" w:hAnsi="Times New Roman"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3.3工期：</w:t>
      </w:r>
      <w:r>
        <w:rPr>
          <w:rStyle w:val="25"/>
          <w:rFonts w:hint="default" w:ascii="Times New Roman" w:hAnsi="Times New Roman" w:cs="宋体"/>
          <w:b w:val="0"/>
          <w:bCs/>
          <w:color w:val="auto"/>
          <w:sz w:val="24"/>
          <w:szCs w:val="24"/>
          <w:highlight w:val="none"/>
          <w:lang w:val="en-US" w:eastAsia="zh-CN"/>
        </w:rPr>
        <w:t>总工期</w:t>
      </w:r>
      <w:r>
        <w:rPr>
          <w:rStyle w:val="25"/>
          <w:rFonts w:hint="eastAsia" w:ascii="Times New Roman" w:hAnsi="Times New Roman" w:cs="宋体"/>
          <w:b w:val="0"/>
          <w:bCs/>
          <w:color w:val="auto"/>
          <w:sz w:val="24"/>
          <w:szCs w:val="24"/>
          <w:highlight w:val="none"/>
          <w:u w:val="single"/>
          <w:lang w:val="en-US" w:eastAsia="zh-CN"/>
        </w:rPr>
        <w:t xml:space="preserve"> 65 </w:t>
      </w:r>
      <w:r>
        <w:rPr>
          <w:rStyle w:val="25"/>
          <w:rFonts w:hint="default" w:ascii="Times New Roman" w:hAnsi="Times New Roman" w:cs="宋体"/>
          <w:b w:val="0"/>
          <w:bCs/>
          <w:color w:val="auto"/>
          <w:sz w:val="24"/>
          <w:szCs w:val="24"/>
          <w:highlight w:val="none"/>
          <w:lang w:val="en-US" w:eastAsia="zh-CN"/>
        </w:rPr>
        <w:t>天（日历日）。</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ascii="Times New Roman" w:hAnsi="Times New Roman"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3.</w:t>
      </w:r>
      <w:r>
        <w:rPr>
          <w:rStyle w:val="25"/>
          <w:rFonts w:hint="eastAsia" w:cs="宋体"/>
          <w:b w:val="0"/>
          <w:bCs/>
          <w:color w:val="auto"/>
          <w:sz w:val="24"/>
          <w:szCs w:val="24"/>
          <w:highlight w:val="none"/>
          <w:lang w:val="en-US" w:eastAsia="zh-CN"/>
        </w:rPr>
        <w:t>4</w:t>
      </w:r>
      <w:r>
        <w:rPr>
          <w:rStyle w:val="25"/>
          <w:rFonts w:hint="eastAsia" w:ascii="Times New Roman" w:hAnsi="Times New Roman" w:cs="宋体"/>
          <w:b w:val="0"/>
          <w:bCs/>
          <w:color w:val="auto"/>
          <w:sz w:val="24"/>
          <w:szCs w:val="24"/>
          <w:highlight w:val="none"/>
          <w:lang w:val="en-US" w:eastAsia="zh-CN"/>
        </w:rPr>
        <w:t>质量目标为：合格</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default" w:ascii="Times New Roman" w:hAnsi="Times New Roman"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3.</w:t>
      </w:r>
      <w:r>
        <w:rPr>
          <w:rStyle w:val="25"/>
          <w:rFonts w:hint="eastAsia" w:cs="宋体"/>
          <w:b w:val="0"/>
          <w:bCs/>
          <w:color w:val="auto"/>
          <w:sz w:val="24"/>
          <w:szCs w:val="24"/>
          <w:highlight w:val="none"/>
          <w:lang w:val="en-US" w:eastAsia="zh-CN"/>
        </w:rPr>
        <w:t>5</w:t>
      </w:r>
      <w:r>
        <w:rPr>
          <w:rStyle w:val="25"/>
          <w:rFonts w:hint="eastAsia" w:ascii="Times New Roman" w:hAnsi="Times New Roman" w:cs="宋体"/>
          <w:b w:val="0"/>
          <w:bCs/>
          <w:color w:val="auto"/>
          <w:sz w:val="24"/>
          <w:szCs w:val="24"/>
          <w:highlight w:val="none"/>
          <w:lang w:val="en-US" w:eastAsia="zh-CN"/>
        </w:rPr>
        <w:t>缺陷责任期：工程缺陷责任期为24个月</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val="en-US" w:eastAsia="zh-CN"/>
        </w:rPr>
      </w:pPr>
      <w:r>
        <w:rPr>
          <w:rStyle w:val="25"/>
          <w:rFonts w:hint="eastAsia" w:cs="宋体"/>
          <w:b w:val="0"/>
          <w:bCs/>
          <w:color w:val="auto"/>
          <w:sz w:val="24"/>
          <w:szCs w:val="24"/>
          <w:highlight w:val="none"/>
          <w:lang w:val="en-US" w:eastAsia="zh-CN"/>
        </w:rPr>
        <w:t>3.6安全文明管理目标：无伤亡事故，做到安全文明施工。</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val="en-US" w:eastAsia="zh-CN"/>
        </w:rPr>
      </w:pPr>
      <w:r>
        <w:rPr>
          <w:rStyle w:val="25"/>
          <w:rFonts w:hint="eastAsia" w:cs="宋体"/>
          <w:b w:val="0"/>
          <w:bCs/>
          <w:color w:val="auto"/>
          <w:sz w:val="24"/>
          <w:szCs w:val="24"/>
          <w:highlight w:val="none"/>
          <w:lang w:val="en-US" w:eastAsia="zh-CN"/>
        </w:rPr>
        <w:t>3.7本项目承包方式：包工、包料、保证质量、保证进度、保证安全。</w:t>
      </w:r>
    </w:p>
    <w:p>
      <w:pPr>
        <w:pStyle w:val="113"/>
        <w:spacing w:line="360" w:lineRule="auto"/>
        <w:ind w:firstLine="480" w:firstLineChars="200"/>
        <w:jc w:val="both"/>
        <w:rPr>
          <w:rFonts w:ascii="Arial" w:hAnsi="Arial" w:cs="Arial"/>
          <w:color w:val="auto"/>
          <w:szCs w:val="21"/>
          <w:highlight w:val="none"/>
        </w:rPr>
      </w:pPr>
      <w:r>
        <w:rPr>
          <w:rFonts w:hint="eastAsia" w:hAnsi="宋体"/>
          <w:bCs/>
          <w:color w:val="auto"/>
          <w:highlight w:val="none"/>
          <w:lang w:val="en-US" w:eastAsia="zh-CN"/>
        </w:rPr>
        <w:t>3.8</w:t>
      </w:r>
      <w:r>
        <w:rPr>
          <w:rFonts w:hint="eastAsia" w:ascii="Arial" w:hAnsi="Arial" w:cs="Arial"/>
          <w:color w:val="auto"/>
          <w:szCs w:val="21"/>
          <w:highlight w:val="none"/>
        </w:rPr>
        <w:t>现场施工条件：</w:t>
      </w:r>
    </w:p>
    <w:p>
      <w:pPr>
        <w:pStyle w:val="113"/>
        <w:spacing w:line="360" w:lineRule="auto"/>
        <w:ind w:firstLine="480" w:firstLineChars="200"/>
        <w:jc w:val="both"/>
        <w:rPr>
          <w:rFonts w:hAnsi="宋体"/>
          <w:bCs/>
          <w:color w:val="auto"/>
          <w:highlight w:val="none"/>
        </w:rPr>
      </w:pPr>
      <w:r>
        <w:rPr>
          <w:rFonts w:hint="eastAsia" w:hAnsi="宋体"/>
          <w:bCs/>
          <w:color w:val="auto"/>
          <w:highlight w:val="none"/>
          <w:lang w:val="en-US" w:eastAsia="zh-CN"/>
        </w:rPr>
        <w:t>3.8</w:t>
      </w:r>
      <w:r>
        <w:rPr>
          <w:rFonts w:hAnsi="宋体"/>
          <w:bCs/>
          <w:color w:val="auto"/>
          <w:highlight w:val="none"/>
        </w:rPr>
        <w:t>.1</w:t>
      </w:r>
      <w:r>
        <w:rPr>
          <w:rFonts w:hint="eastAsia" w:hAnsi="宋体"/>
          <w:bCs/>
          <w:color w:val="auto"/>
          <w:highlight w:val="none"/>
        </w:rPr>
        <w:t>施工现场已具备施工条件，区域外场地不得随意</w:t>
      </w:r>
      <w:r>
        <w:rPr>
          <w:rFonts w:hint="eastAsia" w:ascii="Arial" w:hAnsi="Arial" w:cs="Arial"/>
          <w:color w:val="auto"/>
          <w:szCs w:val="21"/>
          <w:highlight w:val="none"/>
        </w:rPr>
        <w:t>搭建临时设施或作堆场。</w:t>
      </w:r>
    </w:p>
    <w:p>
      <w:pPr>
        <w:pStyle w:val="113"/>
        <w:spacing w:line="360" w:lineRule="auto"/>
        <w:ind w:firstLine="480" w:firstLineChars="200"/>
        <w:jc w:val="both"/>
        <w:rPr>
          <w:rStyle w:val="25"/>
          <w:rFonts w:hint="default" w:cs="宋体"/>
          <w:b w:val="0"/>
          <w:bCs/>
          <w:color w:val="auto"/>
          <w:sz w:val="24"/>
          <w:szCs w:val="24"/>
          <w:highlight w:val="none"/>
          <w:lang w:val="en-US" w:eastAsia="zh-CN"/>
        </w:rPr>
      </w:pPr>
      <w:r>
        <w:rPr>
          <w:rFonts w:hint="eastAsia" w:hAnsi="宋体"/>
          <w:bCs/>
          <w:color w:val="auto"/>
          <w:highlight w:val="none"/>
          <w:lang w:val="en-US" w:eastAsia="zh-CN"/>
        </w:rPr>
        <w:t>3.8</w:t>
      </w:r>
      <w:r>
        <w:rPr>
          <w:rFonts w:hAnsi="宋体"/>
          <w:bCs/>
          <w:color w:val="auto"/>
          <w:highlight w:val="none"/>
        </w:rPr>
        <w:t>.2</w:t>
      </w:r>
      <w:r>
        <w:rPr>
          <w:rFonts w:hint="eastAsia"/>
          <w:color w:val="auto"/>
          <w:highlight w:val="none"/>
          <w:lang w:eastAsia="zh-CN"/>
        </w:rPr>
        <w:t>供应商</w:t>
      </w:r>
      <w:r>
        <w:rPr>
          <w:rFonts w:hint="eastAsia"/>
          <w:color w:val="auto"/>
          <w:highlight w:val="none"/>
        </w:rPr>
        <w:t>应认真踏勘施工现场的周围环境及对原建筑物、周边建（构）筑物、地上地下管线、室内外设备设施等保护情况，施工过程中对周围环境的影响、建筑物内人员工作的影响，为投标总报价取得依据。</w:t>
      </w:r>
      <w:r>
        <w:rPr>
          <w:rFonts w:hint="eastAsia"/>
          <w:b w:val="0"/>
          <w:bCs w:val="0"/>
          <w:color w:val="auto"/>
          <w:highlight w:val="none"/>
        </w:rPr>
        <w:t>若</w:t>
      </w:r>
      <w:r>
        <w:rPr>
          <w:rFonts w:hint="eastAsia"/>
          <w:b w:val="0"/>
          <w:bCs w:val="0"/>
          <w:color w:val="auto"/>
          <w:highlight w:val="none"/>
          <w:lang w:eastAsia="zh-CN"/>
        </w:rPr>
        <w:t>成交</w:t>
      </w:r>
      <w:r>
        <w:rPr>
          <w:rFonts w:hint="eastAsia"/>
          <w:b w:val="0"/>
          <w:bCs w:val="0"/>
          <w:color w:val="auto"/>
          <w:highlight w:val="none"/>
        </w:rPr>
        <w:t>，在可预见风险范围内不得以不了解现场情况为理由而提出额外费用，</w:t>
      </w:r>
      <w:r>
        <w:rPr>
          <w:rFonts w:hint="eastAsia"/>
          <w:b w:val="0"/>
          <w:bCs w:val="0"/>
          <w:color w:val="auto"/>
          <w:highlight w:val="none"/>
          <w:lang w:eastAsia="zh-CN"/>
        </w:rPr>
        <w:t>采购人</w:t>
      </w:r>
      <w:r>
        <w:rPr>
          <w:rFonts w:hint="eastAsia"/>
          <w:b w:val="0"/>
          <w:bCs w:val="0"/>
          <w:color w:val="auto"/>
          <w:highlight w:val="none"/>
        </w:rPr>
        <w:t>将不予考虑。</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4、</w:t>
      </w:r>
      <w:bookmarkEnd w:id="41"/>
      <w:bookmarkEnd w:id="42"/>
      <w:bookmarkEnd w:id="43"/>
      <w:bookmarkEnd w:id="44"/>
      <w:r>
        <w:rPr>
          <w:rStyle w:val="25"/>
          <w:rFonts w:hint="eastAsia" w:cs="宋体"/>
          <w:b/>
          <w:bCs w:val="0"/>
          <w:color w:val="auto"/>
          <w:sz w:val="24"/>
          <w:szCs w:val="24"/>
          <w:highlight w:val="none"/>
        </w:rPr>
        <w:t>合格</w:t>
      </w:r>
      <w:r>
        <w:rPr>
          <w:rStyle w:val="25"/>
          <w:rFonts w:hint="eastAsia" w:cs="宋体"/>
          <w:b/>
          <w:bCs w:val="0"/>
          <w:color w:val="auto"/>
          <w:sz w:val="24"/>
          <w:szCs w:val="24"/>
          <w:highlight w:val="none"/>
          <w:lang w:eastAsia="zh-CN"/>
        </w:rPr>
        <w:t>供应商</w:t>
      </w:r>
      <w:r>
        <w:rPr>
          <w:rStyle w:val="25"/>
          <w:rFonts w:hint="eastAsia" w:cs="宋体"/>
          <w:b/>
          <w:bCs w:val="0"/>
          <w:color w:val="auto"/>
          <w:sz w:val="24"/>
          <w:szCs w:val="24"/>
          <w:highlight w:val="none"/>
        </w:rPr>
        <w:t>资格要求</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bookmarkStart w:id="45" w:name="_Toc243906315"/>
      <w:bookmarkStart w:id="46" w:name="_Toc243907575"/>
      <w:bookmarkStart w:id="47" w:name="_Toc245897275"/>
      <w:bookmarkStart w:id="48" w:name="_Toc233274815"/>
      <w:r>
        <w:rPr>
          <w:rStyle w:val="25"/>
          <w:rFonts w:hint="eastAsia" w:cs="宋体"/>
          <w:b w:val="0"/>
          <w:bCs/>
          <w:color w:val="auto"/>
          <w:sz w:val="24"/>
          <w:szCs w:val="24"/>
          <w:highlight w:val="none"/>
        </w:rPr>
        <w:t>4.1详见第一章“</w:t>
      </w:r>
      <w:r>
        <w:rPr>
          <w:rStyle w:val="25"/>
          <w:rFonts w:hint="eastAsia" w:cs="宋体"/>
          <w:b w:val="0"/>
          <w:bCs/>
          <w:color w:val="auto"/>
          <w:sz w:val="24"/>
          <w:szCs w:val="24"/>
          <w:highlight w:val="none"/>
          <w:lang w:eastAsia="zh-CN"/>
        </w:rPr>
        <w:t>竞争性磋商采购公告</w:t>
      </w:r>
      <w:r>
        <w:rPr>
          <w:rStyle w:val="25"/>
          <w:rFonts w:hint="eastAsia" w:cs="宋体"/>
          <w:b w:val="0"/>
          <w:bCs/>
          <w:color w:val="auto"/>
          <w:sz w:val="24"/>
          <w:szCs w:val="24"/>
          <w:highlight w:val="none"/>
        </w:rPr>
        <w:t>”中的</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资格要求。</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4.2单位负责人为同一人或者存在直接控股、管理关系的不同</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，不得参加同一合同项下的政府采购活动。</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4.3为采购项目提供整体设计、规范编制或者项目管理、监理、检测等服务的</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，不得再参加该采购项目的其他采购活动。</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4.4在单一品目的货物采购招标中，同一品牌同一型号的产品有多家</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参加，只能按照一家</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计算。</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4.5同一分包的货物，制造商参与</w:t>
      </w:r>
      <w:r>
        <w:rPr>
          <w:rStyle w:val="25"/>
          <w:rFonts w:hint="eastAsia" w:cs="宋体"/>
          <w:b w:val="0"/>
          <w:bCs/>
          <w:color w:val="auto"/>
          <w:sz w:val="24"/>
          <w:szCs w:val="24"/>
          <w:highlight w:val="none"/>
          <w:lang w:eastAsia="zh-CN"/>
        </w:rPr>
        <w:t>投标</w:t>
      </w:r>
      <w:r>
        <w:rPr>
          <w:rStyle w:val="25"/>
          <w:rFonts w:hint="eastAsia" w:cs="宋体"/>
          <w:b w:val="0"/>
          <w:bCs/>
          <w:color w:val="auto"/>
          <w:sz w:val="24"/>
          <w:szCs w:val="24"/>
          <w:highlight w:val="none"/>
        </w:rPr>
        <w:t>的，不得再委托代理商参与</w:t>
      </w:r>
      <w:r>
        <w:rPr>
          <w:rStyle w:val="25"/>
          <w:rFonts w:hint="eastAsia" w:cs="宋体"/>
          <w:b w:val="0"/>
          <w:bCs/>
          <w:color w:val="auto"/>
          <w:sz w:val="24"/>
          <w:szCs w:val="24"/>
          <w:highlight w:val="none"/>
          <w:lang w:eastAsia="zh-CN"/>
        </w:rPr>
        <w:t>投标</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5、回避。政府采购活动中，</w:t>
      </w:r>
      <w:r>
        <w:rPr>
          <w:rStyle w:val="25"/>
          <w:rFonts w:hint="eastAsia" w:cs="宋体"/>
          <w:b/>
          <w:bCs w:val="0"/>
          <w:color w:val="auto"/>
          <w:sz w:val="24"/>
          <w:szCs w:val="24"/>
          <w:highlight w:val="none"/>
          <w:lang w:eastAsia="zh-CN"/>
        </w:rPr>
        <w:t>采购人</w:t>
      </w:r>
      <w:r>
        <w:rPr>
          <w:rStyle w:val="25"/>
          <w:rFonts w:hint="eastAsia" w:cs="宋体"/>
          <w:b/>
          <w:bCs w:val="0"/>
          <w:color w:val="auto"/>
          <w:sz w:val="24"/>
          <w:szCs w:val="24"/>
          <w:highlight w:val="none"/>
        </w:rPr>
        <w:t>员及相关人员与</w:t>
      </w:r>
      <w:r>
        <w:rPr>
          <w:rStyle w:val="25"/>
          <w:rFonts w:hint="eastAsia" w:cs="宋体"/>
          <w:b/>
          <w:bCs w:val="0"/>
          <w:color w:val="auto"/>
          <w:sz w:val="24"/>
          <w:szCs w:val="24"/>
          <w:highlight w:val="none"/>
          <w:lang w:eastAsia="zh-CN"/>
        </w:rPr>
        <w:t>供应商</w:t>
      </w:r>
      <w:r>
        <w:rPr>
          <w:rStyle w:val="25"/>
          <w:rFonts w:hint="eastAsia" w:cs="宋体"/>
          <w:b/>
          <w:bCs w:val="0"/>
          <w:color w:val="auto"/>
          <w:sz w:val="24"/>
          <w:szCs w:val="24"/>
          <w:highlight w:val="none"/>
        </w:rPr>
        <w:t>有下列利害关系之一的，应当回避：</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5.1参加采购活动前3年内与</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存在劳动关系；</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5.2参加采购活动前3年内担任</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的董事、监事；</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5.3参加采购活动前3年内是</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的控股股东或者实际控制人；</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5.4与</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的法定代表人或者负责人有夫妻、直系血亲、三代以内旁系血亲或者近姻亲关系；</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5.5与</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有其他可能影响政府采购活动公平、公正进行的关系。</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5.5.1</w:t>
      </w:r>
      <w:r>
        <w:rPr>
          <w:rStyle w:val="25"/>
          <w:rFonts w:hint="eastAsia" w:cs="宋体"/>
          <w:b w:val="0"/>
          <w:bCs/>
          <w:color w:val="auto"/>
          <w:sz w:val="24"/>
          <w:szCs w:val="24"/>
          <w:highlight w:val="none"/>
        </w:rPr>
        <w:t>本项目政府采购活动中需要依法回避的</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员是指</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内部负责采购项目的具体经办工作人员和直接分管采购项目的负责人，以及</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负责采购项目的具体经办工作人员和直接分管采购活动的负责人。本项目政府采购活动中需要依法回避的相关人员是指</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小组成员。</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5.5.2</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认为</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员及相关人员与其他</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有利害关系的，可以向</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书面提出回避申请，并说明理由。</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将及时询问被申请回避人员，有利害关系的被申请回避人员应当回避。</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6、</w:t>
      </w:r>
      <w:bookmarkEnd w:id="45"/>
      <w:bookmarkEnd w:id="46"/>
      <w:bookmarkEnd w:id="47"/>
      <w:bookmarkEnd w:id="48"/>
      <w:r>
        <w:rPr>
          <w:rStyle w:val="25"/>
          <w:rFonts w:hint="eastAsia" w:cs="宋体"/>
          <w:b/>
          <w:bCs w:val="0"/>
          <w:color w:val="auto"/>
          <w:sz w:val="24"/>
          <w:szCs w:val="24"/>
          <w:highlight w:val="none"/>
          <w:lang w:eastAsia="zh-CN"/>
        </w:rPr>
        <w:t>参</w:t>
      </w:r>
      <w:r>
        <w:rPr>
          <w:rFonts w:hint="eastAsia" w:asciiTheme="minorEastAsia" w:hAnsiTheme="minorEastAsia" w:eastAsiaTheme="minorEastAsia" w:cstheme="minorEastAsia"/>
          <w:b/>
          <w:bCs/>
          <w:color w:val="auto"/>
          <w:sz w:val="24"/>
          <w:highlight w:val="none"/>
        </w:rPr>
        <w:t>与竞争性磋商费用</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6</w:t>
      </w:r>
      <w:r>
        <w:rPr>
          <w:rStyle w:val="25"/>
          <w:rFonts w:hint="eastAsia" w:cs="宋体"/>
          <w:b w:val="0"/>
          <w:bCs/>
          <w:color w:val="auto"/>
          <w:sz w:val="24"/>
          <w:szCs w:val="24"/>
          <w:highlight w:val="none"/>
        </w:rPr>
        <w:t>.1实地考察</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eastAsia="zh-CN"/>
        </w:rPr>
        <w:t>采购人不</w:t>
      </w:r>
      <w:r>
        <w:rPr>
          <w:rStyle w:val="25"/>
          <w:rFonts w:hint="eastAsia" w:cs="宋体"/>
          <w:b w:val="0"/>
          <w:bCs/>
          <w:color w:val="auto"/>
          <w:sz w:val="24"/>
          <w:szCs w:val="24"/>
          <w:highlight w:val="none"/>
        </w:rPr>
        <w:t>统一组织实地</w:t>
      </w:r>
      <w:r>
        <w:rPr>
          <w:rStyle w:val="25"/>
          <w:rFonts w:hint="eastAsia" w:cs="宋体"/>
          <w:b w:val="0"/>
          <w:bCs/>
          <w:color w:val="auto"/>
          <w:sz w:val="24"/>
          <w:szCs w:val="24"/>
          <w:highlight w:val="none"/>
          <w:lang w:eastAsia="zh-CN"/>
        </w:rPr>
        <w:t>考察。供应商</w:t>
      </w:r>
      <w:r>
        <w:rPr>
          <w:rStyle w:val="25"/>
          <w:rFonts w:hint="eastAsia" w:cs="宋体"/>
          <w:b w:val="0"/>
          <w:bCs/>
          <w:color w:val="auto"/>
          <w:sz w:val="24"/>
          <w:szCs w:val="24"/>
          <w:highlight w:val="none"/>
        </w:rPr>
        <w:t>须对采购项目的现场及采购项目所涉及的国家、自治区、克拉玛依地区、相关部门等与此相关的政策进行充分的调查、研究，参观并考察项目情况及其周围环境（包括当地气候条件及自然环境等）以取得所有与准备</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和实施</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有关的必要资料及信息。实地考察所发生的任何费用均由</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自理</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6</w:t>
      </w:r>
      <w:r>
        <w:rPr>
          <w:rStyle w:val="25"/>
          <w:rFonts w:hint="eastAsia" w:cs="宋体"/>
          <w:b w:val="0"/>
          <w:bCs/>
          <w:color w:val="auto"/>
          <w:sz w:val="24"/>
          <w:szCs w:val="24"/>
          <w:highlight w:val="none"/>
        </w:rPr>
        <w:t>.2参与</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费用</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6</w:t>
      </w:r>
      <w:r>
        <w:rPr>
          <w:rStyle w:val="25"/>
          <w:rFonts w:hint="eastAsia" w:cs="宋体"/>
          <w:b w:val="0"/>
          <w:bCs/>
          <w:color w:val="auto"/>
          <w:sz w:val="24"/>
          <w:szCs w:val="24"/>
          <w:highlight w:val="none"/>
        </w:rPr>
        <w:t>.2.1</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应承担所有与</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准备和</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有关的全部费用，不论</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结果如何，</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和</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无义务和责任承担</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所发生的一切费用。</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6</w:t>
      </w:r>
      <w:r>
        <w:rPr>
          <w:rStyle w:val="25"/>
          <w:rFonts w:hint="eastAsia" w:cs="宋体"/>
          <w:b w:val="0"/>
          <w:bCs/>
          <w:color w:val="auto"/>
          <w:sz w:val="24"/>
          <w:szCs w:val="24"/>
          <w:highlight w:val="none"/>
        </w:rPr>
        <w:t>.2.2</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在</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准备、实地考察和</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的全过程中，如果发生人身伤亡、财物或其它任何损失，不论何种原因所造成，均由</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自行承担全部责任和损失。</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49" w:name="_Toc243907576"/>
      <w:bookmarkStart w:id="50" w:name="_Toc245897276"/>
      <w:bookmarkStart w:id="51" w:name="_Toc243906316"/>
      <w:bookmarkStart w:id="52" w:name="_Toc233274816"/>
      <w:r>
        <w:rPr>
          <w:rStyle w:val="25"/>
          <w:rFonts w:hint="eastAsia" w:cs="宋体"/>
          <w:b/>
          <w:bCs w:val="0"/>
          <w:color w:val="auto"/>
          <w:sz w:val="24"/>
          <w:szCs w:val="24"/>
          <w:highlight w:val="none"/>
          <w:lang w:val="en-US" w:eastAsia="zh-CN"/>
        </w:rPr>
        <w:t>7</w:t>
      </w:r>
      <w:r>
        <w:rPr>
          <w:rStyle w:val="25"/>
          <w:rFonts w:hint="eastAsia" w:cs="宋体"/>
          <w:b/>
          <w:bCs w:val="0"/>
          <w:color w:val="auto"/>
          <w:sz w:val="24"/>
          <w:szCs w:val="24"/>
          <w:highlight w:val="none"/>
        </w:rPr>
        <w:t>、法律适用</w:t>
      </w:r>
      <w:bookmarkEnd w:id="49"/>
      <w:bookmarkEnd w:id="50"/>
      <w:bookmarkEnd w:id="51"/>
      <w:bookmarkEnd w:id="52"/>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本次</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活动及由本次</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产生的合同受中国法律制约和保护。</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53" w:name="_Toc245897277"/>
      <w:bookmarkStart w:id="54" w:name="_Toc233274817"/>
      <w:bookmarkStart w:id="55" w:name="_Toc243906317"/>
      <w:bookmarkStart w:id="56" w:name="_Toc243907577"/>
      <w:r>
        <w:rPr>
          <w:rStyle w:val="25"/>
          <w:rFonts w:hint="eastAsia" w:cs="宋体"/>
          <w:b/>
          <w:bCs w:val="0"/>
          <w:color w:val="auto"/>
          <w:sz w:val="24"/>
          <w:szCs w:val="24"/>
          <w:highlight w:val="none"/>
          <w:lang w:val="en-US" w:eastAsia="zh-CN"/>
        </w:rPr>
        <w:t>8</w:t>
      </w:r>
      <w:r>
        <w:rPr>
          <w:rStyle w:val="25"/>
          <w:rFonts w:hint="eastAsia" w:cs="宋体"/>
          <w:b/>
          <w:bCs w:val="0"/>
          <w:color w:val="auto"/>
          <w:sz w:val="24"/>
          <w:szCs w:val="24"/>
          <w:highlight w:val="none"/>
        </w:rPr>
        <w:t>、</w:t>
      </w:r>
      <w:r>
        <w:rPr>
          <w:rStyle w:val="25"/>
          <w:rFonts w:hint="eastAsia" w:cs="宋体"/>
          <w:b/>
          <w:bCs w:val="0"/>
          <w:color w:val="auto"/>
          <w:sz w:val="24"/>
          <w:szCs w:val="24"/>
          <w:highlight w:val="none"/>
          <w:lang w:eastAsia="zh-CN"/>
        </w:rPr>
        <w:t>竞争性磋商文件</w:t>
      </w:r>
      <w:r>
        <w:rPr>
          <w:rStyle w:val="25"/>
          <w:rFonts w:hint="eastAsia" w:cs="宋体"/>
          <w:b/>
          <w:bCs w:val="0"/>
          <w:color w:val="auto"/>
          <w:sz w:val="24"/>
          <w:szCs w:val="24"/>
          <w:highlight w:val="none"/>
        </w:rPr>
        <w:t>的约束力</w:t>
      </w:r>
      <w:bookmarkEnd w:id="53"/>
      <w:bookmarkEnd w:id="54"/>
      <w:bookmarkEnd w:id="55"/>
      <w:bookmarkEnd w:id="56"/>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8</w:t>
      </w: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若</w:t>
      </w:r>
      <w:r>
        <w:rPr>
          <w:rStyle w:val="25"/>
          <w:rFonts w:hint="eastAsia" w:cs="宋体"/>
          <w:b w:val="0"/>
          <w:bCs/>
          <w:color w:val="auto"/>
          <w:sz w:val="24"/>
          <w:szCs w:val="24"/>
          <w:highlight w:val="none"/>
          <w:lang w:eastAsia="zh-CN"/>
        </w:rPr>
        <w:t>成交</w:t>
      </w:r>
      <w:r>
        <w:rPr>
          <w:rStyle w:val="25"/>
          <w:rFonts w:hint="eastAsia" w:cs="宋体"/>
          <w:b w:val="0"/>
          <w:bCs/>
          <w:color w:val="auto"/>
          <w:sz w:val="24"/>
          <w:szCs w:val="24"/>
          <w:highlight w:val="none"/>
        </w:rPr>
        <w:t>，即被认为接受了本</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中的所有条件和规定。是</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与</w:t>
      </w: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签订合同的依据且是合同的组成部分。</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8.2、技术资料</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8.2.1</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确认</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提供的技术资料（详见本</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第三章）存在缺项、漏项或计算误差，应在前附表第6项规定的提问截止时间前，以书面方式向</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提出。</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未在规定的时间内对</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提供的技术资料提出异议，视为</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已认可</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提供的资料包含了所需的技术资料全部内容。</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8.3、</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报价</w:t>
      </w:r>
    </w:p>
    <w:bookmarkEnd w:id="32"/>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8.3.1</w:t>
      </w:r>
      <w:r>
        <w:rPr>
          <w:rStyle w:val="25"/>
          <w:rFonts w:hint="eastAsia" w:cs="宋体"/>
          <w:b w:val="0"/>
          <w:bCs/>
          <w:color w:val="auto"/>
          <w:sz w:val="24"/>
          <w:szCs w:val="24"/>
          <w:highlight w:val="none"/>
          <w:lang w:eastAsia="zh-CN"/>
        </w:rPr>
        <w:t>竞争性磋商文件、招标范围、设计图纸</w:t>
      </w:r>
      <w:r>
        <w:rPr>
          <w:rStyle w:val="25"/>
          <w:rFonts w:hint="eastAsia" w:cs="宋体"/>
          <w:b w:val="0"/>
          <w:bCs/>
          <w:color w:val="auto"/>
          <w:sz w:val="24"/>
          <w:szCs w:val="24"/>
          <w:highlight w:val="none"/>
        </w:rPr>
        <w:t>及合同约定等完成本</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项目的全部费用（包括：施工范围内各类装备的提供、运输、</w:t>
      </w:r>
      <w:r>
        <w:rPr>
          <w:rStyle w:val="25"/>
          <w:rFonts w:hint="eastAsia" w:cs="宋体"/>
          <w:b w:val="0"/>
          <w:bCs/>
          <w:color w:val="auto"/>
          <w:sz w:val="24"/>
          <w:szCs w:val="24"/>
          <w:highlight w:val="none"/>
          <w:lang w:eastAsia="zh-CN"/>
        </w:rPr>
        <w:t>调研、勘察、</w:t>
      </w:r>
      <w:r>
        <w:rPr>
          <w:rStyle w:val="25"/>
          <w:rFonts w:hint="eastAsia" w:cs="宋体"/>
          <w:b w:val="0"/>
          <w:bCs/>
          <w:color w:val="auto"/>
          <w:sz w:val="24"/>
          <w:szCs w:val="24"/>
          <w:highlight w:val="none"/>
        </w:rPr>
        <w:t>材料</w:t>
      </w:r>
      <w:r>
        <w:rPr>
          <w:rStyle w:val="25"/>
          <w:rFonts w:hint="eastAsia" w:cs="宋体"/>
          <w:b w:val="0"/>
          <w:bCs/>
          <w:color w:val="auto"/>
          <w:sz w:val="24"/>
          <w:szCs w:val="24"/>
          <w:highlight w:val="none"/>
          <w:lang w:eastAsia="zh-CN"/>
        </w:rPr>
        <w:t>费、人工费、税金</w:t>
      </w:r>
      <w:r>
        <w:rPr>
          <w:rStyle w:val="25"/>
          <w:rFonts w:hint="eastAsia" w:cs="宋体"/>
          <w:b w:val="0"/>
          <w:bCs/>
          <w:color w:val="auto"/>
          <w:sz w:val="24"/>
          <w:szCs w:val="24"/>
          <w:highlight w:val="none"/>
        </w:rPr>
        <w:t>等所有相关费用）。</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8.3.12</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认为需包含的其它费用。</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jc w:val="center"/>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 xml:space="preserve">B  </w:t>
      </w:r>
      <w:r>
        <w:rPr>
          <w:rStyle w:val="25"/>
          <w:rFonts w:hint="eastAsia" w:cs="宋体"/>
          <w:b/>
          <w:bCs w:val="0"/>
          <w:color w:val="auto"/>
          <w:sz w:val="24"/>
          <w:szCs w:val="24"/>
          <w:highlight w:val="none"/>
          <w:lang w:eastAsia="zh-CN"/>
        </w:rPr>
        <w:t>评标</w:t>
      </w:r>
      <w:r>
        <w:rPr>
          <w:rStyle w:val="25"/>
          <w:rFonts w:hint="eastAsia" w:cs="宋体"/>
          <w:b/>
          <w:bCs w:val="0"/>
          <w:color w:val="auto"/>
          <w:sz w:val="24"/>
          <w:szCs w:val="24"/>
          <w:highlight w:val="none"/>
        </w:rPr>
        <w:t>文件</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57" w:name="_Toc233274819"/>
      <w:bookmarkStart w:id="58" w:name="_Toc246216188"/>
      <w:bookmarkStart w:id="59" w:name="_Toc243907579"/>
      <w:bookmarkStart w:id="60" w:name="_Toc243906319"/>
      <w:r>
        <w:rPr>
          <w:rStyle w:val="25"/>
          <w:rFonts w:hint="eastAsia" w:cs="宋体"/>
          <w:b/>
          <w:bCs w:val="0"/>
          <w:color w:val="auto"/>
          <w:sz w:val="24"/>
          <w:szCs w:val="24"/>
          <w:highlight w:val="none"/>
          <w:lang w:val="en-US" w:eastAsia="zh-CN"/>
        </w:rPr>
        <w:t>9</w:t>
      </w:r>
      <w:r>
        <w:rPr>
          <w:rStyle w:val="25"/>
          <w:rFonts w:hint="eastAsia" w:cs="宋体"/>
          <w:b/>
          <w:bCs w:val="0"/>
          <w:color w:val="auto"/>
          <w:sz w:val="24"/>
          <w:szCs w:val="24"/>
          <w:highlight w:val="none"/>
        </w:rPr>
        <w:t>、</w:t>
      </w:r>
      <w:r>
        <w:rPr>
          <w:rStyle w:val="25"/>
          <w:rFonts w:hint="eastAsia" w:cs="宋体"/>
          <w:b/>
          <w:bCs w:val="0"/>
          <w:color w:val="auto"/>
          <w:sz w:val="24"/>
          <w:szCs w:val="24"/>
          <w:highlight w:val="none"/>
          <w:lang w:eastAsia="zh-CN"/>
        </w:rPr>
        <w:t>竞争性磋商文件</w:t>
      </w:r>
      <w:r>
        <w:rPr>
          <w:rStyle w:val="25"/>
          <w:rFonts w:hint="eastAsia" w:cs="宋体"/>
          <w:b/>
          <w:bCs w:val="0"/>
          <w:color w:val="auto"/>
          <w:sz w:val="24"/>
          <w:szCs w:val="24"/>
          <w:highlight w:val="none"/>
        </w:rPr>
        <w:t>的组成</w:t>
      </w:r>
      <w:bookmarkEnd w:id="57"/>
      <w:bookmarkEnd w:id="58"/>
      <w:bookmarkEnd w:id="59"/>
      <w:bookmarkEnd w:id="60"/>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9.1本</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是对</w:t>
      </w:r>
      <w:r>
        <w:rPr>
          <w:rStyle w:val="25"/>
          <w:rFonts w:hint="eastAsia" w:cs="宋体"/>
          <w:b w:val="0"/>
          <w:bCs/>
          <w:color w:val="auto"/>
          <w:sz w:val="24"/>
          <w:szCs w:val="24"/>
          <w:highlight w:val="none"/>
          <w:lang w:eastAsia="zh-CN"/>
        </w:rPr>
        <w:t>克拉玛依市纤维检验所—老旧实验室维修改造评标</w:t>
      </w:r>
      <w:r>
        <w:rPr>
          <w:rStyle w:val="25"/>
          <w:rFonts w:hint="eastAsia" w:cs="宋体"/>
          <w:b w:val="0"/>
          <w:bCs/>
          <w:color w:val="auto"/>
          <w:sz w:val="24"/>
          <w:szCs w:val="24"/>
          <w:highlight w:val="none"/>
        </w:rPr>
        <w:t>程序、合同条款进行说明。</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包括下列内容：</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第一章  </w:t>
      </w:r>
      <w:r>
        <w:rPr>
          <w:rStyle w:val="25"/>
          <w:rFonts w:hint="eastAsia" w:cs="宋体"/>
          <w:b w:val="0"/>
          <w:bCs/>
          <w:color w:val="auto"/>
          <w:sz w:val="24"/>
          <w:szCs w:val="24"/>
          <w:highlight w:val="none"/>
          <w:lang w:eastAsia="zh-CN"/>
        </w:rPr>
        <w:t>竞争性磋商采购公告</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第二章  </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须知</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第三章  项目采购需求</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rPr>
        <w:t xml:space="preserve">第四章  </w:t>
      </w:r>
      <w:r>
        <w:rPr>
          <w:rStyle w:val="25"/>
          <w:rFonts w:hint="eastAsia" w:cs="宋体"/>
          <w:b w:val="0"/>
          <w:bCs/>
          <w:color w:val="auto"/>
          <w:sz w:val="24"/>
          <w:szCs w:val="24"/>
          <w:highlight w:val="none"/>
          <w:lang w:eastAsia="zh-CN"/>
        </w:rPr>
        <w:t>合同条款</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第</w:t>
      </w:r>
      <w:r>
        <w:rPr>
          <w:rStyle w:val="25"/>
          <w:rFonts w:hint="eastAsia" w:cs="宋体"/>
          <w:b w:val="0"/>
          <w:bCs/>
          <w:color w:val="auto"/>
          <w:sz w:val="24"/>
          <w:szCs w:val="24"/>
          <w:highlight w:val="none"/>
          <w:lang w:eastAsia="zh-CN"/>
        </w:rPr>
        <w:t>五</w:t>
      </w:r>
      <w:r>
        <w:rPr>
          <w:rStyle w:val="25"/>
          <w:rFonts w:hint="eastAsia" w:cs="宋体"/>
          <w:b w:val="0"/>
          <w:bCs/>
          <w:color w:val="auto"/>
          <w:sz w:val="24"/>
          <w:szCs w:val="24"/>
          <w:highlight w:val="none"/>
        </w:rPr>
        <w:t xml:space="preserve">章  </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格式</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第六章  评审标准（综合评分法）</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9</w:t>
      </w:r>
      <w:r>
        <w:rPr>
          <w:rStyle w:val="25"/>
          <w:rFonts w:hint="eastAsia" w:cs="宋体"/>
          <w:b w:val="0"/>
          <w:bCs/>
          <w:color w:val="auto"/>
          <w:sz w:val="24"/>
          <w:szCs w:val="24"/>
          <w:highlight w:val="none"/>
        </w:rPr>
        <w:t>.2</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以中文编印，以中文文本为准。</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9</w:t>
      </w:r>
      <w:r>
        <w:rPr>
          <w:rStyle w:val="25"/>
          <w:rFonts w:hint="eastAsia" w:cs="宋体"/>
          <w:b w:val="0"/>
          <w:bCs/>
          <w:color w:val="auto"/>
          <w:sz w:val="24"/>
          <w:szCs w:val="24"/>
          <w:highlight w:val="none"/>
        </w:rPr>
        <w:t>.3除非有特殊要求，</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不单独提供采购项目使用地的自然环境、气候条件、劳动力及公用设施等情况，</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被视为熟悉上述条件或若</w:t>
      </w:r>
      <w:r>
        <w:rPr>
          <w:rStyle w:val="25"/>
          <w:rFonts w:hint="eastAsia" w:cs="宋体"/>
          <w:b w:val="0"/>
          <w:bCs/>
          <w:color w:val="auto"/>
          <w:sz w:val="24"/>
          <w:szCs w:val="24"/>
          <w:highlight w:val="none"/>
          <w:lang w:eastAsia="zh-CN"/>
        </w:rPr>
        <w:t>成交</w:t>
      </w:r>
      <w:r>
        <w:rPr>
          <w:rStyle w:val="25"/>
          <w:rFonts w:hint="eastAsia" w:cs="宋体"/>
          <w:b w:val="0"/>
          <w:bCs/>
          <w:color w:val="auto"/>
          <w:sz w:val="24"/>
          <w:szCs w:val="24"/>
          <w:highlight w:val="none"/>
        </w:rPr>
        <w:t>履行合同有关的一切情况。</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9</w:t>
      </w:r>
      <w:r>
        <w:rPr>
          <w:rStyle w:val="25"/>
          <w:rFonts w:hint="eastAsia" w:cs="宋体"/>
          <w:b w:val="0"/>
          <w:bCs/>
          <w:color w:val="auto"/>
          <w:sz w:val="24"/>
          <w:szCs w:val="24"/>
          <w:highlight w:val="none"/>
        </w:rPr>
        <w:t>.4</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向</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提供的有关数据和资料，是</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现有的能被</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利用的资料，</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对此做出的推论、理解和结论自行负责。</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61" w:name="_Toc233274820"/>
      <w:bookmarkStart w:id="62" w:name="_Toc243907580"/>
      <w:bookmarkStart w:id="63" w:name="_Toc243906320"/>
      <w:bookmarkStart w:id="64" w:name="_Toc245897280"/>
      <w:r>
        <w:rPr>
          <w:rStyle w:val="25"/>
          <w:rFonts w:hint="eastAsia" w:cs="宋体"/>
          <w:b/>
          <w:bCs w:val="0"/>
          <w:color w:val="auto"/>
          <w:sz w:val="24"/>
          <w:szCs w:val="24"/>
          <w:highlight w:val="none"/>
          <w:lang w:val="en-US" w:eastAsia="zh-CN"/>
        </w:rPr>
        <w:t>10</w:t>
      </w:r>
      <w:r>
        <w:rPr>
          <w:rStyle w:val="25"/>
          <w:rFonts w:hint="eastAsia" w:cs="宋体"/>
          <w:b/>
          <w:bCs w:val="0"/>
          <w:color w:val="auto"/>
          <w:sz w:val="24"/>
          <w:szCs w:val="24"/>
          <w:highlight w:val="none"/>
        </w:rPr>
        <w:t>、</w:t>
      </w:r>
      <w:r>
        <w:rPr>
          <w:rStyle w:val="25"/>
          <w:rFonts w:hint="eastAsia" w:cs="宋体"/>
          <w:b/>
          <w:bCs w:val="0"/>
          <w:color w:val="auto"/>
          <w:sz w:val="24"/>
          <w:szCs w:val="24"/>
          <w:highlight w:val="none"/>
          <w:lang w:eastAsia="zh-CN"/>
        </w:rPr>
        <w:t>竞争性磋商文件</w:t>
      </w:r>
      <w:r>
        <w:rPr>
          <w:rStyle w:val="25"/>
          <w:rFonts w:hint="eastAsia" w:cs="宋体"/>
          <w:b/>
          <w:bCs w:val="0"/>
          <w:color w:val="auto"/>
          <w:sz w:val="24"/>
          <w:szCs w:val="24"/>
          <w:highlight w:val="none"/>
        </w:rPr>
        <w:t>的澄清</w:t>
      </w:r>
      <w:bookmarkEnd w:id="61"/>
      <w:bookmarkEnd w:id="62"/>
      <w:bookmarkEnd w:id="63"/>
      <w:bookmarkEnd w:id="64"/>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10</w:t>
      </w: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对</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如有疑问，可要求澄清，应按</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须知前附表第</w:t>
      </w:r>
      <w:r>
        <w:rPr>
          <w:rStyle w:val="25"/>
          <w:rFonts w:hint="eastAsia" w:cs="宋体"/>
          <w:b w:val="0"/>
          <w:bCs/>
          <w:color w:val="auto"/>
          <w:sz w:val="24"/>
          <w:szCs w:val="24"/>
          <w:highlight w:val="none"/>
          <w:lang w:val="en-US" w:eastAsia="zh-CN"/>
        </w:rPr>
        <w:t>6</w:t>
      </w:r>
      <w:r>
        <w:rPr>
          <w:rStyle w:val="25"/>
          <w:rFonts w:hint="eastAsia" w:cs="宋体"/>
          <w:b w:val="0"/>
          <w:bCs/>
          <w:color w:val="auto"/>
          <w:sz w:val="24"/>
          <w:szCs w:val="24"/>
          <w:highlight w:val="none"/>
        </w:rPr>
        <w:t>条”以书面形式（必须加盖</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公章）送达至</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lang w:val="en-US" w:eastAsia="zh-CN"/>
        </w:rPr>
        <w:t>招标办</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和</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将视情况以书面形式予以答复，并发至领取</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的每位</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。答复中包括所提问题，但不包括问题的来源。</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10</w:t>
      </w:r>
      <w:r>
        <w:rPr>
          <w:rStyle w:val="25"/>
          <w:rFonts w:hint="eastAsia" w:cs="宋体"/>
          <w:b w:val="0"/>
          <w:bCs/>
          <w:color w:val="auto"/>
          <w:sz w:val="24"/>
          <w:szCs w:val="24"/>
          <w:highlight w:val="none"/>
        </w:rPr>
        <w:t>.2如果上述答复涉及对</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的修改或补充，则它将被视为</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的组成部分。凡原先所发</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中的内容与答复中的内容不一致之处，以最后书面答复为准。任何电话或口头咨询和答复的意思解释均不具有法律约束力。</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65" w:name="_Toc243907581"/>
      <w:bookmarkStart w:id="66" w:name="_Toc243906321"/>
      <w:bookmarkStart w:id="67" w:name="_Toc233274821"/>
      <w:bookmarkStart w:id="68" w:name="_Toc245897281"/>
      <w:r>
        <w:rPr>
          <w:rStyle w:val="25"/>
          <w:rFonts w:hint="eastAsia" w:cs="宋体"/>
          <w:b/>
          <w:bCs w:val="0"/>
          <w:color w:val="auto"/>
          <w:sz w:val="24"/>
          <w:szCs w:val="24"/>
          <w:highlight w:val="none"/>
        </w:rPr>
        <w:t>1</w:t>
      </w:r>
      <w:r>
        <w:rPr>
          <w:rStyle w:val="25"/>
          <w:rFonts w:hint="eastAsia" w:cs="宋体"/>
          <w:b/>
          <w:bCs w:val="0"/>
          <w:color w:val="auto"/>
          <w:sz w:val="24"/>
          <w:szCs w:val="24"/>
          <w:highlight w:val="none"/>
          <w:lang w:val="en-US" w:eastAsia="zh-CN"/>
        </w:rPr>
        <w:t>1</w:t>
      </w:r>
      <w:r>
        <w:rPr>
          <w:rStyle w:val="25"/>
          <w:rFonts w:hint="eastAsia" w:cs="宋体"/>
          <w:b/>
          <w:bCs w:val="0"/>
          <w:color w:val="auto"/>
          <w:sz w:val="24"/>
          <w:szCs w:val="24"/>
          <w:highlight w:val="none"/>
        </w:rPr>
        <w:t>、</w:t>
      </w:r>
      <w:r>
        <w:rPr>
          <w:rStyle w:val="25"/>
          <w:rFonts w:hint="eastAsia" w:cs="宋体"/>
          <w:b/>
          <w:bCs w:val="0"/>
          <w:color w:val="auto"/>
          <w:sz w:val="24"/>
          <w:szCs w:val="24"/>
          <w:highlight w:val="none"/>
          <w:lang w:eastAsia="zh-CN"/>
        </w:rPr>
        <w:t>竞争性磋商文件</w:t>
      </w:r>
      <w:r>
        <w:rPr>
          <w:rStyle w:val="25"/>
          <w:rFonts w:hint="eastAsia" w:cs="宋体"/>
          <w:b/>
          <w:bCs w:val="0"/>
          <w:color w:val="auto"/>
          <w:sz w:val="24"/>
          <w:szCs w:val="24"/>
          <w:highlight w:val="none"/>
        </w:rPr>
        <w:t>的修改和补充</w:t>
      </w:r>
      <w:bookmarkEnd w:id="65"/>
      <w:bookmarkEnd w:id="66"/>
      <w:bookmarkEnd w:id="67"/>
      <w:bookmarkEnd w:id="68"/>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val="en-US" w:eastAsia="zh-CN"/>
        </w:rPr>
        <w:t>1</w:t>
      </w:r>
      <w:r>
        <w:rPr>
          <w:rStyle w:val="25"/>
          <w:rFonts w:hint="eastAsia" w:cs="宋体"/>
          <w:b w:val="0"/>
          <w:bCs/>
          <w:color w:val="auto"/>
          <w:sz w:val="24"/>
          <w:szCs w:val="24"/>
          <w:highlight w:val="none"/>
        </w:rPr>
        <w:t>.1在递交</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截止日期5日前的任何时候，</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可主动地或依据</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要求澄清的疑问而修改、补充</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将对修改和补充的内容以书面形式发至所有获取</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的每位</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，修改和补充文件将作为</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的组成部分，对所有</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具有约束力。</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val="en-US" w:eastAsia="zh-CN"/>
        </w:rPr>
        <w:t>1</w:t>
      </w:r>
      <w:r>
        <w:rPr>
          <w:rStyle w:val="25"/>
          <w:rFonts w:hint="eastAsia" w:cs="宋体"/>
          <w:b w:val="0"/>
          <w:bCs/>
          <w:color w:val="auto"/>
          <w:sz w:val="24"/>
          <w:szCs w:val="24"/>
          <w:highlight w:val="none"/>
        </w:rPr>
        <w:t>.2为使</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在准备</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时有合理的时间考虑</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的修改和/或补充，</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可延长递交</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截止时间和开启时间，但至少应当在规定的递交</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的截止时间5日前，以书面形式通知所有获取</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的每位</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val="en-US" w:eastAsia="zh-CN"/>
        </w:rPr>
        <w:t>1</w:t>
      </w:r>
      <w:r>
        <w:rPr>
          <w:rStyle w:val="25"/>
          <w:rFonts w:hint="eastAsia" w:cs="宋体"/>
          <w:b w:val="0"/>
          <w:bCs/>
          <w:color w:val="auto"/>
          <w:sz w:val="24"/>
          <w:szCs w:val="24"/>
          <w:highlight w:val="none"/>
        </w:rPr>
        <w:t>.3</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在每次收到</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发至的书面文件后，应在收到后24小时内以书面形式并加盖</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公章予以确认。</w:t>
      </w:r>
      <w:bookmarkStart w:id="69" w:name="_Toc243907582"/>
      <w:bookmarkStart w:id="70" w:name="_Toc233274822"/>
      <w:bookmarkStart w:id="71" w:name="_Toc243906322"/>
      <w:bookmarkStart w:id="72" w:name="_Toc246216191"/>
      <w:bookmarkStart w:id="73" w:name="_Toc154996580"/>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jc w:val="center"/>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 xml:space="preserve">C   </w:t>
      </w:r>
      <w:r>
        <w:rPr>
          <w:rStyle w:val="25"/>
          <w:rFonts w:hint="eastAsia" w:cs="宋体"/>
          <w:b/>
          <w:bCs w:val="0"/>
          <w:color w:val="auto"/>
          <w:sz w:val="24"/>
          <w:szCs w:val="24"/>
          <w:highlight w:val="none"/>
          <w:lang w:eastAsia="zh-CN"/>
        </w:rPr>
        <w:t>响应文件</w:t>
      </w:r>
      <w:r>
        <w:rPr>
          <w:rStyle w:val="25"/>
          <w:rFonts w:hint="eastAsia" w:cs="宋体"/>
          <w:b/>
          <w:bCs w:val="0"/>
          <w:color w:val="auto"/>
          <w:sz w:val="24"/>
          <w:szCs w:val="24"/>
          <w:highlight w:val="none"/>
        </w:rPr>
        <w:t>的编写</w:t>
      </w:r>
      <w:bookmarkEnd w:id="69"/>
      <w:bookmarkEnd w:id="70"/>
      <w:bookmarkEnd w:id="71"/>
      <w:bookmarkEnd w:id="72"/>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74" w:name="_Toc233274823"/>
      <w:bookmarkStart w:id="75" w:name="_Toc243906323"/>
      <w:bookmarkStart w:id="76" w:name="_Toc245897283"/>
      <w:bookmarkStart w:id="77" w:name="_Toc243907583"/>
      <w:r>
        <w:rPr>
          <w:rStyle w:val="25"/>
          <w:rFonts w:hint="eastAsia" w:cs="宋体"/>
          <w:b/>
          <w:bCs w:val="0"/>
          <w:color w:val="auto"/>
          <w:sz w:val="24"/>
          <w:szCs w:val="24"/>
          <w:highlight w:val="none"/>
        </w:rPr>
        <w:t>1</w:t>
      </w:r>
      <w:bookmarkEnd w:id="74"/>
      <w:r>
        <w:rPr>
          <w:rStyle w:val="25"/>
          <w:rFonts w:hint="eastAsia" w:cs="宋体"/>
          <w:b/>
          <w:bCs w:val="0"/>
          <w:color w:val="auto"/>
          <w:sz w:val="24"/>
          <w:szCs w:val="24"/>
          <w:highlight w:val="none"/>
          <w:lang w:val="en-US" w:eastAsia="zh-CN"/>
        </w:rPr>
        <w:t>2</w:t>
      </w:r>
      <w:r>
        <w:rPr>
          <w:rStyle w:val="25"/>
          <w:rFonts w:hint="eastAsia" w:cs="宋体"/>
          <w:b/>
          <w:bCs w:val="0"/>
          <w:color w:val="auto"/>
          <w:sz w:val="24"/>
          <w:szCs w:val="24"/>
          <w:highlight w:val="none"/>
        </w:rPr>
        <w:t>、</w:t>
      </w:r>
      <w:r>
        <w:rPr>
          <w:rStyle w:val="25"/>
          <w:rFonts w:hint="eastAsia" w:cs="宋体"/>
          <w:b/>
          <w:bCs w:val="0"/>
          <w:color w:val="auto"/>
          <w:sz w:val="24"/>
          <w:szCs w:val="24"/>
          <w:highlight w:val="none"/>
          <w:lang w:eastAsia="zh-CN"/>
        </w:rPr>
        <w:t>响应文件</w:t>
      </w:r>
      <w:r>
        <w:rPr>
          <w:rStyle w:val="25"/>
          <w:rFonts w:hint="eastAsia" w:cs="宋体"/>
          <w:b/>
          <w:bCs w:val="0"/>
          <w:color w:val="auto"/>
          <w:sz w:val="24"/>
          <w:szCs w:val="24"/>
          <w:highlight w:val="none"/>
        </w:rPr>
        <w:t>的编写</w:t>
      </w:r>
      <w:bookmarkEnd w:id="75"/>
      <w:bookmarkEnd w:id="76"/>
      <w:bookmarkEnd w:id="77"/>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12.1</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必须详细阅读</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的章、节、条款、格式等所有内容，按</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的要求提交</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，并保证所提供的全部文件及相关资料的真实性，以使其对</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做出实质性</w:t>
      </w:r>
      <w:r>
        <w:rPr>
          <w:rStyle w:val="25"/>
          <w:rFonts w:hint="eastAsia" w:cs="宋体"/>
          <w:b w:val="0"/>
          <w:bCs/>
          <w:color w:val="auto"/>
          <w:sz w:val="24"/>
          <w:szCs w:val="24"/>
          <w:highlight w:val="none"/>
          <w:lang w:eastAsia="zh-CN"/>
        </w:rPr>
        <w:t>投标</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应仔细阅读并充分理解</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、技术规范及标准、项目采购需求、合同条款后编制</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78" w:name="_Toc233274824"/>
      <w:bookmarkStart w:id="79" w:name="_Toc245897284"/>
      <w:bookmarkStart w:id="80" w:name="_Toc243906324"/>
      <w:bookmarkStart w:id="81" w:name="_Toc243907584"/>
      <w:r>
        <w:rPr>
          <w:rStyle w:val="25"/>
          <w:rFonts w:hint="eastAsia" w:cs="宋体"/>
          <w:b/>
          <w:bCs w:val="0"/>
          <w:color w:val="auto"/>
          <w:sz w:val="24"/>
          <w:szCs w:val="24"/>
          <w:highlight w:val="none"/>
        </w:rPr>
        <w:t>1</w:t>
      </w:r>
      <w:r>
        <w:rPr>
          <w:rStyle w:val="25"/>
          <w:rFonts w:hint="eastAsia" w:cs="宋体"/>
          <w:b/>
          <w:bCs w:val="0"/>
          <w:color w:val="auto"/>
          <w:sz w:val="24"/>
          <w:szCs w:val="24"/>
          <w:highlight w:val="none"/>
          <w:lang w:val="en-US" w:eastAsia="zh-CN"/>
        </w:rPr>
        <w:t>3</w:t>
      </w:r>
      <w:r>
        <w:rPr>
          <w:rStyle w:val="25"/>
          <w:rFonts w:hint="eastAsia" w:cs="宋体"/>
          <w:b/>
          <w:bCs w:val="0"/>
          <w:color w:val="auto"/>
          <w:sz w:val="24"/>
          <w:szCs w:val="24"/>
          <w:highlight w:val="none"/>
        </w:rPr>
        <w:t>、</w:t>
      </w:r>
      <w:r>
        <w:rPr>
          <w:rStyle w:val="25"/>
          <w:rFonts w:hint="eastAsia" w:cs="宋体"/>
          <w:b/>
          <w:bCs w:val="0"/>
          <w:color w:val="auto"/>
          <w:sz w:val="24"/>
          <w:szCs w:val="24"/>
          <w:highlight w:val="none"/>
          <w:lang w:eastAsia="zh-CN"/>
        </w:rPr>
        <w:t>响应文件</w:t>
      </w:r>
      <w:r>
        <w:rPr>
          <w:rStyle w:val="25"/>
          <w:rFonts w:hint="eastAsia" w:cs="宋体"/>
          <w:b/>
          <w:bCs w:val="0"/>
          <w:color w:val="auto"/>
          <w:sz w:val="24"/>
          <w:szCs w:val="24"/>
          <w:highlight w:val="none"/>
        </w:rPr>
        <w:t>的语言及计量单位</w:t>
      </w:r>
      <w:bookmarkEnd w:id="78"/>
      <w:bookmarkEnd w:id="79"/>
      <w:bookmarkEnd w:id="80"/>
      <w:bookmarkEnd w:id="81"/>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val="en-US" w:eastAsia="zh-CN"/>
        </w:rPr>
        <w:t>3</w:t>
      </w: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及</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和</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及</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就有关</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的所有文件和来往函件，应以中文书写。</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可以提交用其他语言（原文）打印的资料，但必须翻译成中文，当原文和译文（中文）之间存有差异和/或矛盾时，以中文为准。</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val="en-US" w:eastAsia="zh-CN"/>
        </w:rPr>
        <w:t>3</w:t>
      </w:r>
      <w:r>
        <w:rPr>
          <w:rStyle w:val="25"/>
          <w:rFonts w:hint="eastAsia" w:cs="宋体"/>
          <w:b w:val="0"/>
          <w:bCs/>
          <w:color w:val="auto"/>
          <w:sz w:val="24"/>
          <w:szCs w:val="24"/>
          <w:highlight w:val="none"/>
        </w:rPr>
        <w:t>.2 除在</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的项目采购需求中另有规定外，计量单位应使用中华人民共和国法定计量单位（国际单位制和国家选定的其它计量单位）。如</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采用其它计量单位，需事先得到</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 xml:space="preserve">的同意。 </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82" w:name="_Toc245897285"/>
      <w:bookmarkStart w:id="83" w:name="_Toc233274825"/>
      <w:bookmarkStart w:id="84" w:name="_Toc243906325"/>
      <w:bookmarkStart w:id="85" w:name="_Toc243907585"/>
      <w:r>
        <w:rPr>
          <w:rStyle w:val="25"/>
          <w:rFonts w:hint="eastAsia" w:cs="宋体"/>
          <w:b/>
          <w:bCs w:val="0"/>
          <w:color w:val="auto"/>
          <w:sz w:val="24"/>
          <w:szCs w:val="24"/>
          <w:highlight w:val="none"/>
        </w:rPr>
        <w:t>1</w:t>
      </w:r>
      <w:r>
        <w:rPr>
          <w:rStyle w:val="25"/>
          <w:rFonts w:hint="eastAsia" w:cs="宋体"/>
          <w:b/>
          <w:bCs w:val="0"/>
          <w:color w:val="auto"/>
          <w:sz w:val="24"/>
          <w:szCs w:val="24"/>
          <w:highlight w:val="none"/>
          <w:lang w:val="en-US" w:eastAsia="zh-CN"/>
        </w:rPr>
        <w:t>4</w:t>
      </w:r>
      <w:r>
        <w:rPr>
          <w:rStyle w:val="25"/>
          <w:rFonts w:hint="eastAsia" w:cs="宋体"/>
          <w:b/>
          <w:bCs w:val="0"/>
          <w:color w:val="auto"/>
          <w:sz w:val="24"/>
          <w:szCs w:val="24"/>
          <w:highlight w:val="none"/>
        </w:rPr>
        <w:t>、</w:t>
      </w:r>
      <w:bookmarkEnd w:id="82"/>
      <w:bookmarkEnd w:id="83"/>
      <w:bookmarkEnd w:id="84"/>
      <w:bookmarkEnd w:id="85"/>
      <w:r>
        <w:rPr>
          <w:rStyle w:val="25"/>
          <w:rFonts w:hint="eastAsia" w:cs="宋体"/>
          <w:b/>
          <w:bCs w:val="0"/>
          <w:color w:val="auto"/>
          <w:sz w:val="24"/>
          <w:szCs w:val="24"/>
          <w:highlight w:val="none"/>
          <w:lang w:eastAsia="zh-CN"/>
        </w:rPr>
        <w:t>响应文件</w:t>
      </w:r>
      <w:r>
        <w:rPr>
          <w:rStyle w:val="25"/>
          <w:rFonts w:hint="eastAsia" w:cs="宋体"/>
          <w:b/>
          <w:bCs w:val="0"/>
          <w:color w:val="auto"/>
          <w:sz w:val="24"/>
          <w:szCs w:val="24"/>
          <w:highlight w:val="none"/>
        </w:rPr>
        <w:t>的组成：</w:t>
      </w:r>
      <w:r>
        <w:rPr>
          <w:rStyle w:val="25"/>
          <w:rFonts w:hint="eastAsia" w:cs="宋体"/>
          <w:b/>
          <w:bCs w:val="0"/>
          <w:color w:val="auto"/>
          <w:sz w:val="24"/>
          <w:szCs w:val="24"/>
          <w:highlight w:val="none"/>
          <w:lang w:val="en-US" w:eastAsia="zh-CN"/>
        </w:rPr>
        <w:t>一式伍份，其中正本壹份，副本肆份，需编制目录及页码。</w:t>
      </w:r>
      <w:r>
        <w:rPr>
          <w:rStyle w:val="25"/>
          <w:rFonts w:hint="eastAsia" w:cs="宋体"/>
          <w:b/>
          <w:bCs w:val="0"/>
          <w:color w:val="auto"/>
          <w:sz w:val="24"/>
          <w:szCs w:val="24"/>
          <w:highlight w:val="none"/>
        </w:rPr>
        <w:t>在每一份</w:t>
      </w:r>
      <w:r>
        <w:rPr>
          <w:rStyle w:val="25"/>
          <w:rFonts w:hint="eastAsia" w:cs="宋体"/>
          <w:b/>
          <w:bCs w:val="0"/>
          <w:color w:val="auto"/>
          <w:sz w:val="24"/>
          <w:szCs w:val="24"/>
          <w:highlight w:val="none"/>
          <w:lang w:eastAsia="zh-CN"/>
        </w:rPr>
        <w:t>响应文件</w:t>
      </w:r>
      <w:r>
        <w:rPr>
          <w:rStyle w:val="25"/>
          <w:rFonts w:hint="eastAsia" w:cs="宋体"/>
          <w:b/>
          <w:bCs w:val="0"/>
          <w:color w:val="auto"/>
          <w:sz w:val="24"/>
          <w:szCs w:val="24"/>
          <w:highlight w:val="none"/>
        </w:rPr>
        <w:t>上要明确注明“正本”或“副本”字样，如正、副本之间有差异，以正本为准。</w:t>
      </w:r>
      <w:bookmarkStart w:id="86" w:name="_Toc233274827"/>
      <w:bookmarkStart w:id="87" w:name="_Toc243907587"/>
      <w:bookmarkStart w:id="88" w:name="_Toc245897286"/>
      <w:bookmarkStart w:id="89" w:name="_Toc246216196"/>
      <w:bookmarkStart w:id="90" w:name="_Toc243906326"/>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720" w:firstLineChars="3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封面；</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val="en-US" w:eastAsia="zh-CN"/>
        </w:rPr>
        <w:t>1</w:t>
      </w:r>
      <w:r>
        <w:rPr>
          <w:rStyle w:val="25"/>
          <w:rFonts w:hint="eastAsia" w:cs="宋体"/>
          <w:b w:val="0"/>
          <w:bCs/>
          <w:color w:val="auto"/>
          <w:sz w:val="24"/>
          <w:szCs w:val="24"/>
          <w:highlight w:val="none"/>
        </w:rPr>
        <w:t>）</w:t>
      </w:r>
      <w:r>
        <w:rPr>
          <w:rFonts w:hint="eastAsia" w:cs="宋体"/>
          <w:bCs/>
          <w:color w:val="auto"/>
          <w:sz w:val="24"/>
          <w:highlight w:val="none"/>
          <w:shd w:val="clear" w:color="auto" w:fill="auto"/>
          <w:lang w:eastAsia="zh-CN"/>
        </w:rPr>
        <w:t>响应函</w:t>
      </w:r>
      <w:r>
        <w:rPr>
          <w:rStyle w:val="25"/>
          <w:rFonts w:hint="eastAsia" w:cs="宋体"/>
          <w:b w:val="0"/>
          <w:bCs/>
          <w:color w:val="auto"/>
          <w:sz w:val="24"/>
          <w:szCs w:val="24"/>
          <w:highlight w:val="none"/>
        </w:rPr>
        <w:t>（详见格式1）；</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val="en-US" w:eastAsia="zh-CN"/>
        </w:rPr>
        <w:t>2</w:t>
      </w:r>
      <w:r>
        <w:rPr>
          <w:rStyle w:val="25"/>
          <w:rFonts w:hint="eastAsia" w:cs="宋体"/>
          <w:b w:val="0"/>
          <w:bCs/>
          <w:color w:val="auto"/>
          <w:sz w:val="24"/>
          <w:szCs w:val="24"/>
          <w:highlight w:val="none"/>
        </w:rPr>
        <w:t>）</w:t>
      </w:r>
      <w:r>
        <w:rPr>
          <w:rFonts w:hint="eastAsia" w:ascii="宋体" w:hAnsi="宋体" w:eastAsia="宋体" w:cs="宋体"/>
          <w:bCs/>
          <w:color w:val="auto"/>
          <w:sz w:val="24"/>
          <w:highlight w:val="none"/>
          <w:shd w:val="clear" w:color="auto" w:fill="auto"/>
        </w:rPr>
        <w:t>投标书附录</w:t>
      </w:r>
      <w:r>
        <w:rPr>
          <w:rStyle w:val="25"/>
          <w:rFonts w:hint="eastAsia" w:cs="宋体"/>
          <w:b w:val="0"/>
          <w:bCs/>
          <w:color w:val="auto"/>
          <w:sz w:val="24"/>
          <w:szCs w:val="24"/>
          <w:highlight w:val="none"/>
        </w:rPr>
        <w:t>（详见格式2）；</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val="en-US" w:eastAsia="zh-CN"/>
        </w:rPr>
        <w:t>3</w:t>
      </w:r>
      <w:r>
        <w:rPr>
          <w:rStyle w:val="25"/>
          <w:rFonts w:hint="eastAsia" w:cs="宋体"/>
          <w:b w:val="0"/>
          <w:bCs/>
          <w:color w:val="auto"/>
          <w:sz w:val="24"/>
          <w:szCs w:val="24"/>
          <w:highlight w:val="none"/>
        </w:rPr>
        <w:t>）</w:t>
      </w:r>
      <w:r>
        <w:rPr>
          <w:rFonts w:hint="eastAsia" w:ascii="宋体" w:hAnsi="宋体" w:eastAsia="宋体" w:cs="宋体"/>
          <w:bCs/>
          <w:color w:val="auto"/>
          <w:sz w:val="24"/>
          <w:highlight w:val="none"/>
          <w:shd w:val="clear" w:color="auto" w:fill="auto"/>
        </w:rPr>
        <w:t>法定代表人资格证明文件</w:t>
      </w:r>
      <w:r>
        <w:rPr>
          <w:rStyle w:val="25"/>
          <w:rFonts w:hint="eastAsia" w:cs="宋体"/>
          <w:b w:val="0"/>
          <w:bCs/>
          <w:color w:val="auto"/>
          <w:sz w:val="24"/>
          <w:szCs w:val="24"/>
          <w:highlight w:val="none"/>
        </w:rPr>
        <w:t>（详见格式3）；</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val="en-US" w:eastAsia="zh-CN"/>
        </w:rPr>
        <w:t>4</w:t>
      </w:r>
      <w:r>
        <w:rPr>
          <w:rStyle w:val="25"/>
          <w:rFonts w:hint="eastAsia" w:cs="宋体"/>
          <w:b w:val="0"/>
          <w:bCs/>
          <w:color w:val="auto"/>
          <w:sz w:val="24"/>
          <w:szCs w:val="24"/>
          <w:highlight w:val="none"/>
        </w:rPr>
        <w:t>）</w:t>
      </w:r>
      <w:r>
        <w:rPr>
          <w:rFonts w:hint="eastAsia" w:ascii="宋体" w:hAnsi="宋体" w:eastAsia="宋体" w:cs="宋体"/>
          <w:bCs/>
          <w:color w:val="auto"/>
          <w:sz w:val="24"/>
          <w:highlight w:val="none"/>
          <w:shd w:val="clear" w:color="auto" w:fill="auto"/>
        </w:rPr>
        <w:t>法定代表人授权书</w:t>
      </w:r>
      <w:r>
        <w:rPr>
          <w:rStyle w:val="25"/>
          <w:rFonts w:hint="eastAsia" w:cs="宋体"/>
          <w:b w:val="0"/>
          <w:bCs/>
          <w:color w:val="auto"/>
          <w:sz w:val="24"/>
          <w:szCs w:val="24"/>
          <w:highlight w:val="none"/>
        </w:rPr>
        <w:t>（详见格式4）；</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5</w:t>
      </w: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rPr>
        <w:t>中小企业声明函（详见格式</w:t>
      </w:r>
      <w:r>
        <w:rPr>
          <w:rStyle w:val="25"/>
          <w:rFonts w:hint="eastAsia" w:cs="宋体"/>
          <w:b w:val="0"/>
          <w:bCs/>
          <w:color w:val="auto"/>
          <w:sz w:val="24"/>
          <w:szCs w:val="24"/>
          <w:highlight w:val="none"/>
          <w:lang w:val="en-US" w:eastAsia="zh-CN"/>
        </w:rPr>
        <w:t>5</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val="en-US" w:eastAsia="zh-CN"/>
        </w:rPr>
        <w:t>6</w:t>
      </w:r>
      <w:r>
        <w:rPr>
          <w:rStyle w:val="25"/>
          <w:rFonts w:hint="eastAsia" w:cs="宋体"/>
          <w:b w:val="0"/>
          <w:bCs/>
          <w:color w:val="auto"/>
          <w:sz w:val="24"/>
          <w:szCs w:val="24"/>
          <w:highlight w:val="none"/>
        </w:rPr>
        <w:t>）有效期内的三证合一的营业执照（复印件）；</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val="en-US" w:eastAsia="zh-CN"/>
        </w:rPr>
        <w:t>7</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根据</w:t>
      </w:r>
      <w:r>
        <w:rPr>
          <w:rStyle w:val="25"/>
          <w:rFonts w:hint="eastAsia" w:cs="宋体"/>
          <w:b w:val="0"/>
          <w:bCs/>
          <w:color w:val="auto"/>
          <w:sz w:val="24"/>
          <w:szCs w:val="24"/>
          <w:highlight w:val="none"/>
          <w:lang w:eastAsia="zh-CN"/>
        </w:rPr>
        <w:t>竞争性磋商采购公告</w:t>
      </w:r>
      <w:r>
        <w:rPr>
          <w:rStyle w:val="25"/>
          <w:rFonts w:hint="eastAsia" w:cs="宋体"/>
          <w:b w:val="0"/>
          <w:bCs/>
          <w:color w:val="auto"/>
          <w:sz w:val="24"/>
          <w:szCs w:val="24"/>
          <w:highlight w:val="none"/>
        </w:rPr>
        <w:t>中资格要求第一条基本资格要求提供相应的证明材料；</w:t>
      </w:r>
    </w:p>
    <w:p>
      <w:pPr>
        <w:pageBreakBefore w:val="0"/>
        <w:kinsoku/>
        <w:topLinePunct w:val="0"/>
        <w:bidi w:val="0"/>
        <w:spacing w:line="360" w:lineRule="auto"/>
        <w:ind w:firstLine="480" w:firstLineChars="200"/>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val="en-US" w:eastAsia="zh-CN"/>
        </w:rPr>
        <w:t>8</w:t>
      </w:r>
      <w:r>
        <w:rPr>
          <w:rStyle w:val="25"/>
          <w:rFonts w:hint="eastAsia" w:cs="宋体"/>
          <w:b w:val="0"/>
          <w:bCs/>
          <w:color w:val="auto"/>
          <w:sz w:val="24"/>
          <w:szCs w:val="24"/>
          <w:highlight w:val="none"/>
        </w:rPr>
        <w:t>）项目负责人简历（详见格式</w:t>
      </w:r>
      <w:r>
        <w:rPr>
          <w:rStyle w:val="25"/>
          <w:rFonts w:hint="eastAsia" w:cs="宋体"/>
          <w:b w:val="0"/>
          <w:bCs/>
          <w:color w:val="auto"/>
          <w:sz w:val="24"/>
          <w:szCs w:val="24"/>
          <w:highlight w:val="none"/>
          <w:lang w:val="en-US" w:eastAsia="zh-CN"/>
        </w:rPr>
        <w:t>6</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r>
        <w:rPr>
          <w:rFonts w:hint="eastAsia" w:ascii="宋体" w:hAnsi="宋体" w:cs="宋体"/>
          <w:b w:val="0"/>
          <w:bCs w:val="0"/>
          <w:color w:val="auto"/>
          <w:sz w:val="24"/>
          <w:highlight w:val="none"/>
        </w:rPr>
        <w:t>项目负责人须具有建设行政主管部门颁发的建筑工程贰级及以上资格的注册建造师证书，</w:t>
      </w:r>
      <w:r>
        <w:rPr>
          <w:rFonts w:hint="eastAsia" w:ascii="宋体" w:hAnsi="宋体" w:cs="宋体"/>
          <w:b w:val="0"/>
          <w:bCs w:val="0"/>
          <w:color w:val="auto"/>
          <w:sz w:val="24"/>
          <w:highlight w:val="none"/>
          <w:lang w:eastAsia="zh-CN"/>
        </w:rPr>
        <w:t>并</w:t>
      </w:r>
      <w:r>
        <w:rPr>
          <w:rFonts w:hint="eastAsia" w:ascii="宋体" w:hAnsi="宋体" w:cs="宋体"/>
          <w:b w:val="0"/>
          <w:bCs w:val="0"/>
          <w:color w:val="auto"/>
          <w:sz w:val="24"/>
          <w:highlight w:val="none"/>
        </w:rPr>
        <w:t>取得</w:t>
      </w:r>
      <w:r>
        <w:rPr>
          <w:rFonts w:hint="eastAsia" w:ascii="宋体" w:hAnsi="宋体" w:cs="宋体"/>
          <w:b w:val="0"/>
          <w:bCs w:val="0"/>
          <w:color w:val="auto"/>
          <w:sz w:val="24"/>
          <w:highlight w:val="none"/>
          <w:lang w:eastAsia="zh-CN"/>
        </w:rPr>
        <w:t>有效期内</w:t>
      </w:r>
      <w:r>
        <w:rPr>
          <w:rFonts w:hint="eastAsia" w:ascii="宋体" w:hAnsi="宋体" w:cs="宋体"/>
          <w:b w:val="0"/>
          <w:bCs w:val="0"/>
          <w:color w:val="auto"/>
          <w:sz w:val="24"/>
          <w:highlight w:val="none"/>
        </w:rPr>
        <w:t>的安全生产考核合格证书（A类或B类）</w:t>
      </w:r>
      <w:r>
        <w:rPr>
          <w:rFonts w:hint="eastAsia" w:ascii="宋体" w:hAnsi="宋体" w:cs="宋体"/>
          <w:color w:val="auto"/>
          <w:sz w:val="24"/>
          <w:highlight w:val="none"/>
          <w:lang w:val="en-US"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9</w:t>
      </w:r>
      <w:r>
        <w:rPr>
          <w:rStyle w:val="25"/>
          <w:rFonts w:hint="eastAsia" w:cs="宋体"/>
          <w:b w:val="0"/>
          <w:bCs/>
          <w:color w:val="auto"/>
          <w:sz w:val="24"/>
          <w:szCs w:val="24"/>
          <w:highlight w:val="none"/>
          <w:lang w:eastAsia="zh-CN"/>
        </w:rPr>
        <w:t>）</w:t>
      </w:r>
      <w:r>
        <w:rPr>
          <w:rFonts w:hint="eastAsia" w:ascii="宋体" w:hAnsi="宋体" w:eastAsia="宋体" w:cs="宋体"/>
          <w:bCs/>
          <w:color w:val="auto"/>
          <w:sz w:val="24"/>
          <w:highlight w:val="none"/>
          <w:shd w:val="clear" w:color="auto" w:fill="auto"/>
        </w:rPr>
        <w:t>主要施工管理人员汇总表</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7</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ageBreakBefore w:val="0"/>
        <w:kinsoku/>
        <w:topLinePunct w:val="0"/>
        <w:bidi w:val="0"/>
        <w:spacing w:line="360" w:lineRule="auto"/>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（10）</w:t>
      </w:r>
      <w:r>
        <w:rPr>
          <w:rFonts w:hint="eastAsia" w:ascii="宋体" w:hAnsi="宋体" w:eastAsia="宋体" w:cs="宋体"/>
          <w:color w:val="auto"/>
          <w:sz w:val="24"/>
          <w:highlight w:val="none"/>
          <w:shd w:val="clear" w:color="auto" w:fill="auto"/>
        </w:rPr>
        <w:t>主要施工机械设备表</w:t>
      </w:r>
      <w:r>
        <w:rPr>
          <w:rFonts w:hint="eastAsia" w:ascii="宋体" w:hAnsi="宋体" w:cs="宋体"/>
          <w:b w:val="0"/>
          <w:bCs w:val="0"/>
          <w:color w:val="auto"/>
          <w:sz w:val="24"/>
          <w:highlight w:val="none"/>
        </w:rPr>
        <w:t>（详见格式</w:t>
      </w:r>
      <w:r>
        <w:rPr>
          <w:rFonts w:hint="eastAsia" w:ascii="宋体" w:hAnsi="宋体" w:cs="宋体"/>
          <w:b w:val="0"/>
          <w:bCs w:val="0"/>
          <w:color w:val="auto"/>
          <w:sz w:val="24"/>
          <w:highlight w:val="none"/>
          <w:lang w:val="en-US" w:eastAsia="zh-CN"/>
        </w:rPr>
        <w:t>8</w:t>
      </w:r>
      <w:r>
        <w:rPr>
          <w:rFonts w:hint="eastAsia" w:ascii="宋体" w:hAnsi="宋体" w:cs="宋体"/>
          <w:b w:val="0"/>
          <w:bCs w:val="0"/>
          <w:color w:val="auto"/>
          <w:sz w:val="24"/>
          <w:highlight w:val="none"/>
        </w:rPr>
        <w:t>）；</w:t>
      </w:r>
    </w:p>
    <w:p>
      <w:pPr>
        <w:pageBreakBefore w:val="0"/>
        <w:kinsoku/>
        <w:topLinePunct w:val="0"/>
        <w:bidi w:val="0"/>
        <w:spacing w:line="360" w:lineRule="auto"/>
        <w:ind w:firstLine="480" w:firstLineChars="200"/>
        <w:rPr>
          <w:rFonts w:hint="eastAsia" w:ascii="宋体" w:hAnsi="宋体" w:cs="宋体"/>
          <w:b w:val="0"/>
          <w:bCs w:val="0"/>
          <w:color w:val="auto"/>
          <w:sz w:val="24"/>
          <w:highlight w:val="none"/>
          <w:lang w:eastAsia="zh-CN"/>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11</w:t>
      </w:r>
      <w:r>
        <w:rPr>
          <w:rFonts w:hint="eastAsia" w:ascii="宋体" w:hAnsi="宋体" w:cs="宋体"/>
          <w:b w:val="0"/>
          <w:bCs w:val="0"/>
          <w:color w:val="auto"/>
          <w:sz w:val="24"/>
          <w:highlight w:val="none"/>
          <w:lang w:eastAsia="zh-CN"/>
        </w:rPr>
        <w:t>）</w:t>
      </w:r>
      <w:r>
        <w:rPr>
          <w:rFonts w:hint="eastAsia" w:ascii="宋体" w:hAnsi="宋体" w:eastAsia="宋体" w:cs="宋体"/>
          <w:color w:val="auto"/>
          <w:sz w:val="24"/>
          <w:highlight w:val="none"/>
          <w:shd w:val="clear" w:color="auto" w:fill="auto"/>
        </w:rPr>
        <w:t>项目拟分包情况表</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详见格式</w:t>
      </w:r>
      <w:r>
        <w:rPr>
          <w:rFonts w:hint="eastAsia" w:ascii="宋体" w:hAnsi="宋体" w:cs="宋体"/>
          <w:b w:val="0"/>
          <w:bCs w:val="0"/>
          <w:color w:val="auto"/>
          <w:sz w:val="24"/>
          <w:highlight w:val="none"/>
          <w:lang w:val="en-US" w:eastAsia="zh-CN"/>
        </w:rPr>
        <w:t>9</w:t>
      </w:r>
      <w:r>
        <w:rPr>
          <w:rFonts w:hint="eastAsia" w:ascii="宋体" w:hAnsi="宋体" w:cs="宋体"/>
          <w:b w:val="0"/>
          <w:bCs w:val="0"/>
          <w:color w:val="auto"/>
          <w:sz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val="en-US" w:eastAsia="zh-CN"/>
        </w:rPr>
        <w:t>13</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val="en-US" w:eastAsia="zh-CN"/>
        </w:rPr>
        <w:t>资格性/符合性自查表</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10</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14</w:t>
      </w:r>
      <w:r>
        <w:rPr>
          <w:rStyle w:val="25"/>
          <w:rFonts w:hint="eastAsia" w:cs="宋体"/>
          <w:b w:val="0"/>
          <w:bCs/>
          <w:color w:val="auto"/>
          <w:sz w:val="24"/>
          <w:szCs w:val="24"/>
          <w:highlight w:val="none"/>
          <w:lang w:eastAsia="zh-CN"/>
        </w:rPr>
        <w:t>）投标总价封面</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11</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15</w:t>
      </w:r>
      <w:r>
        <w:rPr>
          <w:rStyle w:val="25"/>
          <w:rFonts w:hint="eastAsia" w:cs="宋体"/>
          <w:b w:val="0"/>
          <w:bCs/>
          <w:color w:val="auto"/>
          <w:sz w:val="24"/>
          <w:szCs w:val="24"/>
          <w:highlight w:val="none"/>
          <w:lang w:eastAsia="zh-CN"/>
        </w:rPr>
        <w:t>）投标总价</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12</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16</w:t>
      </w:r>
      <w:r>
        <w:rPr>
          <w:rStyle w:val="25"/>
          <w:rFonts w:hint="eastAsia" w:cs="宋体"/>
          <w:b w:val="0"/>
          <w:bCs/>
          <w:color w:val="auto"/>
          <w:sz w:val="24"/>
          <w:szCs w:val="24"/>
          <w:highlight w:val="none"/>
          <w:lang w:eastAsia="zh-CN"/>
        </w:rPr>
        <w:t>）安全文明施工费用明细表</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12-1</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17</w:t>
      </w:r>
      <w:r>
        <w:rPr>
          <w:rStyle w:val="25"/>
          <w:rFonts w:hint="eastAsia" w:cs="宋体"/>
          <w:b w:val="0"/>
          <w:bCs/>
          <w:color w:val="auto"/>
          <w:sz w:val="24"/>
          <w:szCs w:val="24"/>
          <w:highlight w:val="none"/>
          <w:lang w:eastAsia="zh-CN"/>
        </w:rPr>
        <w:t>）投标总价总说明</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13</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18</w:t>
      </w:r>
      <w:r>
        <w:rPr>
          <w:rStyle w:val="25"/>
          <w:rFonts w:hint="eastAsia" w:cs="宋体"/>
          <w:b w:val="0"/>
          <w:bCs/>
          <w:color w:val="auto"/>
          <w:sz w:val="24"/>
          <w:szCs w:val="24"/>
          <w:highlight w:val="none"/>
          <w:lang w:eastAsia="zh-CN"/>
        </w:rPr>
        <w:t>）</w:t>
      </w:r>
      <w:r>
        <w:rPr>
          <w:rFonts w:hint="eastAsia" w:ascii="宋体" w:hAnsi="宋体" w:eastAsia="宋体" w:cs="宋体"/>
          <w:color w:val="auto"/>
          <w:sz w:val="24"/>
          <w:highlight w:val="none"/>
          <w:shd w:val="clear" w:color="auto" w:fill="auto"/>
        </w:rPr>
        <w:t>建设项目投标报价汇总表</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14</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19</w:t>
      </w:r>
      <w:r>
        <w:rPr>
          <w:rStyle w:val="25"/>
          <w:rFonts w:hint="eastAsia" w:cs="宋体"/>
          <w:b w:val="0"/>
          <w:bCs/>
          <w:color w:val="auto"/>
          <w:sz w:val="24"/>
          <w:szCs w:val="24"/>
          <w:highlight w:val="none"/>
          <w:lang w:eastAsia="zh-CN"/>
        </w:rPr>
        <w:t>）单项工程投标报价汇总表（</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15</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20</w:t>
      </w:r>
      <w:r>
        <w:rPr>
          <w:rStyle w:val="25"/>
          <w:rFonts w:hint="eastAsia" w:cs="宋体"/>
          <w:b w:val="0"/>
          <w:bCs/>
          <w:color w:val="auto"/>
          <w:sz w:val="24"/>
          <w:szCs w:val="24"/>
          <w:highlight w:val="none"/>
          <w:lang w:eastAsia="zh-CN"/>
        </w:rPr>
        <w:t>）单位工程投标报价汇总表（</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16</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21</w:t>
      </w:r>
      <w:r>
        <w:rPr>
          <w:rStyle w:val="25"/>
          <w:rFonts w:hint="eastAsia" w:cs="宋体"/>
          <w:b w:val="0"/>
          <w:bCs/>
          <w:color w:val="auto"/>
          <w:sz w:val="24"/>
          <w:szCs w:val="24"/>
          <w:highlight w:val="none"/>
          <w:lang w:eastAsia="zh-CN"/>
        </w:rPr>
        <w:t>）分部分项工程和单价措施项目清单与计价表（</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17</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22</w:t>
      </w:r>
      <w:r>
        <w:rPr>
          <w:rStyle w:val="25"/>
          <w:rFonts w:hint="eastAsia" w:cs="宋体"/>
          <w:b w:val="0"/>
          <w:bCs/>
          <w:color w:val="auto"/>
          <w:sz w:val="24"/>
          <w:szCs w:val="24"/>
          <w:highlight w:val="none"/>
          <w:lang w:eastAsia="zh-CN"/>
        </w:rPr>
        <w:t>）综合单价分析表（</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18</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23</w:t>
      </w:r>
      <w:r>
        <w:rPr>
          <w:rStyle w:val="25"/>
          <w:rFonts w:hint="eastAsia" w:cs="宋体"/>
          <w:b w:val="0"/>
          <w:bCs/>
          <w:color w:val="auto"/>
          <w:sz w:val="24"/>
          <w:szCs w:val="24"/>
          <w:highlight w:val="none"/>
          <w:lang w:eastAsia="zh-CN"/>
        </w:rPr>
        <w:t>）总价措施项目清单与计价表（</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19</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24</w:t>
      </w:r>
      <w:r>
        <w:rPr>
          <w:rStyle w:val="25"/>
          <w:rFonts w:hint="eastAsia" w:cs="宋体"/>
          <w:b w:val="0"/>
          <w:bCs/>
          <w:color w:val="auto"/>
          <w:sz w:val="24"/>
          <w:szCs w:val="24"/>
          <w:highlight w:val="none"/>
          <w:lang w:eastAsia="zh-CN"/>
        </w:rPr>
        <w:t>）措施项目汇总表（</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20</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25</w:t>
      </w:r>
      <w:r>
        <w:rPr>
          <w:rStyle w:val="25"/>
          <w:rFonts w:hint="eastAsia" w:cs="宋体"/>
          <w:b w:val="0"/>
          <w:bCs/>
          <w:color w:val="auto"/>
          <w:sz w:val="24"/>
          <w:szCs w:val="24"/>
          <w:highlight w:val="none"/>
          <w:lang w:eastAsia="zh-CN"/>
        </w:rPr>
        <w:t>）其他项目清单与计价汇总表（</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21</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26</w:t>
      </w:r>
      <w:r>
        <w:rPr>
          <w:rStyle w:val="25"/>
          <w:rFonts w:hint="eastAsia" w:cs="宋体"/>
          <w:b w:val="0"/>
          <w:bCs/>
          <w:color w:val="auto"/>
          <w:sz w:val="24"/>
          <w:szCs w:val="24"/>
          <w:highlight w:val="none"/>
          <w:lang w:eastAsia="zh-CN"/>
        </w:rPr>
        <w:t>）</w:t>
      </w:r>
      <w:r>
        <w:rPr>
          <w:rFonts w:hint="eastAsia" w:ascii="宋体" w:hAnsi="宋体" w:eastAsia="宋体" w:cs="宋体"/>
          <w:color w:val="auto"/>
          <w:sz w:val="24"/>
          <w:highlight w:val="none"/>
          <w:shd w:val="clear" w:color="auto" w:fill="auto"/>
        </w:rPr>
        <w:t>暂列金额明细表</w:t>
      </w: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22</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27</w:t>
      </w:r>
      <w:r>
        <w:rPr>
          <w:rStyle w:val="25"/>
          <w:rFonts w:hint="eastAsia" w:cs="宋体"/>
          <w:b w:val="0"/>
          <w:bCs/>
          <w:color w:val="auto"/>
          <w:sz w:val="24"/>
          <w:szCs w:val="24"/>
          <w:highlight w:val="none"/>
          <w:lang w:eastAsia="zh-CN"/>
        </w:rPr>
        <w:t>）材料（工程设备）暂估单价及调整表（</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23</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28</w:t>
      </w:r>
      <w:r>
        <w:rPr>
          <w:rStyle w:val="25"/>
          <w:rFonts w:hint="eastAsia" w:cs="宋体"/>
          <w:b w:val="0"/>
          <w:bCs/>
          <w:color w:val="auto"/>
          <w:sz w:val="24"/>
          <w:szCs w:val="24"/>
          <w:highlight w:val="none"/>
          <w:lang w:eastAsia="zh-CN"/>
        </w:rPr>
        <w:t>）专业工程暂估表及结算表（</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24</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29</w:t>
      </w:r>
      <w:r>
        <w:rPr>
          <w:rStyle w:val="25"/>
          <w:rFonts w:hint="eastAsia" w:cs="宋体"/>
          <w:b w:val="0"/>
          <w:bCs/>
          <w:color w:val="auto"/>
          <w:sz w:val="24"/>
          <w:szCs w:val="24"/>
          <w:highlight w:val="none"/>
          <w:lang w:eastAsia="zh-CN"/>
        </w:rPr>
        <w:t>）计日工表（</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25</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30</w:t>
      </w:r>
      <w:r>
        <w:rPr>
          <w:rStyle w:val="25"/>
          <w:rFonts w:hint="eastAsia" w:cs="宋体"/>
          <w:b w:val="0"/>
          <w:bCs/>
          <w:color w:val="auto"/>
          <w:sz w:val="24"/>
          <w:szCs w:val="24"/>
          <w:highlight w:val="none"/>
          <w:lang w:eastAsia="zh-CN"/>
        </w:rPr>
        <w:t>）总承包服务费计价表（</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26</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31</w:t>
      </w:r>
      <w:r>
        <w:rPr>
          <w:rStyle w:val="25"/>
          <w:rFonts w:hint="eastAsia" w:cs="宋体"/>
          <w:b w:val="0"/>
          <w:bCs/>
          <w:color w:val="auto"/>
          <w:sz w:val="24"/>
          <w:szCs w:val="24"/>
          <w:highlight w:val="none"/>
          <w:lang w:eastAsia="zh-CN"/>
        </w:rPr>
        <w:t>）规费、税金项目计价表（建筑工程）（</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27</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32</w:t>
      </w:r>
      <w:r>
        <w:rPr>
          <w:rStyle w:val="25"/>
          <w:rFonts w:hint="eastAsia" w:cs="宋体"/>
          <w:b w:val="0"/>
          <w:bCs/>
          <w:color w:val="auto"/>
          <w:sz w:val="24"/>
          <w:szCs w:val="24"/>
          <w:highlight w:val="none"/>
          <w:lang w:eastAsia="zh-CN"/>
        </w:rPr>
        <w:t>）</w:t>
      </w:r>
      <w:r>
        <w:rPr>
          <w:rFonts w:hint="eastAsia" w:ascii="宋体" w:hAnsi="宋体" w:eastAsia="宋体" w:cs="宋体"/>
          <w:color w:val="auto"/>
          <w:sz w:val="24"/>
          <w:highlight w:val="none"/>
          <w:lang w:val="zh-CN"/>
        </w:rPr>
        <w:t>规费、税金项目计价表（安装工程）</w:t>
      </w: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28</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33</w:t>
      </w:r>
      <w:r>
        <w:rPr>
          <w:rStyle w:val="25"/>
          <w:rFonts w:hint="eastAsia" w:cs="宋体"/>
          <w:b w:val="0"/>
          <w:bCs/>
          <w:color w:val="auto"/>
          <w:sz w:val="24"/>
          <w:szCs w:val="24"/>
          <w:highlight w:val="none"/>
          <w:lang w:eastAsia="zh-CN"/>
        </w:rPr>
        <w:t>）</w:t>
      </w:r>
      <w:r>
        <w:rPr>
          <w:rFonts w:hint="eastAsia" w:ascii="宋体" w:hAnsi="宋体" w:eastAsia="宋体" w:cs="宋体"/>
          <w:color w:val="auto"/>
          <w:sz w:val="24"/>
          <w:highlight w:val="none"/>
        </w:rPr>
        <w:t>规费、税金项目计价表（</w:t>
      </w:r>
      <w:r>
        <w:rPr>
          <w:rFonts w:hint="eastAsia" w:ascii="宋体" w:hAnsi="宋体" w:eastAsia="宋体" w:cs="宋体"/>
          <w:color w:val="auto"/>
          <w:sz w:val="24"/>
          <w:highlight w:val="none"/>
          <w:lang w:eastAsia="zh-CN"/>
        </w:rPr>
        <w:t>装饰装修工程</w:t>
      </w:r>
      <w:r>
        <w:rPr>
          <w:rFonts w:hint="eastAsia" w:ascii="宋体" w:hAnsi="宋体" w:eastAsia="宋体" w:cs="宋体"/>
          <w:color w:val="auto"/>
          <w:sz w:val="24"/>
          <w:highlight w:val="none"/>
        </w:rPr>
        <w:t>）</w:t>
      </w: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29</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34</w:t>
      </w:r>
      <w:r>
        <w:rPr>
          <w:rStyle w:val="25"/>
          <w:rFonts w:hint="eastAsia" w:cs="宋体"/>
          <w:b w:val="0"/>
          <w:bCs/>
          <w:color w:val="auto"/>
          <w:sz w:val="24"/>
          <w:szCs w:val="24"/>
          <w:highlight w:val="none"/>
          <w:lang w:eastAsia="zh-CN"/>
        </w:rPr>
        <w:t>）</w:t>
      </w:r>
      <w:r>
        <w:rPr>
          <w:rFonts w:hint="eastAsia" w:ascii="宋体" w:hAnsi="宋体" w:eastAsia="宋体" w:cs="宋体"/>
          <w:color w:val="auto"/>
          <w:sz w:val="24"/>
          <w:highlight w:val="none"/>
          <w:lang w:val="en-US" w:eastAsia="zh-CN"/>
        </w:rPr>
        <w:t>主</w:t>
      </w:r>
      <w:r>
        <w:rPr>
          <w:rFonts w:hint="eastAsia" w:ascii="宋体" w:hAnsi="宋体" w:eastAsia="宋体" w:cs="宋体"/>
          <w:color w:val="auto"/>
          <w:sz w:val="24"/>
          <w:highlight w:val="none"/>
        </w:rPr>
        <w:t>要材料、设备价格表</w:t>
      </w:r>
      <w:r>
        <w:rPr>
          <w:rFonts w:hint="eastAsia" w:ascii="宋体" w:hAnsi="宋体" w:eastAsia="宋体" w:cs="宋体"/>
          <w:color w:val="auto"/>
          <w:sz w:val="24"/>
          <w:szCs w:val="22"/>
          <w:highlight w:val="none"/>
        </w:rPr>
        <w:t>（</w:t>
      </w:r>
      <w:r>
        <w:rPr>
          <w:rFonts w:hint="eastAsia" w:cs="宋体"/>
          <w:color w:val="auto"/>
          <w:sz w:val="24"/>
          <w:szCs w:val="22"/>
          <w:highlight w:val="none"/>
          <w:lang w:eastAsia="zh-CN"/>
        </w:rPr>
        <w:t>采购人</w:t>
      </w:r>
      <w:r>
        <w:rPr>
          <w:rFonts w:hint="eastAsia" w:ascii="宋体" w:hAnsi="宋体" w:eastAsia="宋体" w:cs="宋体"/>
          <w:color w:val="auto"/>
          <w:sz w:val="24"/>
          <w:szCs w:val="22"/>
          <w:highlight w:val="none"/>
        </w:rPr>
        <w:t>提供）</w:t>
      </w: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30</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35</w:t>
      </w: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商务条款偏离表</w:t>
      </w: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31</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36</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近三年（201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月1日至今）</w:t>
      </w:r>
      <w:r>
        <w:rPr>
          <w:rFonts w:hint="eastAsia" w:ascii="宋体" w:hAnsi="宋体" w:eastAsia="宋体" w:cs="宋体"/>
          <w:color w:val="auto"/>
          <w:sz w:val="24"/>
          <w:szCs w:val="24"/>
          <w:highlight w:val="none"/>
          <w:lang w:eastAsia="zh-CN"/>
        </w:rPr>
        <w:t>类似</w:t>
      </w:r>
      <w:r>
        <w:rPr>
          <w:rFonts w:hint="eastAsia" w:ascii="宋体" w:hAnsi="宋体" w:eastAsia="宋体" w:cs="宋体"/>
          <w:color w:val="auto"/>
          <w:sz w:val="24"/>
          <w:szCs w:val="24"/>
          <w:highlight w:val="none"/>
        </w:rPr>
        <w:t>项目业绩表，并附业绩证明资料（复印件）</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32</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37）</w:t>
      </w:r>
      <w:r>
        <w:rPr>
          <w:rStyle w:val="25"/>
          <w:rFonts w:hint="eastAsia" w:cs="宋体"/>
          <w:b w:val="0"/>
          <w:bCs/>
          <w:color w:val="auto"/>
          <w:sz w:val="24"/>
          <w:szCs w:val="24"/>
          <w:highlight w:val="none"/>
          <w:lang w:eastAsia="zh-CN"/>
        </w:rPr>
        <w:t>施工技术方案：施工方案合理符合规范要求，机械设备配置合理，施工部署全面；针对性强，在施工过程中针对重点难点有解决方案；</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38</w:t>
      </w:r>
      <w:r>
        <w:rPr>
          <w:rStyle w:val="25"/>
          <w:rFonts w:hint="eastAsia" w:cs="宋体"/>
          <w:b w:val="0"/>
          <w:bCs/>
          <w:color w:val="auto"/>
          <w:sz w:val="24"/>
          <w:szCs w:val="24"/>
          <w:highlight w:val="none"/>
          <w:lang w:eastAsia="zh-CN"/>
        </w:rPr>
        <w:t>）施工进度计划：工程进度计划合理且留有余地；对施工进度安排有切实可行的保证措施；</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39</w:t>
      </w:r>
      <w:r>
        <w:rPr>
          <w:rStyle w:val="25"/>
          <w:rFonts w:hint="eastAsia" w:cs="宋体"/>
          <w:b w:val="0"/>
          <w:bCs/>
          <w:color w:val="auto"/>
          <w:sz w:val="24"/>
          <w:szCs w:val="24"/>
          <w:highlight w:val="none"/>
          <w:lang w:eastAsia="zh-CN"/>
        </w:rPr>
        <w:t>）质量安全文明施工保证措施：有具体可行的保证措施，有具体的违约责任；管理机构及管理制度健全；质量检测能力与手段完善；安全责任落实及体系健全；</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auto"/>
          <w:sz w:val="24"/>
          <w:szCs w:val="24"/>
          <w:highlight w:val="none"/>
          <w:lang w:eastAsia="zh-CN"/>
        </w:rPr>
        <w:t>（</w:t>
      </w:r>
      <w:r>
        <w:rPr>
          <w:rStyle w:val="25"/>
          <w:rFonts w:hint="eastAsia" w:ascii="宋体" w:hAnsi="宋体" w:eastAsia="宋体" w:cs="宋体"/>
          <w:b w:val="0"/>
          <w:bCs/>
          <w:color w:val="auto"/>
          <w:sz w:val="24"/>
          <w:szCs w:val="24"/>
          <w:highlight w:val="none"/>
          <w:lang w:val="en-US" w:eastAsia="zh-CN"/>
        </w:rPr>
        <w:t>40</w:t>
      </w:r>
      <w:r>
        <w:rPr>
          <w:rStyle w:val="25"/>
          <w:rFonts w:hint="eastAsia" w:ascii="宋体" w:hAnsi="宋体" w:eastAsia="宋体" w:cs="宋体"/>
          <w:b w:val="0"/>
          <w:bCs/>
          <w:color w:val="auto"/>
          <w:sz w:val="24"/>
          <w:szCs w:val="24"/>
          <w:highlight w:val="none"/>
          <w:lang w:eastAsia="zh-CN"/>
        </w:rPr>
        <w:t>）工程质量保修承诺及措施；</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auto"/>
          <w:sz w:val="24"/>
          <w:szCs w:val="24"/>
          <w:highlight w:val="none"/>
          <w:lang w:eastAsia="zh-CN"/>
        </w:rPr>
        <w:t>（</w:t>
      </w:r>
      <w:r>
        <w:rPr>
          <w:rStyle w:val="25"/>
          <w:rFonts w:hint="eastAsia" w:ascii="宋体" w:hAnsi="宋体" w:eastAsia="宋体" w:cs="宋体"/>
          <w:b w:val="0"/>
          <w:bCs/>
          <w:color w:val="auto"/>
          <w:sz w:val="24"/>
          <w:szCs w:val="24"/>
          <w:highlight w:val="none"/>
          <w:lang w:val="en-US" w:eastAsia="zh-CN"/>
        </w:rPr>
        <w:t>41</w:t>
      </w:r>
      <w:r>
        <w:rPr>
          <w:rStyle w:val="25"/>
          <w:rFonts w:hint="eastAsia" w:ascii="宋体" w:hAnsi="宋体" w:eastAsia="宋体" w:cs="宋体"/>
          <w:b w:val="0"/>
          <w:bCs/>
          <w:color w:val="auto"/>
          <w:sz w:val="24"/>
          <w:szCs w:val="24"/>
          <w:highlight w:val="none"/>
          <w:lang w:eastAsia="zh-CN"/>
        </w:rPr>
        <w:t>）优惠服务及实质性的承诺；</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auto"/>
          <w:sz w:val="24"/>
          <w:szCs w:val="24"/>
          <w:highlight w:val="none"/>
          <w:lang w:eastAsia="zh-CN"/>
        </w:rPr>
        <w:t>（</w:t>
      </w:r>
      <w:r>
        <w:rPr>
          <w:rStyle w:val="25"/>
          <w:rFonts w:hint="eastAsia" w:ascii="宋体" w:hAnsi="宋体" w:eastAsia="宋体" w:cs="宋体"/>
          <w:b w:val="0"/>
          <w:bCs/>
          <w:color w:val="auto"/>
          <w:sz w:val="24"/>
          <w:szCs w:val="24"/>
          <w:highlight w:val="none"/>
          <w:lang w:val="en-US" w:eastAsia="zh-CN"/>
        </w:rPr>
        <w:t>42</w:t>
      </w:r>
      <w:r>
        <w:rPr>
          <w:rStyle w:val="25"/>
          <w:rFonts w:hint="eastAsia" w:ascii="宋体" w:hAnsi="宋体" w:eastAsia="宋体" w:cs="宋体"/>
          <w:b w:val="0"/>
          <w:bCs/>
          <w:color w:val="auto"/>
          <w:sz w:val="24"/>
          <w:szCs w:val="24"/>
          <w:highlight w:val="none"/>
          <w:lang w:eastAsia="zh-CN"/>
        </w:rPr>
        <w:t>）不拖欠农民工工资承诺书</w:t>
      </w: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33</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（43）采购需求及评分所需的其它资料；</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（44）全力配合</w:t>
      </w:r>
      <w:r>
        <w:rPr>
          <w:rStyle w:val="25"/>
          <w:rFonts w:hint="eastAsia" w:cs="宋体"/>
          <w:b w:val="0"/>
          <w:bCs/>
          <w:color w:val="auto"/>
          <w:sz w:val="24"/>
          <w:szCs w:val="24"/>
          <w:highlight w:val="none"/>
          <w:lang w:val="en-US" w:eastAsia="zh-CN"/>
        </w:rPr>
        <w:t>采购人</w:t>
      </w:r>
      <w:r>
        <w:rPr>
          <w:rStyle w:val="25"/>
          <w:rFonts w:hint="eastAsia" w:ascii="宋体" w:hAnsi="宋体" w:eastAsia="宋体" w:cs="宋体"/>
          <w:b w:val="0"/>
          <w:bCs/>
          <w:color w:val="auto"/>
          <w:sz w:val="24"/>
          <w:szCs w:val="24"/>
          <w:highlight w:val="none"/>
          <w:lang w:val="en-US" w:eastAsia="zh-CN"/>
        </w:rPr>
        <w:t>完成与本服务有关的所有工作的承诺，并全程跟踪服务的承诺；</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eastAsia="宋体" w:cs="宋体"/>
          <w:b w:val="0"/>
          <w:bCs/>
          <w:color w:val="auto"/>
          <w:sz w:val="24"/>
          <w:szCs w:val="24"/>
          <w:highlight w:val="none"/>
          <w:lang w:eastAsia="zh-CN"/>
        </w:rPr>
      </w:pP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lang w:val="en-US" w:eastAsia="zh-CN"/>
        </w:rPr>
        <w:t>45</w:t>
      </w:r>
      <w:r>
        <w:rPr>
          <w:rStyle w:val="25"/>
          <w:rFonts w:hint="eastAsia" w:cs="宋体"/>
          <w:b w:val="0"/>
          <w:bCs/>
          <w:color w:val="auto"/>
          <w:sz w:val="24"/>
          <w:szCs w:val="24"/>
          <w:highlight w:val="none"/>
          <w:lang w:eastAsia="zh-CN"/>
        </w:rPr>
        <w:t>）</w:t>
      </w:r>
      <w:r>
        <w:rPr>
          <w:rStyle w:val="25"/>
          <w:rFonts w:hint="eastAsia" w:ascii="宋体" w:hAnsi="宋体" w:eastAsia="宋体" w:cs="宋体"/>
          <w:b w:val="0"/>
          <w:bCs/>
          <w:color w:val="auto"/>
          <w:sz w:val="24"/>
          <w:szCs w:val="24"/>
          <w:highlight w:val="none"/>
          <w:lang w:val="en-US" w:eastAsia="zh-CN"/>
        </w:rPr>
        <w:t>技术条款偏离表</w:t>
      </w: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rPr>
        <w:t>详见格式</w:t>
      </w:r>
      <w:r>
        <w:rPr>
          <w:rStyle w:val="25"/>
          <w:rFonts w:hint="eastAsia" w:cs="宋体"/>
          <w:b w:val="0"/>
          <w:bCs/>
          <w:color w:val="auto"/>
          <w:sz w:val="24"/>
          <w:szCs w:val="24"/>
          <w:highlight w:val="none"/>
          <w:lang w:val="en-US" w:eastAsia="zh-CN"/>
        </w:rPr>
        <w:t>34</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auto"/>
          <w:sz w:val="24"/>
          <w:szCs w:val="24"/>
          <w:highlight w:val="none"/>
          <w:lang w:val="en-US" w:eastAsia="zh-CN"/>
        </w:rPr>
        <w:t>（46）其它与本项目有关的能证明企业实力的各项证明资料；</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2" w:firstLineChars="200"/>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特别说明：①上述各种证件、证书复印件须加盖</w:t>
      </w:r>
      <w:r>
        <w:rPr>
          <w:rStyle w:val="25"/>
          <w:rFonts w:hint="eastAsia" w:cs="宋体"/>
          <w:b/>
          <w:bCs w:val="0"/>
          <w:color w:val="auto"/>
          <w:sz w:val="24"/>
          <w:szCs w:val="24"/>
          <w:highlight w:val="none"/>
          <w:lang w:eastAsia="zh-CN"/>
        </w:rPr>
        <w:t>供应商</w:t>
      </w:r>
      <w:r>
        <w:rPr>
          <w:rStyle w:val="25"/>
          <w:rFonts w:hint="eastAsia" w:cs="宋体"/>
          <w:b/>
          <w:bCs w:val="0"/>
          <w:color w:val="auto"/>
          <w:sz w:val="24"/>
          <w:szCs w:val="24"/>
          <w:highlight w:val="none"/>
        </w:rPr>
        <w:t>公章。如未按要求加盖</w:t>
      </w:r>
      <w:r>
        <w:rPr>
          <w:rStyle w:val="25"/>
          <w:rFonts w:hint="eastAsia" w:cs="宋体"/>
          <w:b/>
          <w:bCs w:val="0"/>
          <w:color w:val="auto"/>
          <w:sz w:val="24"/>
          <w:szCs w:val="24"/>
          <w:highlight w:val="none"/>
          <w:lang w:eastAsia="zh-CN"/>
        </w:rPr>
        <w:t>供应商</w:t>
      </w:r>
      <w:r>
        <w:rPr>
          <w:rStyle w:val="25"/>
          <w:rFonts w:hint="eastAsia" w:cs="宋体"/>
          <w:b/>
          <w:bCs w:val="0"/>
          <w:color w:val="auto"/>
          <w:sz w:val="24"/>
          <w:szCs w:val="24"/>
          <w:highlight w:val="none"/>
        </w:rPr>
        <w:t>公章者，可能导致其</w:t>
      </w:r>
      <w:r>
        <w:rPr>
          <w:rStyle w:val="25"/>
          <w:rFonts w:hint="eastAsia" w:cs="宋体"/>
          <w:b/>
          <w:bCs w:val="0"/>
          <w:color w:val="auto"/>
          <w:sz w:val="24"/>
          <w:szCs w:val="24"/>
          <w:highlight w:val="none"/>
          <w:lang w:eastAsia="zh-CN"/>
        </w:rPr>
        <w:t>响应文件</w:t>
      </w:r>
      <w:r>
        <w:rPr>
          <w:rStyle w:val="25"/>
          <w:rFonts w:hint="eastAsia" w:cs="宋体"/>
          <w:b/>
          <w:bCs w:val="0"/>
          <w:color w:val="auto"/>
          <w:sz w:val="24"/>
          <w:szCs w:val="24"/>
          <w:highlight w:val="none"/>
        </w:rPr>
        <w:t>无效。</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2" w:firstLineChars="200"/>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②</w:t>
      </w:r>
      <w:r>
        <w:rPr>
          <w:rStyle w:val="25"/>
          <w:rFonts w:hint="eastAsia" w:cs="宋体"/>
          <w:b/>
          <w:bCs w:val="0"/>
          <w:color w:val="auto"/>
          <w:sz w:val="24"/>
          <w:szCs w:val="24"/>
          <w:highlight w:val="none"/>
          <w:lang w:eastAsia="zh-CN"/>
        </w:rPr>
        <w:t>供应商</w:t>
      </w:r>
      <w:r>
        <w:rPr>
          <w:rStyle w:val="25"/>
          <w:rFonts w:hint="eastAsia" w:cs="宋体"/>
          <w:b/>
          <w:bCs w:val="0"/>
          <w:color w:val="auto"/>
          <w:sz w:val="24"/>
          <w:szCs w:val="24"/>
          <w:highlight w:val="none"/>
        </w:rPr>
        <w:t>应如实提供资料，并保证真实可靠，不得弄虚作假。如</w:t>
      </w:r>
      <w:r>
        <w:rPr>
          <w:rStyle w:val="25"/>
          <w:rFonts w:hint="eastAsia" w:cs="宋体"/>
          <w:b/>
          <w:bCs w:val="0"/>
          <w:color w:val="auto"/>
          <w:sz w:val="24"/>
          <w:szCs w:val="24"/>
          <w:highlight w:val="none"/>
          <w:lang w:eastAsia="zh-CN"/>
        </w:rPr>
        <w:t>供应商</w:t>
      </w:r>
      <w:r>
        <w:rPr>
          <w:rStyle w:val="25"/>
          <w:rFonts w:hint="eastAsia" w:cs="宋体"/>
          <w:b/>
          <w:bCs w:val="0"/>
          <w:color w:val="auto"/>
          <w:sz w:val="24"/>
          <w:szCs w:val="24"/>
          <w:highlight w:val="none"/>
        </w:rPr>
        <w:t>隐瞒事实真相、弄虚作假，一经查实，取消该</w:t>
      </w:r>
      <w:r>
        <w:rPr>
          <w:rStyle w:val="25"/>
          <w:rFonts w:hint="eastAsia" w:cs="宋体"/>
          <w:b/>
          <w:bCs w:val="0"/>
          <w:color w:val="auto"/>
          <w:sz w:val="24"/>
          <w:szCs w:val="24"/>
          <w:highlight w:val="none"/>
          <w:lang w:eastAsia="zh-CN"/>
        </w:rPr>
        <w:t>供应商</w:t>
      </w:r>
      <w:r>
        <w:rPr>
          <w:rStyle w:val="25"/>
          <w:rFonts w:hint="eastAsia" w:cs="宋体"/>
          <w:b/>
          <w:bCs w:val="0"/>
          <w:color w:val="auto"/>
          <w:sz w:val="24"/>
          <w:szCs w:val="24"/>
          <w:highlight w:val="none"/>
        </w:rPr>
        <w:t>的</w:t>
      </w:r>
      <w:r>
        <w:rPr>
          <w:rStyle w:val="25"/>
          <w:rFonts w:hint="eastAsia" w:cs="宋体"/>
          <w:b/>
          <w:bCs w:val="0"/>
          <w:color w:val="auto"/>
          <w:sz w:val="24"/>
          <w:szCs w:val="24"/>
          <w:highlight w:val="none"/>
          <w:lang w:eastAsia="zh-CN"/>
        </w:rPr>
        <w:t>评标</w:t>
      </w:r>
      <w:r>
        <w:rPr>
          <w:rStyle w:val="25"/>
          <w:rFonts w:hint="eastAsia" w:cs="宋体"/>
          <w:b/>
          <w:bCs w:val="0"/>
          <w:color w:val="auto"/>
          <w:sz w:val="24"/>
          <w:szCs w:val="24"/>
          <w:highlight w:val="none"/>
        </w:rPr>
        <w:t>资格，若</w:t>
      </w:r>
      <w:r>
        <w:rPr>
          <w:rStyle w:val="25"/>
          <w:rFonts w:hint="eastAsia" w:cs="宋体"/>
          <w:b/>
          <w:bCs w:val="0"/>
          <w:color w:val="auto"/>
          <w:sz w:val="24"/>
          <w:szCs w:val="24"/>
          <w:highlight w:val="none"/>
          <w:lang w:eastAsia="zh-CN"/>
        </w:rPr>
        <w:t>成交</w:t>
      </w:r>
      <w:r>
        <w:rPr>
          <w:rStyle w:val="25"/>
          <w:rFonts w:hint="eastAsia" w:cs="宋体"/>
          <w:b/>
          <w:bCs w:val="0"/>
          <w:color w:val="auto"/>
          <w:sz w:val="24"/>
          <w:szCs w:val="24"/>
          <w:highlight w:val="none"/>
        </w:rPr>
        <w:t>的，取消其</w:t>
      </w:r>
      <w:r>
        <w:rPr>
          <w:rStyle w:val="25"/>
          <w:rFonts w:hint="eastAsia" w:cs="宋体"/>
          <w:b/>
          <w:bCs w:val="0"/>
          <w:color w:val="auto"/>
          <w:sz w:val="24"/>
          <w:szCs w:val="24"/>
          <w:highlight w:val="none"/>
          <w:lang w:eastAsia="zh-CN"/>
        </w:rPr>
        <w:t>成交</w:t>
      </w:r>
      <w:r>
        <w:rPr>
          <w:rStyle w:val="25"/>
          <w:rFonts w:hint="eastAsia" w:cs="宋体"/>
          <w:b/>
          <w:bCs w:val="0"/>
          <w:color w:val="auto"/>
          <w:sz w:val="24"/>
          <w:szCs w:val="24"/>
          <w:highlight w:val="none"/>
        </w:rPr>
        <w:t>资格。</w:t>
      </w:r>
    </w:p>
    <w:bookmarkEnd w:id="73"/>
    <w:bookmarkEnd w:id="86"/>
    <w:bookmarkEnd w:id="87"/>
    <w:bookmarkEnd w:id="88"/>
    <w:bookmarkEnd w:id="89"/>
    <w:bookmarkEnd w:id="90"/>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val="0"/>
          <w:bCs/>
          <w:color w:val="auto"/>
          <w:sz w:val="24"/>
          <w:szCs w:val="24"/>
          <w:highlight w:val="none"/>
        </w:rPr>
      </w:pPr>
      <w:bookmarkStart w:id="91" w:name="_Toc246216203"/>
      <w:bookmarkStart w:id="92" w:name="_Toc233274834"/>
      <w:bookmarkStart w:id="93" w:name="_Toc243906333"/>
      <w:bookmarkStart w:id="94" w:name="_Toc243907594"/>
      <w:r>
        <w:rPr>
          <w:rStyle w:val="25"/>
          <w:rFonts w:hint="eastAsia" w:cs="宋体"/>
          <w:b/>
          <w:bCs w:val="0"/>
          <w:color w:val="auto"/>
          <w:sz w:val="24"/>
          <w:szCs w:val="24"/>
          <w:highlight w:val="none"/>
        </w:rPr>
        <w:t>1</w:t>
      </w:r>
      <w:r>
        <w:rPr>
          <w:rStyle w:val="25"/>
          <w:rFonts w:hint="eastAsia" w:cs="宋体"/>
          <w:b/>
          <w:bCs w:val="0"/>
          <w:color w:val="auto"/>
          <w:sz w:val="24"/>
          <w:szCs w:val="24"/>
          <w:highlight w:val="none"/>
          <w:lang w:val="en-US" w:eastAsia="zh-CN"/>
        </w:rPr>
        <w:t>5</w:t>
      </w:r>
      <w:r>
        <w:rPr>
          <w:rStyle w:val="25"/>
          <w:rFonts w:hint="eastAsia" w:cs="宋体"/>
          <w:b/>
          <w:bCs w:val="0"/>
          <w:color w:val="auto"/>
          <w:sz w:val="24"/>
          <w:szCs w:val="24"/>
          <w:highlight w:val="none"/>
        </w:rPr>
        <w:t>、</w:t>
      </w:r>
      <w:r>
        <w:rPr>
          <w:rStyle w:val="25"/>
          <w:rFonts w:hint="eastAsia" w:cs="宋体"/>
          <w:b/>
          <w:bCs w:val="0"/>
          <w:color w:val="auto"/>
          <w:sz w:val="24"/>
          <w:szCs w:val="24"/>
          <w:highlight w:val="none"/>
          <w:lang w:eastAsia="zh-CN"/>
        </w:rPr>
        <w:t>响应文件</w:t>
      </w:r>
      <w:r>
        <w:rPr>
          <w:rStyle w:val="25"/>
          <w:rFonts w:hint="eastAsia" w:cs="宋体"/>
          <w:b/>
          <w:bCs w:val="0"/>
          <w:color w:val="auto"/>
          <w:sz w:val="24"/>
          <w:szCs w:val="24"/>
          <w:highlight w:val="none"/>
        </w:rPr>
        <w:t>格式</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val="en-US" w:eastAsia="zh-CN"/>
        </w:rPr>
        <w:t>5</w:t>
      </w: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应按</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提供的格式及商务报价说明完整地填写所提供的服务以及数量、单价和合价等内容。</w:t>
      </w:r>
    </w:p>
    <w:p>
      <w:pPr>
        <w:spacing w:line="360" w:lineRule="auto"/>
        <w:ind w:firstLine="482" w:firstLineChars="200"/>
        <w:rPr>
          <w:rFonts w:hint="eastAsia" w:ascii="宋体" w:hAnsi="宋体" w:eastAsia="宋体" w:cs="宋体"/>
          <w:b/>
          <w:bCs w:val="0"/>
          <w:color w:val="auto"/>
          <w:sz w:val="24"/>
          <w:szCs w:val="24"/>
          <w:highlight w:val="none"/>
        </w:rPr>
      </w:pPr>
      <w:r>
        <w:rPr>
          <w:rStyle w:val="25"/>
          <w:rFonts w:hint="eastAsia" w:ascii="宋体" w:hAnsi="宋体" w:eastAsia="宋体" w:cs="宋体"/>
          <w:b/>
          <w:bCs w:val="0"/>
          <w:color w:val="auto"/>
          <w:sz w:val="24"/>
          <w:szCs w:val="24"/>
          <w:highlight w:val="none"/>
        </w:rPr>
        <w:t>1</w:t>
      </w:r>
      <w:r>
        <w:rPr>
          <w:rStyle w:val="25"/>
          <w:rFonts w:hint="eastAsia" w:ascii="宋体" w:hAnsi="宋体" w:eastAsia="宋体" w:cs="宋体"/>
          <w:b/>
          <w:bCs w:val="0"/>
          <w:color w:val="auto"/>
          <w:sz w:val="24"/>
          <w:szCs w:val="24"/>
          <w:highlight w:val="none"/>
          <w:lang w:val="en-US" w:eastAsia="zh-CN"/>
        </w:rPr>
        <w:t>6</w:t>
      </w:r>
      <w:r>
        <w:rPr>
          <w:rStyle w:val="25"/>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rPr>
        <w:t>编制</w:t>
      </w:r>
      <w:r>
        <w:rPr>
          <w:rFonts w:hint="eastAsia" w:ascii="宋体" w:hAnsi="宋体" w:eastAsia="宋体" w:cs="宋体"/>
          <w:b/>
          <w:bCs w:val="0"/>
          <w:color w:val="auto"/>
          <w:sz w:val="24"/>
          <w:szCs w:val="24"/>
          <w:highlight w:val="none"/>
          <w:lang w:eastAsia="zh-CN"/>
        </w:rPr>
        <w:t>商务</w:t>
      </w:r>
      <w:r>
        <w:rPr>
          <w:rFonts w:hint="eastAsia" w:ascii="宋体" w:hAnsi="宋体" w:eastAsia="宋体" w:cs="宋体"/>
          <w:b/>
          <w:bCs w:val="0"/>
          <w:color w:val="auto"/>
          <w:sz w:val="24"/>
          <w:szCs w:val="24"/>
          <w:highlight w:val="none"/>
        </w:rPr>
        <w:t>报价的依据及要求</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.1计价方式</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.1采用工程量清单计价方式</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.2工程量清单计价方式是指按《建设工程工程量清单计价规范》（GB50500-2013）、新疆维吾尔自治区及克拉玛依市相关规定，由</w:t>
      </w:r>
      <w:r>
        <w:rPr>
          <w:rFonts w:hint="eastAsia" w:ascii="宋体" w:hAnsi="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提供工程量清单，</w:t>
      </w:r>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根据企业自身实力自主报价的计价方式。</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.3工程量清单的编制：由</w:t>
      </w:r>
      <w:r>
        <w:rPr>
          <w:rFonts w:hint="eastAsia" w:ascii="宋体" w:hAnsi="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委托有相应资质的中介机构按照《建设工程工程量清单计价规范》（GB50500-2013）及《工程量计算规范》（GB50854-2013至GB50862-2013）以及新疆维吾尔自治区及克拉玛依市相关计价依据及规定和</w:t>
      </w:r>
      <w:r>
        <w:rPr>
          <w:rFonts w:hint="eastAsia" w:ascii="宋体" w:hAnsi="宋体" w:eastAsia="宋体" w:cs="宋体"/>
          <w:b w:val="0"/>
          <w:bCs/>
          <w:color w:val="auto"/>
          <w:sz w:val="24"/>
          <w:szCs w:val="24"/>
          <w:highlight w:val="none"/>
          <w:lang w:eastAsia="zh-CN"/>
        </w:rPr>
        <w:t>采购范围</w:t>
      </w:r>
      <w:r>
        <w:rPr>
          <w:rFonts w:hint="eastAsia" w:ascii="宋体" w:hAnsi="宋体" w:eastAsia="宋体" w:cs="宋体"/>
          <w:b w:val="0"/>
          <w:bCs/>
          <w:color w:val="auto"/>
          <w:sz w:val="24"/>
          <w:szCs w:val="24"/>
          <w:highlight w:val="none"/>
        </w:rPr>
        <w:t>，根据施工设计图纸及施工现场实际情况进行编制，随</w:t>
      </w:r>
      <w:r>
        <w:rPr>
          <w:rFonts w:hint="eastAsia" w:ascii="宋体" w:hAnsi="宋体" w:cs="宋体"/>
          <w:b w:val="0"/>
          <w:bCs/>
          <w:color w:val="auto"/>
          <w:sz w:val="24"/>
          <w:szCs w:val="24"/>
          <w:highlight w:val="none"/>
          <w:lang w:eastAsia="zh-CN"/>
        </w:rPr>
        <w:t>竞争性磋商文件</w:t>
      </w:r>
      <w:r>
        <w:rPr>
          <w:rFonts w:hint="eastAsia" w:ascii="宋体" w:hAnsi="宋体" w:eastAsia="宋体" w:cs="宋体"/>
          <w:b w:val="0"/>
          <w:bCs/>
          <w:color w:val="auto"/>
          <w:sz w:val="24"/>
          <w:szCs w:val="24"/>
          <w:highlight w:val="none"/>
        </w:rPr>
        <w:t>一同发至各</w:t>
      </w:r>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4工程量清单格式：包括工程量清单封面、工程量清单扉页、工程量清单总说明、分部分项工程和单价措施项目清单与计价表、总价措施项目清单与计价表、其他项目清单与计价汇总表【包括暂列金额明细表、材料（工程设备）暂估单价及调整表、专业工程暂估价及结算价表、计日工表、总承包服务费计价表】，规费、税金项目清单与计价表等。</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.5工程量清单</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报价计价格式：包括</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总价封面、</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总价扉页、</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总价总说明、建设项目</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报价汇总表、单项工程</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报价汇总表、单位工程</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 xml:space="preserve">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 </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投标报价</w:t>
      </w:r>
      <w:r>
        <w:rPr>
          <w:rFonts w:hint="eastAsia" w:ascii="宋体" w:hAnsi="宋体" w:eastAsia="宋体" w:cs="宋体"/>
          <w:b w:val="0"/>
          <w:bCs/>
          <w:color w:val="auto"/>
          <w:sz w:val="24"/>
          <w:szCs w:val="24"/>
          <w:highlight w:val="none"/>
        </w:rPr>
        <w:t>编制要求：</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.1</w:t>
      </w:r>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必须按照</w:t>
      </w:r>
      <w:r>
        <w:rPr>
          <w:rFonts w:hint="eastAsia" w:ascii="宋体" w:hAnsi="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提供的工程量清单、</w:t>
      </w:r>
      <w:r>
        <w:rPr>
          <w:rFonts w:hint="eastAsia" w:ascii="宋体" w:hAnsi="宋体" w:cs="宋体"/>
          <w:b w:val="0"/>
          <w:bCs/>
          <w:color w:val="auto"/>
          <w:sz w:val="24"/>
          <w:szCs w:val="24"/>
          <w:highlight w:val="none"/>
          <w:lang w:eastAsia="zh-CN"/>
        </w:rPr>
        <w:t>竞争性磋商文件</w:t>
      </w:r>
      <w:r>
        <w:rPr>
          <w:rFonts w:hint="eastAsia" w:ascii="宋体" w:hAnsi="宋体" w:eastAsia="宋体" w:cs="宋体"/>
          <w:b w:val="0"/>
          <w:bCs/>
          <w:color w:val="auto"/>
          <w:sz w:val="24"/>
          <w:szCs w:val="24"/>
          <w:highlight w:val="none"/>
        </w:rPr>
        <w:t>、答疑纪要等在</w:t>
      </w:r>
      <w:r>
        <w:rPr>
          <w:rFonts w:hint="eastAsia" w:ascii="宋体" w:hAnsi="宋体" w:eastAsia="宋体" w:cs="宋体"/>
          <w:b w:val="0"/>
          <w:bCs/>
          <w:color w:val="auto"/>
          <w:sz w:val="24"/>
          <w:szCs w:val="24"/>
          <w:highlight w:val="none"/>
          <w:lang w:eastAsia="zh-CN"/>
        </w:rPr>
        <w:t>招标</w:t>
      </w:r>
      <w:r>
        <w:rPr>
          <w:rFonts w:hint="eastAsia" w:ascii="宋体" w:hAnsi="宋体" w:eastAsia="宋体" w:cs="宋体"/>
          <w:b w:val="0"/>
          <w:bCs/>
          <w:color w:val="auto"/>
          <w:sz w:val="24"/>
          <w:szCs w:val="24"/>
          <w:highlight w:val="none"/>
        </w:rPr>
        <w:t>过程中发至各</w:t>
      </w:r>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所有文件、施工设计图纸及相应的技术规范、标准内容以及合同约定的相关内容，依据《建设工程工程量清单计价规范》（GB50500-2013）及《工程量计算规范》（GB50854-2013至GB50862-2013）以及新疆维吾尔自治区、克拉玛依市相关计价依据及规定和</w:t>
      </w:r>
      <w:r>
        <w:rPr>
          <w:rFonts w:hint="eastAsia" w:ascii="宋体" w:hAnsi="宋体" w:eastAsia="宋体" w:cs="宋体"/>
          <w:b w:val="0"/>
          <w:bCs/>
          <w:color w:val="auto"/>
          <w:sz w:val="24"/>
          <w:szCs w:val="24"/>
          <w:highlight w:val="none"/>
          <w:lang w:eastAsia="zh-CN"/>
        </w:rPr>
        <w:t>采购范围</w:t>
      </w:r>
      <w:r>
        <w:rPr>
          <w:rFonts w:hint="eastAsia" w:ascii="宋体" w:hAnsi="宋体" w:eastAsia="宋体" w:cs="宋体"/>
          <w:b w:val="0"/>
          <w:bCs/>
          <w:color w:val="auto"/>
          <w:sz w:val="24"/>
          <w:szCs w:val="24"/>
          <w:highlight w:val="none"/>
        </w:rPr>
        <w:t>，根据施工设计图纸及施工现场实际情况编制的施工组织设计（或施工方案），结合市场情况报出各项综合单价和合价。</w:t>
      </w:r>
    </w:p>
    <w:p>
      <w:pPr>
        <w:spacing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.2</w:t>
      </w:r>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应按照工程量清单逐项填写单价及合价，工程量清单中的每一项只允许有一个报价，任何有选择性的报价将不予接受。</w:t>
      </w:r>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未报出综合单价或合价的分项工程，若</w:t>
      </w:r>
      <w:r>
        <w:rPr>
          <w:rFonts w:hint="eastAsia" w:ascii="宋体" w:hAnsi="宋体" w:eastAsia="宋体" w:cs="宋体"/>
          <w:b w:val="0"/>
          <w:bCs/>
          <w:color w:val="auto"/>
          <w:sz w:val="24"/>
          <w:szCs w:val="24"/>
          <w:highlight w:val="none"/>
          <w:lang w:eastAsia="zh-CN"/>
        </w:rPr>
        <w:t>成交</w:t>
      </w:r>
      <w:r>
        <w:rPr>
          <w:rFonts w:hint="eastAsia" w:ascii="宋体" w:hAnsi="宋体" w:eastAsia="宋体" w:cs="宋体"/>
          <w:b w:val="0"/>
          <w:bCs/>
          <w:color w:val="auto"/>
          <w:sz w:val="24"/>
          <w:szCs w:val="24"/>
          <w:highlight w:val="none"/>
        </w:rPr>
        <w:t>，在实施过程中，</w:t>
      </w:r>
      <w:r>
        <w:rPr>
          <w:rFonts w:hint="eastAsia" w:ascii="宋体" w:hAnsi="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将不予支付并视为该分项费用已含在已标价工程量清单中其他项目单价和合价内。竣工结算时，此项目不得重新组价予以调整。</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.3</w:t>
      </w:r>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应依据《建设工程工程量清单计价规范》（GB50500-2013）及《工程量计算规范》（GB50854-2013至GB50862-2013）以及新疆维吾尔自治区、克拉玛依市相关计价依据及规定、</w:t>
      </w:r>
      <w:r>
        <w:rPr>
          <w:rFonts w:hint="eastAsia" w:ascii="宋体" w:hAnsi="宋体" w:eastAsia="宋体" w:cs="宋体"/>
          <w:b w:val="0"/>
          <w:bCs/>
          <w:color w:val="auto"/>
          <w:sz w:val="24"/>
          <w:szCs w:val="24"/>
          <w:highlight w:val="none"/>
          <w:lang w:eastAsia="zh-CN"/>
        </w:rPr>
        <w:t>采购</w:t>
      </w:r>
      <w:r>
        <w:rPr>
          <w:rFonts w:hint="eastAsia" w:ascii="宋体" w:hAnsi="宋体" w:eastAsia="宋体" w:cs="宋体"/>
          <w:b w:val="0"/>
          <w:bCs/>
          <w:color w:val="auto"/>
          <w:sz w:val="24"/>
          <w:szCs w:val="24"/>
          <w:highlight w:val="none"/>
        </w:rPr>
        <w:t>范围编制</w:t>
      </w:r>
      <w:r>
        <w:rPr>
          <w:rFonts w:hint="eastAsia" w:ascii="宋体" w:hAnsi="宋体" w:eastAsia="宋体" w:cs="宋体"/>
          <w:b w:val="0"/>
          <w:bCs/>
          <w:color w:val="auto"/>
          <w:sz w:val="24"/>
          <w:szCs w:val="24"/>
          <w:highlight w:val="none"/>
          <w:lang w:eastAsia="zh-CN"/>
        </w:rPr>
        <w:t>投标报价</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投标报价</w:t>
      </w:r>
      <w:r>
        <w:rPr>
          <w:rFonts w:hint="eastAsia" w:ascii="宋体" w:hAnsi="宋体" w:eastAsia="宋体" w:cs="宋体"/>
          <w:b w:val="0"/>
          <w:bCs/>
          <w:color w:val="auto"/>
          <w:sz w:val="24"/>
          <w:szCs w:val="24"/>
          <w:highlight w:val="none"/>
        </w:rPr>
        <w:t>中所填写的单价、合价、各项费率、规费、税金应被视为是对本</w:t>
      </w:r>
      <w:r>
        <w:rPr>
          <w:rFonts w:hint="eastAsia" w:ascii="宋体" w:hAnsi="宋体" w:cs="宋体"/>
          <w:b w:val="0"/>
          <w:bCs/>
          <w:color w:val="auto"/>
          <w:sz w:val="24"/>
          <w:szCs w:val="24"/>
          <w:highlight w:val="none"/>
          <w:lang w:eastAsia="zh-CN"/>
        </w:rPr>
        <w:t>竞争性磋商文件</w:t>
      </w:r>
      <w:r>
        <w:rPr>
          <w:rFonts w:hint="eastAsia" w:ascii="宋体" w:hAnsi="宋体" w:eastAsia="宋体" w:cs="宋体"/>
          <w:b w:val="0"/>
          <w:bCs/>
          <w:color w:val="auto"/>
          <w:sz w:val="24"/>
          <w:szCs w:val="24"/>
          <w:highlight w:val="none"/>
        </w:rPr>
        <w:t>、施工设计图纸及相应的技术规范、标准所述的所有条款考虑清楚后所填写的价格，并以综合单价形式确定。本工程所涉及的范围必须按施工设计图纸、</w:t>
      </w:r>
      <w:r>
        <w:rPr>
          <w:rFonts w:hint="eastAsia" w:ascii="宋体" w:hAnsi="宋体" w:cs="宋体"/>
          <w:b w:val="0"/>
          <w:bCs/>
          <w:color w:val="auto"/>
          <w:sz w:val="24"/>
          <w:szCs w:val="24"/>
          <w:highlight w:val="none"/>
          <w:lang w:eastAsia="zh-CN"/>
        </w:rPr>
        <w:t>竞争性磋商文件</w:t>
      </w:r>
      <w:r>
        <w:rPr>
          <w:rFonts w:hint="eastAsia" w:ascii="宋体" w:hAnsi="宋体" w:eastAsia="宋体" w:cs="宋体"/>
          <w:b w:val="0"/>
          <w:bCs/>
          <w:color w:val="auto"/>
          <w:sz w:val="24"/>
          <w:szCs w:val="24"/>
          <w:highlight w:val="none"/>
        </w:rPr>
        <w:t>、协议书及合同条款、施工及验收技术规范标准要求进行，任何</w:t>
      </w:r>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在</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时出现的减少工程量或漏填工程量清单的风险，一律由</w:t>
      </w:r>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自行承担。</w:t>
      </w:r>
      <w:r>
        <w:rPr>
          <w:rFonts w:hint="eastAsia" w:ascii="宋体" w:hAnsi="宋体" w:eastAsia="宋体" w:cs="宋体"/>
          <w:b w:val="0"/>
          <w:bCs/>
          <w:color w:val="auto"/>
          <w:sz w:val="24"/>
          <w:szCs w:val="24"/>
          <w:highlight w:val="none"/>
          <w:lang w:eastAsia="zh-CN"/>
        </w:rPr>
        <w:t>成交</w:t>
      </w:r>
      <w:r>
        <w:rPr>
          <w:rFonts w:hint="eastAsia" w:ascii="宋体" w:hAnsi="宋体" w:eastAsia="宋体" w:cs="宋体"/>
          <w:b w:val="0"/>
          <w:bCs/>
          <w:color w:val="auto"/>
          <w:sz w:val="24"/>
          <w:szCs w:val="24"/>
          <w:highlight w:val="none"/>
        </w:rPr>
        <w:t>单价不会因</w:t>
      </w:r>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的少算和/或漏算而做出调整。综合单价中一切在投标时没有加入综合单价的项目，而该项为</w:t>
      </w:r>
      <w:r>
        <w:rPr>
          <w:rFonts w:hint="eastAsia" w:ascii="宋体" w:hAnsi="宋体" w:cs="宋体"/>
          <w:b w:val="0"/>
          <w:bCs/>
          <w:color w:val="auto"/>
          <w:sz w:val="24"/>
          <w:szCs w:val="24"/>
          <w:highlight w:val="none"/>
          <w:lang w:eastAsia="zh-CN"/>
        </w:rPr>
        <w:t>竞争性磋商文件</w:t>
      </w:r>
      <w:r>
        <w:rPr>
          <w:rFonts w:hint="eastAsia" w:ascii="宋体" w:hAnsi="宋体" w:eastAsia="宋体" w:cs="宋体"/>
          <w:b w:val="0"/>
          <w:bCs/>
          <w:color w:val="auto"/>
          <w:sz w:val="24"/>
          <w:szCs w:val="24"/>
          <w:highlight w:val="none"/>
        </w:rPr>
        <w:t>、工程量清单、施工设计图纸、施工验收及技术规范、标准或为完成某项工程或安装所需者，均被视为已包含在报价内。</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6.3</w:t>
      </w:r>
      <w:r>
        <w:rPr>
          <w:rFonts w:hint="eastAsia" w:ascii="宋体" w:hAnsi="宋体" w:eastAsia="宋体" w:cs="宋体"/>
          <w:b w:val="0"/>
          <w:bCs/>
          <w:color w:val="auto"/>
          <w:sz w:val="24"/>
          <w:szCs w:val="24"/>
          <w:highlight w:val="none"/>
        </w:rPr>
        <w:t>设备、材料价格均由</w:t>
      </w:r>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参考《关于实施建筑业增值税新税率调整克拉玛依地区建设工程计价依据的通知》（克住建发[2018]59号附件1-克拉玛依地区建设工程材料除税预算价格表），并结合市场价并考虑风险自行报价，其余设备、材料价格在竣工结算时均不予调整。</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《关于实施建筑业增值税新税率调整克拉玛依地区建设工程计价依据的通知》（克住建发[2018]59号附件1-克拉玛依地区建设工程材料除税预算价格表）中无价格的设备、材料均由</w:t>
      </w:r>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结合市场价自行考虑进入</w:t>
      </w:r>
      <w:r>
        <w:rPr>
          <w:rFonts w:hint="eastAsia" w:ascii="宋体" w:hAnsi="宋体" w:eastAsia="宋体" w:cs="宋体"/>
          <w:b w:val="0"/>
          <w:bCs/>
          <w:color w:val="auto"/>
          <w:sz w:val="24"/>
          <w:szCs w:val="24"/>
          <w:highlight w:val="none"/>
          <w:lang w:eastAsia="zh-CN"/>
        </w:rPr>
        <w:t>投标报价</w:t>
      </w:r>
      <w:r>
        <w:rPr>
          <w:rFonts w:hint="eastAsia" w:ascii="宋体" w:hAnsi="宋体" w:eastAsia="宋体" w:cs="宋体"/>
          <w:b w:val="0"/>
          <w:bCs/>
          <w:color w:val="auto"/>
          <w:sz w:val="24"/>
          <w:szCs w:val="24"/>
          <w:highlight w:val="none"/>
        </w:rPr>
        <w:t>，设备、材料价格均应为除税价格，竣工结算时不予调整。</w:t>
      </w:r>
    </w:p>
    <w:p>
      <w:pPr>
        <w:spacing w:line="360" w:lineRule="auto"/>
        <w:ind w:right="240"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4人工费单价执行克拉玛依市克拉玛依区住房和城乡建设局2020年9月27日下发的《关于发布克拉玛依市2020年4-9月建设工程定额内市场人工单价信息的通知》</w:t>
      </w:r>
      <w:r>
        <w:rPr>
          <w:rFonts w:hint="eastAsia" w:ascii="宋体" w:hAnsi="宋体" w:eastAsia="宋体" w:cs="宋体"/>
          <w:b w:val="0"/>
          <w:bCs/>
          <w:color w:val="auto"/>
          <w:sz w:val="24"/>
          <w:szCs w:val="24"/>
          <w:highlight w:val="none"/>
        </w:rPr>
        <w:t>。</w:t>
      </w:r>
    </w:p>
    <w:p>
      <w:pPr>
        <w:spacing w:line="360" w:lineRule="auto"/>
        <w:ind w:right="240"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税金、税率调整执行克住建发【201</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21</w:t>
      </w:r>
      <w:r>
        <w:rPr>
          <w:rFonts w:hint="eastAsia" w:ascii="宋体" w:hAnsi="宋体" w:eastAsia="宋体" w:cs="宋体"/>
          <w:b w:val="0"/>
          <w:bCs/>
          <w:color w:val="auto"/>
          <w:sz w:val="24"/>
          <w:szCs w:val="24"/>
          <w:highlight w:val="none"/>
        </w:rPr>
        <w:t>号文《关于实施建筑业增值税新税率调整克拉玛依地区建设工程计价依据的通知》规定。</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本工程涉及营改增的费率调整按调整费率执行，详见《关于建筑业营业税改增值税调整克拉玛依市建设工程计价依据的通知》（克建发[2016]65号）附件1-建筑业营改增建设工程费用调整表的规定除此之外的其他费用执行《新疆维吾尔自治区建筑安装工程费用定额》（2010年）。</w:t>
      </w:r>
    </w:p>
    <w:p>
      <w:pPr>
        <w:spacing w:line="360" w:lineRule="auto"/>
        <w:ind w:firstLine="480" w:firstLineChars="200"/>
        <w:rPr>
          <w:rStyle w:val="25"/>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7</w:t>
      </w:r>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计取的企业管理费费率及利润率均不得超过本工程类别的区间范围,否则经评标委员会评审，在该</w:t>
      </w:r>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lang w:eastAsia="zh-CN"/>
        </w:rPr>
        <w:t>商务报价</w:t>
      </w:r>
      <w:r>
        <w:rPr>
          <w:rFonts w:hint="eastAsia" w:ascii="宋体" w:hAnsi="宋体" w:eastAsia="宋体" w:cs="宋体"/>
          <w:b w:val="0"/>
          <w:bCs/>
          <w:color w:val="auto"/>
          <w:sz w:val="24"/>
          <w:szCs w:val="24"/>
          <w:highlight w:val="none"/>
        </w:rPr>
        <w:t xml:space="preserve">得分中扣3分。 </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ascii="宋体" w:hAnsi="宋体" w:eastAsia="宋体" w:cs="宋体"/>
          <w:b w:val="0"/>
          <w:bCs/>
          <w:color w:val="auto"/>
          <w:sz w:val="24"/>
          <w:szCs w:val="24"/>
          <w:highlight w:val="none"/>
        </w:rPr>
      </w:pPr>
      <w:bookmarkStart w:id="95" w:name="_Toc233274828"/>
      <w:bookmarkStart w:id="96" w:name="_Toc243907588"/>
      <w:bookmarkStart w:id="97" w:name="_Toc246216197"/>
      <w:bookmarkStart w:id="98" w:name="_Toc243906327"/>
      <w:r>
        <w:rPr>
          <w:rStyle w:val="25"/>
          <w:rFonts w:hint="eastAsia" w:ascii="宋体" w:hAnsi="宋体" w:eastAsia="宋体" w:cs="宋体"/>
          <w:b w:val="0"/>
          <w:bCs/>
          <w:color w:val="auto"/>
          <w:sz w:val="24"/>
          <w:szCs w:val="24"/>
          <w:highlight w:val="none"/>
        </w:rPr>
        <w:t>16.</w:t>
      </w:r>
      <w:r>
        <w:rPr>
          <w:rStyle w:val="25"/>
          <w:rFonts w:hint="eastAsia" w:ascii="宋体" w:hAnsi="宋体" w:eastAsia="宋体" w:cs="宋体"/>
          <w:b w:val="0"/>
          <w:bCs/>
          <w:color w:val="auto"/>
          <w:sz w:val="24"/>
          <w:szCs w:val="24"/>
          <w:highlight w:val="none"/>
          <w:lang w:val="en-US" w:eastAsia="zh-CN"/>
        </w:rPr>
        <w:t>8</w:t>
      </w:r>
      <w:r>
        <w:rPr>
          <w:rStyle w:val="25"/>
          <w:rFonts w:hint="eastAsia" w:cs="宋体"/>
          <w:b w:val="0"/>
          <w:bCs/>
          <w:color w:val="auto"/>
          <w:sz w:val="24"/>
          <w:szCs w:val="24"/>
          <w:highlight w:val="none"/>
          <w:lang w:eastAsia="zh-CN"/>
        </w:rPr>
        <w:t>供应商</w:t>
      </w:r>
      <w:r>
        <w:rPr>
          <w:rStyle w:val="25"/>
          <w:rFonts w:hint="eastAsia" w:ascii="宋体" w:hAnsi="宋体" w:eastAsia="宋体" w:cs="宋体"/>
          <w:b w:val="0"/>
          <w:bCs/>
          <w:color w:val="auto"/>
          <w:sz w:val="24"/>
          <w:szCs w:val="24"/>
          <w:highlight w:val="none"/>
        </w:rPr>
        <w:t>若</w:t>
      </w:r>
      <w:r>
        <w:rPr>
          <w:rStyle w:val="25"/>
          <w:rFonts w:hint="eastAsia" w:cs="宋体"/>
          <w:b w:val="0"/>
          <w:bCs/>
          <w:color w:val="auto"/>
          <w:sz w:val="24"/>
          <w:szCs w:val="24"/>
          <w:highlight w:val="none"/>
          <w:lang w:eastAsia="zh-CN"/>
        </w:rPr>
        <w:t>成交</w:t>
      </w:r>
      <w:r>
        <w:rPr>
          <w:rStyle w:val="25"/>
          <w:rFonts w:hint="eastAsia" w:ascii="宋体" w:hAnsi="宋体" w:eastAsia="宋体" w:cs="宋体"/>
          <w:b w:val="0"/>
          <w:bCs/>
          <w:color w:val="auto"/>
          <w:sz w:val="24"/>
          <w:szCs w:val="24"/>
          <w:highlight w:val="none"/>
        </w:rPr>
        <w:t>，不得以任何理由在合同执行期间予以价格调整。任何包含价格调整的要求将被认为是非</w:t>
      </w:r>
      <w:r>
        <w:rPr>
          <w:rStyle w:val="25"/>
          <w:rFonts w:hint="eastAsia" w:ascii="宋体" w:hAnsi="宋体" w:eastAsia="宋体" w:cs="宋体"/>
          <w:b w:val="0"/>
          <w:bCs/>
          <w:color w:val="auto"/>
          <w:sz w:val="24"/>
          <w:szCs w:val="24"/>
          <w:highlight w:val="none"/>
          <w:lang w:eastAsia="zh-CN"/>
        </w:rPr>
        <w:t>投标</w:t>
      </w:r>
      <w:r>
        <w:rPr>
          <w:rStyle w:val="25"/>
          <w:rFonts w:hint="eastAsia" w:ascii="宋体" w:hAnsi="宋体" w:eastAsia="宋体" w:cs="宋体"/>
          <w:b w:val="0"/>
          <w:bCs/>
          <w:color w:val="auto"/>
          <w:sz w:val="24"/>
          <w:szCs w:val="24"/>
          <w:highlight w:val="none"/>
        </w:rPr>
        <w:t>而予以拒绝。</w:t>
      </w:r>
    </w:p>
    <w:bookmarkEnd w:id="95"/>
    <w:bookmarkEnd w:id="96"/>
    <w:bookmarkEnd w:id="97"/>
    <w:bookmarkEnd w:id="98"/>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99" w:name="_Toc245897288"/>
      <w:r>
        <w:rPr>
          <w:rStyle w:val="25"/>
          <w:rFonts w:hint="eastAsia" w:cs="宋体"/>
          <w:b/>
          <w:bCs w:val="0"/>
          <w:color w:val="auto"/>
          <w:sz w:val="24"/>
          <w:szCs w:val="24"/>
          <w:highlight w:val="none"/>
        </w:rPr>
        <w:t>1</w:t>
      </w:r>
      <w:r>
        <w:rPr>
          <w:rStyle w:val="25"/>
          <w:rFonts w:hint="eastAsia" w:cs="宋体"/>
          <w:b/>
          <w:bCs w:val="0"/>
          <w:color w:val="auto"/>
          <w:sz w:val="24"/>
          <w:szCs w:val="24"/>
          <w:highlight w:val="none"/>
          <w:lang w:val="en-US" w:eastAsia="zh-CN"/>
        </w:rPr>
        <w:t>7</w:t>
      </w:r>
      <w:r>
        <w:rPr>
          <w:rStyle w:val="25"/>
          <w:rFonts w:hint="eastAsia" w:cs="宋体"/>
          <w:b/>
          <w:bCs w:val="0"/>
          <w:color w:val="auto"/>
          <w:sz w:val="24"/>
          <w:szCs w:val="24"/>
          <w:highlight w:val="none"/>
        </w:rPr>
        <w:t>、商务报价货币</w:t>
      </w:r>
      <w:bookmarkEnd w:id="99"/>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商务报价一览表和</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中的所有报价一律使用人民币（RMB）填报。</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100" w:name="_Toc245897289"/>
      <w:bookmarkStart w:id="101" w:name="_Toc233274829"/>
      <w:bookmarkStart w:id="102" w:name="_Toc243906328"/>
      <w:bookmarkStart w:id="103" w:name="_Toc243907589"/>
      <w:r>
        <w:rPr>
          <w:rStyle w:val="25"/>
          <w:rFonts w:hint="eastAsia" w:cs="宋体"/>
          <w:b/>
          <w:bCs w:val="0"/>
          <w:color w:val="auto"/>
          <w:sz w:val="24"/>
          <w:szCs w:val="24"/>
          <w:highlight w:val="none"/>
        </w:rPr>
        <w:t>1</w:t>
      </w:r>
      <w:r>
        <w:rPr>
          <w:rStyle w:val="25"/>
          <w:rFonts w:hint="eastAsia" w:cs="宋体"/>
          <w:b/>
          <w:bCs w:val="0"/>
          <w:color w:val="auto"/>
          <w:sz w:val="24"/>
          <w:szCs w:val="24"/>
          <w:highlight w:val="none"/>
          <w:lang w:val="en-US" w:eastAsia="zh-CN"/>
        </w:rPr>
        <w:t>8</w:t>
      </w:r>
      <w:r>
        <w:rPr>
          <w:rStyle w:val="25"/>
          <w:rFonts w:hint="eastAsia" w:cs="宋体"/>
          <w:b/>
          <w:bCs w:val="0"/>
          <w:color w:val="auto"/>
          <w:sz w:val="24"/>
          <w:szCs w:val="24"/>
          <w:highlight w:val="none"/>
        </w:rPr>
        <w:t>、</w:t>
      </w:r>
      <w:r>
        <w:rPr>
          <w:rStyle w:val="25"/>
          <w:rFonts w:hint="eastAsia" w:cs="宋体"/>
          <w:b/>
          <w:bCs w:val="0"/>
          <w:color w:val="auto"/>
          <w:sz w:val="24"/>
          <w:szCs w:val="24"/>
          <w:highlight w:val="none"/>
          <w:lang w:eastAsia="zh-CN"/>
        </w:rPr>
        <w:t>供应商</w:t>
      </w:r>
      <w:r>
        <w:rPr>
          <w:rStyle w:val="25"/>
          <w:rFonts w:hint="eastAsia" w:cs="宋体"/>
          <w:b/>
          <w:bCs w:val="0"/>
          <w:color w:val="auto"/>
          <w:sz w:val="24"/>
          <w:szCs w:val="24"/>
          <w:highlight w:val="none"/>
        </w:rPr>
        <w:t>资格证明文件</w:t>
      </w:r>
      <w:bookmarkEnd w:id="100"/>
      <w:bookmarkEnd w:id="101"/>
      <w:bookmarkEnd w:id="102"/>
      <w:bookmarkEnd w:id="103"/>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val="en-US" w:eastAsia="zh-CN"/>
        </w:rPr>
        <w:t>8</w:t>
      </w:r>
      <w:r>
        <w:rPr>
          <w:rStyle w:val="25"/>
          <w:rFonts w:hint="eastAsia" w:cs="宋体"/>
          <w:b w:val="0"/>
          <w:bCs/>
          <w:color w:val="auto"/>
          <w:sz w:val="24"/>
          <w:szCs w:val="24"/>
          <w:highlight w:val="none"/>
        </w:rPr>
        <w:t xml:space="preserve">.1 </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必须提交证明其有资格参加</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和</w:t>
      </w:r>
      <w:r>
        <w:rPr>
          <w:rStyle w:val="25"/>
          <w:rFonts w:hint="eastAsia" w:cs="宋体"/>
          <w:b w:val="0"/>
          <w:bCs/>
          <w:color w:val="auto"/>
          <w:sz w:val="24"/>
          <w:szCs w:val="24"/>
          <w:highlight w:val="none"/>
          <w:lang w:eastAsia="zh-CN"/>
        </w:rPr>
        <w:t>成交</w:t>
      </w:r>
      <w:r>
        <w:rPr>
          <w:rStyle w:val="25"/>
          <w:rFonts w:hint="eastAsia" w:cs="宋体"/>
          <w:b w:val="0"/>
          <w:bCs/>
          <w:color w:val="auto"/>
          <w:sz w:val="24"/>
          <w:szCs w:val="24"/>
          <w:highlight w:val="none"/>
        </w:rPr>
        <w:t>后有能力履行合同的文件。</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eastAsia="宋体" w:cs="宋体"/>
          <w:b/>
          <w:bCs w:val="0"/>
          <w:color w:val="auto"/>
          <w:sz w:val="24"/>
          <w:szCs w:val="24"/>
          <w:highlight w:val="none"/>
          <w:lang w:eastAsia="zh-CN"/>
        </w:rPr>
      </w:pPr>
      <w:bookmarkStart w:id="104" w:name="_Toc245897290"/>
      <w:bookmarkStart w:id="105" w:name="_Toc243907590"/>
      <w:bookmarkStart w:id="106" w:name="_Toc233274830"/>
      <w:bookmarkStart w:id="107" w:name="_Toc243906329"/>
      <w:r>
        <w:rPr>
          <w:rStyle w:val="25"/>
          <w:rFonts w:hint="eastAsia" w:cs="宋体"/>
          <w:b/>
          <w:bCs w:val="0"/>
          <w:color w:val="auto"/>
          <w:sz w:val="24"/>
          <w:szCs w:val="24"/>
          <w:highlight w:val="none"/>
        </w:rPr>
        <w:t>1</w:t>
      </w:r>
      <w:r>
        <w:rPr>
          <w:rStyle w:val="25"/>
          <w:rFonts w:hint="eastAsia" w:cs="宋体"/>
          <w:b/>
          <w:bCs w:val="0"/>
          <w:color w:val="auto"/>
          <w:sz w:val="24"/>
          <w:szCs w:val="24"/>
          <w:highlight w:val="none"/>
          <w:lang w:val="en-US" w:eastAsia="zh-CN"/>
        </w:rPr>
        <w:t>9</w:t>
      </w:r>
      <w:r>
        <w:rPr>
          <w:rStyle w:val="25"/>
          <w:rFonts w:hint="eastAsia" w:cs="宋体"/>
          <w:b/>
          <w:bCs w:val="0"/>
          <w:color w:val="auto"/>
          <w:sz w:val="24"/>
          <w:szCs w:val="24"/>
          <w:highlight w:val="none"/>
        </w:rPr>
        <w:t>、提供的</w:t>
      </w:r>
      <w:r>
        <w:rPr>
          <w:rStyle w:val="25"/>
          <w:rFonts w:hint="eastAsia" w:cs="宋体"/>
          <w:b/>
          <w:bCs w:val="0"/>
          <w:color w:val="auto"/>
          <w:sz w:val="24"/>
          <w:szCs w:val="24"/>
          <w:highlight w:val="none"/>
          <w:lang w:eastAsia="zh-CN"/>
        </w:rPr>
        <w:t>服务</w:t>
      </w:r>
      <w:r>
        <w:rPr>
          <w:rStyle w:val="25"/>
          <w:rFonts w:hint="eastAsia" w:cs="宋体"/>
          <w:b/>
          <w:bCs w:val="0"/>
          <w:color w:val="auto"/>
          <w:sz w:val="24"/>
          <w:szCs w:val="24"/>
          <w:highlight w:val="none"/>
        </w:rPr>
        <w:t>符合</w:t>
      </w:r>
      <w:r>
        <w:rPr>
          <w:rStyle w:val="25"/>
          <w:rFonts w:hint="eastAsia" w:cs="宋体"/>
          <w:b/>
          <w:bCs w:val="0"/>
          <w:color w:val="auto"/>
          <w:sz w:val="24"/>
          <w:szCs w:val="24"/>
          <w:highlight w:val="none"/>
          <w:lang w:eastAsia="zh-CN"/>
        </w:rPr>
        <w:t>竞争性磋商文件</w:t>
      </w:r>
      <w:r>
        <w:rPr>
          <w:rStyle w:val="25"/>
          <w:rFonts w:hint="eastAsia" w:cs="宋体"/>
          <w:b/>
          <w:bCs w:val="0"/>
          <w:color w:val="auto"/>
          <w:sz w:val="24"/>
          <w:szCs w:val="24"/>
          <w:highlight w:val="none"/>
        </w:rPr>
        <w:t>规定的技术</w:t>
      </w:r>
      <w:bookmarkEnd w:id="104"/>
      <w:bookmarkEnd w:id="105"/>
      <w:bookmarkEnd w:id="106"/>
      <w:bookmarkEnd w:id="107"/>
      <w:r>
        <w:rPr>
          <w:rStyle w:val="25"/>
          <w:rFonts w:hint="eastAsia" w:cs="宋体"/>
          <w:b/>
          <w:bCs w:val="0"/>
          <w:color w:val="auto"/>
          <w:sz w:val="24"/>
          <w:szCs w:val="24"/>
          <w:highlight w:val="none"/>
          <w:lang w:eastAsia="zh-CN"/>
        </w:rPr>
        <w:t>响应文件</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val="en-US" w:eastAsia="zh-CN"/>
        </w:rPr>
        <w:t>9</w:t>
      </w:r>
      <w:r>
        <w:rPr>
          <w:rStyle w:val="25"/>
          <w:rFonts w:hint="eastAsia" w:cs="宋体"/>
          <w:b w:val="0"/>
          <w:bCs/>
          <w:color w:val="auto"/>
          <w:sz w:val="24"/>
          <w:szCs w:val="24"/>
          <w:highlight w:val="none"/>
        </w:rPr>
        <w:t xml:space="preserve">.1 </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须提交证明其拟供服务符合</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、技术规范及标准、项目采购需求规定的技术</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，作为</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的一部分；</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val="en-US" w:eastAsia="zh-CN"/>
        </w:rPr>
        <w:t>9</w:t>
      </w:r>
      <w:r>
        <w:rPr>
          <w:rStyle w:val="25"/>
          <w:rFonts w:hint="eastAsia" w:cs="宋体"/>
          <w:b w:val="0"/>
          <w:bCs/>
          <w:color w:val="auto"/>
          <w:sz w:val="24"/>
          <w:szCs w:val="24"/>
          <w:highlight w:val="none"/>
        </w:rPr>
        <w:t>.2上述文件可以是文字资料、图纸和数据，并须提供主要技术性能的详细描述及设备清单和所提供服务的详细说明；</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19.3</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应逐条对</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、项目采购需求、合同条款等进行仔细阅读，提出自己提供的服务是否对其做出了实质性的</w:t>
      </w:r>
      <w:r>
        <w:rPr>
          <w:rStyle w:val="25"/>
          <w:rFonts w:hint="eastAsia" w:cs="宋体"/>
          <w:b w:val="0"/>
          <w:bCs/>
          <w:color w:val="auto"/>
          <w:sz w:val="24"/>
          <w:szCs w:val="24"/>
          <w:highlight w:val="none"/>
          <w:lang w:eastAsia="zh-CN"/>
        </w:rPr>
        <w:t>投标</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108" w:name="_Toc243907591"/>
      <w:bookmarkStart w:id="109" w:name="_Toc245897291"/>
      <w:bookmarkStart w:id="110" w:name="_Toc243906330"/>
      <w:bookmarkStart w:id="111" w:name="_Toc233274831"/>
      <w:r>
        <w:rPr>
          <w:rStyle w:val="25"/>
          <w:rFonts w:hint="eastAsia" w:cs="宋体"/>
          <w:b/>
          <w:bCs w:val="0"/>
          <w:color w:val="auto"/>
          <w:sz w:val="24"/>
          <w:szCs w:val="24"/>
          <w:highlight w:val="none"/>
          <w:lang w:val="en-US" w:eastAsia="zh-CN"/>
        </w:rPr>
        <w:t>20</w:t>
      </w:r>
      <w:r>
        <w:rPr>
          <w:rStyle w:val="25"/>
          <w:rFonts w:hint="eastAsia" w:cs="宋体"/>
          <w:b/>
          <w:bCs w:val="0"/>
          <w:color w:val="auto"/>
          <w:sz w:val="24"/>
          <w:szCs w:val="24"/>
          <w:highlight w:val="none"/>
        </w:rPr>
        <w:t>、</w:t>
      </w:r>
      <w:r>
        <w:rPr>
          <w:rStyle w:val="25"/>
          <w:rFonts w:hint="eastAsia" w:cs="宋体"/>
          <w:b/>
          <w:bCs w:val="0"/>
          <w:color w:val="auto"/>
          <w:sz w:val="24"/>
          <w:szCs w:val="24"/>
          <w:highlight w:val="none"/>
          <w:lang w:eastAsia="zh-CN"/>
        </w:rPr>
        <w:t>响应文件</w:t>
      </w:r>
      <w:r>
        <w:rPr>
          <w:rStyle w:val="25"/>
          <w:rFonts w:hint="eastAsia" w:cs="宋体"/>
          <w:b/>
          <w:bCs w:val="0"/>
          <w:color w:val="auto"/>
          <w:sz w:val="24"/>
          <w:szCs w:val="24"/>
          <w:highlight w:val="none"/>
        </w:rPr>
        <w:t>有效期</w:t>
      </w:r>
      <w:bookmarkEnd w:id="108"/>
      <w:bookmarkEnd w:id="109"/>
      <w:bookmarkEnd w:id="110"/>
      <w:bookmarkEnd w:id="111"/>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20</w:t>
      </w: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有效期为递交</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截止之日起</w:t>
      </w:r>
      <w:r>
        <w:rPr>
          <w:rStyle w:val="25"/>
          <w:rFonts w:hint="eastAsia" w:cs="宋体"/>
          <w:b w:val="0"/>
          <w:bCs/>
          <w:color w:val="auto"/>
          <w:sz w:val="24"/>
          <w:szCs w:val="24"/>
          <w:highlight w:val="none"/>
          <w:lang w:val="en-US" w:eastAsia="zh-CN"/>
        </w:rPr>
        <w:t>90天</w:t>
      </w:r>
      <w:r>
        <w:rPr>
          <w:rStyle w:val="25"/>
          <w:rFonts w:hint="eastAsia" w:cs="宋体"/>
          <w:b w:val="0"/>
          <w:bCs/>
          <w:color w:val="auto"/>
          <w:sz w:val="24"/>
          <w:szCs w:val="24"/>
          <w:highlight w:val="none"/>
        </w:rPr>
        <w:t>（日历日）。</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的</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有效期比规定的有效期短的，将被视为非</w:t>
      </w:r>
      <w:r>
        <w:rPr>
          <w:rStyle w:val="25"/>
          <w:rFonts w:hint="eastAsia" w:cs="宋体"/>
          <w:b w:val="0"/>
          <w:bCs/>
          <w:color w:val="auto"/>
          <w:sz w:val="24"/>
          <w:szCs w:val="24"/>
          <w:highlight w:val="none"/>
          <w:lang w:eastAsia="zh-CN"/>
        </w:rPr>
        <w:t>投标</w:t>
      </w:r>
      <w:r>
        <w:rPr>
          <w:rStyle w:val="25"/>
          <w:rFonts w:hint="eastAsia" w:cs="宋体"/>
          <w:b w:val="0"/>
          <w:bCs/>
          <w:color w:val="auto"/>
          <w:sz w:val="24"/>
          <w:szCs w:val="24"/>
          <w:highlight w:val="none"/>
        </w:rPr>
        <w:t>而予以拒绝。</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20</w:t>
      </w:r>
      <w:r>
        <w:rPr>
          <w:rStyle w:val="25"/>
          <w:rFonts w:hint="eastAsia" w:cs="宋体"/>
          <w:b w:val="0"/>
          <w:bCs/>
          <w:color w:val="auto"/>
          <w:sz w:val="24"/>
          <w:szCs w:val="24"/>
          <w:highlight w:val="none"/>
        </w:rPr>
        <w:t>.2 特殊情况下，在原有效期届满之前，</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可征得</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的同意延长其有效期，这种要求与答复均应以书面形式。</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拒绝延长的，其</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失效</w:t>
      </w: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rPr>
        <w:t>同意延长有效期的</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，既不要求也不允许其修改</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112" w:name="_Toc233274832"/>
      <w:bookmarkStart w:id="113" w:name="_Toc245897292"/>
      <w:bookmarkStart w:id="114" w:name="_Toc243906331"/>
      <w:bookmarkStart w:id="115" w:name="_Toc243907592"/>
      <w:r>
        <w:rPr>
          <w:rStyle w:val="25"/>
          <w:rFonts w:hint="eastAsia" w:cs="宋体"/>
          <w:b/>
          <w:bCs w:val="0"/>
          <w:color w:val="auto"/>
          <w:sz w:val="24"/>
          <w:szCs w:val="24"/>
          <w:highlight w:val="none"/>
        </w:rPr>
        <w:t>2</w:t>
      </w:r>
      <w:r>
        <w:rPr>
          <w:rStyle w:val="25"/>
          <w:rFonts w:hint="eastAsia" w:cs="宋体"/>
          <w:b/>
          <w:bCs w:val="0"/>
          <w:color w:val="auto"/>
          <w:sz w:val="24"/>
          <w:szCs w:val="24"/>
          <w:highlight w:val="none"/>
          <w:lang w:val="en-US" w:eastAsia="zh-CN"/>
        </w:rPr>
        <w:t>1</w:t>
      </w:r>
      <w:r>
        <w:rPr>
          <w:rStyle w:val="25"/>
          <w:rFonts w:hint="eastAsia" w:cs="宋体"/>
          <w:b/>
          <w:bCs w:val="0"/>
          <w:color w:val="auto"/>
          <w:sz w:val="24"/>
          <w:szCs w:val="24"/>
          <w:highlight w:val="none"/>
        </w:rPr>
        <w:t>、</w:t>
      </w:r>
      <w:r>
        <w:rPr>
          <w:rStyle w:val="25"/>
          <w:rFonts w:hint="eastAsia" w:cs="宋体"/>
          <w:b/>
          <w:bCs w:val="0"/>
          <w:color w:val="auto"/>
          <w:sz w:val="24"/>
          <w:szCs w:val="24"/>
          <w:highlight w:val="none"/>
          <w:lang w:eastAsia="zh-CN"/>
        </w:rPr>
        <w:t>响应文件</w:t>
      </w:r>
      <w:r>
        <w:rPr>
          <w:rStyle w:val="25"/>
          <w:rFonts w:hint="eastAsia" w:cs="宋体"/>
          <w:b/>
          <w:bCs w:val="0"/>
          <w:color w:val="auto"/>
          <w:sz w:val="24"/>
          <w:szCs w:val="24"/>
          <w:highlight w:val="none"/>
        </w:rPr>
        <w:t>的签署及规定</w:t>
      </w:r>
      <w:bookmarkEnd w:id="112"/>
      <w:bookmarkEnd w:id="113"/>
      <w:bookmarkEnd w:id="114"/>
      <w:bookmarkEnd w:id="115"/>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21.1</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应提交本</w:t>
      </w:r>
      <w:r>
        <w:rPr>
          <w:rStyle w:val="25"/>
          <w:rFonts w:hint="eastAsia" w:cs="宋体"/>
          <w:b w:val="0"/>
          <w:bCs/>
          <w:color w:val="auto"/>
          <w:sz w:val="24"/>
          <w:szCs w:val="24"/>
          <w:highlight w:val="none"/>
          <w:lang w:eastAsia="zh-CN"/>
        </w:rPr>
        <w:t>章</w:t>
      </w:r>
      <w:r>
        <w:rPr>
          <w:rStyle w:val="25"/>
          <w:rFonts w:hint="eastAsia" w:cs="宋体"/>
          <w:b w:val="0"/>
          <w:bCs/>
          <w:color w:val="auto"/>
          <w:sz w:val="24"/>
          <w:szCs w:val="24"/>
          <w:highlight w:val="none"/>
        </w:rPr>
        <w:t>第14条规定的书面</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一式</w:t>
      </w:r>
      <w:r>
        <w:rPr>
          <w:rStyle w:val="25"/>
          <w:rFonts w:hint="eastAsia" w:cs="宋体"/>
          <w:b w:val="0"/>
          <w:bCs/>
          <w:color w:val="auto"/>
          <w:sz w:val="24"/>
          <w:szCs w:val="24"/>
          <w:highlight w:val="none"/>
          <w:lang w:eastAsia="zh-CN"/>
        </w:rPr>
        <w:t>柒</w:t>
      </w:r>
      <w:r>
        <w:rPr>
          <w:rStyle w:val="25"/>
          <w:rFonts w:hint="eastAsia" w:cs="宋体"/>
          <w:b w:val="0"/>
          <w:bCs/>
          <w:color w:val="auto"/>
          <w:sz w:val="24"/>
          <w:szCs w:val="24"/>
          <w:highlight w:val="none"/>
        </w:rPr>
        <w:t>份，其中：壹份正本和</w:t>
      </w:r>
      <w:r>
        <w:rPr>
          <w:rStyle w:val="25"/>
          <w:rFonts w:hint="eastAsia" w:cs="宋体"/>
          <w:b w:val="0"/>
          <w:bCs/>
          <w:color w:val="auto"/>
          <w:sz w:val="24"/>
          <w:szCs w:val="24"/>
          <w:highlight w:val="none"/>
          <w:lang w:eastAsia="zh-CN"/>
        </w:rPr>
        <w:t>陆</w:t>
      </w:r>
      <w:r>
        <w:rPr>
          <w:rStyle w:val="25"/>
          <w:rFonts w:hint="eastAsia" w:cs="宋体"/>
          <w:b w:val="0"/>
          <w:bCs/>
          <w:color w:val="auto"/>
          <w:sz w:val="24"/>
          <w:szCs w:val="24"/>
          <w:highlight w:val="none"/>
        </w:rPr>
        <w:t>份副本，在每一份</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上应明确注明“正本”或“副本”字样，如正、副本之间有差异，以正本为准。</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w:t>
      </w:r>
      <w:r>
        <w:rPr>
          <w:rStyle w:val="25"/>
          <w:rFonts w:hint="eastAsia" w:cs="宋体"/>
          <w:b w:val="0"/>
          <w:bCs/>
          <w:color w:val="auto"/>
          <w:sz w:val="24"/>
          <w:szCs w:val="24"/>
          <w:highlight w:val="none"/>
          <w:lang w:val="en-US" w:eastAsia="zh-CN"/>
        </w:rPr>
        <w:t>1</w:t>
      </w:r>
      <w:r>
        <w:rPr>
          <w:rStyle w:val="25"/>
          <w:rFonts w:hint="eastAsia" w:cs="宋体"/>
          <w:b w:val="0"/>
          <w:bCs/>
          <w:color w:val="auto"/>
          <w:sz w:val="24"/>
          <w:szCs w:val="24"/>
          <w:highlight w:val="none"/>
        </w:rPr>
        <w:t>.2</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正本和副本须打印并由法定代表人或委托代理人签字或盖章。</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应加盖</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的公章。</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w:t>
      </w:r>
      <w:r>
        <w:rPr>
          <w:rStyle w:val="25"/>
          <w:rFonts w:hint="eastAsia" w:cs="宋体"/>
          <w:b w:val="0"/>
          <w:bCs/>
          <w:color w:val="auto"/>
          <w:sz w:val="24"/>
          <w:szCs w:val="24"/>
          <w:highlight w:val="none"/>
          <w:lang w:val="en-US" w:eastAsia="zh-CN"/>
        </w:rPr>
        <w:t>1</w:t>
      </w:r>
      <w:r>
        <w:rPr>
          <w:rStyle w:val="25"/>
          <w:rFonts w:hint="eastAsia" w:cs="宋体"/>
          <w:b w:val="0"/>
          <w:bCs/>
          <w:color w:val="auto"/>
          <w:sz w:val="24"/>
          <w:szCs w:val="24"/>
          <w:highlight w:val="none"/>
        </w:rPr>
        <w:t>.3 除</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对错误做必要修改外，</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中不许有增删、涂改或改写。若确有修改必须由签署</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的委托代理人签字或盖章。</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w:t>
      </w:r>
      <w:r>
        <w:rPr>
          <w:rStyle w:val="25"/>
          <w:rFonts w:hint="eastAsia" w:cs="宋体"/>
          <w:b w:val="0"/>
          <w:bCs/>
          <w:color w:val="auto"/>
          <w:sz w:val="24"/>
          <w:szCs w:val="24"/>
          <w:highlight w:val="none"/>
          <w:lang w:val="en-US" w:eastAsia="zh-CN"/>
        </w:rPr>
        <w:t>1</w:t>
      </w:r>
      <w:r>
        <w:rPr>
          <w:rStyle w:val="25"/>
          <w:rFonts w:hint="eastAsia" w:cs="宋体"/>
          <w:b w:val="0"/>
          <w:bCs/>
          <w:color w:val="auto"/>
          <w:sz w:val="24"/>
          <w:szCs w:val="24"/>
          <w:highlight w:val="none"/>
        </w:rPr>
        <w:t>.4</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副本的上述签名及盖章之处既可由</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的法定代表人或其委托代理人签字或盖章，也可通过复印正本将上述签名及盖章复制到副本上。</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w:t>
      </w:r>
      <w:r>
        <w:rPr>
          <w:rStyle w:val="25"/>
          <w:rFonts w:hint="eastAsia" w:cs="宋体"/>
          <w:b w:val="0"/>
          <w:bCs/>
          <w:color w:val="auto"/>
          <w:sz w:val="24"/>
          <w:szCs w:val="24"/>
          <w:highlight w:val="none"/>
          <w:lang w:val="en-US" w:eastAsia="zh-CN"/>
        </w:rPr>
        <w:t>1</w:t>
      </w:r>
      <w:r>
        <w:rPr>
          <w:rStyle w:val="25"/>
          <w:rFonts w:hint="eastAsia" w:cs="宋体"/>
          <w:b w:val="0"/>
          <w:bCs/>
          <w:color w:val="auto"/>
          <w:sz w:val="24"/>
          <w:szCs w:val="24"/>
          <w:highlight w:val="none"/>
        </w:rPr>
        <w:t xml:space="preserve">.5 </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概不接受电报、电传、电话、邮寄以及电子邮件等方式的</w:t>
      </w:r>
      <w:r>
        <w:rPr>
          <w:rStyle w:val="25"/>
          <w:rFonts w:hint="eastAsia" w:cs="宋体"/>
          <w:b w:val="0"/>
          <w:bCs/>
          <w:color w:val="auto"/>
          <w:sz w:val="24"/>
          <w:szCs w:val="24"/>
          <w:highlight w:val="none"/>
          <w:lang w:eastAsia="zh-CN"/>
        </w:rPr>
        <w:t>评标</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jc w:val="center"/>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 xml:space="preserve">D  </w:t>
      </w:r>
      <w:r>
        <w:rPr>
          <w:rStyle w:val="25"/>
          <w:rFonts w:hint="eastAsia" w:cs="宋体"/>
          <w:b/>
          <w:bCs w:val="0"/>
          <w:color w:val="auto"/>
          <w:sz w:val="24"/>
          <w:szCs w:val="24"/>
          <w:highlight w:val="none"/>
          <w:lang w:eastAsia="zh-CN"/>
        </w:rPr>
        <w:t>响应文件</w:t>
      </w:r>
      <w:r>
        <w:rPr>
          <w:rStyle w:val="25"/>
          <w:rFonts w:hint="eastAsia" w:cs="宋体"/>
          <w:b/>
          <w:bCs w:val="0"/>
          <w:color w:val="auto"/>
          <w:sz w:val="24"/>
          <w:szCs w:val="24"/>
          <w:highlight w:val="none"/>
        </w:rPr>
        <w:t>的递交、修改和撤回</w:t>
      </w:r>
      <w:bookmarkEnd w:id="91"/>
      <w:bookmarkEnd w:id="92"/>
      <w:bookmarkEnd w:id="93"/>
      <w:bookmarkEnd w:id="94"/>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116" w:name="_Toc245897295"/>
      <w:bookmarkStart w:id="117" w:name="_Toc243906334"/>
      <w:bookmarkStart w:id="118" w:name="_Toc243907595"/>
      <w:bookmarkStart w:id="119" w:name="_Toc233274835"/>
      <w:r>
        <w:rPr>
          <w:rStyle w:val="25"/>
          <w:rFonts w:hint="eastAsia" w:cs="宋体"/>
          <w:b/>
          <w:bCs w:val="0"/>
          <w:color w:val="auto"/>
          <w:sz w:val="24"/>
          <w:szCs w:val="24"/>
          <w:highlight w:val="none"/>
        </w:rPr>
        <w:t>22、</w:t>
      </w:r>
      <w:r>
        <w:rPr>
          <w:rStyle w:val="25"/>
          <w:rFonts w:hint="eastAsia" w:cs="宋体"/>
          <w:b/>
          <w:bCs w:val="0"/>
          <w:color w:val="auto"/>
          <w:sz w:val="24"/>
          <w:szCs w:val="24"/>
          <w:highlight w:val="none"/>
          <w:lang w:eastAsia="zh-CN"/>
        </w:rPr>
        <w:t>响应文件</w:t>
      </w:r>
      <w:r>
        <w:rPr>
          <w:rStyle w:val="25"/>
          <w:rFonts w:hint="eastAsia" w:cs="宋体"/>
          <w:b/>
          <w:bCs w:val="0"/>
          <w:color w:val="auto"/>
          <w:sz w:val="24"/>
          <w:szCs w:val="24"/>
          <w:highlight w:val="none"/>
        </w:rPr>
        <w:t>的密封和标记</w:t>
      </w:r>
      <w:bookmarkEnd w:id="116"/>
      <w:bookmarkEnd w:id="117"/>
      <w:bookmarkEnd w:id="118"/>
      <w:bookmarkEnd w:id="119"/>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22.1</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均按A4复印纸页面编制、装订。所有</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均为明标。</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22.2</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应将</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装订、密封，并在密封处加盖</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公章。</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22.3</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密封袋上均应写明“</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 xml:space="preserve">”、“ 项目名称”、“ </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 xml:space="preserve">编号”、“ </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名称”和“地址”等事项并注明“开启前不准启封”等字样。</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22.4未按本要求密封、标记的</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（或</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）不对后果负责。</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120" w:name="_Toc233274836"/>
      <w:bookmarkStart w:id="121" w:name="_Toc245897296"/>
      <w:bookmarkStart w:id="122" w:name="_Toc243906335"/>
      <w:bookmarkStart w:id="123" w:name="_Toc243907596"/>
      <w:r>
        <w:rPr>
          <w:rStyle w:val="25"/>
          <w:rFonts w:hint="eastAsia" w:cs="宋体"/>
          <w:b/>
          <w:bCs w:val="0"/>
          <w:color w:val="auto"/>
          <w:sz w:val="24"/>
          <w:szCs w:val="24"/>
          <w:highlight w:val="none"/>
        </w:rPr>
        <w:t>2</w:t>
      </w:r>
      <w:r>
        <w:rPr>
          <w:rStyle w:val="25"/>
          <w:rFonts w:hint="eastAsia" w:cs="宋体"/>
          <w:b/>
          <w:bCs w:val="0"/>
          <w:color w:val="auto"/>
          <w:sz w:val="24"/>
          <w:szCs w:val="24"/>
          <w:highlight w:val="none"/>
          <w:lang w:val="en-US" w:eastAsia="zh-CN"/>
        </w:rPr>
        <w:t>3</w:t>
      </w:r>
      <w:r>
        <w:rPr>
          <w:rStyle w:val="25"/>
          <w:rFonts w:hint="eastAsia" w:cs="宋体"/>
          <w:b/>
          <w:bCs w:val="0"/>
          <w:color w:val="auto"/>
          <w:sz w:val="24"/>
          <w:szCs w:val="24"/>
          <w:highlight w:val="none"/>
        </w:rPr>
        <w:t>、递交</w:t>
      </w:r>
      <w:r>
        <w:rPr>
          <w:rStyle w:val="25"/>
          <w:rFonts w:hint="eastAsia" w:cs="宋体"/>
          <w:b/>
          <w:bCs w:val="0"/>
          <w:color w:val="auto"/>
          <w:sz w:val="24"/>
          <w:szCs w:val="24"/>
          <w:highlight w:val="none"/>
          <w:lang w:eastAsia="zh-CN"/>
        </w:rPr>
        <w:t>响应文件</w:t>
      </w:r>
      <w:r>
        <w:rPr>
          <w:rStyle w:val="25"/>
          <w:rFonts w:hint="eastAsia" w:cs="宋体"/>
          <w:b/>
          <w:bCs w:val="0"/>
          <w:color w:val="auto"/>
          <w:sz w:val="24"/>
          <w:szCs w:val="24"/>
          <w:highlight w:val="none"/>
        </w:rPr>
        <w:t>截止时间</w:t>
      </w:r>
      <w:bookmarkEnd w:id="120"/>
      <w:bookmarkEnd w:id="121"/>
      <w:bookmarkEnd w:id="122"/>
      <w:bookmarkEnd w:id="123"/>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w:t>
      </w:r>
      <w:r>
        <w:rPr>
          <w:rStyle w:val="25"/>
          <w:rFonts w:hint="eastAsia" w:cs="宋体"/>
          <w:b w:val="0"/>
          <w:bCs/>
          <w:color w:val="auto"/>
          <w:sz w:val="24"/>
          <w:szCs w:val="24"/>
          <w:highlight w:val="none"/>
          <w:lang w:val="en-US" w:eastAsia="zh-CN"/>
        </w:rPr>
        <w:t>3</w:t>
      </w:r>
      <w:r>
        <w:rPr>
          <w:rStyle w:val="25"/>
          <w:rFonts w:hint="eastAsia" w:cs="宋体"/>
          <w:b w:val="0"/>
          <w:bCs/>
          <w:color w:val="auto"/>
          <w:sz w:val="24"/>
          <w:szCs w:val="24"/>
          <w:highlight w:val="none"/>
        </w:rPr>
        <w:t>.1 所有</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都必须按</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在</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须知前</w:t>
      </w:r>
      <w:r>
        <w:rPr>
          <w:rStyle w:val="25"/>
          <w:rFonts w:hint="eastAsia" w:cs="宋体"/>
          <w:b w:val="0"/>
          <w:bCs/>
          <w:color w:val="auto"/>
          <w:sz w:val="24"/>
          <w:szCs w:val="24"/>
          <w:highlight w:val="none"/>
          <w:lang w:eastAsia="zh-CN"/>
        </w:rPr>
        <w:t>附表</w:t>
      </w:r>
      <w:r>
        <w:rPr>
          <w:rStyle w:val="25"/>
          <w:rFonts w:hint="eastAsia" w:cs="宋体"/>
          <w:b w:val="0"/>
          <w:bCs/>
          <w:color w:val="auto"/>
          <w:sz w:val="24"/>
          <w:szCs w:val="24"/>
          <w:highlight w:val="none"/>
        </w:rPr>
        <w:t>中规定的截止时间之前送达。</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w:t>
      </w:r>
      <w:r>
        <w:rPr>
          <w:rStyle w:val="25"/>
          <w:rFonts w:hint="eastAsia" w:cs="宋体"/>
          <w:b w:val="0"/>
          <w:bCs/>
          <w:color w:val="auto"/>
          <w:sz w:val="24"/>
          <w:szCs w:val="24"/>
          <w:highlight w:val="none"/>
          <w:lang w:val="en-US" w:eastAsia="zh-CN"/>
        </w:rPr>
        <w:t>3</w:t>
      </w:r>
      <w:r>
        <w:rPr>
          <w:rStyle w:val="25"/>
          <w:rFonts w:hint="eastAsia" w:cs="宋体"/>
          <w:b w:val="0"/>
          <w:bCs/>
          <w:color w:val="auto"/>
          <w:sz w:val="24"/>
          <w:szCs w:val="24"/>
          <w:highlight w:val="none"/>
        </w:rPr>
        <w:t>.2出现因</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的修改推迟截止日期时，则按</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修改通知规定的时间递交</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。在此情况下，</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和</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与</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之间受截止期制约的所有权利和义务应延长至新的截止期。</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eastAsia="宋体" w:cs="宋体"/>
          <w:b/>
          <w:bCs w:val="0"/>
          <w:color w:val="auto"/>
          <w:sz w:val="24"/>
          <w:szCs w:val="24"/>
          <w:highlight w:val="none"/>
          <w:lang w:eastAsia="zh-CN"/>
        </w:rPr>
      </w:pPr>
      <w:bookmarkStart w:id="124" w:name="_Toc233274837"/>
      <w:bookmarkStart w:id="125" w:name="_Toc245897297"/>
      <w:bookmarkStart w:id="126" w:name="_Toc243907597"/>
      <w:bookmarkStart w:id="127" w:name="_Toc243906336"/>
      <w:r>
        <w:rPr>
          <w:rStyle w:val="25"/>
          <w:rFonts w:hint="eastAsia" w:cs="宋体"/>
          <w:b/>
          <w:bCs w:val="0"/>
          <w:color w:val="auto"/>
          <w:sz w:val="24"/>
          <w:szCs w:val="24"/>
          <w:highlight w:val="none"/>
        </w:rPr>
        <w:t>2</w:t>
      </w:r>
      <w:r>
        <w:rPr>
          <w:rStyle w:val="25"/>
          <w:rFonts w:hint="eastAsia" w:cs="宋体"/>
          <w:b/>
          <w:bCs w:val="0"/>
          <w:color w:val="auto"/>
          <w:sz w:val="24"/>
          <w:szCs w:val="24"/>
          <w:highlight w:val="none"/>
          <w:lang w:val="en-US" w:eastAsia="zh-CN"/>
        </w:rPr>
        <w:t>4</w:t>
      </w:r>
      <w:r>
        <w:rPr>
          <w:rStyle w:val="25"/>
          <w:rFonts w:hint="eastAsia" w:cs="宋体"/>
          <w:b/>
          <w:bCs w:val="0"/>
          <w:color w:val="auto"/>
          <w:sz w:val="24"/>
          <w:szCs w:val="24"/>
          <w:highlight w:val="none"/>
        </w:rPr>
        <w:t>、迟交的</w:t>
      </w:r>
      <w:bookmarkEnd w:id="124"/>
      <w:bookmarkEnd w:id="125"/>
      <w:bookmarkEnd w:id="126"/>
      <w:bookmarkEnd w:id="127"/>
      <w:r>
        <w:rPr>
          <w:rStyle w:val="25"/>
          <w:rFonts w:hint="eastAsia" w:cs="宋体"/>
          <w:b/>
          <w:bCs w:val="0"/>
          <w:color w:val="auto"/>
          <w:sz w:val="24"/>
          <w:szCs w:val="24"/>
          <w:highlight w:val="none"/>
          <w:lang w:eastAsia="zh-CN"/>
        </w:rPr>
        <w:t>响应文件</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将拒绝并原封退回在其规定的截止时间后送达的</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128" w:name="_Toc245897298"/>
      <w:bookmarkStart w:id="129" w:name="_Toc243906337"/>
      <w:bookmarkStart w:id="130" w:name="_Toc233274838"/>
      <w:bookmarkStart w:id="131" w:name="_Toc243907598"/>
      <w:r>
        <w:rPr>
          <w:rStyle w:val="25"/>
          <w:rFonts w:hint="eastAsia" w:cs="宋体"/>
          <w:b/>
          <w:bCs w:val="0"/>
          <w:color w:val="auto"/>
          <w:sz w:val="24"/>
          <w:szCs w:val="24"/>
          <w:highlight w:val="none"/>
        </w:rPr>
        <w:t>2</w:t>
      </w:r>
      <w:r>
        <w:rPr>
          <w:rStyle w:val="25"/>
          <w:rFonts w:hint="eastAsia" w:cs="宋体"/>
          <w:b/>
          <w:bCs w:val="0"/>
          <w:color w:val="auto"/>
          <w:sz w:val="24"/>
          <w:szCs w:val="24"/>
          <w:highlight w:val="none"/>
          <w:lang w:val="en-US" w:eastAsia="zh-CN"/>
        </w:rPr>
        <w:t>5</w:t>
      </w:r>
      <w:r>
        <w:rPr>
          <w:rStyle w:val="25"/>
          <w:rFonts w:hint="eastAsia" w:cs="宋体"/>
          <w:b/>
          <w:bCs w:val="0"/>
          <w:color w:val="auto"/>
          <w:sz w:val="24"/>
          <w:szCs w:val="24"/>
          <w:highlight w:val="none"/>
        </w:rPr>
        <w:t>、</w:t>
      </w:r>
      <w:r>
        <w:rPr>
          <w:rStyle w:val="25"/>
          <w:rFonts w:hint="eastAsia" w:cs="宋体"/>
          <w:b/>
          <w:bCs w:val="0"/>
          <w:color w:val="auto"/>
          <w:sz w:val="24"/>
          <w:szCs w:val="24"/>
          <w:highlight w:val="none"/>
          <w:lang w:eastAsia="zh-CN"/>
        </w:rPr>
        <w:t>响应文件</w:t>
      </w:r>
      <w:r>
        <w:rPr>
          <w:rStyle w:val="25"/>
          <w:rFonts w:hint="eastAsia" w:cs="宋体"/>
          <w:b/>
          <w:bCs w:val="0"/>
          <w:color w:val="auto"/>
          <w:sz w:val="24"/>
          <w:szCs w:val="24"/>
          <w:highlight w:val="none"/>
        </w:rPr>
        <w:t>的修改和撤回</w:t>
      </w:r>
      <w:bookmarkEnd w:id="128"/>
      <w:bookmarkEnd w:id="129"/>
      <w:bookmarkEnd w:id="130"/>
      <w:bookmarkEnd w:id="131"/>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w:t>
      </w:r>
      <w:r>
        <w:rPr>
          <w:rStyle w:val="25"/>
          <w:rFonts w:hint="eastAsia" w:cs="宋体"/>
          <w:b w:val="0"/>
          <w:bCs/>
          <w:color w:val="auto"/>
          <w:sz w:val="24"/>
          <w:szCs w:val="24"/>
          <w:highlight w:val="none"/>
          <w:lang w:val="en-US" w:eastAsia="zh-CN"/>
        </w:rPr>
        <w:t>5</w:t>
      </w:r>
      <w:r>
        <w:rPr>
          <w:rStyle w:val="25"/>
          <w:rFonts w:hint="eastAsia" w:cs="宋体"/>
          <w:b w:val="0"/>
          <w:bCs/>
          <w:color w:val="auto"/>
          <w:sz w:val="24"/>
          <w:szCs w:val="24"/>
          <w:highlight w:val="none"/>
        </w:rPr>
        <w:t xml:space="preserve">.1 </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在提交</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后可在截止时间前对其</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进行修改或撤回，但</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须在截止时间之前收到该修改或撤回的书面通知，该通知须有法定代表人或经有效授权的委托代理人签字或盖章。</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w:t>
      </w:r>
      <w:r>
        <w:rPr>
          <w:rStyle w:val="25"/>
          <w:rFonts w:hint="eastAsia" w:cs="宋体"/>
          <w:b w:val="0"/>
          <w:bCs/>
          <w:color w:val="auto"/>
          <w:sz w:val="24"/>
          <w:szCs w:val="24"/>
          <w:highlight w:val="none"/>
          <w:lang w:val="en-US" w:eastAsia="zh-CN"/>
        </w:rPr>
        <w:t>5</w:t>
      </w:r>
      <w:r>
        <w:rPr>
          <w:rStyle w:val="25"/>
          <w:rFonts w:hint="eastAsia" w:cs="宋体"/>
          <w:b w:val="0"/>
          <w:bCs/>
          <w:color w:val="auto"/>
          <w:sz w:val="24"/>
          <w:szCs w:val="24"/>
          <w:highlight w:val="none"/>
        </w:rPr>
        <w:t xml:space="preserve">.2 </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对</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修改的书面材料或撤回的通知应按第2</w:t>
      </w:r>
      <w:r>
        <w:rPr>
          <w:rStyle w:val="25"/>
          <w:rFonts w:hint="eastAsia" w:cs="宋体"/>
          <w:b w:val="0"/>
          <w:bCs/>
          <w:color w:val="auto"/>
          <w:sz w:val="24"/>
          <w:szCs w:val="24"/>
          <w:highlight w:val="none"/>
          <w:lang w:val="en-US" w:eastAsia="zh-CN"/>
        </w:rPr>
        <w:t>2</w:t>
      </w:r>
      <w:r>
        <w:rPr>
          <w:rStyle w:val="25"/>
          <w:rFonts w:hint="eastAsia" w:cs="宋体"/>
          <w:b w:val="0"/>
          <w:bCs/>
          <w:color w:val="auto"/>
          <w:sz w:val="24"/>
          <w:szCs w:val="24"/>
          <w:highlight w:val="none"/>
        </w:rPr>
        <w:t>条和第2</w:t>
      </w:r>
      <w:r>
        <w:rPr>
          <w:rStyle w:val="25"/>
          <w:rFonts w:hint="eastAsia" w:cs="宋体"/>
          <w:b w:val="0"/>
          <w:bCs/>
          <w:color w:val="auto"/>
          <w:sz w:val="24"/>
          <w:szCs w:val="24"/>
          <w:highlight w:val="none"/>
          <w:lang w:val="en-US" w:eastAsia="zh-CN"/>
        </w:rPr>
        <w:t>3</w:t>
      </w:r>
      <w:r>
        <w:rPr>
          <w:rStyle w:val="25"/>
          <w:rFonts w:hint="eastAsia" w:cs="宋体"/>
          <w:b w:val="0"/>
          <w:bCs/>
          <w:color w:val="auto"/>
          <w:sz w:val="24"/>
          <w:szCs w:val="24"/>
          <w:highlight w:val="none"/>
        </w:rPr>
        <w:t>条规定进行编写、密封、标记和递交，并注明“修改</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”或“撤回</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”字样。</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w:t>
      </w:r>
      <w:r>
        <w:rPr>
          <w:rStyle w:val="25"/>
          <w:rFonts w:hint="eastAsia" w:cs="宋体"/>
          <w:b w:val="0"/>
          <w:bCs/>
          <w:color w:val="auto"/>
          <w:sz w:val="24"/>
          <w:szCs w:val="24"/>
          <w:highlight w:val="none"/>
          <w:lang w:val="en-US" w:eastAsia="zh-CN"/>
        </w:rPr>
        <w:t>5</w:t>
      </w:r>
      <w:r>
        <w:rPr>
          <w:rStyle w:val="25"/>
          <w:rFonts w:hint="eastAsia" w:cs="宋体"/>
          <w:b w:val="0"/>
          <w:bCs/>
          <w:color w:val="auto"/>
          <w:sz w:val="24"/>
          <w:szCs w:val="24"/>
          <w:highlight w:val="none"/>
        </w:rPr>
        <w:t>.3截止时间之后，</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不得对</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做任何修改。</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w:t>
      </w:r>
      <w:r>
        <w:rPr>
          <w:rStyle w:val="25"/>
          <w:rFonts w:hint="eastAsia" w:cs="宋体"/>
          <w:b w:val="0"/>
          <w:bCs/>
          <w:color w:val="auto"/>
          <w:sz w:val="24"/>
          <w:szCs w:val="24"/>
          <w:highlight w:val="none"/>
          <w:lang w:val="en-US" w:eastAsia="zh-CN"/>
        </w:rPr>
        <w:t>5</w:t>
      </w:r>
      <w:r>
        <w:rPr>
          <w:rStyle w:val="25"/>
          <w:rFonts w:hint="eastAsia" w:cs="宋体"/>
          <w:b w:val="0"/>
          <w:bCs/>
          <w:color w:val="auto"/>
          <w:sz w:val="24"/>
          <w:szCs w:val="24"/>
          <w:highlight w:val="none"/>
        </w:rPr>
        <w:t xml:space="preserve">.4 </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不得在截止时间起至</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有效期期满前撤回</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eastAsia="宋体" w:cs="宋体"/>
          <w:b/>
          <w:bCs w:val="0"/>
          <w:color w:val="auto"/>
          <w:sz w:val="24"/>
          <w:szCs w:val="24"/>
          <w:highlight w:val="none"/>
          <w:lang w:eastAsia="zh-CN"/>
        </w:rPr>
      </w:pPr>
      <w:bookmarkStart w:id="132" w:name="_Toc233274839"/>
      <w:bookmarkStart w:id="133" w:name="_Toc245897299"/>
      <w:bookmarkStart w:id="134" w:name="_Toc243906338"/>
      <w:bookmarkStart w:id="135" w:name="_Toc243907599"/>
      <w:r>
        <w:rPr>
          <w:rStyle w:val="25"/>
          <w:rFonts w:hint="eastAsia" w:cs="宋体"/>
          <w:b/>
          <w:bCs w:val="0"/>
          <w:color w:val="auto"/>
          <w:sz w:val="24"/>
          <w:szCs w:val="24"/>
          <w:highlight w:val="none"/>
        </w:rPr>
        <w:t>26、递交</w:t>
      </w:r>
      <w:bookmarkEnd w:id="132"/>
      <w:bookmarkEnd w:id="133"/>
      <w:bookmarkEnd w:id="134"/>
      <w:bookmarkEnd w:id="135"/>
      <w:r>
        <w:rPr>
          <w:rStyle w:val="25"/>
          <w:rFonts w:hint="eastAsia" w:cs="宋体"/>
          <w:b/>
          <w:bCs w:val="0"/>
          <w:color w:val="auto"/>
          <w:sz w:val="24"/>
          <w:szCs w:val="24"/>
          <w:highlight w:val="none"/>
          <w:lang w:eastAsia="zh-CN"/>
        </w:rPr>
        <w:t>响应文件</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26.1</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应按本</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须知前附表第7项规定的时间及地点递交</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26.2有下列情形之一的，</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不予接收其</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26.2.1</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在递交</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截止时间后送达或未送达到指定地点的</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26.2.2 </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未按</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要求密封的。</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jc w:val="center"/>
        <w:textAlignment w:val="auto"/>
        <w:rPr>
          <w:rStyle w:val="25"/>
          <w:rFonts w:hint="eastAsia" w:eastAsia="宋体" w:cs="宋体"/>
          <w:b/>
          <w:bCs w:val="0"/>
          <w:color w:val="auto"/>
          <w:sz w:val="24"/>
          <w:szCs w:val="24"/>
          <w:highlight w:val="none"/>
          <w:lang w:eastAsia="zh-CN"/>
        </w:rPr>
      </w:pPr>
      <w:bookmarkStart w:id="136" w:name="_Toc243907600"/>
      <w:bookmarkStart w:id="137" w:name="_Toc233274840"/>
      <w:bookmarkStart w:id="138" w:name="_Toc246216209"/>
      <w:bookmarkStart w:id="139" w:name="_Toc243906339"/>
      <w:r>
        <w:rPr>
          <w:rStyle w:val="25"/>
          <w:rFonts w:hint="eastAsia" w:cs="宋体"/>
          <w:b/>
          <w:bCs w:val="0"/>
          <w:color w:val="auto"/>
          <w:sz w:val="24"/>
          <w:szCs w:val="24"/>
          <w:highlight w:val="none"/>
        </w:rPr>
        <w:t xml:space="preserve">E  </w:t>
      </w:r>
      <w:bookmarkEnd w:id="136"/>
      <w:bookmarkEnd w:id="137"/>
      <w:bookmarkEnd w:id="138"/>
      <w:bookmarkEnd w:id="139"/>
      <w:r>
        <w:rPr>
          <w:rStyle w:val="25"/>
          <w:rFonts w:hint="eastAsia" w:cs="宋体"/>
          <w:b/>
          <w:bCs w:val="0"/>
          <w:color w:val="auto"/>
          <w:sz w:val="24"/>
          <w:szCs w:val="24"/>
          <w:highlight w:val="none"/>
        </w:rPr>
        <w:t>开标、评标、确定</w:t>
      </w:r>
      <w:r>
        <w:rPr>
          <w:rStyle w:val="25"/>
          <w:rFonts w:hint="eastAsia" w:cs="宋体"/>
          <w:b/>
          <w:bCs w:val="0"/>
          <w:color w:val="auto"/>
          <w:sz w:val="24"/>
          <w:szCs w:val="24"/>
          <w:highlight w:val="none"/>
          <w:lang w:eastAsia="zh-CN"/>
        </w:rPr>
        <w:t>成交</w:t>
      </w:r>
      <w:r>
        <w:rPr>
          <w:rStyle w:val="25"/>
          <w:rFonts w:hint="eastAsia" w:cs="宋体"/>
          <w:b/>
          <w:bCs w:val="0"/>
          <w:color w:val="auto"/>
          <w:sz w:val="24"/>
          <w:szCs w:val="24"/>
          <w:highlight w:val="none"/>
        </w:rPr>
        <w:t>单位</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140" w:name="_Toc243907601"/>
      <w:bookmarkStart w:id="141" w:name="_Toc245897301"/>
      <w:bookmarkStart w:id="142" w:name="_Toc243906340"/>
      <w:bookmarkStart w:id="143" w:name="_Toc233274841"/>
      <w:r>
        <w:rPr>
          <w:rStyle w:val="25"/>
          <w:rFonts w:hint="eastAsia" w:cs="宋体"/>
          <w:b/>
          <w:bCs w:val="0"/>
          <w:color w:val="auto"/>
          <w:sz w:val="24"/>
          <w:szCs w:val="24"/>
          <w:highlight w:val="none"/>
        </w:rPr>
        <w:t>27、</w:t>
      </w:r>
      <w:bookmarkEnd w:id="140"/>
      <w:bookmarkEnd w:id="141"/>
      <w:bookmarkEnd w:id="142"/>
      <w:bookmarkEnd w:id="143"/>
      <w:r>
        <w:rPr>
          <w:rFonts w:hint="eastAsia" w:cs="宋体"/>
          <w:b/>
          <w:bCs/>
          <w:color w:val="auto"/>
          <w:sz w:val="24"/>
          <w:szCs w:val="20"/>
          <w:highlight w:val="none"/>
          <w:lang w:eastAsia="zh-CN"/>
        </w:rPr>
        <w:t>竞争性磋商</w:t>
      </w:r>
      <w:r>
        <w:rPr>
          <w:rStyle w:val="25"/>
          <w:rFonts w:hint="eastAsia" w:cs="宋体"/>
          <w:b/>
          <w:bCs w:val="0"/>
          <w:color w:val="auto"/>
          <w:sz w:val="24"/>
          <w:szCs w:val="24"/>
          <w:highlight w:val="none"/>
        </w:rPr>
        <w:t>会议</w:t>
      </w:r>
    </w:p>
    <w:p>
      <w:pPr>
        <w:spacing w:line="360" w:lineRule="auto"/>
        <w:ind w:firstLine="480" w:firstLineChars="200"/>
        <w:rPr>
          <w:rFonts w:asciiTheme="minorEastAsia" w:hAnsiTheme="minorEastAsia" w:eastAsiaTheme="minorEastAsia" w:cstheme="minorEastAsia"/>
          <w:color w:val="auto"/>
          <w:sz w:val="24"/>
          <w:highlight w:val="none"/>
        </w:rPr>
      </w:pPr>
      <w:bookmarkStart w:id="144" w:name="_Toc243907602"/>
      <w:bookmarkStart w:id="145" w:name="_Toc245897302"/>
      <w:bookmarkStart w:id="146" w:name="_Toc243906341"/>
      <w:bookmarkStart w:id="147" w:name="_Toc233274842"/>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.1采购人在本供应商须知前附表第8项规定的时间和地点组织竞争性磋商会议。</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.2供应商应委派代表参加竞争性磋商会议。参加竞争性磋商会议的代表应持有法定代表人身份证原件或法定代表人授权委托书及委托代理人身份证原件。</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.3竞争性磋商会议由采购代理机构组织并主持。</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.4在竞争性磋商过程中，工作人员如发现响应文件组成部分不齐全，由竞争性磋商小组认定其有效性。竞争性磋商小组认定的无效响应文件将不进入竞争性磋商、评审阶段。</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eastAsia="宋体" w:cs="宋体"/>
          <w:b/>
          <w:bCs w:val="0"/>
          <w:color w:val="auto"/>
          <w:sz w:val="24"/>
          <w:szCs w:val="24"/>
          <w:highlight w:val="none"/>
          <w:lang w:eastAsia="zh-CN"/>
        </w:rPr>
      </w:pPr>
      <w:r>
        <w:rPr>
          <w:rStyle w:val="25"/>
          <w:rFonts w:hint="eastAsia" w:cs="宋体"/>
          <w:b/>
          <w:bCs w:val="0"/>
          <w:color w:val="auto"/>
          <w:sz w:val="24"/>
          <w:szCs w:val="24"/>
          <w:highlight w:val="none"/>
        </w:rPr>
        <w:t>28、</w:t>
      </w:r>
      <w:bookmarkEnd w:id="144"/>
      <w:bookmarkEnd w:id="145"/>
      <w:bookmarkEnd w:id="146"/>
      <w:bookmarkEnd w:id="147"/>
      <w:r>
        <w:rPr>
          <w:rStyle w:val="25"/>
          <w:rFonts w:hint="eastAsia" w:cs="宋体"/>
          <w:b/>
          <w:bCs w:val="0"/>
          <w:color w:val="auto"/>
          <w:sz w:val="24"/>
          <w:szCs w:val="24"/>
          <w:highlight w:val="none"/>
          <w:lang w:eastAsia="zh-CN"/>
        </w:rPr>
        <w:t>竞争性磋商小组</w:t>
      </w:r>
    </w:p>
    <w:p>
      <w:pPr>
        <w:keepNext w:val="0"/>
        <w:keepLines w:val="0"/>
        <w:pageBreakBefore w:val="0"/>
        <w:kinsoku/>
        <w:wordWrap/>
        <w:topLinePunct w:val="0"/>
        <w:autoSpaceDE/>
        <w:autoSpaceDN/>
        <w:bidi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bookmarkStart w:id="148" w:name="_Toc243906346"/>
      <w:bookmarkStart w:id="149" w:name="_Toc243907607"/>
      <w:bookmarkStart w:id="150" w:name="_Toc233274845"/>
      <w:bookmarkStart w:id="151" w:name="_Toc245897306"/>
      <w:bookmarkStart w:id="152" w:name="_Toc243906344"/>
      <w:bookmarkStart w:id="153" w:name="_Toc233274843"/>
      <w:bookmarkStart w:id="154" w:name="_Toc243907605"/>
      <w:bookmarkStart w:id="155" w:name="_Toc245897304"/>
      <w:bookmarkStart w:id="156" w:name="_Toc243907610"/>
      <w:bookmarkStart w:id="157" w:name="_Toc245897309"/>
      <w:bookmarkStart w:id="158" w:name="_Toc233274848"/>
      <w:bookmarkStart w:id="159" w:name="_Toc243906349"/>
      <w:r>
        <w:rPr>
          <w:rFonts w:hint="eastAsia" w:asciiTheme="minorEastAsia" w:hAnsiTheme="minorEastAsia" w:eastAsiaTheme="minorEastAsia" w:cstheme="minorEastAsia"/>
          <w:color w:val="auto"/>
          <w:sz w:val="24"/>
          <w:highlight w:val="none"/>
          <w:lang w:val="en-US" w:eastAsia="zh-CN"/>
        </w:rPr>
        <w:t>28.1</w:t>
      </w:r>
      <w:r>
        <w:rPr>
          <w:rFonts w:hint="eastAsia" w:asciiTheme="minorEastAsia" w:hAnsiTheme="minorEastAsia" w:eastAsiaTheme="minorEastAsia" w:cstheme="minorEastAsia"/>
          <w:color w:val="auto"/>
          <w:sz w:val="24"/>
          <w:highlight w:val="none"/>
        </w:rPr>
        <w:t>竞争性磋商小组成员组成：按照《中华人民共和国政府采购法》、《政府采购竞争性磋商采购方式管理暂行办法》及相关法律、法规规定组建，由采购人代表和评审专家组成。磋商小组将负责对供应商提交的响应文件进行磋商、评审，确保磋商、评审过程公正、合法、保密，并向采购人推荐成交候选供应商。</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default" w:ascii="Times New Roman" w:hAnsi="Times New Roman" w:eastAsia="宋体" w:cs="宋体"/>
          <w:b/>
          <w:bCs w:val="0"/>
          <w:color w:val="auto"/>
          <w:sz w:val="24"/>
          <w:szCs w:val="24"/>
          <w:highlight w:val="none"/>
          <w:lang w:val="en-US" w:eastAsia="zh-CN"/>
        </w:rPr>
      </w:pPr>
      <w:r>
        <w:rPr>
          <w:rStyle w:val="25"/>
          <w:rFonts w:hint="eastAsia" w:ascii="Times New Roman" w:hAnsi="Times New Roman" w:eastAsia="宋体" w:cs="宋体"/>
          <w:b/>
          <w:bCs w:val="0"/>
          <w:color w:val="auto"/>
          <w:sz w:val="24"/>
          <w:szCs w:val="24"/>
          <w:highlight w:val="none"/>
          <w:lang w:val="en-US" w:eastAsia="zh-CN"/>
        </w:rPr>
        <w:t>29、竞争性磋商</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29</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竞争性磋商小组所有成员集中与单一供应商分别进行竞争性磋商。供应商应由法定代表或法定代表授权的供应商代表及专业技术人员参与竞争性磋商。供应商所作的重要答复均应以书面形式予以补充，并经法定代表或授权人签署，作为响应文件的一部分，对供应商具有约束力，但不得对竞争性磋商内容进行实质性修改。在竞争性磋商中，竞争性磋商的任何一方不得透露与竞争性磋商有关的其他供应商的技术资料和其他信息。</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29</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在竞争性磋商小组与各供应商进行了相同轮次的竞争性磋商后，为了更好地实现采购目标，竞争性磋商小组可以修改竞争性磋商文件，但涉及实质性变动的，将以书面形式通知所有参加竞争性磋商的供应商。供应商收到修改竞争性磋商文件的通知后，可以决定是否继续参加竞争性磋商活动。</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29.3</w:t>
      </w:r>
      <w:r>
        <w:rPr>
          <w:rFonts w:hint="eastAsia" w:asciiTheme="minorEastAsia" w:hAnsiTheme="minorEastAsia" w:eastAsiaTheme="minorEastAsia" w:cstheme="minorEastAsia"/>
          <w:color w:val="auto"/>
          <w:sz w:val="24"/>
          <w:highlight w:val="none"/>
        </w:rPr>
        <w:t>供应商应当按照竞争性磋商文件的变动情况和竞争性磋商小组的要求重新提交响应文件，并由其法定代表或委托代理人签字或者加盖公章。由委托代理人签字的，应当附法定代表授权书。</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29.4</w:t>
      </w:r>
      <w:r>
        <w:rPr>
          <w:rFonts w:hint="eastAsia" w:asciiTheme="minorEastAsia" w:hAnsiTheme="minorEastAsia" w:eastAsiaTheme="minorEastAsia" w:cstheme="minorEastAsia"/>
          <w:color w:val="auto"/>
          <w:sz w:val="24"/>
          <w:highlight w:val="none"/>
        </w:rPr>
        <w:t>竞争性磋商文件能够详细列明采购标的的技术、服务要求的，竞争性磋商小组在竞争性磋商结束后，竞争性磋商小组应当要求所有实质性响应的供应商在规定时间内提交最后报价，最后报价是供应商响应文件的有效组成部分。</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29.5</w:t>
      </w:r>
      <w:r>
        <w:rPr>
          <w:rFonts w:hint="eastAsia" w:asciiTheme="minorEastAsia" w:hAnsiTheme="minorEastAsia" w:eastAsiaTheme="minorEastAsia" w:cstheme="minorEastAsia"/>
          <w:color w:val="auto"/>
          <w:sz w:val="24"/>
          <w:highlight w:val="none"/>
        </w:rPr>
        <w:t>竞争性磋商文件不能详细列明采购标的的技术、服务要求，需经竞争性磋商由供应商提供最终整修方案或解决方案的，竞争性磋商结束后。</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29.6</w:t>
      </w:r>
      <w:r>
        <w:rPr>
          <w:rFonts w:hint="eastAsia" w:asciiTheme="minorEastAsia" w:hAnsiTheme="minorEastAsia" w:eastAsiaTheme="minorEastAsia" w:cstheme="minorEastAsia"/>
          <w:color w:val="auto"/>
          <w:sz w:val="24"/>
          <w:highlight w:val="none"/>
        </w:rPr>
        <w:t>已提交响应文件的供应商，在提交最后报价之前，可以根据竞争性磋商情况退出竞争性磋商。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29.7</w:t>
      </w:r>
      <w:r>
        <w:rPr>
          <w:rFonts w:hint="eastAsia" w:asciiTheme="minorEastAsia" w:hAnsiTheme="minorEastAsia" w:eastAsiaTheme="minorEastAsia" w:cstheme="minorEastAsia"/>
          <w:color w:val="auto"/>
          <w:sz w:val="24"/>
          <w:highlight w:val="none"/>
        </w:rPr>
        <w:t>竞争性磋商小组判断响应文件的响应性仅基于响应文件本身而不依靠任何外部证据，但响应文件有不真实、不正确的内容除外。</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29.8</w:t>
      </w:r>
      <w:r>
        <w:rPr>
          <w:rFonts w:hint="eastAsia" w:asciiTheme="minorEastAsia" w:hAnsiTheme="minorEastAsia" w:eastAsiaTheme="minorEastAsia" w:cstheme="minorEastAsia"/>
          <w:color w:val="auto"/>
          <w:sz w:val="24"/>
          <w:highlight w:val="none"/>
        </w:rPr>
        <w:t>如果响应文件实质上没有响应竞争性磋商文件的要求，竞争性磋商小组将予以拒绝，供应商不得通过修正或撤消不符合要求的偏离或保留，而使其成为实质上响应。</w:t>
      </w:r>
    </w:p>
    <w:p>
      <w:pPr>
        <w:spacing w:line="360" w:lineRule="auto"/>
        <w:outlineLvl w:val="1"/>
        <w:rPr>
          <w:rFonts w:asciiTheme="minorEastAsia" w:hAnsiTheme="minorEastAsia" w:eastAsiaTheme="minorEastAsia" w:cstheme="minorEastAsia"/>
          <w:b/>
          <w:bCs/>
          <w:color w:val="auto"/>
          <w:sz w:val="24"/>
          <w:highlight w:val="none"/>
        </w:rPr>
      </w:pPr>
      <w:bookmarkStart w:id="160" w:name="_Toc224624488"/>
      <w:bookmarkStart w:id="161" w:name="_Toc245897305"/>
      <w:bookmarkStart w:id="162" w:name="_Toc224622928"/>
      <w:bookmarkStart w:id="163" w:name="_Toc224623451"/>
      <w:bookmarkStart w:id="164" w:name="_Toc224623557"/>
      <w:bookmarkStart w:id="165" w:name="_Toc224620150"/>
      <w:bookmarkStart w:id="166" w:name="_Toc224624628"/>
      <w:bookmarkStart w:id="167" w:name="_Toc224624767"/>
      <w:bookmarkStart w:id="168" w:name="_Toc243907606"/>
      <w:bookmarkStart w:id="169" w:name="_Toc243906345"/>
      <w:bookmarkStart w:id="170" w:name="_Toc224620071"/>
      <w:bookmarkStart w:id="171" w:name="_Toc224623663"/>
      <w:r>
        <w:rPr>
          <w:rFonts w:hint="eastAsia" w:asciiTheme="minorEastAsia" w:hAnsiTheme="minorEastAsia" w:eastAsiaTheme="minorEastAsia" w:cstheme="minorEastAsia"/>
          <w:b/>
          <w:bCs/>
          <w:color w:val="auto"/>
          <w:sz w:val="24"/>
          <w:highlight w:val="none"/>
        </w:rPr>
        <w:t>3</w:t>
      </w:r>
      <w:r>
        <w:rPr>
          <w:rFonts w:hint="eastAsia" w:asciiTheme="minorEastAsia" w:hAnsiTheme="minorEastAsia" w:eastAsiaTheme="minorEastAsia" w:cstheme="minorEastAsia"/>
          <w:b/>
          <w:bCs/>
          <w:color w:val="auto"/>
          <w:sz w:val="24"/>
          <w:highlight w:val="none"/>
          <w:lang w:val="en-US" w:eastAsia="zh-CN"/>
        </w:rPr>
        <w:t>0</w:t>
      </w:r>
      <w:r>
        <w:rPr>
          <w:rFonts w:hint="eastAsia" w:asciiTheme="minorEastAsia" w:hAnsiTheme="minorEastAsia" w:eastAsiaTheme="minorEastAsia" w:cstheme="minorEastAsia"/>
          <w:b/>
          <w:bCs/>
          <w:color w:val="auto"/>
          <w:sz w:val="24"/>
          <w:highlight w:val="none"/>
        </w:rPr>
        <w:t>、评审</w:t>
      </w:r>
    </w:p>
    <w:p>
      <w:pPr>
        <w:spacing w:line="360" w:lineRule="auto"/>
        <w:ind w:firstLine="480" w:firstLineChars="200"/>
        <w:outlineLvl w:val="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.1经竞争性磋商确定最终采购需求和提交最后报价的供应商后，由竞争性磋商小组采用综合评分法对提交最后报价的供应商响应文件和最后报价进行综合评分。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.2竞争性磋商小组将对实质性响应竞争性磋商文件的响应文件进行详细评审和比较。对服务、价格等进行比较，并与竞争性磋商文件、项目采购需求和采购人的实际需要进行比较和评价。</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.3商务报价错误的修正</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如果发现商务报价存在计算或表达上错误，则按下列原则进行修正：</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（1）用数字表示的数额与用文字表示的数额不一致时，以文字数额为准；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（2）单价与工程量的乘积与总价之间不一致时，以单价为准。若单价有明显小数点错位，应以总价为准，并修改单价。</w:t>
      </w:r>
    </w:p>
    <w:p>
      <w:pPr>
        <w:spacing w:line="360" w:lineRule="auto"/>
        <w:ind w:firstLine="480" w:firstLineChars="200"/>
        <w:rPr>
          <w:rFonts w:hint="eastAsia"/>
          <w:color w:val="auto"/>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.4竞争性磋商小组将按第3</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.3条原则修正商务报价，并要求供应商进行确认。确认后的报价和文件将对供应商具有约束力。并以修正后的报价作为评审的依据。</w:t>
      </w:r>
      <w:bookmarkEnd w:id="160"/>
      <w:bookmarkEnd w:id="161"/>
      <w:bookmarkEnd w:id="162"/>
      <w:bookmarkEnd w:id="163"/>
      <w:bookmarkEnd w:id="164"/>
      <w:bookmarkEnd w:id="165"/>
      <w:bookmarkEnd w:id="166"/>
      <w:bookmarkEnd w:id="167"/>
      <w:bookmarkEnd w:id="168"/>
      <w:bookmarkEnd w:id="169"/>
      <w:bookmarkEnd w:id="170"/>
      <w:bookmarkEnd w:id="171"/>
    </w:p>
    <w:p>
      <w:pPr>
        <w:spacing w:line="360" w:lineRule="auto"/>
        <w:outlineLvl w:val="1"/>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31</w:t>
      </w:r>
      <w:r>
        <w:rPr>
          <w:rFonts w:hint="eastAsia" w:asciiTheme="minorEastAsia" w:hAnsiTheme="minorEastAsia" w:eastAsiaTheme="minorEastAsia" w:cstheme="minorEastAsia"/>
          <w:b/>
          <w:bCs/>
          <w:color w:val="auto"/>
          <w:sz w:val="24"/>
          <w:highlight w:val="none"/>
        </w:rPr>
        <w:t>、响应文件的澄清</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为有助于对响应文件的审查、评价和比较，竞争性磋商小组在评审过程中有权随时请供应商对其响应文件进行澄清，有关澄清的要求和答复应以书面形式提交，供应商对澄清问题的书面答复应有法定代表或委托代理人签字或盖章，但不得寻求、提供或允许对最后报价或响应文件中的其他实质性内容做任何更改。</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供应商法定代表或委托代理人在评审过程中应保证随时接受竞争性磋商小组质询。若供应商法定代表或委托代理人因故不能接受质询，其响应文件仍有效，但应视为供应商已默认竞争性磋商小组对缺席的质询所作出的结论。</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31</w:t>
      </w:r>
      <w:r>
        <w:rPr>
          <w:rFonts w:hint="eastAsia" w:asciiTheme="minorEastAsia" w:hAnsiTheme="minorEastAsia" w:eastAsiaTheme="minorEastAsia" w:cstheme="minorEastAsia"/>
          <w:color w:val="auto"/>
          <w:sz w:val="24"/>
          <w:highlight w:val="none"/>
        </w:rPr>
        <w:t>.3 竞争性磋商小组允许供应商通过澄清答复修正其最后报价中不构成重大偏离的、微小的、非正规的、不一致的或不规范的地方，但这些修正不能影响任何供应商的相关名次排列。</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1</w:t>
      </w:r>
      <w:r>
        <w:rPr>
          <w:rFonts w:hint="eastAsia" w:asciiTheme="minorEastAsia" w:hAnsiTheme="minorEastAsia" w:eastAsiaTheme="minorEastAsia" w:cstheme="minorEastAsia"/>
          <w:bCs/>
          <w:color w:val="auto"/>
          <w:sz w:val="24"/>
          <w:highlight w:val="none"/>
        </w:rPr>
        <w:t>.4如果供应商在响应文件中未对竞争性磋商文件、技术规格及标准、项目采购需求、合同主要内容等提出偏离意见或澄清，将视同供应商同意上述文件的全部条款和要求。</w:t>
      </w:r>
    </w:p>
    <w:p>
      <w:pPr>
        <w:keepNext w:val="0"/>
        <w:keepLines w:val="0"/>
        <w:pageBreakBefore w:val="0"/>
        <w:kinsoku/>
        <w:wordWrap/>
        <w:topLinePunct w:val="0"/>
        <w:autoSpaceDE/>
        <w:autoSpaceDN/>
        <w:bidi w:val="0"/>
        <w:spacing w:line="360" w:lineRule="auto"/>
        <w:outlineLvl w:val="1"/>
        <w:rPr>
          <w:rFonts w:hint="eastAsia" w:ascii="宋体" w:hAnsi="宋体" w:eastAsia="宋体" w:cs="宋体"/>
          <w:color w:val="auto"/>
          <w:sz w:val="24"/>
          <w:szCs w:val="20"/>
          <w:highlight w:val="none"/>
        </w:rPr>
      </w:pPr>
      <w:r>
        <w:rPr>
          <w:rFonts w:hint="eastAsia" w:ascii="宋体" w:hAnsi="宋体" w:cs="宋体"/>
          <w:b/>
          <w:color w:val="auto"/>
          <w:sz w:val="24"/>
          <w:szCs w:val="20"/>
          <w:highlight w:val="none"/>
          <w:lang w:val="en-US" w:eastAsia="zh-CN"/>
        </w:rPr>
        <w:t>32</w:t>
      </w:r>
      <w:r>
        <w:rPr>
          <w:rFonts w:hint="eastAsia" w:ascii="宋体" w:hAnsi="宋体" w:eastAsia="宋体" w:cs="宋体"/>
          <w:b/>
          <w:color w:val="auto"/>
          <w:sz w:val="24"/>
          <w:szCs w:val="20"/>
          <w:highlight w:val="none"/>
        </w:rPr>
        <w:t>、</w:t>
      </w:r>
      <w:bookmarkEnd w:id="148"/>
      <w:bookmarkEnd w:id="149"/>
      <w:bookmarkEnd w:id="150"/>
      <w:bookmarkEnd w:id="151"/>
      <w:r>
        <w:rPr>
          <w:rFonts w:hint="eastAsia" w:ascii="宋体" w:hAnsi="宋体" w:eastAsia="宋体" w:cs="宋体"/>
          <w:b/>
          <w:color w:val="auto"/>
          <w:sz w:val="24"/>
          <w:szCs w:val="20"/>
          <w:highlight w:val="none"/>
          <w:lang w:val="en-US" w:eastAsia="zh-CN"/>
        </w:rPr>
        <w:t>重大偏离与细微偏差修正</w:t>
      </w:r>
    </w:p>
    <w:p>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b w:val="0"/>
          <w:bCs/>
          <w:color w:val="auto"/>
          <w:sz w:val="24"/>
          <w:szCs w:val="20"/>
          <w:highlight w:val="none"/>
          <w:lang w:val="en-US" w:eastAsia="zh-CN"/>
        </w:rPr>
      </w:pPr>
      <w:bookmarkStart w:id="172" w:name="_Toc233274846"/>
      <w:bookmarkStart w:id="173" w:name="_Toc243907608"/>
      <w:bookmarkStart w:id="174" w:name="_Toc245897307"/>
      <w:bookmarkStart w:id="175" w:name="_Toc243906347"/>
      <w:r>
        <w:rPr>
          <w:rFonts w:hint="eastAsia" w:ascii="宋体" w:hAnsi="宋体" w:cs="宋体"/>
          <w:b w:val="0"/>
          <w:bCs/>
          <w:color w:val="auto"/>
          <w:sz w:val="24"/>
          <w:szCs w:val="20"/>
          <w:highlight w:val="none"/>
          <w:lang w:val="en-US" w:eastAsia="zh-CN"/>
        </w:rPr>
        <w:t>32</w:t>
      </w:r>
      <w:r>
        <w:rPr>
          <w:rFonts w:hint="eastAsia" w:ascii="宋体" w:hAnsi="宋体" w:eastAsia="宋体" w:cs="宋体"/>
          <w:b w:val="0"/>
          <w:bCs/>
          <w:color w:val="auto"/>
          <w:sz w:val="24"/>
          <w:szCs w:val="20"/>
          <w:highlight w:val="none"/>
          <w:lang w:val="en-US" w:eastAsia="zh-CN"/>
        </w:rPr>
        <w:t>.1</w:t>
      </w:r>
      <w:r>
        <w:rPr>
          <w:rFonts w:hint="eastAsia" w:ascii="宋体" w:hAnsi="宋体" w:eastAsia="宋体" w:cs="宋体"/>
          <w:b w:val="0"/>
          <w:bCs/>
          <w:color w:val="auto"/>
          <w:sz w:val="24"/>
          <w:szCs w:val="20"/>
          <w:highlight w:val="none"/>
        </w:rPr>
        <w:t>重大偏离是指实质上影响合同的招标范围、质量和性能、</w:t>
      </w:r>
      <w:r>
        <w:rPr>
          <w:rFonts w:hint="eastAsia" w:ascii="宋体" w:hAnsi="宋体" w:cs="宋体"/>
          <w:b w:val="0"/>
          <w:bCs/>
          <w:color w:val="auto"/>
          <w:sz w:val="24"/>
          <w:szCs w:val="20"/>
          <w:highlight w:val="none"/>
          <w:lang w:eastAsia="zh-CN"/>
        </w:rPr>
        <w:t>工期</w:t>
      </w:r>
      <w:r>
        <w:rPr>
          <w:rFonts w:hint="eastAsia" w:ascii="宋体" w:hAnsi="宋体" w:eastAsia="宋体" w:cs="宋体"/>
          <w:b w:val="0"/>
          <w:bCs/>
          <w:color w:val="auto"/>
          <w:sz w:val="24"/>
          <w:szCs w:val="20"/>
          <w:highlight w:val="none"/>
        </w:rPr>
        <w:t>、投标保证金等，或者实质上不满足</w:t>
      </w:r>
      <w:r>
        <w:rPr>
          <w:rFonts w:hint="eastAsia" w:ascii="宋体" w:hAnsi="宋体" w:cs="宋体"/>
          <w:b w:val="0"/>
          <w:bCs/>
          <w:color w:val="auto"/>
          <w:sz w:val="24"/>
          <w:szCs w:val="20"/>
          <w:highlight w:val="none"/>
          <w:lang w:eastAsia="zh-CN"/>
        </w:rPr>
        <w:t>竞争性磋商文件</w:t>
      </w:r>
      <w:r>
        <w:rPr>
          <w:rFonts w:hint="eastAsia" w:ascii="宋体" w:hAnsi="宋体" w:eastAsia="宋体" w:cs="宋体"/>
          <w:b w:val="0"/>
          <w:bCs/>
          <w:color w:val="auto"/>
          <w:sz w:val="24"/>
          <w:szCs w:val="20"/>
          <w:highlight w:val="none"/>
        </w:rPr>
        <w:t>的要求，而且限制了</w:t>
      </w:r>
      <w:r>
        <w:rPr>
          <w:rFonts w:hint="eastAsia" w:ascii="宋体" w:hAnsi="宋体" w:cs="宋体"/>
          <w:b w:val="0"/>
          <w:bCs/>
          <w:color w:val="auto"/>
          <w:sz w:val="24"/>
          <w:szCs w:val="20"/>
          <w:highlight w:val="none"/>
          <w:lang w:eastAsia="zh-CN"/>
        </w:rPr>
        <w:t>采购人</w:t>
      </w:r>
      <w:r>
        <w:rPr>
          <w:rFonts w:hint="eastAsia" w:ascii="宋体" w:hAnsi="宋体" w:eastAsia="宋体" w:cs="宋体"/>
          <w:b w:val="0"/>
          <w:bCs/>
          <w:color w:val="auto"/>
          <w:sz w:val="24"/>
          <w:szCs w:val="20"/>
          <w:highlight w:val="none"/>
        </w:rPr>
        <w:t>的权力或减轻了</w:t>
      </w:r>
      <w:r>
        <w:rPr>
          <w:rFonts w:hint="eastAsia" w:ascii="宋体" w:hAnsi="宋体" w:cs="宋体"/>
          <w:b w:val="0"/>
          <w:bCs/>
          <w:color w:val="auto"/>
          <w:sz w:val="24"/>
          <w:szCs w:val="20"/>
          <w:highlight w:val="none"/>
          <w:lang w:eastAsia="zh-CN"/>
        </w:rPr>
        <w:t>供应商</w:t>
      </w:r>
      <w:r>
        <w:rPr>
          <w:rFonts w:hint="eastAsia" w:ascii="宋体" w:hAnsi="宋体" w:eastAsia="宋体" w:cs="宋体"/>
          <w:b w:val="0"/>
          <w:bCs/>
          <w:color w:val="auto"/>
          <w:sz w:val="24"/>
          <w:szCs w:val="20"/>
          <w:highlight w:val="none"/>
        </w:rPr>
        <w:t>的义务。纠正</w:t>
      </w:r>
      <w:r>
        <w:rPr>
          <w:rFonts w:hint="eastAsia" w:ascii="宋体" w:hAnsi="宋体" w:eastAsia="宋体" w:cs="宋体"/>
          <w:b w:val="0"/>
          <w:bCs/>
          <w:color w:val="auto"/>
          <w:sz w:val="24"/>
          <w:szCs w:val="20"/>
          <w:highlight w:val="none"/>
          <w:lang w:val="en-US" w:eastAsia="zh-CN"/>
        </w:rPr>
        <w:t>或承认这些偏离将会对其他实质上投标要求的</w:t>
      </w:r>
      <w:r>
        <w:rPr>
          <w:rFonts w:hint="eastAsia" w:ascii="宋体" w:hAnsi="宋体" w:cs="宋体"/>
          <w:b w:val="0"/>
          <w:bCs/>
          <w:color w:val="auto"/>
          <w:sz w:val="24"/>
          <w:szCs w:val="20"/>
          <w:highlight w:val="none"/>
          <w:lang w:val="en-US" w:eastAsia="zh-CN"/>
        </w:rPr>
        <w:t>供应商</w:t>
      </w:r>
      <w:r>
        <w:rPr>
          <w:rFonts w:hint="eastAsia" w:ascii="宋体" w:hAnsi="宋体" w:eastAsia="宋体" w:cs="宋体"/>
          <w:b w:val="0"/>
          <w:bCs/>
          <w:color w:val="auto"/>
          <w:sz w:val="24"/>
          <w:szCs w:val="20"/>
          <w:highlight w:val="none"/>
          <w:lang w:val="en-US" w:eastAsia="zh-CN"/>
        </w:rPr>
        <w:t>合理的竞争地位产生不公正的影响。</w:t>
      </w:r>
    </w:p>
    <w:p>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b w:val="0"/>
          <w:bCs/>
          <w:color w:val="auto"/>
          <w:sz w:val="24"/>
          <w:szCs w:val="20"/>
          <w:highlight w:val="none"/>
          <w:lang w:val="en-US" w:eastAsia="zh-CN"/>
        </w:rPr>
      </w:pPr>
      <w:r>
        <w:rPr>
          <w:rFonts w:hint="eastAsia" w:ascii="宋体" w:hAnsi="宋体" w:cs="宋体"/>
          <w:b w:val="0"/>
          <w:bCs/>
          <w:color w:val="auto"/>
          <w:sz w:val="24"/>
          <w:szCs w:val="20"/>
          <w:highlight w:val="none"/>
          <w:lang w:val="en-US" w:eastAsia="zh-CN"/>
        </w:rPr>
        <w:t>32</w:t>
      </w:r>
      <w:r>
        <w:rPr>
          <w:rFonts w:hint="eastAsia" w:ascii="宋体" w:hAnsi="宋体" w:eastAsia="宋体" w:cs="宋体"/>
          <w:b w:val="0"/>
          <w:bCs/>
          <w:color w:val="auto"/>
          <w:sz w:val="24"/>
          <w:szCs w:val="20"/>
          <w:highlight w:val="none"/>
          <w:lang w:val="en-US" w:eastAsia="zh-CN"/>
        </w:rPr>
        <w:t>.2细微偏差是指经评标委员会确认的符合性</w:t>
      </w:r>
      <w:r>
        <w:rPr>
          <w:rFonts w:hint="eastAsia" w:ascii="宋体" w:hAnsi="宋体" w:cs="宋体"/>
          <w:b w:val="0"/>
          <w:bCs/>
          <w:color w:val="auto"/>
          <w:sz w:val="24"/>
          <w:szCs w:val="20"/>
          <w:highlight w:val="none"/>
          <w:lang w:val="en-US" w:eastAsia="zh-CN"/>
        </w:rPr>
        <w:t>响应文件</w:t>
      </w:r>
      <w:r>
        <w:rPr>
          <w:rFonts w:hint="eastAsia" w:ascii="宋体" w:hAnsi="宋体" w:eastAsia="宋体" w:cs="宋体"/>
          <w:b w:val="0"/>
          <w:bCs/>
          <w:color w:val="auto"/>
          <w:sz w:val="24"/>
          <w:szCs w:val="20"/>
          <w:highlight w:val="none"/>
          <w:lang w:val="en-US" w:eastAsia="zh-CN"/>
        </w:rPr>
        <w:t>虽然实质上</w:t>
      </w:r>
      <w:r>
        <w:rPr>
          <w:rFonts w:hint="eastAsia" w:ascii="宋体" w:hAnsi="宋体" w:cs="宋体"/>
          <w:b w:val="0"/>
          <w:bCs/>
          <w:color w:val="auto"/>
          <w:sz w:val="24"/>
          <w:szCs w:val="20"/>
          <w:highlight w:val="none"/>
          <w:lang w:val="en-US" w:eastAsia="zh-CN"/>
        </w:rPr>
        <w:t>投标竞争性磋商文件</w:t>
      </w:r>
      <w:r>
        <w:rPr>
          <w:rFonts w:hint="eastAsia" w:ascii="宋体" w:hAnsi="宋体" w:eastAsia="宋体" w:cs="宋体"/>
          <w:b w:val="0"/>
          <w:bCs/>
          <w:color w:val="auto"/>
          <w:sz w:val="24"/>
          <w:szCs w:val="20"/>
          <w:highlight w:val="none"/>
          <w:lang w:val="en-US" w:eastAsia="zh-CN"/>
        </w:rPr>
        <w:t>要求，但个别地方存在遗漏或者提供了不完整的技术信息及数据，并且修正这些遗漏或者不完整不会更改</w:t>
      </w:r>
      <w:r>
        <w:rPr>
          <w:rFonts w:hint="eastAsia" w:ascii="宋体" w:hAnsi="宋体" w:cs="宋体"/>
          <w:b w:val="0"/>
          <w:bCs/>
          <w:color w:val="auto"/>
          <w:sz w:val="24"/>
          <w:szCs w:val="20"/>
          <w:highlight w:val="none"/>
          <w:lang w:val="en-US" w:eastAsia="zh-CN"/>
        </w:rPr>
        <w:t>响应文件</w:t>
      </w:r>
      <w:r>
        <w:rPr>
          <w:rFonts w:hint="eastAsia" w:ascii="宋体" w:hAnsi="宋体" w:eastAsia="宋体" w:cs="宋体"/>
          <w:b w:val="0"/>
          <w:bCs/>
          <w:color w:val="auto"/>
          <w:sz w:val="24"/>
          <w:szCs w:val="20"/>
          <w:highlight w:val="none"/>
          <w:lang w:val="en-US" w:eastAsia="zh-CN"/>
        </w:rPr>
        <w:t>的实质性内容。</w:t>
      </w:r>
    </w:p>
    <w:p>
      <w:pPr>
        <w:keepNext w:val="0"/>
        <w:keepLines w:val="0"/>
        <w:pageBreakBefore w:val="0"/>
        <w:kinsoku/>
        <w:wordWrap/>
        <w:topLinePunct w:val="0"/>
        <w:autoSpaceDE/>
        <w:autoSpaceDN/>
        <w:bidi w:val="0"/>
        <w:spacing w:line="360" w:lineRule="auto"/>
        <w:ind w:firstLine="480" w:firstLineChars="200"/>
        <w:rPr>
          <w:rFonts w:hint="eastAsia"/>
          <w:b w:val="0"/>
          <w:bCs/>
          <w:color w:val="auto"/>
          <w:highlight w:val="none"/>
        </w:rPr>
      </w:pPr>
      <w:r>
        <w:rPr>
          <w:rFonts w:hint="eastAsia" w:ascii="宋体" w:hAnsi="宋体" w:cs="宋体"/>
          <w:b w:val="0"/>
          <w:bCs/>
          <w:color w:val="auto"/>
          <w:sz w:val="24"/>
          <w:szCs w:val="20"/>
          <w:highlight w:val="none"/>
          <w:lang w:val="en-US" w:eastAsia="zh-CN"/>
        </w:rPr>
        <w:t>32</w:t>
      </w:r>
      <w:r>
        <w:rPr>
          <w:rFonts w:hint="eastAsia" w:ascii="宋体" w:hAnsi="宋体" w:eastAsia="宋体" w:cs="宋体"/>
          <w:b w:val="0"/>
          <w:bCs/>
          <w:color w:val="auto"/>
          <w:sz w:val="24"/>
          <w:szCs w:val="20"/>
          <w:highlight w:val="none"/>
          <w:lang w:val="en-US" w:eastAsia="zh-CN"/>
        </w:rPr>
        <w:t>.3经评标委员会确认存在细微偏差的</w:t>
      </w:r>
      <w:r>
        <w:rPr>
          <w:rFonts w:hint="eastAsia" w:ascii="宋体" w:hAnsi="宋体" w:cs="宋体"/>
          <w:b w:val="0"/>
          <w:bCs/>
          <w:color w:val="auto"/>
          <w:sz w:val="24"/>
          <w:szCs w:val="20"/>
          <w:highlight w:val="none"/>
          <w:lang w:val="en-US" w:eastAsia="zh-CN"/>
        </w:rPr>
        <w:t>响应文件</w:t>
      </w:r>
      <w:r>
        <w:rPr>
          <w:rFonts w:hint="eastAsia" w:ascii="宋体" w:hAnsi="宋体" w:eastAsia="宋体" w:cs="宋体"/>
          <w:b w:val="0"/>
          <w:bCs/>
          <w:color w:val="auto"/>
          <w:sz w:val="24"/>
          <w:szCs w:val="20"/>
          <w:highlight w:val="none"/>
          <w:lang w:val="en-US" w:eastAsia="zh-CN"/>
        </w:rPr>
        <w:t>，评标委员会可以于评标结果宣布之前要求</w:t>
      </w:r>
      <w:r>
        <w:rPr>
          <w:rFonts w:hint="eastAsia" w:ascii="宋体" w:hAnsi="宋体" w:cs="宋体"/>
          <w:b w:val="0"/>
          <w:bCs/>
          <w:color w:val="auto"/>
          <w:sz w:val="24"/>
          <w:szCs w:val="20"/>
          <w:highlight w:val="none"/>
          <w:lang w:val="en-US" w:eastAsia="zh-CN"/>
        </w:rPr>
        <w:t>供应商</w:t>
      </w:r>
      <w:r>
        <w:rPr>
          <w:rFonts w:hint="eastAsia" w:ascii="宋体" w:hAnsi="宋体" w:eastAsia="宋体" w:cs="宋体"/>
          <w:b w:val="0"/>
          <w:bCs/>
          <w:color w:val="auto"/>
          <w:sz w:val="24"/>
          <w:szCs w:val="20"/>
          <w:highlight w:val="none"/>
          <w:lang w:val="en-US" w:eastAsia="zh-CN"/>
        </w:rPr>
        <w:t>对</w:t>
      </w:r>
      <w:r>
        <w:rPr>
          <w:rFonts w:hint="eastAsia" w:ascii="宋体" w:hAnsi="宋体" w:cs="宋体"/>
          <w:b w:val="0"/>
          <w:bCs/>
          <w:color w:val="auto"/>
          <w:sz w:val="24"/>
          <w:szCs w:val="20"/>
          <w:highlight w:val="none"/>
          <w:lang w:val="en-US" w:eastAsia="zh-CN"/>
        </w:rPr>
        <w:t>响应文件</w:t>
      </w:r>
      <w:r>
        <w:rPr>
          <w:rFonts w:hint="eastAsia" w:ascii="宋体" w:hAnsi="宋体" w:eastAsia="宋体" w:cs="宋体"/>
          <w:b w:val="0"/>
          <w:bCs/>
          <w:color w:val="auto"/>
          <w:sz w:val="24"/>
          <w:szCs w:val="20"/>
          <w:highlight w:val="none"/>
          <w:lang w:val="en-US" w:eastAsia="zh-CN"/>
        </w:rPr>
        <w:t>中存在的细微偏差进行修正，若</w:t>
      </w:r>
      <w:r>
        <w:rPr>
          <w:rFonts w:hint="eastAsia" w:ascii="宋体" w:hAnsi="宋体" w:cs="宋体"/>
          <w:b w:val="0"/>
          <w:bCs/>
          <w:color w:val="auto"/>
          <w:sz w:val="24"/>
          <w:szCs w:val="20"/>
          <w:highlight w:val="none"/>
          <w:lang w:val="en-US" w:eastAsia="zh-CN"/>
        </w:rPr>
        <w:t>供应商</w:t>
      </w:r>
      <w:r>
        <w:rPr>
          <w:rFonts w:hint="eastAsia" w:ascii="宋体" w:hAnsi="宋体" w:eastAsia="宋体" w:cs="宋体"/>
          <w:b w:val="0"/>
          <w:bCs/>
          <w:color w:val="auto"/>
          <w:sz w:val="24"/>
          <w:szCs w:val="20"/>
          <w:highlight w:val="none"/>
          <w:lang w:val="en-US" w:eastAsia="zh-CN"/>
        </w:rPr>
        <w:t>拒绝修正，其</w:t>
      </w:r>
      <w:r>
        <w:rPr>
          <w:rFonts w:hint="eastAsia" w:ascii="宋体" w:hAnsi="宋体" w:cs="宋体"/>
          <w:b w:val="0"/>
          <w:bCs/>
          <w:color w:val="auto"/>
          <w:sz w:val="24"/>
          <w:szCs w:val="20"/>
          <w:highlight w:val="none"/>
          <w:lang w:val="en-US" w:eastAsia="zh-CN"/>
        </w:rPr>
        <w:t>响应文件</w:t>
      </w:r>
      <w:r>
        <w:rPr>
          <w:rFonts w:hint="eastAsia" w:ascii="宋体" w:hAnsi="宋体" w:eastAsia="宋体" w:cs="宋体"/>
          <w:b w:val="0"/>
          <w:bCs/>
          <w:color w:val="auto"/>
          <w:sz w:val="24"/>
          <w:szCs w:val="20"/>
          <w:highlight w:val="none"/>
          <w:lang w:val="en-US" w:eastAsia="zh-CN"/>
        </w:rPr>
        <w:t>将被拒绝。</w:t>
      </w:r>
    </w:p>
    <w:p>
      <w:pPr>
        <w:keepNext w:val="0"/>
        <w:keepLines w:val="0"/>
        <w:pageBreakBefore w:val="0"/>
        <w:kinsoku/>
        <w:wordWrap/>
        <w:topLinePunct w:val="0"/>
        <w:autoSpaceDE/>
        <w:autoSpaceDN/>
        <w:bidi w:val="0"/>
        <w:spacing w:line="360" w:lineRule="auto"/>
        <w:outlineLvl w:val="1"/>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w:t>
      </w:r>
      <w:r>
        <w:rPr>
          <w:rFonts w:hint="eastAsia" w:ascii="宋体" w:hAnsi="宋体" w:cs="宋体"/>
          <w:b/>
          <w:color w:val="auto"/>
          <w:sz w:val="24"/>
          <w:szCs w:val="20"/>
          <w:highlight w:val="none"/>
          <w:lang w:val="en-US" w:eastAsia="zh-CN"/>
        </w:rPr>
        <w:t>3</w:t>
      </w:r>
      <w:r>
        <w:rPr>
          <w:rFonts w:hint="eastAsia" w:ascii="宋体" w:hAnsi="宋体" w:eastAsia="宋体" w:cs="宋体"/>
          <w:b/>
          <w:color w:val="auto"/>
          <w:sz w:val="24"/>
          <w:szCs w:val="20"/>
          <w:highlight w:val="none"/>
        </w:rPr>
        <w:t>、</w:t>
      </w:r>
      <w:bookmarkEnd w:id="172"/>
      <w:bookmarkEnd w:id="173"/>
      <w:bookmarkEnd w:id="174"/>
      <w:bookmarkEnd w:id="175"/>
      <w:r>
        <w:rPr>
          <w:rFonts w:hint="eastAsia" w:asciiTheme="minorEastAsia" w:hAnsiTheme="minorEastAsia" w:eastAsiaTheme="minorEastAsia" w:cstheme="minorEastAsia"/>
          <w:b/>
          <w:color w:val="auto"/>
          <w:sz w:val="24"/>
          <w:highlight w:val="none"/>
        </w:rPr>
        <w:t>无效响应文件</w:t>
      </w:r>
    </w:p>
    <w:p>
      <w:pPr>
        <w:spacing w:line="360" w:lineRule="auto"/>
        <w:ind w:firstLine="480" w:firstLineChars="200"/>
        <w:rPr>
          <w:rFonts w:asciiTheme="minorEastAsia" w:hAnsiTheme="minorEastAsia" w:eastAsiaTheme="minorEastAsia" w:cstheme="minorEastAsia"/>
          <w:bCs/>
          <w:color w:val="auto"/>
          <w:sz w:val="24"/>
          <w:highlight w:val="none"/>
        </w:rPr>
      </w:pPr>
      <w:bookmarkStart w:id="176" w:name="_Toc243906348"/>
      <w:bookmarkStart w:id="177" w:name="_Toc243907609"/>
      <w:bookmarkStart w:id="178" w:name="_Toc245897308"/>
      <w:bookmarkStart w:id="179" w:name="_Toc233274847"/>
      <w:r>
        <w:rPr>
          <w:rFonts w:hint="eastAsia" w:asciiTheme="minorEastAsia" w:hAnsiTheme="minorEastAsia" w:eastAsiaTheme="minorEastAsia" w:cstheme="minorEastAsia"/>
          <w:bCs/>
          <w:color w:val="auto"/>
          <w:sz w:val="24"/>
          <w:highlight w:val="none"/>
        </w:rPr>
        <w:t>响应文件有下列情形之一的，由竞争性磋商小组评审后按无效响应文件处理：</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3</w:t>
      </w:r>
      <w:r>
        <w:rPr>
          <w:rFonts w:hint="eastAsia" w:asciiTheme="minorEastAsia" w:hAnsiTheme="minorEastAsia" w:eastAsiaTheme="minorEastAsia" w:cstheme="minorEastAsia"/>
          <w:bCs/>
          <w:color w:val="auto"/>
          <w:sz w:val="24"/>
          <w:highlight w:val="none"/>
        </w:rPr>
        <w:t>.1</w:t>
      </w:r>
      <w:r>
        <w:rPr>
          <w:rFonts w:hint="eastAsia" w:asciiTheme="minorEastAsia" w:hAnsiTheme="minorEastAsia" w:eastAsiaTheme="minorEastAsia" w:cstheme="minorEastAsia"/>
          <w:bCs/>
          <w:color w:val="auto"/>
          <w:kern w:val="0"/>
          <w:sz w:val="24"/>
          <w:highlight w:val="none"/>
        </w:rPr>
        <w:t>供应商的商务报价高于采购项目预算；</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3</w:t>
      </w:r>
      <w:r>
        <w:rPr>
          <w:rFonts w:hint="eastAsia" w:asciiTheme="minorEastAsia" w:hAnsiTheme="minorEastAsia" w:eastAsiaTheme="minorEastAsia" w:cstheme="minorEastAsia"/>
          <w:bCs/>
          <w:color w:val="auto"/>
          <w:sz w:val="24"/>
          <w:highlight w:val="none"/>
        </w:rPr>
        <w:t>.2响应文件附有采购人不能接受条件的；</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.3出现重大偏离的；</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.4对竞争性磋商文件提出的实质性要求和条件未能实质性响应；</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.5《中华人民共和国政府采购法》、《中华人民共和国政府采购实施条例》、《政府采购竞争性磋商采购方式管理暂行办法》及相关法律法规及竞争性磋商文件明确规定可以作无效响应的其他情形。</w:t>
      </w:r>
    </w:p>
    <w:p>
      <w:pPr>
        <w:keepNext w:val="0"/>
        <w:keepLines w:val="0"/>
        <w:pageBreakBefore w:val="0"/>
        <w:kinsoku/>
        <w:wordWrap/>
        <w:topLinePunct w:val="0"/>
        <w:autoSpaceDE/>
        <w:autoSpaceDN/>
        <w:bidi w:val="0"/>
        <w:spacing w:line="360" w:lineRule="auto"/>
        <w:outlineLvl w:val="1"/>
        <w:rPr>
          <w:rFonts w:hint="eastAsia" w:ascii="宋体" w:hAnsi="宋体" w:eastAsia="宋体" w:cs="宋体"/>
          <w:b/>
          <w:color w:val="auto"/>
          <w:sz w:val="24"/>
          <w:szCs w:val="20"/>
          <w:highlight w:val="none"/>
          <w:lang w:eastAsia="zh-CN"/>
        </w:rPr>
      </w:pPr>
      <w:r>
        <w:rPr>
          <w:rFonts w:hint="eastAsia" w:ascii="宋体" w:hAnsi="宋体" w:eastAsia="宋体" w:cs="宋体"/>
          <w:b/>
          <w:color w:val="auto"/>
          <w:sz w:val="24"/>
          <w:szCs w:val="20"/>
          <w:highlight w:val="none"/>
        </w:rPr>
        <w:t>3</w:t>
      </w:r>
      <w:r>
        <w:rPr>
          <w:rFonts w:hint="eastAsia" w:ascii="宋体" w:hAnsi="宋体" w:cs="宋体"/>
          <w:b/>
          <w:color w:val="auto"/>
          <w:sz w:val="24"/>
          <w:szCs w:val="20"/>
          <w:highlight w:val="none"/>
          <w:lang w:val="en-US" w:eastAsia="zh-CN"/>
        </w:rPr>
        <w:t>4</w:t>
      </w:r>
      <w:r>
        <w:rPr>
          <w:rFonts w:hint="eastAsia" w:ascii="宋体" w:hAnsi="宋体" w:eastAsia="宋体" w:cs="宋体"/>
          <w:b/>
          <w:color w:val="auto"/>
          <w:sz w:val="24"/>
          <w:szCs w:val="20"/>
          <w:highlight w:val="none"/>
        </w:rPr>
        <w:t>、</w:t>
      </w:r>
      <w:bookmarkEnd w:id="176"/>
      <w:bookmarkEnd w:id="177"/>
      <w:bookmarkEnd w:id="178"/>
      <w:bookmarkEnd w:id="179"/>
      <w:r>
        <w:rPr>
          <w:rFonts w:hint="eastAsia" w:ascii="宋体" w:hAnsi="宋体" w:cs="宋体"/>
          <w:b/>
          <w:color w:val="auto"/>
          <w:sz w:val="24"/>
          <w:szCs w:val="20"/>
          <w:highlight w:val="none"/>
          <w:lang w:eastAsia="zh-CN"/>
        </w:rPr>
        <w:t>评审标准</w:t>
      </w:r>
    </w:p>
    <w:bookmarkEnd w:id="152"/>
    <w:bookmarkEnd w:id="153"/>
    <w:bookmarkEnd w:id="154"/>
    <w:bookmarkEnd w:id="155"/>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.1本项目评审采用综合评分法，严格按照竞争性磋商文件的要求和条件进行。</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2响应文件初审。初审分为资格性审查和符合性审查。响应文件初审由竞争性磋商小组根据各供应商响应文件进行评审，初审内容详见第六章“评标标准（综合评分法）”。未通过初审的供应商其响应文件将按照无效竞争性磋商处理。</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.2.1资格性审查。依据法律法规和竞争性磋商文件的规定，对响应文件中的资格证明等进行审查，以确定供应商是否具备竞争性磋商资格。</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.2.2符合性审查。依据竞争性磋商文件的规定，从响应文件的有效性、完整性和对竞争性磋商文件的响应程度进行审查，以确定是否对竞争性磋商文件的实质性要求作出响应。</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2.2.1澄清有关问题。对响应文件中含义不明确、同类问题表述不一致或者有明显文字和计算错误的内容，竞争性磋商小组可以书面形式要求供应商作出必要的澄清、说明或者纠正。供应商的澄清、说明或者补正应当采用书面形式，由其法定代表或委托代理人签字或盖章，并不得超出响应文件的范围或者改变响应文件的实质性内容。</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2.2.2竞争性磋商结束后，竞争性磋商小组应当要求所有实质性响应的供应商在规定时间内提交最后报价。两轮（若有）以上报价的，供应商在未提高响应文件中承诺的产品及其服务质量的情况下，其最后报价不得高于对该项目之前的报价，否则，竞争性磋商小组应当对其响应文件按无效处理，不允许进入综合评分，并书面告知供应商，说明理由。</w:t>
      </w:r>
    </w:p>
    <w:p>
      <w:pPr>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.3比较与评价。竞争性磋商小组按竞争性磋商文件中规定的评审方法和标准，对资格性检查和符合性检查合格的响应文件进行商务和技术评估，综合比较与评价</w:t>
      </w:r>
      <w:r>
        <w:rPr>
          <w:rFonts w:hint="eastAsia" w:asciiTheme="minorEastAsia" w:hAnsiTheme="minorEastAsia" w:eastAsiaTheme="minorEastAsia" w:cstheme="minorEastAsia"/>
          <w:b/>
          <w:color w:val="auto"/>
          <w:sz w:val="24"/>
          <w:highlight w:val="none"/>
        </w:rPr>
        <w:t>。</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.4评审分值：总分值为100分，商务部分30分，技术部分70分，具体评审评分内容详见本竞争性磋商文件第六章“评标标准（综合评分法）”。</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.5推荐成交候选供应商</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.5.1各供应商的评审得分由高至低排序，评审得分排列前3名的供应商被推荐为成交候选供应商。评审得分相同的，按照最后报价由低到高的顺序推荐。评审得分且最后报价相同的，按照技术指标优劣顺序推荐。</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.5.2评分计算结果保留两位小数，第三位小数四舍五入。</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.6竞争性磋商小组复核。竞争性磋商小组评分汇总结束后，竞争性磋商小组应当进行评审复核，对拟推荐为成交候选供应商的、报价最低的、供应商资格审查未通过的、供应商响应文件作无效处理的重点复核。</w:t>
      </w:r>
    </w:p>
    <w:p>
      <w:pPr>
        <w:spacing w:line="360" w:lineRule="auto"/>
        <w:ind w:firstLine="555"/>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bCs/>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.7采购人根据竞争性磋商小组推荐的成交候选供应商及有关规定确定成交供应商。</w:t>
      </w:r>
    </w:p>
    <w:p>
      <w:pPr>
        <w:keepNext w:val="0"/>
        <w:keepLines w:val="0"/>
        <w:pageBreakBefore w:val="0"/>
        <w:kinsoku/>
        <w:wordWrap/>
        <w:topLinePunct w:val="0"/>
        <w:autoSpaceDE/>
        <w:autoSpaceDN/>
        <w:bidi w:val="0"/>
        <w:spacing w:line="360" w:lineRule="auto"/>
        <w:rPr>
          <w:rFonts w:hint="eastAsia" w:ascii="宋体" w:hAnsi="宋体" w:eastAsia="宋体" w:cs="宋体"/>
          <w:b/>
          <w:bCs/>
          <w:color w:val="auto"/>
          <w:sz w:val="24"/>
          <w:szCs w:val="20"/>
          <w:highlight w:val="none"/>
        </w:rPr>
      </w:pPr>
      <w:r>
        <w:rPr>
          <w:rFonts w:hint="eastAsia" w:ascii="宋体" w:hAnsi="宋体" w:cs="宋体"/>
          <w:b/>
          <w:bCs/>
          <w:color w:val="auto"/>
          <w:sz w:val="24"/>
          <w:szCs w:val="20"/>
          <w:highlight w:val="none"/>
          <w:lang w:val="en-US" w:eastAsia="zh-CN"/>
        </w:rPr>
        <w:t>35</w:t>
      </w:r>
      <w:r>
        <w:rPr>
          <w:rFonts w:hint="eastAsia" w:ascii="宋体" w:hAnsi="宋体" w:eastAsia="宋体" w:cs="宋体"/>
          <w:b/>
          <w:bCs/>
          <w:color w:val="auto"/>
          <w:sz w:val="24"/>
          <w:szCs w:val="20"/>
          <w:highlight w:val="none"/>
        </w:rPr>
        <w:t>、</w:t>
      </w:r>
      <w:r>
        <w:rPr>
          <w:rFonts w:hint="eastAsia" w:ascii="宋体" w:hAnsi="宋体" w:cs="宋体"/>
          <w:b/>
          <w:bCs/>
          <w:color w:val="auto"/>
          <w:sz w:val="24"/>
          <w:szCs w:val="20"/>
          <w:highlight w:val="none"/>
          <w:lang w:eastAsia="zh-CN"/>
        </w:rPr>
        <w:t>采购人</w:t>
      </w:r>
      <w:r>
        <w:rPr>
          <w:rFonts w:hint="eastAsia" w:ascii="宋体" w:hAnsi="宋体" w:eastAsia="宋体" w:cs="宋体"/>
          <w:b/>
          <w:bCs/>
          <w:color w:val="auto"/>
          <w:sz w:val="24"/>
          <w:szCs w:val="20"/>
          <w:highlight w:val="none"/>
        </w:rPr>
        <w:t>依法接受和拒绝任一或所有</w:t>
      </w:r>
      <w:r>
        <w:rPr>
          <w:rFonts w:hint="eastAsia" w:ascii="宋体" w:hAnsi="宋体" w:cs="宋体"/>
          <w:b/>
          <w:bCs/>
          <w:color w:val="auto"/>
          <w:sz w:val="24"/>
          <w:szCs w:val="20"/>
          <w:highlight w:val="none"/>
          <w:lang w:eastAsia="zh-CN"/>
        </w:rPr>
        <w:t>供应商</w:t>
      </w:r>
      <w:r>
        <w:rPr>
          <w:rFonts w:hint="eastAsia" w:ascii="宋体" w:hAnsi="宋体" w:eastAsia="宋体" w:cs="宋体"/>
          <w:b/>
          <w:bCs/>
          <w:color w:val="auto"/>
          <w:sz w:val="24"/>
          <w:szCs w:val="20"/>
          <w:highlight w:val="none"/>
        </w:rPr>
        <w:t>的权力</w:t>
      </w:r>
    </w:p>
    <w:p>
      <w:pPr>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cs="宋体"/>
          <w:color w:val="auto"/>
          <w:sz w:val="24"/>
          <w:szCs w:val="20"/>
          <w:highlight w:val="none"/>
          <w:lang w:eastAsia="zh-CN"/>
        </w:rPr>
        <w:t>采购人</w:t>
      </w:r>
      <w:r>
        <w:rPr>
          <w:rFonts w:hint="eastAsia" w:ascii="宋体" w:hAnsi="宋体" w:eastAsia="宋体" w:cs="宋体"/>
          <w:color w:val="auto"/>
          <w:sz w:val="24"/>
          <w:szCs w:val="20"/>
          <w:highlight w:val="none"/>
        </w:rPr>
        <w:t>保留确定</w:t>
      </w:r>
      <w:r>
        <w:rPr>
          <w:rFonts w:hint="eastAsia" w:ascii="宋体" w:hAnsi="宋体" w:cs="宋体"/>
          <w:color w:val="auto"/>
          <w:sz w:val="24"/>
          <w:szCs w:val="20"/>
          <w:highlight w:val="none"/>
          <w:lang w:eastAsia="zh-CN"/>
        </w:rPr>
        <w:t>成交</w:t>
      </w:r>
      <w:r>
        <w:rPr>
          <w:rFonts w:hint="eastAsia" w:ascii="宋体" w:hAnsi="宋体" w:eastAsia="宋体" w:cs="宋体"/>
          <w:color w:val="auto"/>
          <w:sz w:val="24"/>
          <w:szCs w:val="20"/>
          <w:highlight w:val="none"/>
        </w:rPr>
        <w:t>人之前的任何时候依法接受或拒绝任一或所有</w:t>
      </w:r>
      <w:r>
        <w:rPr>
          <w:rFonts w:hint="eastAsia" w:ascii="宋体" w:hAnsi="宋体" w:cs="宋体"/>
          <w:color w:val="auto"/>
          <w:sz w:val="24"/>
          <w:szCs w:val="20"/>
          <w:highlight w:val="none"/>
          <w:lang w:eastAsia="zh-CN"/>
        </w:rPr>
        <w:t>供应商</w:t>
      </w:r>
      <w:r>
        <w:rPr>
          <w:rFonts w:hint="eastAsia" w:ascii="宋体" w:hAnsi="宋体" w:eastAsia="宋体" w:cs="宋体"/>
          <w:color w:val="auto"/>
          <w:sz w:val="24"/>
          <w:szCs w:val="20"/>
          <w:highlight w:val="none"/>
        </w:rPr>
        <w:t>的权力，对受影响的</w:t>
      </w:r>
      <w:r>
        <w:rPr>
          <w:rFonts w:hint="eastAsia" w:ascii="宋体" w:hAnsi="宋体" w:cs="宋体"/>
          <w:color w:val="auto"/>
          <w:sz w:val="24"/>
          <w:szCs w:val="20"/>
          <w:highlight w:val="none"/>
          <w:lang w:eastAsia="zh-CN"/>
        </w:rPr>
        <w:t>供应商</w:t>
      </w:r>
      <w:r>
        <w:rPr>
          <w:rFonts w:hint="eastAsia" w:ascii="宋体" w:hAnsi="宋体" w:eastAsia="宋体" w:cs="宋体"/>
          <w:color w:val="auto"/>
          <w:sz w:val="24"/>
          <w:szCs w:val="20"/>
          <w:highlight w:val="none"/>
        </w:rPr>
        <w:t>不承担任何责任，也无义务向受影响的</w:t>
      </w:r>
      <w:r>
        <w:rPr>
          <w:rFonts w:hint="eastAsia" w:ascii="宋体" w:hAnsi="宋体" w:cs="宋体"/>
          <w:color w:val="auto"/>
          <w:sz w:val="24"/>
          <w:szCs w:val="20"/>
          <w:highlight w:val="none"/>
          <w:lang w:eastAsia="zh-CN"/>
        </w:rPr>
        <w:t>供应商</w:t>
      </w:r>
      <w:r>
        <w:rPr>
          <w:rFonts w:hint="eastAsia" w:ascii="宋体" w:hAnsi="宋体" w:eastAsia="宋体" w:cs="宋体"/>
          <w:color w:val="auto"/>
          <w:sz w:val="24"/>
          <w:szCs w:val="20"/>
          <w:highlight w:val="none"/>
        </w:rPr>
        <w:t>解释采取这一行动的理由。</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36、</w:t>
      </w:r>
      <w:r>
        <w:rPr>
          <w:rStyle w:val="25"/>
          <w:rFonts w:hint="eastAsia" w:cs="宋体"/>
          <w:b/>
          <w:bCs w:val="0"/>
          <w:color w:val="auto"/>
          <w:sz w:val="24"/>
          <w:szCs w:val="24"/>
          <w:highlight w:val="none"/>
          <w:lang w:eastAsia="zh-CN"/>
        </w:rPr>
        <w:t>成交</w:t>
      </w:r>
      <w:r>
        <w:rPr>
          <w:rStyle w:val="25"/>
          <w:rFonts w:hint="eastAsia" w:cs="宋体"/>
          <w:b/>
          <w:bCs w:val="0"/>
          <w:color w:val="auto"/>
          <w:sz w:val="24"/>
          <w:szCs w:val="24"/>
          <w:highlight w:val="none"/>
        </w:rPr>
        <w:t>通知</w:t>
      </w:r>
      <w:bookmarkEnd w:id="156"/>
      <w:bookmarkEnd w:id="157"/>
      <w:bookmarkEnd w:id="158"/>
      <w:bookmarkEnd w:id="159"/>
      <w:r>
        <w:rPr>
          <w:rStyle w:val="25"/>
          <w:rFonts w:hint="eastAsia" w:cs="宋体"/>
          <w:b/>
          <w:bCs w:val="0"/>
          <w:color w:val="auto"/>
          <w:sz w:val="24"/>
          <w:szCs w:val="24"/>
          <w:highlight w:val="none"/>
        </w:rPr>
        <w:t>书</w:t>
      </w:r>
    </w:p>
    <w:p>
      <w:pPr>
        <w:spacing w:line="360" w:lineRule="auto"/>
        <w:ind w:firstLine="480" w:firstLineChars="200"/>
        <w:rPr>
          <w:rFonts w:asciiTheme="minorEastAsia" w:hAnsiTheme="minorEastAsia" w:eastAsiaTheme="minorEastAsia" w:cstheme="minorEastAsia"/>
          <w:color w:val="auto"/>
          <w:sz w:val="24"/>
          <w:highlight w:val="none"/>
        </w:rPr>
      </w:pPr>
      <w:bookmarkStart w:id="180" w:name="_Toc233274849"/>
      <w:bookmarkStart w:id="181" w:name="_Toc243906350"/>
      <w:bookmarkStart w:id="182" w:name="_Toc243907611"/>
      <w:bookmarkStart w:id="183" w:name="_Toc245897310"/>
      <w:r>
        <w:rPr>
          <w:rFonts w:hint="eastAsia" w:asciiTheme="minorEastAsia" w:hAnsiTheme="minorEastAsia" w:eastAsiaTheme="minorEastAsia" w:cstheme="minorEastAsia"/>
          <w:color w:val="auto"/>
          <w:sz w:val="24"/>
          <w:highlight w:val="none"/>
          <w:lang w:val="en-US" w:eastAsia="zh-CN"/>
        </w:rPr>
        <w:t>36</w:t>
      </w:r>
      <w:r>
        <w:rPr>
          <w:rFonts w:hint="eastAsia" w:asciiTheme="minorEastAsia" w:hAnsiTheme="minorEastAsia" w:eastAsiaTheme="minorEastAsia" w:cstheme="minorEastAsia"/>
          <w:color w:val="auto"/>
          <w:sz w:val="24"/>
          <w:highlight w:val="none"/>
        </w:rPr>
        <w:t>.1采购人确定成交供应商后，及时通知采购代理机构，采购代理机构将按程序公告成交结果，同时向成交供应商发出成交通知书，成交通知书一经发出即发生法律效力。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36</w:t>
      </w:r>
      <w:r>
        <w:rPr>
          <w:rFonts w:hint="eastAsia" w:asciiTheme="minorEastAsia" w:hAnsiTheme="minorEastAsia" w:eastAsiaTheme="minorEastAsia" w:cstheme="minorEastAsia"/>
          <w:color w:val="auto"/>
          <w:sz w:val="24"/>
          <w:highlight w:val="none"/>
        </w:rPr>
        <w:t>.2《成交通知书》将是合同的组成部分。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36</w:t>
      </w:r>
      <w:r>
        <w:rPr>
          <w:rFonts w:hint="eastAsia" w:asciiTheme="minorEastAsia" w:hAnsiTheme="minorEastAsia" w:eastAsiaTheme="minorEastAsia" w:cstheme="minorEastAsia"/>
          <w:color w:val="auto"/>
          <w:sz w:val="24"/>
          <w:highlight w:val="none"/>
        </w:rPr>
        <w:t>.3采购人将通知其他未成交的供应商。</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37、纪律与保密事项</w:t>
      </w:r>
      <w:bookmarkEnd w:id="180"/>
      <w:bookmarkEnd w:id="181"/>
      <w:bookmarkEnd w:id="182"/>
      <w:bookmarkEnd w:id="183"/>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.1凡参与竞争性磋商工作的有关人员均应自觉接受有关主管部门的监督，不得向他人透露可能影响公平竞争的有关竞争性磋商的其他情况。</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2领取本竞争性磋商文件及其它相关资料者，应对文件进行保密，不得用作本次竞争性磋商以外的任何用途。由采购人向供应商提供的图纸、技术资料和所有其它资料，均视为保密资料，除非得到采购人的同意，不得向第三方透露。</w:t>
      </w:r>
    </w:p>
    <w:p>
      <w:pPr>
        <w:spacing w:line="360" w:lineRule="auto"/>
        <w:ind w:firstLine="480"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3供应商不得与采购人串通竞争性磋商，不得向采购人或者竞争性磋商小组成员行贿谋取成交，不得以他人名义参与竞争性磋商或者以其它任何方式弄虚作假骗取参与竞争性磋商。供应商不得以任何方式干扰、影响评审工作</w:t>
      </w:r>
      <w:r>
        <w:rPr>
          <w:rFonts w:hint="eastAsia" w:asciiTheme="minorEastAsia" w:hAnsiTheme="minorEastAsia" w:eastAsiaTheme="minorEastAsia" w:cstheme="minorEastAsia"/>
          <w:b/>
          <w:bCs/>
          <w:color w:val="auto"/>
          <w:sz w:val="24"/>
          <w:highlight w:val="none"/>
        </w:rPr>
        <w:t>。</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4供应商不得在竞争性磋商过程中互相串通、结盟、损害竞争性磋商的公正性和竞争性，或以任何方式影响其他供应商参与正当竞争性磋商。扰乱竞争性磋商市场，破坏公平竞争原则。如供应商在竞争性磋商过程中互相串通，一经查实，将取消竞争性磋商资格。</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.5 竞争性磋商之日起直至授予成交供应商合同为止，凡属于对响应文件的审查、澄清、评价、比较有关的资料和成交候选人的推荐情况及与评审有关的其他任何情况均严格保密。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.6从竞争性磋商之日起至授予合同期间，供应商试图向竞争性磋商小组、采购代理机构施加任何影响或对采购人的比较及授予合同的决定进行影响，都可能导致其响应文件被拒绝。</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.7除供应商被要求对响应文件进行澄清外，从竞争性磋商之时起至授予合同期间，供应商不得就与其响应文件有关的事项主动与竞争性磋商小组、采购代理机构以及采购人联系。</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37</w:t>
      </w:r>
      <w:r>
        <w:rPr>
          <w:rFonts w:hint="eastAsia" w:asciiTheme="minorEastAsia" w:hAnsiTheme="minorEastAsia" w:eastAsiaTheme="minorEastAsia" w:cstheme="minorEastAsia"/>
          <w:color w:val="auto"/>
          <w:sz w:val="24"/>
          <w:highlight w:val="none"/>
        </w:rPr>
        <w:t>.8成交供应商确定后，采购人不对未成交供应商就评审过程以及未能成交原因作出任何解释，未成交供应商不得向竞争性磋商小组或其他有关人员询问评审过程的情况和索取评审过程的资料。</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jc w:val="center"/>
        <w:textAlignment w:val="auto"/>
        <w:rPr>
          <w:rStyle w:val="25"/>
          <w:rFonts w:hint="eastAsia" w:cs="宋体"/>
          <w:b/>
          <w:bCs w:val="0"/>
          <w:color w:val="auto"/>
          <w:sz w:val="24"/>
          <w:szCs w:val="24"/>
          <w:highlight w:val="none"/>
          <w:lang w:eastAsia="zh-CN"/>
        </w:rPr>
      </w:pPr>
      <w:r>
        <w:rPr>
          <w:rStyle w:val="25"/>
          <w:rFonts w:hint="eastAsia" w:cs="宋体"/>
          <w:b/>
          <w:bCs w:val="0"/>
          <w:color w:val="auto"/>
          <w:sz w:val="24"/>
          <w:szCs w:val="24"/>
          <w:highlight w:val="none"/>
        </w:rPr>
        <w:t>F   授予合同</w:t>
      </w:r>
      <w:bookmarkStart w:id="184" w:name="_Toc233274853"/>
      <w:bookmarkStart w:id="185" w:name="_Toc243906355"/>
      <w:bookmarkStart w:id="186" w:name="_Toc243907618"/>
      <w:bookmarkStart w:id="187" w:name="_Toc245897315"/>
    </w:p>
    <w:bookmarkEnd w:id="184"/>
    <w:bookmarkEnd w:id="185"/>
    <w:bookmarkEnd w:id="186"/>
    <w:bookmarkEnd w:id="187"/>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3</w:t>
      </w:r>
      <w:r>
        <w:rPr>
          <w:rStyle w:val="25"/>
          <w:rFonts w:hint="eastAsia" w:cs="宋体"/>
          <w:b/>
          <w:bCs w:val="0"/>
          <w:color w:val="auto"/>
          <w:sz w:val="24"/>
          <w:szCs w:val="24"/>
          <w:highlight w:val="none"/>
          <w:lang w:val="en-US" w:eastAsia="zh-CN"/>
        </w:rPr>
        <w:t>8</w:t>
      </w:r>
      <w:r>
        <w:rPr>
          <w:rStyle w:val="25"/>
          <w:rFonts w:hint="eastAsia" w:cs="宋体"/>
          <w:b/>
          <w:bCs w:val="0"/>
          <w:color w:val="auto"/>
          <w:sz w:val="24"/>
          <w:szCs w:val="24"/>
          <w:highlight w:val="none"/>
        </w:rPr>
        <w:t>、授予合同标准</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本</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项目的</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合同将授予按本须知第3</w:t>
      </w:r>
      <w:r>
        <w:rPr>
          <w:rStyle w:val="25"/>
          <w:rFonts w:hint="eastAsia" w:cs="宋体"/>
          <w:b w:val="0"/>
          <w:bCs/>
          <w:color w:val="auto"/>
          <w:sz w:val="24"/>
          <w:szCs w:val="24"/>
          <w:highlight w:val="none"/>
          <w:lang w:val="en-US" w:eastAsia="zh-CN"/>
        </w:rPr>
        <w:t>4</w:t>
      </w:r>
      <w:r>
        <w:rPr>
          <w:rStyle w:val="25"/>
          <w:rFonts w:hint="eastAsia" w:cs="宋体"/>
          <w:b w:val="0"/>
          <w:bCs/>
          <w:color w:val="auto"/>
          <w:sz w:val="24"/>
          <w:szCs w:val="24"/>
          <w:highlight w:val="none"/>
        </w:rPr>
        <w:t>条所确定</w:t>
      </w: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188" w:name="_Toc233274855"/>
      <w:bookmarkStart w:id="189" w:name="_Toc243906357"/>
      <w:bookmarkStart w:id="190" w:name="_Toc245897317"/>
      <w:bookmarkStart w:id="191" w:name="_Toc243907620"/>
      <w:r>
        <w:rPr>
          <w:rStyle w:val="25"/>
          <w:rFonts w:hint="eastAsia" w:cs="宋体"/>
          <w:b/>
          <w:bCs w:val="0"/>
          <w:color w:val="auto"/>
          <w:sz w:val="24"/>
          <w:szCs w:val="24"/>
          <w:highlight w:val="none"/>
          <w:lang w:val="en-US" w:eastAsia="zh-CN"/>
        </w:rPr>
        <w:t>39</w:t>
      </w:r>
      <w:r>
        <w:rPr>
          <w:rStyle w:val="25"/>
          <w:rFonts w:hint="eastAsia" w:cs="宋体"/>
          <w:b/>
          <w:bCs w:val="0"/>
          <w:color w:val="auto"/>
          <w:sz w:val="24"/>
          <w:szCs w:val="24"/>
          <w:highlight w:val="none"/>
        </w:rPr>
        <w:t>、签订合同</w:t>
      </w:r>
      <w:bookmarkEnd w:id="188"/>
      <w:bookmarkEnd w:id="189"/>
      <w:bookmarkEnd w:id="190"/>
      <w:bookmarkEnd w:id="191"/>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39</w:t>
      </w: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应当自</w:t>
      </w:r>
      <w:r>
        <w:rPr>
          <w:rStyle w:val="25"/>
          <w:rFonts w:hint="eastAsia" w:cs="宋体"/>
          <w:b w:val="0"/>
          <w:bCs/>
          <w:color w:val="auto"/>
          <w:sz w:val="24"/>
          <w:szCs w:val="24"/>
          <w:highlight w:val="none"/>
          <w:lang w:eastAsia="zh-CN"/>
        </w:rPr>
        <w:t>成交</w:t>
      </w:r>
      <w:r>
        <w:rPr>
          <w:rStyle w:val="25"/>
          <w:rFonts w:hint="eastAsia" w:cs="宋体"/>
          <w:b w:val="0"/>
          <w:bCs/>
          <w:color w:val="auto"/>
          <w:sz w:val="24"/>
          <w:szCs w:val="24"/>
          <w:highlight w:val="none"/>
        </w:rPr>
        <w:t>通知书发出之日起三十日内，按照</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和</w:t>
      </w: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的</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订立书面合同。</w:t>
      </w: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不得要求订立背离本</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合同条款等</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实质性内容的其他协议。</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39</w:t>
      </w:r>
      <w:r>
        <w:rPr>
          <w:rStyle w:val="25"/>
          <w:rFonts w:hint="eastAsia" w:cs="宋体"/>
          <w:b w:val="0"/>
          <w:bCs/>
          <w:color w:val="auto"/>
          <w:sz w:val="24"/>
          <w:szCs w:val="24"/>
          <w:highlight w:val="none"/>
        </w:rPr>
        <w:t xml:space="preserve">.2 </w:t>
      </w:r>
      <w:r>
        <w:rPr>
          <w:rStyle w:val="25"/>
          <w:rFonts w:hint="eastAsia" w:cs="宋体"/>
          <w:b w:val="0"/>
          <w:bCs/>
          <w:color w:val="auto"/>
          <w:sz w:val="24"/>
          <w:szCs w:val="24"/>
          <w:highlight w:val="none"/>
          <w:lang w:eastAsia="zh-CN"/>
        </w:rPr>
        <w:t>成交</w:t>
      </w:r>
      <w:r>
        <w:rPr>
          <w:rStyle w:val="25"/>
          <w:rFonts w:hint="eastAsia" w:cs="宋体"/>
          <w:b w:val="0"/>
          <w:bCs/>
          <w:color w:val="auto"/>
          <w:sz w:val="24"/>
          <w:szCs w:val="24"/>
          <w:highlight w:val="none"/>
        </w:rPr>
        <w:t>通知书、</w:t>
      </w: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的</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及其澄清文件、技术规范及标准、项目</w:t>
      </w:r>
      <w:r>
        <w:rPr>
          <w:rStyle w:val="25"/>
          <w:rFonts w:hint="eastAsia" w:cs="宋体"/>
          <w:b w:val="0"/>
          <w:bCs/>
          <w:color w:val="auto"/>
          <w:sz w:val="24"/>
          <w:szCs w:val="24"/>
          <w:highlight w:val="none"/>
          <w:lang w:eastAsia="zh-CN"/>
        </w:rPr>
        <w:t>采购需求</w:t>
      </w:r>
      <w:r>
        <w:rPr>
          <w:rStyle w:val="25"/>
          <w:rFonts w:hint="eastAsia" w:cs="宋体"/>
          <w:b w:val="0"/>
          <w:bCs/>
          <w:color w:val="auto"/>
          <w:sz w:val="24"/>
          <w:szCs w:val="24"/>
          <w:highlight w:val="none"/>
        </w:rPr>
        <w:t>、本</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（含修改文件或补充文件）及答疑纪要等，均为签订合同的依据。</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39</w:t>
      </w:r>
      <w:r>
        <w:rPr>
          <w:rStyle w:val="25"/>
          <w:rFonts w:hint="eastAsia" w:cs="宋体"/>
          <w:b w:val="0"/>
          <w:bCs/>
          <w:color w:val="auto"/>
          <w:sz w:val="24"/>
          <w:szCs w:val="24"/>
          <w:highlight w:val="none"/>
        </w:rPr>
        <w:t>.3</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如不按本须知</w:t>
      </w:r>
      <w:r>
        <w:rPr>
          <w:rStyle w:val="25"/>
          <w:rFonts w:hint="eastAsia" w:cs="宋体"/>
          <w:b w:val="0"/>
          <w:bCs/>
          <w:color w:val="auto"/>
          <w:sz w:val="24"/>
          <w:szCs w:val="24"/>
          <w:highlight w:val="none"/>
          <w:lang w:val="en-US" w:eastAsia="zh-CN"/>
        </w:rPr>
        <w:t>39</w:t>
      </w:r>
      <w:r>
        <w:rPr>
          <w:rStyle w:val="25"/>
          <w:rFonts w:hint="eastAsia" w:cs="宋体"/>
          <w:b w:val="0"/>
          <w:bCs/>
          <w:color w:val="auto"/>
          <w:sz w:val="24"/>
          <w:szCs w:val="24"/>
          <w:highlight w:val="none"/>
        </w:rPr>
        <w:t>.1条规定与</w:t>
      </w: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签订合同，或者</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签订背离合同实质性内容的协议，由监督管理部门责令其改正。</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39</w:t>
      </w:r>
      <w:r>
        <w:rPr>
          <w:rStyle w:val="25"/>
          <w:rFonts w:hint="eastAsia" w:cs="宋体"/>
          <w:b w:val="0"/>
          <w:bCs/>
          <w:color w:val="auto"/>
          <w:sz w:val="24"/>
          <w:szCs w:val="24"/>
          <w:highlight w:val="none"/>
        </w:rPr>
        <w:t>.4</w:t>
      </w: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如不按本须知</w:t>
      </w:r>
      <w:r>
        <w:rPr>
          <w:rStyle w:val="25"/>
          <w:rFonts w:hint="eastAsia" w:cs="宋体"/>
          <w:b w:val="0"/>
          <w:bCs/>
          <w:color w:val="auto"/>
          <w:sz w:val="24"/>
          <w:szCs w:val="24"/>
          <w:highlight w:val="none"/>
          <w:lang w:val="en-US" w:eastAsia="zh-CN"/>
        </w:rPr>
        <w:t>39</w:t>
      </w:r>
      <w:r>
        <w:rPr>
          <w:rStyle w:val="25"/>
          <w:rFonts w:hint="eastAsia" w:cs="宋体"/>
          <w:b w:val="0"/>
          <w:bCs/>
          <w:color w:val="auto"/>
          <w:sz w:val="24"/>
          <w:szCs w:val="24"/>
          <w:highlight w:val="none"/>
        </w:rPr>
        <w:t>.1条规定与</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签订合同，则按违约处理，</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将有权取消</w:t>
      </w: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资格，给</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造成损失，还应当予以赔偿，同时依法承担相应的法律责任。</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39.5</w:t>
      </w: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拒绝与</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签订合同的，</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可以按照评审报告推荐的</w:t>
      </w:r>
      <w:r>
        <w:rPr>
          <w:rStyle w:val="25"/>
          <w:rFonts w:hint="eastAsia" w:cs="宋体"/>
          <w:b w:val="0"/>
          <w:bCs/>
          <w:color w:val="auto"/>
          <w:sz w:val="24"/>
          <w:szCs w:val="24"/>
          <w:highlight w:val="none"/>
          <w:lang w:eastAsia="zh-CN"/>
        </w:rPr>
        <w:t>成交</w:t>
      </w:r>
      <w:r>
        <w:rPr>
          <w:rStyle w:val="25"/>
          <w:rFonts w:hint="eastAsia" w:cs="宋体"/>
          <w:b w:val="0"/>
          <w:bCs/>
          <w:color w:val="auto"/>
          <w:sz w:val="24"/>
          <w:szCs w:val="24"/>
          <w:highlight w:val="none"/>
        </w:rPr>
        <w:t>候选</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名单排序，确定下一名候选</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为</w:t>
      </w: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，并组织重新选定的</w:t>
      </w: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和</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签订合同，也可以重新开展政府采购活动。</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bookmarkStart w:id="192" w:name="_Toc245897318"/>
      <w:bookmarkStart w:id="193" w:name="_Toc243907621"/>
      <w:r>
        <w:rPr>
          <w:rStyle w:val="25"/>
          <w:rFonts w:hint="eastAsia" w:cs="宋体"/>
          <w:b/>
          <w:bCs w:val="0"/>
          <w:color w:val="auto"/>
          <w:sz w:val="24"/>
          <w:szCs w:val="24"/>
          <w:highlight w:val="none"/>
        </w:rPr>
        <w:t>40、合同的签订准则</w:t>
      </w:r>
      <w:bookmarkEnd w:id="192"/>
      <w:bookmarkEnd w:id="193"/>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ascii="Times New Roman" w:hAnsi="Times New Roman"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40.1</w:t>
      </w:r>
      <w:r>
        <w:rPr>
          <w:rStyle w:val="25"/>
          <w:rFonts w:hint="eastAsia" w:ascii="Times New Roman" w:hAnsi="Times New Roman" w:cs="宋体"/>
          <w:b w:val="0"/>
          <w:bCs/>
          <w:color w:val="auto"/>
          <w:sz w:val="24"/>
          <w:szCs w:val="24"/>
          <w:highlight w:val="none"/>
          <w:lang w:val="en-US" w:eastAsia="zh-CN"/>
        </w:rPr>
        <w:t>合同签订必须由采购人、成交供应商双方法定代表人或其委托代理人签署并加盖法人公章后方能生效。</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40.2合同转包（实质性要求）</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本</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项目严禁</w:t>
      </w: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将任何政府采购合同义务转包。本项目所称转包，是指</w:t>
      </w: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将政府采购合同义务转让给第三人，并退出现有政府采购合同当事人双方的权利义务关系，受让人（即第三人）成为政府采购合同的另一方当事人的行为。</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eastAsia="zh-CN"/>
        </w:rPr>
        <w:t>成交供应商</w:t>
      </w:r>
      <w:r>
        <w:rPr>
          <w:rStyle w:val="25"/>
          <w:rFonts w:hint="eastAsia" w:cs="宋体"/>
          <w:b w:val="0"/>
          <w:bCs/>
          <w:color w:val="auto"/>
          <w:sz w:val="24"/>
          <w:szCs w:val="24"/>
          <w:highlight w:val="none"/>
        </w:rPr>
        <w:t>转包的，视同拒绝履行政府采购合同义务，将依法追究法律责任。</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41、验收</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本项目</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将严格按照政府采购相关法律法规以及《克拉玛依市政府采购项目需求论证和履约验收管理办法》（克财发〔2016〕9号）的要求进行验收。</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jc w:val="center"/>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G  询问、质疑、投诉</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42、询问</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对</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活动事项有疑问的，可以向</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或</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提出询问，</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或</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应当在三个工作日内对</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依法提出的询问作出答复，但答复的内容不得涉及商业秘密。</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43、质疑</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43.1</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认为</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过程和</w:t>
      </w:r>
      <w:r>
        <w:rPr>
          <w:rStyle w:val="25"/>
          <w:rFonts w:hint="eastAsia" w:cs="宋体"/>
          <w:b w:val="0"/>
          <w:bCs/>
          <w:color w:val="auto"/>
          <w:sz w:val="24"/>
          <w:szCs w:val="24"/>
          <w:highlight w:val="none"/>
          <w:lang w:eastAsia="zh-CN"/>
        </w:rPr>
        <w:t>成交</w:t>
      </w:r>
      <w:r>
        <w:rPr>
          <w:rStyle w:val="25"/>
          <w:rFonts w:hint="eastAsia" w:cs="宋体"/>
          <w:b w:val="0"/>
          <w:bCs/>
          <w:color w:val="auto"/>
          <w:sz w:val="24"/>
          <w:szCs w:val="24"/>
          <w:highlight w:val="none"/>
        </w:rPr>
        <w:t>结果使自己的合法权益受到损害的，可以在知道或者应知其权益受到损害之日起七个工作日内，将质疑文件原件和必要的证明材料书面送达</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或</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43.2</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如对</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技术指标、参数、评分标准有质疑，向</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提出，由</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按相关规定做出答复或委托</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代为答复。</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如对</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过程和</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结果有质疑，向</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提出，由</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按相关规定作出答复。</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43.3上述应知其权益受到损害之日是指： </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（1）对</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提出质疑的，为</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 xml:space="preserve">公告期限届满之日起计算； </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（2）对</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过程提出质疑的，自</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程序环节结束之日起计算；</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（3）对</w:t>
      </w:r>
      <w:r>
        <w:rPr>
          <w:rStyle w:val="25"/>
          <w:rFonts w:hint="eastAsia" w:cs="宋体"/>
          <w:b w:val="0"/>
          <w:bCs/>
          <w:color w:val="auto"/>
          <w:sz w:val="24"/>
          <w:szCs w:val="24"/>
          <w:highlight w:val="none"/>
          <w:lang w:eastAsia="zh-CN"/>
        </w:rPr>
        <w:t>成交</w:t>
      </w:r>
      <w:r>
        <w:rPr>
          <w:rStyle w:val="25"/>
          <w:rFonts w:hint="eastAsia" w:cs="宋体"/>
          <w:b w:val="0"/>
          <w:bCs/>
          <w:color w:val="auto"/>
          <w:sz w:val="24"/>
          <w:szCs w:val="24"/>
          <w:highlight w:val="none"/>
        </w:rPr>
        <w:t>结果提出质疑的，自</w:t>
      </w:r>
      <w:r>
        <w:rPr>
          <w:rStyle w:val="25"/>
          <w:rFonts w:hint="eastAsia" w:cs="宋体"/>
          <w:b w:val="0"/>
          <w:bCs/>
          <w:color w:val="auto"/>
          <w:sz w:val="24"/>
          <w:szCs w:val="24"/>
          <w:highlight w:val="none"/>
          <w:lang w:eastAsia="zh-CN"/>
        </w:rPr>
        <w:t>成交</w:t>
      </w:r>
      <w:r>
        <w:rPr>
          <w:rStyle w:val="25"/>
          <w:rFonts w:hint="eastAsia" w:cs="宋体"/>
          <w:b w:val="0"/>
          <w:bCs/>
          <w:color w:val="auto"/>
          <w:sz w:val="24"/>
          <w:szCs w:val="24"/>
          <w:highlight w:val="none"/>
        </w:rPr>
        <w:t>结果公告期限届满之日起计算。</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43.4质疑</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在法定质疑期内应当一次性提出针对同一</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环节提出质疑。</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43.5质疑文件应包括以下主要内容，并按照“谁主张、谁举证”的原则，附上相关证明材料。否则，</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不予受理【财政部发布了《政府采购</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质疑函范本》和《政府采购</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投诉书范本》，两范本指</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提出质疑、投诉人提起投诉时，应提交的质疑函、投诉书和必要的证明材料（下载路径：中国政府采购网→下载专区）】：　　　　　　　</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 xml:space="preserve">的姓名或者名称、地址、邮编、联系人及联系电话（包括座机、手机、传真号码等）； </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（2）质疑项目的名称、项目编号、包号、采购公告发布时间、递交</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或</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 xml:space="preserve">截止时间； </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（3）具体、明确的质疑事项和与质疑事项相关的请求； </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（4）事实依据（具体条款，认为自己合法权益受到损害或可能受到损害的相关证据材料。如涉及到产品功能或技术指标的，应出具相关制造商的证明文件）； </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（5）必要的法律依据； </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（6）提起质疑的日期；</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（7）质疑文件应当署名，质疑人为自然人的，应当由本人签字并附有效身份证明；质疑人为法人或其他组织的，应当由法定代表人签字并加盖单位公章；</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（8）</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委托代理质疑的，应当提交授权委托书，并载明代理人的姓名或者名称、代理事项、 具体权限、期限和相关事项。</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43.6质疑</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是指直接参加本项目</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活动的</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，未参加政府</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活动的</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或在</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活动中自身权益未受到损害的</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所提出的质疑不予受理。</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43.7</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在收到</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的书面质疑后将及时组织调查核实，在七个工作日内作出答复，并以书面形式通知质疑</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和其他有关</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，答复的内容不涉及商业秘密。</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44、投诉</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44.1 质疑</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对</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的答复不满意，或</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未在规定的时间内作出答复的，可以在答复期满后十五个工作日内向</w:t>
      </w:r>
      <w:r>
        <w:rPr>
          <w:rStyle w:val="25"/>
          <w:rFonts w:hint="eastAsia" w:cs="宋体"/>
          <w:b w:val="0"/>
          <w:bCs/>
          <w:color w:val="auto"/>
          <w:sz w:val="24"/>
          <w:szCs w:val="24"/>
          <w:highlight w:val="none"/>
          <w:lang w:eastAsia="zh-CN"/>
        </w:rPr>
        <w:t>招标</w:t>
      </w:r>
      <w:r>
        <w:rPr>
          <w:rStyle w:val="25"/>
          <w:rFonts w:hint="eastAsia" w:cs="宋体"/>
          <w:b w:val="0"/>
          <w:bCs/>
          <w:color w:val="auto"/>
          <w:sz w:val="24"/>
          <w:szCs w:val="24"/>
          <w:highlight w:val="none"/>
        </w:rPr>
        <w:t>项目同级财政部门提起投诉。</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44.2</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投诉的事项不得超出已质疑事项的范围，但基于质疑答复内容提出的投诉事项除外。</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45、诚实信用</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45.1 </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不得虚假承诺，否则，按照提供虚假材料谋取</w:t>
      </w:r>
      <w:r>
        <w:rPr>
          <w:rStyle w:val="25"/>
          <w:rFonts w:hint="eastAsia" w:cs="宋体"/>
          <w:b w:val="0"/>
          <w:bCs/>
          <w:color w:val="auto"/>
          <w:sz w:val="24"/>
          <w:szCs w:val="24"/>
          <w:highlight w:val="none"/>
          <w:lang w:eastAsia="zh-CN"/>
        </w:rPr>
        <w:t>成交</w:t>
      </w:r>
      <w:r>
        <w:rPr>
          <w:rStyle w:val="25"/>
          <w:rFonts w:hint="eastAsia" w:cs="宋体"/>
          <w:b w:val="0"/>
          <w:bCs/>
          <w:color w:val="auto"/>
          <w:sz w:val="24"/>
          <w:szCs w:val="24"/>
          <w:highlight w:val="none"/>
        </w:rPr>
        <w:t>处理。</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jc w:val="center"/>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H   义务、工作纪律</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46、</w:t>
      </w:r>
      <w:r>
        <w:rPr>
          <w:rStyle w:val="25"/>
          <w:rFonts w:hint="eastAsia" w:cs="宋体"/>
          <w:b/>
          <w:bCs w:val="0"/>
          <w:color w:val="auto"/>
          <w:sz w:val="24"/>
          <w:szCs w:val="24"/>
          <w:highlight w:val="none"/>
          <w:lang w:eastAsia="zh-CN"/>
        </w:rPr>
        <w:t>评标</w:t>
      </w:r>
      <w:r>
        <w:rPr>
          <w:rStyle w:val="25"/>
          <w:rFonts w:hint="eastAsia" w:cs="宋体"/>
          <w:b/>
          <w:bCs w:val="0"/>
          <w:color w:val="auto"/>
          <w:sz w:val="24"/>
          <w:szCs w:val="24"/>
          <w:highlight w:val="none"/>
        </w:rPr>
        <w:t>小组在政府</w:t>
      </w:r>
      <w:r>
        <w:rPr>
          <w:rStyle w:val="25"/>
          <w:rFonts w:hint="eastAsia" w:cs="宋体"/>
          <w:b/>
          <w:bCs w:val="0"/>
          <w:color w:val="auto"/>
          <w:sz w:val="24"/>
          <w:szCs w:val="24"/>
          <w:highlight w:val="none"/>
          <w:lang w:eastAsia="zh-CN"/>
        </w:rPr>
        <w:t>招标</w:t>
      </w:r>
      <w:r>
        <w:rPr>
          <w:rStyle w:val="25"/>
          <w:rFonts w:hint="eastAsia" w:cs="宋体"/>
          <w:b/>
          <w:bCs w:val="0"/>
          <w:color w:val="auto"/>
          <w:sz w:val="24"/>
          <w:szCs w:val="24"/>
          <w:highlight w:val="none"/>
        </w:rPr>
        <w:t>活动中承担以下义务：</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（一）遵守评审工作纪律；</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（二）按照客观、公正、审慎的原则，根据</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规定的评审程序、评审方法和评审标准进行独立评审；</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（三）不得泄露评审文件、评审情况和在评审过程中获悉的商业秘密；</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（四）及时向财政部门报告评审过程中发现的</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向评审专家做倾向性、误导性的解释或者说明，以及</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行贿、提供虚假材料或者串通等违法行为；</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（五）发现</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内容违反国家有关强制性规定或者</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存在歧义、重大缺陷导致评审工作无法进行时，停止评审并向</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或者</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书面说明情况；</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（六）及时向财政、监察等部门举报在评审过程中受到非法干预的情况；</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（七）配合答复处理</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的询问、质疑和投诉等事项；</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（八）法律、法规和规章规定的其他义务。</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5"/>
          <w:rFonts w:hint="eastAsia" w:cs="宋体"/>
          <w:b/>
          <w:bCs w:val="0"/>
          <w:color w:val="auto"/>
          <w:sz w:val="24"/>
          <w:szCs w:val="24"/>
          <w:highlight w:val="none"/>
        </w:rPr>
      </w:pPr>
      <w:r>
        <w:rPr>
          <w:rStyle w:val="25"/>
          <w:rFonts w:hint="eastAsia" w:cs="宋体"/>
          <w:b/>
          <w:bCs w:val="0"/>
          <w:color w:val="auto"/>
          <w:sz w:val="24"/>
          <w:szCs w:val="24"/>
          <w:highlight w:val="none"/>
        </w:rPr>
        <w:t>47、</w:t>
      </w:r>
      <w:r>
        <w:rPr>
          <w:rStyle w:val="25"/>
          <w:rFonts w:hint="eastAsia" w:cs="宋体"/>
          <w:b/>
          <w:bCs w:val="0"/>
          <w:color w:val="auto"/>
          <w:sz w:val="24"/>
          <w:szCs w:val="24"/>
          <w:highlight w:val="none"/>
          <w:lang w:eastAsia="zh-CN"/>
        </w:rPr>
        <w:t>评标</w:t>
      </w:r>
      <w:r>
        <w:rPr>
          <w:rStyle w:val="25"/>
          <w:rFonts w:hint="eastAsia" w:cs="宋体"/>
          <w:b/>
          <w:bCs w:val="0"/>
          <w:color w:val="auto"/>
          <w:sz w:val="24"/>
          <w:szCs w:val="24"/>
          <w:highlight w:val="none"/>
        </w:rPr>
        <w:t>小组在政府</w:t>
      </w:r>
      <w:r>
        <w:rPr>
          <w:rStyle w:val="25"/>
          <w:rFonts w:hint="eastAsia" w:cs="宋体"/>
          <w:b/>
          <w:bCs w:val="0"/>
          <w:color w:val="auto"/>
          <w:sz w:val="24"/>
          <w:szCs w:val="24"/>
          <w:highlight w:val="none"/>
          <w:lang w:eastAsia="zh-CN"/>
        </w:rPr>
        <w:t>招标</w:t>
      </w:r>
      <w:r>
        <w:rPr>
          <w:rStyle w:val="25"/>
          <w:rFonts w:hint="eastAsia" w:cs="宋体"/>
          <w:b/>
          <w:bCs w:val="0"/>
          <w:color w:val="auto"/>
          <w:sz w:val="24"/>
          <w:szCs w:val="24"/>
          <w:highlight w:val="none"/>
        </w:rPr>
        <w:t>活动中应当遵守以下工作纪律：</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（一）不得参加与自己有《中华人民共和国政府采购法实施条例》第九条规定的利害关系的政府采购项目的评标活动。发现参加了与自己有利害关系的评审活动，须主动提出回避，退出评审；</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（二）评审前，应当将通讯工具或者相关电子设备交由</w:t>
      </w:r>
      <w:r>
        <w:rPr>
          <w:rStyle w:val="25"/>
          <w:rFonts w:hint="eastAsia" w:cs="宋体"/>
          <w:b w:val="0"/>
          <w:bCs/>
          <w:color w:val="auto"/>
          <w:sz w:val="24"/>
          <w:szCs w:val="24"/>
          <w:highlight w:val="none"/>
          <w:lang w:eastAsia="zh-CN"/>
        </w:rPr>
        <w:t>采购代理机构</w:t>
      </w:r>
      <w:r>
        <w:rPr>
          <w:rStyle w:val="25"/>
          <w:rFonts w:hint="eastAsia" w:cs="宋体"/>
          <w:b w:val="0"/>
          <w:bCs/>
          <w:color w:val="auto"/>
          <w:sz w:val="24"/>
          <w:szCs w:val="24"/>
          <w:highlight w:val="none"/>
        </w:rPr>
        <w:t>统一保管；</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（三）评审过程中，不得与外界联系，因发生不可预见情况，确实需要与外界联系的，应当在监督人员监督之下办理；</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cs="宋体"/>
          <w:b w:val="0"/>
          <w:bCs/>
          <w:color w:val="auto"/>
          <w:sz w:val="24"/>
          <w:szCs w:val="24"/>
          <w:highlight w:val="none"/>
        </w:rPr>
      </w:pPr>
      <w:r>
        <w:rPr>
          <w:rStyle w:val="25"/>
          <w:rFonts w:hint="eastAsia" w:cs="宋体"/>
          <w:b w:val="0"/>
          <w:bCs/>
          <w:color w:val="auto"/>
          <w:sz w:val="24"/>
          <w:szCs w:val="24"/>
          <w:highlight w:val="none"/>
        </w:rPr>
        <w:t>（四）评审过程中，不得发表影响评审公正的倾向性、歧视性言论，不得征询或者接受</w:t>
      </w:r>
      <w:r>
        <w:rPr>
          <w:rStyle w:val="25"/>
          <w:rFonts w:hint="eastAsia" w:cs="宋体"/>
          <w:b w:val="0"/>
          <w:bCs/>
          <w:color w:val="auto"/>
          <w:sz w:val="24"/>
          <w:szCs w:val="24"/>
          <w:highlight w:val="none"/>
          <w:lang w:eastAsia="zh-CN"/>
        </w:rPr>
        <w:t>采购人</w:t>
      </w:r>
      <w:r>
        <w:rPr>
          <w:rStyle w:val="25"/>
          <w:rFonts w:hint="eastAsia" w:cs="宋体"/>
          <w:b w:val="0"/>
          <w:bCs/>
          <w:color w:val="auto"/>
          <w:sz w:val="24"/>
          <w:szCs w:val="24"/>
          <w:highlight w:val="none"/>
        </w:rPr>
        <w:t>的倾向性意见，不得明示或暗示</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在澄清时表达与其</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原义不同的意见，不得以</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没有规定的评审方法和标准作为评审的依据，不得修改或者细化评审程序、评审方法、评审因素和评审标准，不得违规撰写评审意见，不得拒绝对自己的评审意见签字确认；</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ascii="Times New Roman" w:hAnsi="Times New Roman" w:cs="宋体"/>
          <w:b w:val="0"/>
          <w:bCs/>
          <w:color w:val="auto"/>
          <w:sz w:val="24"/>
          <w:szCs w:val="24"/>
          <w:highlight w:val="none"/>
        </w:rPr>
      </w:pPr>
      <w:r>
        <w:rPr>
          <w:rStyle w:val="25"/>
          <w:rFonts w:hint="eastAsia" w:cs="宋体"/>
          <w:b w:val="0"/>
          <w:bCs/>
          <w:color w:val="auto"/>
          <w:sz w:val="24"/>
          <w:szCs w:val="24"/>
          <w:highlight w:val="none"/>
        </w:rPr>
        <w:t>（五）在</w:t>
      </w:r>
      <w:r>
        <w:rPr>
          <w:rStyle w:val="25"/>
          <w:rFonts w:hint="eastAsia" w:ascii="Times New Roman" w:hAnsi="Times New Roman" w:cs="宋体"/>
          <w:b w:val="0"/>
          <w:bCs/>
          <w:color w:val="auto"/>
          <w:sz w:val="24"/>
          <w:szCs w:val="24"/>
          <w:highlight w:val="none"/>
        </w:rPr>
        <w:t>评审过程中和评审结束后，不得记录、复制或带走任何评审资料，不得向外界透露评审内容；</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ascii="Times New Roman" w:hAnsi="Times New Roman" w:cs="宋体"/>
          <w:b w:val="0"/>
          <w:bCs/>
          <w:color w:val="auto"/>
          <w:sz w:val="24"/>
          <w:szCs w:val="24"/>
          <w:highlight w:val="none"/>
        </w:rPr>
      </w:pPr>
      <w:r>
        <w:rPr>
          <w:rStyle w:val="25"/>
          <w:rFonts w:hint="eastAsia" w:ascii="Times New Roman" w:hAnsi="Times New Roman" w:cs="宋体"/>
          <w:b w:val="0"/>
          <w:bCs/>
          <w:color w:val="auto"/>
          <w:sz w:val="24"/>
          <w:szCs w:val="24"/>
          <w:highlight w:val="none"/>
        </w:rPr>
        <w:t>（六）评审现场服从</w:t>
      </w:r>
      <w:r>
        <w:rPr>
          <w:rStyle w:val="25"/>
          <w:rFonts w:hint="eastAsia" w:ascii="Times New Roman" w:hAnsi="Times New Roman" w:cs="宋体"/>
          <w:b w:val="0"/>
          <w:bCs/>
          <w:color w:val="auto"/>
          <w:sz w:val="24"/>
          <w:szCs w:val="24"/>
          <w:highlight w:val="none"/>
          <w:lang w:eastAsia="zh-CN"/>
        </w:rPr>
        <w:t>采购代理机构</w:t>
      </w:r>
      <w:r>
        <w:rPr>
          <w:rStyle w:val="25"/>
          <w:rFonts w:hint="eastAsia" w:ascii="Times New Roman" w:hAnsi="Times New Roman" w:cs="宋体"/>
          <w:b w:val="0"/>
          <w:bCs/>
          <w:color w:val="auto"/>
          <w:sz w:val="24"/>
          <w:szCs w:val="24"/>
          <w:highlight w:val="none"/>
        </w:rPr>
        <w:t>工作人员的管理，接受现场监督人员的合法监督；</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ascii="Times New Roman" w:hAnsi="Times New Roman" w:cs="宋体"/>
          <w:b w:val="0"/>
          <w:bCs/>
          <w:color w:val="auto"/>
          <w:sz w:val="24"/>
          <w:szCs w:val="24"/>
          <w:highlight w:val="none"/>
          <w:lang w:val="en-US" w:eastAsia="zh-CN"/>
        </w:rPr>
      </w:pPr>
      <w:r>
        <w:rPr>
          <w:rStyle w:val="25"/>
          <w:rFonts w:hint="eastAsia" w:ascii="Times New Roman" w:hAnsi="Times New Roman" w:cs="宋体"/>
          <w:b w:val="0"/>
          <w:bCs/>
          <w:color w:val="auto"/>
          <w:sz w:val="24"/>
          <w:szCs w:val="24"/>
          <w:highlight w:val="none"/>
          <w:lang w:val="en-US" w:eastAsia="zh-CN"/>
        </w:rPr>
        <w:t>（七）遵守有关廉洁自律规定，不得私下接触供应商，不得收受供应商及有关业务单位和个人的财物或好处，不得接受采购代理机构的请托。</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2" w:firstLineChars="200"/>
        <w:textAlignment w:val="auto"/>
        <w:rPr>
          <w:rStyle w:val="25"/>
          <w:rFonts w:hint="eastAsia" w:ascii="Times New Roman" w:hAnsi="Times New Roman" w:cs="宋体"/>
          <w:b/>
          <w:bCs w:val="0"/>
          <w:color w:val="auto"/>
          <w:sz w:val="24"/>
          <w:szCs w:val="24"/>
          <w:highlight w:val="none"/>
          <w:lang w:val="en-US" w:eastAsia="zh-CN"/>
        </w:rPr>
      </w:pPr>
      <w:r>
        <w:rPr>
          <w:rStyle w:val="25"/>
          <w:rFonts w:hint="eastAsia" w:ascii="Times New Roman" w:hAnsi="Times New Roman" w:cs="宋体"/>
          <w:b/>
          <w:bCs w:val="0"/>
          <w:color w:val="auto"/>
          <w:sz w:val="24"/>
          <w:szCs w:val="24"/>
          <w:highlight w:val="none"/>
          <w:lang w:val="en-US" w:eastAsia="zh-CN"/>
        </w:rPr>
        <w:t>48、招标代理费：</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cs="宋体"/>
          <w:b w:val="0"/>
          <w:bCs/>
          <w:color w:val="auto"/>
          <w:sz w:val="24"/>
          <w:szCs w:val="24"/>
          <w:highlight w:val="none"/>
          <w:lang w:val="en-US" w:eastAsia="zh-CN"/>
        </w:rPr>
        <w:t>48</w:t>
      </w:r>
      <w:r>
        <w:rPr>
          <w:rStyle w:val="25"/>
          <w:rFonts w:hint="eastAsia" w:ascii="宋体" w:hAnsi="宋体" w:eastAsia="宋体" w:cs="宋体"/>
          <w:b w:val="0"/>
          <w:bCs/>
          <w:color w:val="auto"/>
          <w:sz w:val="24"/>
          <w:szCs w:val="24"/>
          <w:highlight w:val="none"/>
          <w:lang w:val="en-US" w:eastAsia="zh-CN"/>
        </w:rPr>
        <w:t>.1本项目招标代理费经与</w:t>
      </w:r>
      <w:r>
        <w:rPr>
          <w:rStyle w:val="25"/>
          <w:rFonts w:hint="eastAsia" w:cs="宋体"/>
          <w:b w:val="0"/>
          <w:bCs/>
          <w:color w:val="auto"/>
          <w:sz w:val="24"/>
          <w:szCs w:val="24"/>
          <w:highlight w:val="none"/>
          <w:lang w:val="en-US" w:eastAsia="zh-CN"/>
        </w:rPr>
        <w:t>采购人</w:t>
      </w:r>
      <w:r>
        <w:rPr>
          <w:rStyle w:val="25"/>
          <w:rFonts w:hint="eastAsia" w:ascii="宋体" w:hAnsi="宋体" w:eastAsia="宋体" w:cs="宋体"/>
          <w:b w:val="0"/>
          <w:bCs/>
          <w:color w:val="auto"/>
          <w:sz w:val="24"/>
          <w:szCs w:val="24"/>
          <w:highlight w:val="none"/>
          <w:lang w:val="en-US" w:eastAsia="zh-CN"/>
        </w:rPr>
        <w:t>协调，确定由</w:t>
      </w:r>
      <w:r>
        <w:rPr>
          <w:rStyle w:val="25"/>
          <w:rFonts w:hint="eastAsia" w:cs="宋体"/>
          <w:b w:val="0"/>
          <w:bCs/>
          <w:color w:val="auto"/>
          <w:sz w:val="24"/>
          <w:szCs w:val="24"/>
          <w:highlight w:val="none"/>
          <w:lang w:val="en-US" w:eastAsia="zh-CN"/>
        </w:rPr>
        <w:t>成交</w:t>
      </w:r>
      <w:r>
        <w:rPr>
          <w:rStyle w:val="25"/>
          <w:rFonts w:hint="eastAsia" w:ascii="宋体" w:hAnsi="宋体" w:eastAsia="宋体" w:cs="宋体"/>
          <w:b w:val="0"/>
          <w:bCs/>
          <w:color w:val="auto"/>
          <w:sz w:val="24"/>
          <w:szCs w:val="24"/>
          <w:highlight w:val="none"/>
          <w:lang w:val="en-US" w:eastAsia="zh-CN"/>
        </w:rPr>
        <w:t>单位进行支付，总金额为人民币</w:t>
      </w:r>
      <w:r>
        <w:rPr>
          <w:rStyle w:val="25"/>
          <w:rFonts w:hint="eastAsia" w:cs="宋体"/>
          <w:b w:val="0"/>
          <w:bCs/>
          <w:color w:val="auto"/>
          <w:sz w:val="24"/>
          <w:szCs w:val="24"/>
          <w:highlight w:val="none"/>
          <w:lang w:val="en-US" w:eastAsia="zh-CN"/>
        </w:rPr>
        <w:t>22000</w:t>
      </w:r>
      <w:r>
        <w:rPr>
          <w:rStyle w:val="25"/>
          <w:rFonts w:hint="eastAsia" w:ascii="宋体" w:hAnsi="宋体" w:eastAsia="宋体" w:cs="宋体"/>
          <w:b w:val="0"/>
          <w:bCs/>
          <w:color w:val="auto"/>
          <w:sz w:val="24"/>
          <w:szCs w:val="24"/>
          <w:highlight w:val="none"/>
          <w:lang w:val="en-US" w:eastAsia="zh-CN"/>
        </w:rPr>
        <w:t>元（大写：人民币</w:t>
      </w:r>
      <w:r>
        <w:rPr>
          <w:rStyle w:val="25"/>
          <w:rFonts w:hint="eastAsia" w:cs="宋体"/>
          <w:b w:val="0"/>
          <w:bCs/>
          <w:color w:val="auto"/>
          <w:sz w:val="24"/>
          <w:szCs w:val="24"/>
          <w:highlight w:val="none"/>
          <w:lang w:val="en-US" w:eastAsia="zh-CN"/>
        </w:rPr>
        <w:t>贰万贰仟元整</w:t>
      </w:r>
      <w:r>
        <w:rPr>
          <w:rStyle w:val="25"/>
          <w:rFonts w:hint="eastAsia" w:ascii="宋体" w:hAnsi="宋体" w:eastAsia="宋体" w:cs="宋体"/>
          <w:b w:val="0"/>
          <w:bCs/>
          <w:color w:val="auto"/>
          <w:sz w:val="24"/>
          <w:szCs w:val="24"/>
          <w:highlight w:val="none"/>
          <w:lang w:val="en-US" w:eastAsia="zh-CN"/>
        </w:rPr>
        <w:t>），</w:t>
      </w:r>
      <w:r>
        <w:rPr>
          <w:rStyle w:val="25"/>
          <w:rFonts w:hint="eastAsia" w:cs="宋体"/>
          <w:b w:val="0"/>
          <w:bCs/>
          <w:color w:val="auto"/>
          <w:sz w:val="24"/>
          <w:szCs w:val="24"/>
          <w:highlight w:val="none"/>
          <w:lang w:val="en-US" w:eastAsia="zh-CN"/>
        </w:rPr>
        <w:t>成交</w:t>
      </w:r>
      <w:r>
        <w:rPr>
          <w:rStyle w:val="25"/>
          <w:rFonts w:hint="eastAsia" w:ascii="宋体" w:hAnsi="宋体" w:eastAsia="宋体" w:cs="宋体"/>
          <w:b w:val="0"/>
          <w:bCs/>
          <w:color w:val="auto"/>
          <w:sz w:val="24"/>
          <w:szCs w:val="24"/>
          <w:highlight w:val="none"/>
          <w:lang w:val="en-US" w:eastAsia="zh-CN"/>
        </w:rPr>
        <w:t>单位领取</w:t>
      </w:r>
      <w:r>
        <w:rPr>
          <w:rStyle w:val="25"/>
          <w:rFonts w:hint="eastAsia" w:cs="宋体"/>
          <w:b w:val="0"/>
          <w:bCs/>
          <w:color w:val="auto"/>
          <w:sz w:val="24"/>
          <w:szCs w:val="24"/>
          <w:highlight w:val="none"/>
          <w:lang w:val="en-US" w:eastAsia="zh-CN"/>
        </w:rPr>
        <w:t>成交</w:t>
      </w:r>
      <w:r>
        <w:rPr>
          <w:rStyle w:val="25"/>
          <w:rFonts w:hint="eastAsia" w:ascii="宋体" w:hAnsi="宋体" w:eastAsia="宋体" w:cs="宋体"/>
          <w:b w:val="0"/>
          <w:bCs/>
          <w:color w:val="auto"/>
          <w:sz w:val="24"/>
          <w:szCs w:val="24"/>
          <w:highlight w:val="none"/>
          <w:lang w:val="en-US" w:eastAsia="zh-CN"/>
        </w:rPr>
        <w:t>通知书时支付招标代理费。此部分费用</w:t>
      </w:r>
      <w:r>
        <w:rPr>
          <w:rStyle w:val="25"/>
          <w:rFonts w:hint="eastAsia" w:cs="宋体"/>
          <w:b w:val="0"/>
          <w:bCs/>
          <w:color w:val="auto"/>
          <w:sz w:val="24"/>
          <w:szCs w:val="24"/>
          <w:highlight w:val="none"/>
          <w:lang w:val="en-US" w:eastAsia="zh-CN"/>
        </w:rPr>
        <w:t>供应商</w:t>
      </w:r>
      <w:r>
        <w:rPr>
          <w:rStyle w:val="25"/>
          <w:rFonts w:hint="eastAsia" w:ascii="宋体" w:hAnsi="宋体" w:eastAsia="宋体" w:cs="宋体"/>
          <w:b w:val="0"/>
          <w:bCs/>
          <w:color w:val="auto"/>
          <w:sz w:val="24"/>
          <w:szCs w:val="24"/>
          <w:highlight w:val="none"/>
          <w:lang w:val="en-US" w:eastAsia="zh-CN"/>
        </w:rPr>
        <w:t>自行考虑计入本次投标报价中，不因</w:t>
      </w:r>
      <w:r>
        <w:rPr>
          <w:rStyle w:val="25"/>
          <w:rFonts w:hint="eastAsia" w:cs="宋体"/>
          <w:b w:val="0"/>
          <w:bCs/>
          <w:color w:val="auto"/>
          <w:sz w:val="24"/>
          <w:szCs w:val="24"/>
          <w:highlight w:val="none"/>
          <w:lang w:val="en-US" w:eastAsia="zh-CN"/>
        </w:rPr>
        <w:t>供应商</w:t>
      </w:r>
      <w:r>
        <w:rPr>
          <w:rStyle w:val="25"/>
          <w:rFonts w:hint="eastAsia" w:ascii="宋体" w:hAnsi="宋体" w:eastAsia="宋体" w:cs="宋体"/>
          <w:b w:val="0"/>
          <w:bCs/>
          <w:color w:val="auto"/>
          <w:sz w:val="24"/>
          <w:szCs w:val="24"/>
          <w:highlight w:val="none"/>
          <w:lang w:val="en-US" w:eastAsia="zh-CN"/>
        </w:rPr>
        <w:t>漏报或忽略而后期追加费用。</w:t>
      </w:r>
    </w:p>
    <w:p>
      <w:pPr>
        <w:pStyle w:val="18"/>
        <w:keepNext w:val="0"/>
        <w:keepLines w:val="0"/>
        <w:pageBreakBefore w:val="0"/>
        <w:widowControl/>
        <w:kinsoku/>
        <w:wordWrap/>
        <w:overflowPunct/>
        <w:topLinePunct w:val="0"/>
        <w:autoSpaceDE/>
        <w:autoSpaceDN/>
        <w:bidi w:val="0"/>
        <w:adjustRightInd/>
        <w:snapToGrid/>
        <w:spacing w:before="75" w:beforeAutospacing="0" w:after="75" w:afterAutospacing="0" w:line="400" w:lineRule="exact"/>
        <w:jc w:val="both"/>
        <w:textAlignment w:val="auto"/>
        <w:rPr>
          <w:rStyle w:val="25"/>
          <w:rFonts w:hint="eastAsia" w:cs="宋体"/>
          <w:b/>
          <w:bCs w:val="0"/>
          <w:color w:val="auto"/>
          <w:sz w:val="24"/>
          <w:szCs w:val="24"/>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center"/>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20" w:lineRule="exact"/>
        <w:jc w:val="both"/>
        <w:rPr>
          <w:rStyle w:val="25"/>
          <w:rFonts w:hint="eastAsia" w:ascii="Times New Roman" w:hAnsi="Times New Roman" w:cs="宋体"/>
          <w:b/>
          <w:bCs w:val="0"/>
          <w:color w:val="auto"/>
          <w:sz w:val="28"/>
          <w:szCs w:val="28"/>
          <w:highlight w:val="none"/>
        </w:rPr>
      </w:pPr>
    </w:p>
    <w:p>
      <w:pPr>
        <w:pStyle w:val="18"/>
        <w:spacing w:before="75" w:beforeAutospacing="0" w:after="75" w:afterAutospacing="0" w:line="360" w:lineRule="auto"/>
        <w:jc w:val="center"/>
        <w:rPr>
          <w:rStyle w:val="25"/>
          <w:rFonts w:hint="eastAsia" w:ascii="Times New Roman" w:hAnsi="Times New Roman" w:cs="宋体"/>
          <w:b/>
          <w:bCs w:val="0"/>
          <w:color w:val="auto"/>
          <w:sz w:val="28"/>
          <w:szCs w:val="28"/>
          <w:highlight w:val="none"/>
          <w:lang w:eastAsia="zh-CN"/>
        </w:rPr>
      </w:pPr>
      <w:r>
        <w:rPr>
          <w:rStyle w:val="25"/>
          <w:rFonts w:hint="eastAsia" w:ascii="Times New Roman" w:hAnsi="Times New Roman" w:cs="宋体"/>
          <w:b/>
          <w:bCs w:val="0"/>
          <w:color w:val="auto"/>
          <w:sz w:val="28"/>
          <w:szCs w:val="28"/>
          <w:highlight w:val="none"/>
        </w:rPr>
        <w:t xml:space="preserve">第三章 </w:t>
      </w:r>
      <w:r>
        <w:rPr>
          <w:rStyle w:val="25"/>
          <w:rFonts w:hint="eastAsia" w:ascii="Times New Roman" w:hAnsi="Times New Roman" w:cs="宋体"/>
          <w:b/>
          <w:bCs w:val="0"/>
          <w:color w:val="auto"/>
          <w:sz w:val="28"/>
          <w:szCs w:val="28"/>
          <w:highlight w:val="none"/>
          <w:lang w:eastAsia="zh-CN"/>
        </w:rPr>
        <w:t xml:space="preserve">  </w:t>
      </w:r>
      <w:r>
        <w:rPr>
          <w:rStyle w:val="25"/>
          <w:rFonts w:hint="eastAsia" w:ascii="Times New Roman" w:hAnsi="Times New Roman" w:cs="宋体"/>
          <w:b/>
          <w:bCs w:val="0"/>
          <w:color w:val="auto"/>
          <w:sz w:val="28"/>
          <w:szCs w:val="28"/>
          <w:highlight w:val="none"/>
        </w:rPr>
        <w:t>项目</w:t>
      </w:r>
      <w:r>
        <w:rPr>
          <w:rStyle w:val="25"/>
          <w:rFonts w:hint="eastAsia" w:ascii="Times New Roman" w:hAnsi="Times New Roman" w:cs="宋体"/>
          <w:b/>
          <w:bCs w:val="0"/>
          <w:color w:val="auto"/>
          <w:sz w:val="28"/>
          <w:szCs w:val="28"/>
          <w:highlight w:val="none"/>
          <w:lang w:eastAsia="zh-CN"/>
        </w:rPr>
        <w:t>采购需求</w:t>
      </w:r>
      <w:bookmarkStart w:id="194" w:name="_Toc62046094"/>
    </w:p>
    <w:p>
      <w:pPr>
        <w:spacing w:line="360" w:lineRule="auto"/>
        <w:rPr>
          <w:rFonts w:hint="eastAsia" w:ascii="宋体" w:hAnsi="宋体" w:cs="宋体"/>
          <w:color w:val="auto"/>
          <w:sz w:val="24"/>
          <w:highlight w:val="none"/>
        </w:rPr>
      </w:pPr>
      <w:r>
        <w:rPr>
          <w:rFonts w:hint="eastAsia" w:ascii="宋体" w:hAnsi="宋体" w:cs="宋体"/>
          <w:b/>
          <w:color w:val="auto"/>
          <w:sz w:val="24"/>
          <w:highlight w:val="none"/>
          <w:lang w:eastAsia="zh-CN"/>
        </w:rPr>
        <w:t>一</w:t>
      </w:r>
      <w:r>
        <w:rPr>
          <w:rFonts w:hint="eastAsia" w:ascii="宋体" w:hAnsi="宋体" w:cs="宋体"/>
          <w:b/>
          <w:color w:val="auto"/>
          <w:sz w:val="24"/>
          <w:highlight w:val="none"/>
        </w:rPr>
        <w:t>、总则</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1.1本章条款仅限于</w:t>
      </w:r>
      <w:r>
        <w:rPr>
          <w:rFonts w:hint="eastAsia" w:ascii="宋体" w:hAnsi="宋体" w:cs="宋体"/>
          <w:color w:val="auto"/>
          <w:sz w:val="24"/>
          <w:highlight w:val="none"/>
          <w:lang w:val="en-US" w:eastAsia="zh-CN"/>
        </w:rPr>
        <w:t>克拉玛依市纤维检验所—老旧实验室维修改造</w:t>
      </w:r>
      <w:r>
        <w:rPr>
          <w:rFonts w:hint="eastAsia" w:ascii="宋体" w:hAnsi="宋体" w:cs="宋体"/>
          <w:color w:val="auto"/>
          <w:sz w:val="24"/>
          <w:highlight w:val="none"/>
          <w:lang w:eastAsia="zh-CN"/>
        </w:rPr>
        <w:t>项目</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1.2本章条款提出的是最低限度的技术要求，并未对一切技术细节做出规定，也未引述有关规范条文，</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不得以本文件未提出要求为理由而规避国家和行业强制规范、标准的规定，</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应保证提供符合本章条款和相关标准的优质产品。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1.3如果</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没有以书面形式对本章条款提出异议，</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就可以认为</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提供的产品符合本章条款的要求。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1.4在签订合同之后，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有权提出因规范标准有变化而产生的一些补充要求。</w:t>
      </w:r>
    </w:p>
    <w:p>
      <w:pPr>
        <w:tabs>
          <w:tab w:val="left" w:pos="1230"/>
          <w:tab w:val="left" w:pos="127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1.5本章条款使用标准如与</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所执行标准发生矛盾时，按较高标准执行。</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2、执行的规范和标准</w:t>
      </w:r>
    </w:p>
    <w:p>
      <w:pPr>
        <w:numPr>
          <w:ilvl w:val="0"/>
          <w:numId w:val="5"/>
        </w:numPr>
        <w:tabs>
          <w:tab w:val="left" w:pos="1230"/>
          <w:tab w:val="left" w:pos="1275"/>
        </w:tabs>
        <w:spacing w:line="360" w:lineRule="auto"/>
        <w:rPr>
          <w:rFonts w:hint="eastAsia"/>
          <w:color w:val="auto"/>
          <w:highlight w:val="none"/>
        </w:rPr>
      </w:pPr>
      <w:r>
        <w:rPr>
          <w:rFonts w:hint="eastAsia" w:ascii="宋体" w:hAnsi="宋体" w:eastAsia="宋体" w:cs="宋体"/>
          <w:color w:val="auto"/>
          <w:sz w:val="24"/>
          <w:highlight w:val="none"/>
        </w:rPr>
        <w:t>本项目必须遵循国家规范和标准并应按最新版本执行，若标准、规范出现矛盾时，以最新、最高标准规范执行。</w:t>
      </w:r>
    </w:p>
    <w:bookmarkEnd w:id="194"/>
    <w:p>
      <w:pPr>
        <w:numPr>
          <w:ilvl w:val="0"/>
          <w:numId w:val="5"/>
        </w:numPr>
        <w:tabs>
          <w:tab w:val="left" w:pos="1230"/>
          <w:tab w:val="left" w:pos="1275"/>
        </w:tabs>
        <w:spacing w:line="360" w:lineRule="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采购需求及要求</w:t>
      </w:r>
    </w:p>
    <w:p>
      <w:pPr>
        <w:pStyle w:val="2"/>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1、施工设计图纸</w:t>
      </w:r>
    </w:p>
    <w:p>
      <w:pPr>
        <w:spacing w:line="360" w:lineRule="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（一）建筑工程</w:t>
      </w:r>
    </w:p>
    <w:p>
      <w:pPr>
        <w:spacing w:line="360" w:lineRule="auto"/>
        <w:ind w:firstLine="720" w:firstLineChars="3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1.说明书---------------------------------------------共2页</w:t>
      </w:r>
    </w:p>
    <w:p>
      <w:pPr>
        <w:spacing w:line="360" w:lineRule="auto"/>
        <w:ind w:firstLine="720" w:firstLineChars="3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2.建施（01-06）--------------------------------------共6页</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（二）结构</w:t>
      </w:r>
    </w:p>
    <w:p>
      <w:pPr>
        <w:spacing w:line="360" w:lineRule="auto"/>
        <w:ind w:firstLine="720" w:firstLineChars="3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1.结施（01-02）--------------------------------------共2页</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（三）电气</w:t>
      </w:r>
    </w:p>
    <w:p>
      <w:pPr>
        <w:spacing w:line="360" w:lineRule="auto"/>
        <w:ind w:firstLine="720" w:firstLineChars="3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1.电施（01-06）--------------------------------------共6页</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（四）给排水工程</w:t>
      </w:r>
    </w:p>
    <w:p>
      <w:pPr>
        <w:spacing w:line="360" w:lineRule="auto"/>
        <w:ind w:firstLine="720" w:firstLineChars="3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1.说明书---------------------------------------------共1页</w:t>
      </w:r>
    </w:p>
    <w:p>
      <w:pPr>
        <w:spacing w:line="360" w:lineRule="auto"/>
        <w:ind w:firstLine="720" w:firstLineChars="3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2.水施（01-03）--------------------------------------共3页</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（五）暖通工程</w:t>
      </w:r>
    </w:p>
    <w:p>
      <w:pPr>
        <w:spacing w:line="360" w:lineRule="auto"/>
        <w:ind w:firstLine="720" w:firstLineChars="3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1.暖施（01-03）--------------------------------------共3页</w:t>
      </w:r>
    </w:p>
    <w:p>
      <w:pPr>
        <w:numPr>
          <w:ilvl w:val="0"/>
          <w:numId w:val="0"/>
        </w:numPr>
        <w:spacing w:line="360" w:lineRule="auto"/>
        <w:ind w:leftChars="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2、工程量清单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cs="宋体"/>
          <w:color w:val="auto"/>
          <w:kern w:val="0"/>
          <w:sz w:val="24"/>
          <w:szCs w:val="24"/>
          <w:highlight w:val="none"/>
          <w:lang w:val="en-US" w:eastAsia="zh-CN" w:bidi="ar-SA"/>
        </w:rPr>
        <w:t>克拉玛依市纤维检验所—老旧实验室维修改造</w:t>
      </w:r>
      <w:r>
        <w:rPr>
          <w:rFonts w:hint="eastAsia" w:ascii="宋体" w:hAnsi="宋体" w:eastAsia="宋体" w:cs="宋体"/>
          <w:color w:val="auto"/>
          <w:sz w:val="24"/>
          <w:highlight w:val="none"/>
          <w:lang w:eastAsia="zh-CN"/>
        </w:rPr>
        <w:t>工程工程</w:t>
      </w:r>
      <w:r>
        <w:rPr>
          <w:rFonts w:hint="eastAsia" w:ascii="宋体" w:hAnsi="宋体" w:eastAsia="宋体" w:cs="宋体"/>
          <w:color w:val="auto"/>
          <w:sz w:val="24"/>
          <w:highlight w:val="none"/>
        </w:rPr>
        <w:t>量清单（共   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highlight w:val="none"/>
        </w:rPr>
        <w:t>注：</w:t>
      </w:r>
      <w:r>
        <w:rPr>
          <w:rFonts w:hint="eastAsia" w:cs="宋体"/>
          <w:color w:val="auto"/>
          <w:kern w:val="0"/>
          <w:sz w:val="24"/>
          <w:szCs w:val="24"/>
          <w:highlight w:val="none"/>
          <w:lang w:val="en-US" w:eastAsia="zh-CN" w:bidi="ar-SA"/>
        </w:rPr>
        <w:t>克拉玛依市纤维检验所—老旧实验室维修改造</w:t>
      </w:r>
      <w:r>
        <w:rPr>
          <w:rFonts w:hint="eastAsia" w:ascii="宋体" w:hAnsi="宋体" w:eastAsia="宋体" w:cs="宋体"/>
          <w:color w:val="auto"/>
          <w:sz w:val="24"/>
          <w:highlight w:val="none"/>
          <w:lang w:eastAsia="zh-CN"/>
        </w:rPr>
        <w:t>工程工程</w:t>
      </w:r>
      <w:r>
        <w:rPr>
          <w:rFonts w:hint="eastAsia" w:ascii="宋体" w:hAnsi="宋体" w:eastAsia="宋体" w:cs="宋体"/>
          <w:color w:val="auto"/>
          <w:sz w:val="24"/>
          <w:highlight w:val="none"/>
        </w:rPr>
        <w:t>电子版工程</w:t>
      </w:r>
      <w:r>
        <w:rPr>
          <w:rFonts w:hint="eastAsia" w:ascii="宋体" w:hAnsi="宋体" w:eastAsia="宋体" w:cs="宋体"/>
          <w:color w:val="auto"/>
          <w:sz w:val="24"/>
          <w:highlight w:val="none"/>
          <w:lang w:eastAsia="zh-CN"/>
        </w:rPr>
        <w:t>量清单随</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lang w:eastAsia="zh-CN"/>
        </w:rPr>
        <w:t>发至各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lang w:eastAsia="zh-CN"/>
        </w:rPr>
        <w:t>，招标答疑后发放书面版工程量清单。</w:t>
      </w:r>
      <w:r>
        <w:rPr>
          <w:rFonts w:hint="eastAsia" w:cs="宋体"/>
          <w:color w:val="auto"/>
          <w:kern w:val="0"/>
          <w:sz w:val="24"/>
          <w:szCs w:val="24"/>
          <w:highlight w:val="none"/>
          <w:lang w:val="en-US" w:eastAsia="zh-CN" w:bidi="ar-SA"/>
        </w:rPr>
        <w:t>克拉玛依市纤维检验所—老旧实验室维修改造</w:t>
      </w:r>
      <w:r>
        <w:rPr>
          <w:rFonts w:hint="eastAsia" w:ascii="宋体" w:hAnsi="宋体" w:eastAsia="宋体" w:cs="宋体"/>
          <w:color w:val="auto"/>
          <w:sz w:val="24"/>
          <w:highlight w:val="none"/>
          <w:lang w:eastAsia="zh-CN"/>
        </w:rPr>
        <w:t>工程工程电子版工程量清单与书面版工程量清单不符之处，以书面版工程量清单为准。</w:t>
      </w:r>
    </w:p>
    <w:p>
      <w:pPr>
        <w:numPr>
          <w:ilvl w:val="0"/>
          <w:numId w:val="0"/>
        </w:numPr>
        <w:spacing w:line="360" w:lineRule="auto"/>
        <w:ind w:leftChars="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2、</w:t>
      </w:r>
      <w:r>
        <w:rPr>
          <w:rFonts w:hint="eastAsia" w:ascii="宋体" w:hAnsi="宋体" w:cs="宋体"/>
          <w:b w:val="0"/>
          <w:bCs/>
          <w:color w:val="auto"/>
          <w:sz w:val="24"/>
          <w:szCs w:val="24"/>
          <w:highlight w:val="none"/>
        </w:rPr>
        <w:t>技术</w:t>
      </w:r>
      <w:r>
        <w:rPr>
          <w:rFonts w:hint="eastAsia" w:ascii="宋体" w:hAnsi="宋体" w:cs="宋体"/>
          <w:b w:val="0"/>
          <w:bCs/>
          <w:color w:val="auto"/>
          <w:sz w:val="24"/>
          <w:szCs w:val="24"/>
          <w:highlight w:val="none"/>
          <w:lang w:eastAsia="zh-CN"/>
        </w:rPr>
        <w:t>要求与</w:t>
      </w:r>
      <w:r>
        <w:rPr>
          <w:rFonts w:hint="eastAsia" w:ascii="宋体" w:hAnsi="宋体" w:cs="宋体"/>
          <w:b w:val="0"/>
          <w:bCs/>
          <w:color w:val="auto"/>
          <w:sz w:val="24"/>
          <w:szCs w:val="24"/>
          <w:highlight w:val="none"/>
        </w:rPr>
        <w:t>规范</w:t>
      </w:r>
    </w:p>
    <w:p>
      <w:pPr>
        <w:spacing w:line="360" w:lineRule="auto"/>
        <w:ind w:firstLine="480" w:firstLineChars="200"/>
        <w:jc w:val="left"/>
        <w:rPr>
          <w:rFonts w:hint="default" w:ascii="宋体" w:hAnsi="宋体" w:eastAsia="宋体" w:cs="宋体"/>
          <w:bCs/>
          <w:color w:val="auto"/>
          <w:sz w:val="24"/>
          <w:szCs w:val="24"/>
          <w:highlight w:val="none"/>
          <w:lang w:val="en-US" w:eastAsia="zh-CN"/>
        </w:rPr>
      </w:pPr>
      <w:r>
        <w:rPr>
          <w:rFonts w:hint="eastAsia" w:ascii="宋体" w:hAnsi="宋体" w:cs="宋体"/>
          <w:bCs/>
          <w:color w:val="auto"/>
          <w:kern w:val="2"/>
          <w:sz w:val="24"/>
          <w:szCs w:val="24"/>
          <w:highlight w:val="none"/>
          <w:lang w:val="en-US" w:eastAsia="zh-CN" w:bidi="ar-SA"/>
        </w:rPr>
        <w:t>2</w:t>
      </w:r>
      <w:r>
        <w:rPr>
          <w:rFonts w:hint="eastAsia" w:ascii="宋体" w:hAnsi="宋体" w:eastAsia="宋体" w:cs="宋体"/>
          <w:bCs/>
          <w:color w:val="auto"/>
          <w:kern w:val="2"/>
          <w:sz w:val="24"/>
          <w:szCs w:val="24"/>
          <w:highlight w:val="none"/>
          <w:lang w:val="en-US" w:eastAsia="zh-CN" w:bidi="ar-SA"/>
        </w:rPr>
        <w:t>.1技术要求</w:t>
      </w:r>
    </w:p>
    <w:p>
      <w:pPr>
        <w:pStyle w:val="20"/>
        <w:widowControl/>
        <w:spacing w:after="0" w:afterLines="0" w:line="360" w:lineRule="auto"/>
        <w:ind w:left="0" w:leftChars="0" w:firstLine="480" w:firstLineChars="20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.1.1本次招标</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所使用的材料必须为全新产品，应符合中华人民共和国国家标准、行业标准、制造商的产品验收标准及设备出厂标准以及</w:t>
      </w:r>
      <w:r>
        <w:rPr>
          <w:rFonts w:hint="eastAsia" w:ascii="宋体" w:hAnsi="宋体" w:cs="宋体"/>
          <w:bCs/>
          <w:color w:val="auto"/>
          <w:sz w:val="24"/>
          <w:szCs w:val="24"/>
          <w:highlight w:val="none"/>
          <w:lang w:val="en-US" w:eastAsia="zh-CN"/>
        </w:rPr>
        <w:t>竞争性磋商文件</w:t>
      </w:r>
      <w:r>
        <w:rPr>
          <w:rFonts w:hint="eastAsia" w:ascii="宋体" w:hAnsi="宋体" w:eastAsia="宋体" w:cs="宋体"/>
          <w:bCs/>
          <w:color w:val="auto"/>
          <w:sz w:val="24"/>
          <w:szCs w:val="24"/>
          <w:highlight w:val="none"/>
          <w:lang w:val="en-US" w:eastAsia="zh-CN"/>
        </w:rPr>
        <w:t>规定的技术要求。</w:t>
      </w:r>
    </w:p>
    <w:p>
      <w:pPr>
        <w:pStyle w:val="20"/>
        <w:widowControl/>
        <w:spacing w:after="0" w:afterLines="0" w:line="360" w:lineRule="auto"/>
        <w:ind w:left="0" w:leftChars="0" w:firstLine="480" w:firstLineChars="20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.1.2凡采用新工艺、新技术、新方法，事先应进行实验，并应有权威机构的技术鉴定书及有关的质量数据、指标，在此基础上制定有关的质量标准和施工工艺规程，以此作为判断与控制质量的依据。</w:t>
      </w:r>
    </w:p>
    <w:p>
      <w:pPr>
        <w:pStyle w:val="20"/>
        <w:widowControl/>
        <w:spacing w:after="0" w:afterLines="0" w:line="360" w:lineRule="auto"/>
        <w:ind w:left="0" w:leftChars="0"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2.1.3为避免出现成交人所提报材料的品牌产品出现断货、无货或其它原因造成无法采购货物的，采购人如推荐品牌的材料、设备，各供应商应在采购人推荐的同一货物品牌中选择材料、设备品牌进行报价。如采购人就某种材料、设备推荐3种及以下数量品牌的，各供应商须在推荐品牌中选3种品牌进行报价。</w:t>
      </w:r>
    </w:p>
    <w:p>
      <w:pPr>
        <w:pStyle w:val="20"/>
        <w:widowControl/>
        <w:spacing w:after="0" w:afterLines="0" w:line="360" w:lineRule="auto"/>
        <w:ind w:left="0" w:leftChars="0" w:firstLine="480" w:firstLineChars="20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4成交</w:t>
      </w:r>
      <w:r>
        <w:rPr>
          <w:rFonts w:hint="eastAsia" w:ascii="宋体" w:hAnsi="宋体" w:eastAsia="宋体" w:cs="宋体"/>
          <w:bCs/>
          <w:color w:val="auto"/>
          <w:sz w:val="24"/>
          <w:szCs w:val="24"/>
          <w:highlight w:val="none"/>
          <w:lang w:val="en-US" w:eastAsia="zh-CN"/>
        </w:rPr>
        <w:t>单位施工必须达到有关部门的安全文明施工标准，服从</w:t>
      </w:r>
      <w:r>
        <w:rPr>
          <w:rFonts w:hint="eastAsia" w:ascii="宋体" w:hAnsi="宋体" w:cs="宋体"/>
          <w:bCs/>
          <w:color w:val="auto"/>
          <w:sz w:val="24"/>
          <w:szCs w:val="24"/>
          <w:highlight w:val="none"/>
          <w:lang w:val="en-US" w:eastAsia="zh-CN"/>
        </w:rPr>
        <w:t>纤维所</w:t>
      </w:r>
      <w:r>
        <w:rPr>
          <w:rFonts w:hint="eastAsia" w:ascii="宋体" w:hAnsi="宋体" w:eastAsia="宋体" w:cs="宋体"/>
          <w:bCs/>
          <w:color w:val="auto"/>
          <w:sz w:val="24"/>
          <w:szCs w:val="24"/>
          <w:highlight w:val="none"/>
          <w:lang w:val="en-US" w:eastAsia="zh-CN"/>
        </w:rPr>
        <w:t>各项规定要求，避免干扰</w:t>
      </w:r>
      <w:r>
        <w:rPr>
          <w:rFonts w:hint="eastAsia" w:ascii="宋体" w:hAnsi="宋体" w:cs="宋体"/>
          <w:bCs/>
          <w:color w:val="auto"/>
          <w:sz w:val="24"/>
          <w:szCs w:val="24"/>
          <w:highlight w:val="none"/>
          <w:lang w:val="en-US" w:eastAsia="zh-CN"/>
        </w:rPr>
        <w:t>纤维所</w:t>
      </w:r>
      <w:r>
        <w:rPr>
          <w:rFonts w:hint="eastAsia" w:ascii="宋体" w:hAnsi="宋体" w:eastAsia="宋体" w:cs="宋体"/>
          <w:bCs/>
          <w:color w:val="auto"/>
          <w:sz w:val="24"/>
          <w:szCs w:val="24"/>
          <w:highlight w:val="none"/>
          <w:lang w:val="en-US" w:eastAsia="zh-CN"/>
        </w:rPr>
        <w:t>正常工作秩序，认真做好施工现场防护、防火、噪音、用电等安全文明施工各项管理工作，承担相应一切责任，确保施工场地区域道路通畅，保持施工现场整洁，做到工完场清，达到国家卫生标准。</w:t>
      </w:r>
    </w:p>
    <w:p>
      <w:pPr>
        <w:pStyle w:val="20"/>
        <w:widowControl/>
        <w:spacing w:after="0" w:afterLines="0" w:line="360" w:lineRule="auto"/>
        <w:ind w:left="0" w:leftChars="0" w:firstLine="480" w:firstLineChars="20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5成交</w:t>
      </w:r>
      <w:r>
        <w:rPr>
          <w:rFonts w:hint="eastAsia" w:ascii="宋体" w:hAnsi="宋体" w:eastAsia="宋体" w:cs="宋体"/>
          <w:bCs/>
          <w:color w:val="auto"/>
          <w:sz w:val="24"/>
          <w:szCs w:val="24"/>
          <w:highlight w:val="none"/>
          <w:lang w:val="en-US" w:eastAsia="zh-CN"/>
        </w:rPr>
        <w:t>单位必须正在施工过程中注意自身及周边安全，做好现场及周边安全设施搭设，遵守有关安全保护规程，负责施工过程中的所有事故处理和费用。</w:t>
      </w:r>
    </w:p>
    <w:p>
      <w:pPr>
        <w:pStyle w:val="20"/>
        <w:widowControl/>
        <w:spacing w:after="0" w:afterLines="0" w:line="360" w:lineRule="auto"/>
        <w:ind w:left="0" w:leftChars="0" w:firstLine="480" w:firstLineChars="20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2.1.6</w:t>
      </w:r>
      <w:r>
        <w:rPr>
          <w:rFonts w:hint="default" w:ascii="宋体" w:hAnsi="宋体" w:eastAsia="宋体" w:cs="宋体"/>
          <w:bCs/>
          <w:color w:val="auto"/>
          <w:sz w:val="24"/>
          <w:szCs w:val="24"/>
          <w:highlight w:val="none"/>
          <w:lang w:val="en-US" w:eastAsia="zh-CN"/>
        </w:rPr>
        <w:t>以上材料、设备品牌由各</w:t>
      </w:r>
      <w:r>
        <w:rPr>
          <w:rFonts w:hint="eastAsia" w:ascii="宋体" w:hAnsi="宋体" w:cs="宋体"/>
          <w:bCs/>
          <w:color w:val="auto"/>
          <w:sz w:val="24"/>
          <w:szCs w:val="24"/>
          <w:highlight w:val="none"/>
          <w:lang w:val="en-US" w:eastAsia="zh-CN"/>
        </w:rPr>
        <w:t>供应商</w:t>
      </w:r>
      <w:r>
        <w:rPr>
          <w:rFonts w:hint="default" w:ascii="宋体" w:hAnsi="宋体" w:eastAsia="宋体" w:cs="宋体"/>
          <w:bCs/>
          <w:color w:val="auto"/>
          <w:sz w:val="24"/>
          <w:szCs w:val="24"/>
          <w:highlight w:val="none"/>
          <w:lang w:val="en-US" w:eastAsia="zh-CN"/>
        </w:rPr>
        <w:t>在</w:t>
      </w:r>
      <w:r>
        <w:rPr>
          <w:rFonts w:hint="eastAsia" w:ascii="宋体" w:hAnsi="宋体" w:cs="宋体"/>
          <w:bCs/>
          <w:color w:val="auto"/>
          <w:sz w:val="24"/>
          <w:szCs w:val="24"/>
          <w:highlight w:val="none"/>
          <w:lang w:val="en-US" w:eastAsia="zh-CN"/>
        </w:rPr>
        <w:t>采购人</w:t>
      </w:r>
      <w:r>
        <w:rPr>
          <w:rFonts w:hint="default" w:ascii="宋体" w:hAnsi="宋体" w:eastAsia="宋体" w:cs="宋体"/>
          <w:bCs/>
          <w:color w:val="auto"/>
          <w:sz w:val="24"/>
          <w:szCs w:val="24"/>
          <w:highlight w:val="none"/>
          <w:lang w:val="en-US" w:eastAsia="zh-CN"/>
        </w:rPr>
        <w:t>推荐的品牌中选择，其价格由各</w:t>
      </w:r>
      <w:r>
        <w:rPr>
          <w:rFonts w:hint="eastAsia" w:ascii="宋体" w:hAnsi="宋体" w:cs="宋体"/>
          <w:bCs/>
          <w:color w:val="auto"/>
          <w:sz w:val="24"/>
          <w:szCs w:val="24"/>
          <w:highlight w:val="none"/>
          <w:lang w:val="en-US" w:eastAsia="zh-CN"/>
        </w:rPr>
        <w:t>供应商</w:t>
      </w:r>
      <w:r>
        <w:rPr>
          <w:rFonts w:hint="default" w:ascii="宋体" w:hAnsi="宋体" w:eastAsia="宋体" w:cs="宋体"/>
          <w:bCs/>
          <w:color w:val="auto"/>
          <w:sz w:val="24"/>
          <w:szCs w:val="24"/>
          <w:highlight w:val="none"/>
          <w:lang w:val="en-US" w:eastAsia="zh-CN"/>
        </w:rPr>
        <w:t>结合市场价自行询价计入投标报价，结算时不予调整。本次投标报价时无需选定品牌，待</w:t>
      </w:r>
      <w:r>
        <w:rPr>
          <w:rFonts w:hint="eastAsia" w:ascii="宋体" w:hAnsi="宋体" w:cs="宋体"/>
          <w:bCs/>
          <w:color w:val="auto"/>
          <w:sz w:val="24"/>
          <w:szCs w:val="24"/>
          <w:highlight w:val="none"/>
          <w:lang w:val="en-US" w:eastAsia="zh-CN"/>
        </w:rPr>
        <w:t>成交</w:t>
      </w:r>
      <w:r>
        <w:rPr>
          <w:rFonts w:hint="default" w:ascii="宋体" w:hAnsi="宋体" w:eastAsia="宋体" w:cs="宋体"/>
          <w:bCs/>
          <w:color w:val="auto"/>
          <w:sz w:val="24"/>
          <w:szCs w:val="24"/>
          <w:highlight w:val="none"/>
          <w:lang w:val="en-US" w:eastAsia="zh-CN"/>
        </w:rPr>
        <w:t>结果产生后，由</w:t>
      </w:r>
      <w:r>
        <w:rPr>
          <w:rFonts w:hint="eastAsia" w:ascii="宋体" w:hAnsi="宋体" w:cs="宋体"/>
          <w:bCs/>
          <w:color w:val="auto"/>
          <w:sz w:val="24"/>
          <w:szCs w:val="24"/>
          <w:highlight w:val="none"/>
          <w:lang w:val="en-US" w:eastAsia="zh-CN"/>
        </w:rPr>
        <w:t>成交</w:t>
      </w:r>
      <w:r>
        <w:rPr>
          <w:rFonts w:hint="default" w:ascii="宋体" w:hAnsi="宋体" w:eastAsia="宋体" w:cs="宋体"/>
          <w:bCs/>
          <w:color w:val="auto"/>
          <w:sz w:val="24"/>
          <w:szCs w:val="24"/>
          <w:highlight w:val="none"/>
          <w:lang w:val="en-US" w:eastAsia="zh-CN"/>
        </w:rPr>
        <w:t>人书面上报以上主材品牌，并严格执行。</w:t>
      </w:r>
    </w:p>
    <w:p>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.2技术规范</w:t>
      </w:r>
    </w:p>
    <w:p>
      <w:pPr>
        <w:pStyle w:val="20"/>
        <w:widowControl/>
        <w:spacing w:after="0" w:afterLines="0" w:line="360" w:lineRule="auto"/>
        <w:ind w:left="0" w:leftChars="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2.2.1</w:t>
      </w:r>
      <w:r>
        <w:rPr>
          <w:rFonts w:hint="eastAsia" w:ascii="宋体" w:hAnsi="宋体" w:cs="宋体"/>
          <w:bCs/>
          <w:color w:val="auto"/>
          <w:sz w:val="24"/>
          <w:szCs w:val="24"/>
          <w:highlight w:val="none"/>
        </w:rPr>
        <w:t>本</w:t>
      </w:r>
      <w:r>
        <w:rPr>
          <w:rFonts w:hint="eastAsia" w:ascii="宋体" w:hAnsi="宋体" w:cs="宋体"/>
          <w:bCs/>
          <w:color w:val="auto"/>
          <w:sz w:val="24"/>
          <w:szCs w:val="24"/>
          <w:highlight w:val="none"/>
          <w:lang w:eastAsia="zh-CN"/>
        </w:rPr>
        <w:t>项目</w:t>
      </w:r>
      <w:r>
        <w:rPr>
          <w:rFonts w:hint="eastAsia" w:ascii="宋体" w:hAnsi="宋体" w:cs="宋体"/>
          <w:bCs/>
          <w:color w:val="auto"/>
          <w:sz w:val="24"/>
          <w:szCs w:val="24"/>
          <w:highlight w:val="none"/>
        </w:rPr>
        <w:t>按国家、行业相关质量评定标准和施工技术规范执行。</w:t>
      </w:r>
    </w:p>
    <w:p>
      <w:pPr>
        <w:pStyle w:val="20"/>
        <w:widowControl/>
        <w:spacing w:after="0" w:afterLines="0" w:line="360" w:lineRule="auto"/>
        <w:ind w:left="0" w:leftChars="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2.2.2</w:t>
      </w:r>
      <w:r>
        <w:rPr>
          <w:rFonts w:hint="eastAsia" w:ascii="宋体" w:hAnsi="宋体" w:cs="宋体"/>
          <w:bCs/>
          <w:color w:val="auto"/>
          <w:sz w:val="24"/>
          <w:szCs w:val="24"/>
          <w:highlight w:val="none"/>
        </w:rPr>
        <w:t>本</w:t>
      </w:r>
      <w:r>
        <w:rPr>
          <w:rFonts w:hint="eastAsia" w:ascii="宋体" w:hAnsi="宋体" w:cs="宋体"/>
          <w:bCs/>
          <w:color w:val="auto"/>
          <w:sz w:val="24"/>
          <w:szCs w:val="24"/>
          <w:highlight w:val="none"/>
          <w:lang w:eastAsia="zh-CN"/>
        </w:rPr>
        <w:t>项目</w:t>
      </w:r>
      <w:r>
        <w:rPr>
          <w:rFonts w:hint="eastAsia" w:ascii="宋体" w:hAnsi="宋体" w:cs="宋体"/>
          <w:bCs/>
          <w:color w:val="auto"/>
          <w:sz w:val="24"/>
          <w:szCs w:val="24"/>
          <w:highlight w:val="none"/>
        </w:rPr>
        <w:t>的材料检验和质量、工艺试验按国家、地方现行相关规定执行。</w:t>
      </w:r>
    </w:p>
    <w:p>
      <w:pPr>
        <w:pStyle w:val="20"/>
        <w:widowControl/>
        <w:spacing w:after="0" w:afterLines="0" w:line="360" w:lineRule="auto"/>
        <w:ind w:left="0" w:leftChars="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2.2.3</w:t>
      </w:r>
      <w:r>
        <w:rPr>
          <w:rFonts w:hint="eastAsia" w:ascii="宋体" w:hAnsi="宋体" w:cs="宋体"/>
          <w:bCs/>
          <w:color w:val="auto"/>
          <w:sz w:val="24"/>
          <w:szCs w:val="24"/>
          <w:highlight w:val="none"/>
        </w:rPr>
        <w:t>本</w:t>
      </w:r>
      <w:r>
        <w:rPr>
          <w:rFonts w:hint="eastAsia" w:ascii="宋体" w:hAnsi="宋体" w:cs="宋体"/>
          <w:bCs/>
          <w:color w:val="auto"/>
          <w:sz w:val="24"/>
          <w:szCs w:val="24"/>
          <w:highlight w:val="none"/>
          <w:lang w:eastAsia="zh-CN"/>
        </w:rPr>
        <w:t>项目</w:t>
      </w:r>
      <w:r>
        <w:rPr>
          <w:rFonts w:hint="eastAsia" w:ascii="宋体" w:hAnsi="宋体" w:cs="宋体"/>
          <w:bCs/>
          <w:color w:val="auto"/>
          <w:sz w:val="24"/>
          <w:szCs w:val="24"/>
          <w:highlight w:val="none"/>
        </w:rPr>
        <w:t>施工依据的标准及技术规范</w:t>
      </w:r>
      <w:r>
        <w:rPr>
          <w:rFonts w:hint="eastAsia" w:ascii="Arial" w:hAnsi="Arial" w:cs="Arial"/>
          <w:color w:val="auto"/>
          <w:sz w:val="24"/>
          <w:szCs w:val="24"/>
          <w:highlight w:val="none"/>
        </w:rPr>
        <w:t>《建筑工程施工质量验收统一标准</w:t>
      </w:r>
      <w:r>
        <w:rPr>
          <w:rFonts w:hint="eastAsia" w:ascii="宋体" w:hAnsi="宋体" w:cs="宋体"/>
          <w:color w:val="auto"/>
          <w:sz w:val="24"/>
          <w:szCs w:val="22"/>
          <w:highlight w:val="none"/>
        </w:rPr>
        <w:t>（GB50300-2013）》、《建筑施工安全检查标准》（JGJ59-2011）</w:t>
      </w:r>
      <w:r>
        <w:rPr>
          <w:rFonts w:hint="eastAsia" w:ascii="宋体" w:hAnsi="宋体" w:cs="宋体"/>
          <w:bCs/>
          <w:color w:val="auto"/>
          <w:sz w:val="24"/>
          <w:szCs w:val="24"/>
          <w:highlight w:val="none"/>
        </w:rPr>
        <w:t>。</w:t>
      </w:r>
    </w:p>
    <w:p>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、检验与验收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在检测、试验与验收的过程中，若因规范、标准要求不同而发生争议，按最高规范、标准执行。</w:t>
      </w:r>
    </w:p>
    <w:p>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、服务承诺</w:t>
      </w:r>
    </w:p>
    <w:p>
      <w:pPr>
        <w:spacing w:line="360" w:lineRule="auto"/>
        <w:ind w:firstLine="480" w:firstLineChars="200"/>
        <w:rPr>
          <w:rFonts w:hint="eastAsia"/>
          <w:color w:val="auto"/>
          <w:highlight w:val="none"/>
        </w:rPr>
      </w:pPr>
      <w:r>
        <w:rPr>
          <w:rFonts w:hint="eastAsia" w:ascii="宋体" w:hAnsi="宋体" w:cs="宋体"/>
          <w:color w:val="auto"/>
          <w:sz w:val="24"/>
          <w:highlight w:val="none"/>
        </w:rPr>
        <w:t>在工程交付使用后，</w:t>
      </w:r>
      <w:r>
        <w:rPr>
          <w:rFonts w:hint="eastAsia" w:ascii="宋体" w:hAnsi="宋体" w:cs="宋体"/>
          <w:color w:val="auto"/>
          <w:sz w:val="24"/>
          <w:highlight w:val="none"/>
          <w:lang w:eastAsia="zh-CN"/>
        </w:rPr>
        <w:t>成交单位</w:t>
      </w:r>
      <w:r>
        <w:rPr>
          <w:rFonts w:hint="eastAsia" w:ascii="宋体" w:hAnsi="宋体" w:cs="宋体"/>
          <w:color w:val="auto"/>
          <w:sz w:val="24"/>
          <w:highlight w:val="none"/>
        </w:rPr>
        <w:t>应对质量保修期及其以后的服务做出承诺，并具有切实可行的服务措施。不能及时兑现服务承诺内容而影响</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使用，</w:t>
      </w:r>
      <w:r>
        <w:rPr>
          <w:rFonts w:hint="eastAsia" w:ascii="宋体" w:hAnsi="宋体" w:cs="宋体"/>
          <w:color w:val="auto"/>
          <w:sz w:val="24"/>
          <w:highlight w:val="none"/>
          <w:lang w:eastAsia="zh-CN"/>
        </w:rPr>
        <w:t>成交单位</w:t>
      </w:r>
      <w:r>
        <w:rPr>
          <w:rFonts w:hint="eastAsia" w:ascii="宋体" w:hAnsi="宋体" w:cs="宋体"/>
          <w:color w:val="auto"/>
          <w:sz w:val="24"/>
          <w:highlight w:val="none"/>
        </w:rPr>
        <w:t>应怎样给予补偿，在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中均应明确说明。</w:t>
      </w:r>
    </w:p>
    <w:p>
      <w:pPr>
        <w:pStyle w:val="2"/>
        <w:spacing w:line="360" w:lineRule="auto"/>
        <w:rPr>
          <w:rFonts w:hint="eastAsia" w:ascii="宋体" w:hAnsi="宋体" w:cs="宋体"/>
          <w:b/>
          <w:bCs/>
          <w:color w:val="auto"/>
          <w:sz w:val="28"/>
          <w:szCs w:val="28"/>
          <w:highlight w:val="none"/>
          <w:lang w:eastAsia="zh-CN"/>
        </w:rPr>
      </w:pPr>
    </w:p>
    <w:p>
      <w:pPr>
        <w:pStyle w:val="2"/>
        <w:rPr>
          <w:rFonts w:hint="eastAsia" w:ascii="宋体" w:hAnsi="宋体" w:cs="宋体"/>
          <w:b/>
          <w:bCs/>
          <w:color w:val="auto"/>
          <w:sz w:val="28"/>
          <w:szCs w:val="28"/>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pStyle w:val="3"/>
        <w:numPr>
          <w:ilvl w:val="0"/>
          <w:numId w:val="0"/>
        </w:numPr>
        <w:spacing w:line="360" w:lineRule="auto"/>
        <w:jc w:val="both"/>
        <w:rPr>
          <w:rFonts w:hint="eastAsia" w:ascii="宋体" w:hAnsi="宋体" w:cs="宋体"/>
          <w:b/>
          <w:bCs/>
          <w:color w:val="auto"/>
          <w:sz w:val="28"/>
          <w:szCs w:val="28"/>
          <w:highlight w:val="none"/>
        </w:rPr>
      </w:pPr>
      <w:bookmarkStart w:id="195" w:name="_Toc243907627"/>
      <w:bookmarkStart w:id="196" w:name="_Toc246216290"/>
      <w:bookmarkStart w:id="197" w:name="_Toc233274440"/>
      <w:bookmarkStart w:id="198" w:name="_Toc246216425"/>
      <w:bookmarkStart w:id="199" w:name="_Toc243906397"/>
      <w:bookmarkStart w:id="200" w:name="_Toc246216267"/>
      <w:bookmarkStart w:id="201" w:name="_Toc245369990"/>
      <w:bookmarkStart w:id="202" w:name="_Toc233274892"/>
      <w:bookmarkStart w:id="203" w:name="_Toc245370108"/>
      <w:bookmarkStart w:id="204" w:name="_Toc233275179"/>
      <w:bookmarkStart w:id="205" w:name="_Toc243904849"/>
    </w:p>
    <w:p>
      <w:pPr>
        <w:pStyle w:val="3"/>
        <w:numPr>
          <w:ilvl w:val="0"/>
          <w:numId w:val="0"/>
        </w:numPr>
        <w:spacing w:line="360" w:lineRule="auto"/>
        <w:jc w:val="both"/>
        <w:rPr>
          <w:rFonts w:hint="eastAsia" w:ascii="宋体" w:hAnsi="宋体" w:cs="宋体"/>
          <w:b/>
          <w:bCs/>
          <w:color w:val="auto"/>
          <w:sz w:val="28"/>
          <w:szCs w:val="28"/>
          <w:highlight w:val="none"/>
        </w:rPr>
      </w:pPr>
    </w:p>
    <w:p>
      <w:pPr>
        <w:pStyle w:val="3"/>
        <w:numPr>
          <w:ilvl w:val="0"/>
          <w:numId w:val="0"/>
        </w:numPr>
        <w:spacing w:line="360" w:lineRule="auto"/>
        <w:jc w:val="both"/>
        <w:rPr>
          <w:rFonts w:hint="eastAsia" w:ascii="宋体" w:hAnsi="宋体" w:cs="宋体"/>
          <w:b/>
          <w:bCs/>
          <w:color w:val="auto"/>
          <w:sz w:val="28"/>
          <w:szCs w:val="28"/>
          <w:highlight w:val="none"/>
        </w:rPr>
      </w:pPr>
    </w:p>
    <w:p>
      <w:pPr>
        <w:pStyle w:val="3"/>
        <w:numPr>
          <w:ilvl w:val="0"/>
          <w:numId w:val="0"/>
        </w:numPr>
        <w:spacing w:line="360" w:lineRule="auto"/>
        <w:jc w:val="both"/>
        <w:rPr>
          <w:rFonts w:hint="eastAsia" w:ascii="宋体" w:hAnsi="宋体" w:cs="宋体"/>
          <w:b/>
          <w:bCs/>
          <w:color w:val="auto"/>
          <w:sz w:val="28"/>
          <w:szCs w:val="28"/>
          <w:highlight w:val="none"/>
        </w:rPr>
      </w:pPr>
    </w:p>
    <w:p>
      <w:pPr>
        <w:pStyle w:val="3"/>
        <w:numPr>
          <w:ilvl w:val="0"/>
          <w:numId w:val="0"/>
        </w:numPr>
        <w:spacing w:line="360" w:lineRule="auto"/>
        <w:jc w:val="both"/>
        <w:rPr>
          <w:rFonts w:hint="eastAsia" w:ascii="宋体" w:hAnsi="宋体" w:cs="宋体"/>
          <w:b/>
          <w:bCs/>
          <w:color w:val="auto"/>
          <w:sz w:val="28"/>
          <w:szCs w:val="28"/>
          <w:highlight w:val="none"/>
        </w:rPr>
      </w:pPr>
    </w:p>
    <w:p>
      <w:pPr>
        <w:pStyle w:val="3"/>
        <w:numPr>
          <w:ilvl w:val="0"/>
          <w:numId w:val="0"/>
        </w:numPr>
        <w:spacing w:line="360" w:lineRule="auto"/>
        <w:jc w:val="both"/>
        <w:rPr>
          <w:rFonts w:hint="eastAsia" w:ascii="宋体" w:hAnsi="宋体" w:cs="宋体"/>
          <w:b/>
          <w:bCs/>
          <w:color w:val="auto"/>
          <w:sz w:val="28"/>
          <w:szCs w:val="28"/>
          <w:highlight w:val="none"/>
        </w:rPr>
      </w:pPr>
    </w:p>
    <w:p>
      <w:pPr>
        <w:pStyle w:val="3"/>
        <w:numPr>
          <w:ilvl w:val="0"/>
          <w:numId w:val="0"/>
        </w:numPr>
        <w:spacing w:line="360" w:lineRule="auto"/>
        <w:jc w:val="both"/>
        <w:rPr>
          <w:rFonts w:hint="eastAsia" w:ascii="宋体" w:hAnsi="宋体" w:cs="宋体"/>
          <w:b/>
          <w:bCs/>
          <w:color w:val="auto"/>
          <w:sz w:val="28"/>
          <w:szCs w:val="28"/>
          <w:highlight w:val="none"/>
        </w:rPr>
      </w:pPr>
    </w:p>
    <w:p>
      <w:pPr>
        <w:pStyle w:val="3"/>
        <w:numPr>
          <w:ilvl w:val="0"/>
          <w:numId w:val="0"/>
        </w:numPr>
        <w:spacing w:line="360" w:lineRule="auto"/>
        <w:jc w:val="both"/>
        <w:rPr>
          <w:rFonts w:hint="eastAsia" w:ascii="宋体" w:hAnsi="宋体" w:cs="宋体"/>
          <w:b/>
          <w:bCs/>
          <w:color w:val="auto"/>
          <w:sz w:val="28"/>
          <w:szCs w:val="28"/>
          <w:highlight w:val="none"/>
        </w:rPr>
      </w:pPr>
    </w:p>
    <w:p>
      <w:pPr>
        <w:pStyle w:val="3"/>
        <w:numPr>
          <w:ilvl w:val="0"/>
          <w:numId w:val="0"/>
        </w:numPr>
        <w:spacing w:line="360" w:lineRule="auto"/>
        <w:jc w:val="both"/>
        <w:rPr>
          <w:rFonts w:hint="eastAsia" w:ascii="宋体" w:hAnsi="宋体" w:cs="宋体"/>
          <w:b/>
          <w:bCs/>
          <w:color w:val="auto"/>
          <w:sz w:val="28"/>
          <w:szCs w:val="28"/>
          <w:highlight w:val="none"/>
        </w:rPr>
      </w:pPr>
    </w:p>
    <w:p>
      <w:pPr>
        <w:pStyle w:val="3"/>
        <w:numPr>
          <w:ilvl w:val="0"/>
          <w:numId w:val="0"/>
        </w:numPr>
        <w:spacing w:line="360" w:lineRule="auto"/>
        <w:jc w:val="both"/>
        <w:rPr>
          <w:rFonts w:hint="eastAsia" w:ascii="宋体" w:hAnsi="宋体" w:cs="宋体"/>
          <w:b/>
          <w:bCs/>
          <w:color w:val="auto"/>
          <w:sz w:val="28"/>
          <w:szCs w:val="28"/>
          <w:highlight w:val="none"/>
        </w:rPr>
      </w:pPr>
    </w:p>
    <w:p>
      <w:pPr>
        <w:pStyle w:val="3"/>
        <w:numPr>
          <w:ilvl w:val="0"/>
          <w:numId w:val="0"/>
        </w:numPr>
        <w:spacing w:line="360" w:lineRule="auto"/>
        <w:jc w:val="both"/>
        <w:rPr>
          <w:rFonts w:hint="eastAsia" w:ascii="宋体" w:hAnsi="宋体" w:cs="宋体"/>
          <w:b/>
          <w:bCs/>
          <w:color w:val="auto"/>
          <w:sz w:val="28"/>
          <w:szCs w:val="28"/>
          <w:highlight w:val="none"/>
        </w:rPr>
      </w:pPr>
    </w:p>
    <w:p>
      <w:pPr>
        <w:pStyle w:val="3"/>
        <w:numPr>
          <w:ilvl w:val="0"/>
          <w:numId w:val="0"/>
        </w:numPr>
        <w:spacing w:line="360" w:lineRule="auto"/>
        <w:jc w:val="both"/>
        <w:rPr>
          <w:rFonts w:hint="eastAsia" w:ascii="宋体" w:hAnsi="宋体" w:cs="宋体"/>
          <w:b/>
          <w:bCs/>
          <w:color w:val="auto"/>
          <w:sz w:val="28"/>
          <w:szCs w:val="28"/>
          <w:highlight w:val="none"/>
        </w:rPr>
      </w:pPr>
    </w:p>
    <w:p>
      <w:pPr>
        <w:pStyle w:val="3"/>
        <w:numPr>
          <w:ilvl w:val="0"/>
          <w:numId w:val="0"/>
        </w:numPr>
        <w:spacing w:line="240" w:lineRule="auto"/>
        <w:jc w:val="both"/>
        <w:rPr>
          <w:rFonts w:hint="eastAsia" w:ascii="宋体" w:hAnsi="宋体" w:cs="宋体"/>
          <w:b/>
          <w:bCs/>
          <w:color w:val="auto"/>
          <w:sz w:val="28"/>
          <w:szCs w:val="28"/>
          <w:highlight w:val="none"/>
        </w:rPr>
      </w:pPr>
    </w:p>
    <w:bookmarkEnd w:id="195"/>
    <w:bookmarkEnd w:id="196"/>
    <w:bookmarkEnd w:id="197"/>
    <w:bookmarkEnd w:id="198"/>
    <w:bookmarkEnd w:id="199"/>
    <w:bookmarkEnd w:id="200"/>
    <w:bookmarkEnd w:id="201"/>
    <w:bookmarkEnd w:id="202"/>
    <w:bookmarkEnd w:id="203"/>
    <w:bookmarkEnd w:id="204"/>
    <w:bookmarkEnd w:id="205"/>
    <w:p>
      <w:pPr>
        <w:numPr>
          <w:ilvl w:val="0"/>
          <w:numId w:val="0"/>
        </w:numPr>
        <w:jc w:val="center"/>
        <w:rPr>
          <w:rStyle w:val="25"/>
          <w:rFonts w:hint="eastAsia" w:cs="宋体"/>
          <w:b w:val="0"/>
          <w:bCs/>
          <w:color w:val="auto"/>
          <w:sz w:val="24"/>
          <w:szCs w:val="24"/>
          <w:highlight w:val="none"/>
        </w:rPr>
      </w:pPr>
    </w:p>
    <w:p>
      <w:pPr>
        <w:pStyle w:val="18"/>
        <w:numPr>
          <w:ilvl w:val="0"/>
          <w:numId w:val="6"/>
        </w:numPr>
        <w:spacing w:before="75" w:beforeAutospacing="0" w:after="75" w:afterAutospacing="0" w:line="360" w:lineRule="auto"/>
        <w:jc w:val="center"/>
        <w:rPr>
          <w:rStyle w:val="25"/>
          <w:rFonts w:hint="eastAsia" w:cs="宋体"/>
          <w:b/>
          <w:bCs w:val="0"/>
          <w:color w:val="auto"/>
          <w:sz w:val="28"/>
          <w:szCs w:val="28"/>
          <w:highlight w:val="none"/>
          <w:lang w:val="en-US" w:eastAsia="zh-CN"/>
        </w:rPr>
      </w:pPr>
      <w:r>
        <w:rPr>
          <w:rStyle w:val="25"/>
          <w:rFonts w:hint="eastAsia" w:cs="宋体"/>
          <w:b/>
          <w:bCs w:val="0"/>
          <w:color w:val="auto"/>
          <w:sz w:val="28"/>
          <w:szCs w:val="28"/>
          <w:highlight w:val="none"/>
          <w:lang w:val="en-US" w:eastAsia="zh-CN"/>
        </w:rPr>
        <w:t>合同条款（主要内容）</w:t>
      </w:r>
    </w:p>
    <w:p>
      <w:pPr>
        <w:numPr>
          <w:ilvl w:val="0"/>
          <w:numId w:val="0"/>
        </w:numPr>
        <w:spacing w:line="360" w:lineRule="auto"/>
        <w:jc w:val="center"/>
        <w:rPr>
          <w:rStyle w:val="25"/>
          <w:rFonts w:hint="default" w:cs="宋体"/>
          <w:b w:val="0"/>
          <w:bCs/>
          <w:color w:val="auto"/>
          <w:sz w:val="24"/>
          <w:szCs w:val="24"/>
          <w:highlight w:val="none"/>
          <w:lang w:val="en-US" w:eastAsia="zh-CN"/>
        </w:rPr>
      </w:pPr>
      <w:r>
        <w:rPr>
          <w:rFonts w:hint="eastAsia" w:ascii="宋体" w:hAnsi="宋体" w:eastAsia="宋体" w:cs="宋体"/>
          <w:i w:val="0"/>
          <w:iCs w:val="0"/>
          <w:color w:val="auto"/>
          <w:sz w:val="24"/>
          <w:szCs w:val="24"/>
          <w:highlight w:val="none"/>
        </w:rPr>
        <w:t>（</w:t>
      </w:r>
      <w:r>
        <w:rPr>
          <w:rFonts w:hint="eastAsia" w:ascii="宋体" w:hAnsi="宋体" w:cs="宋体"/>
          <w:i w:val="0"/>
          <w:iCs w:val="0"/>
          <w:color w:val="auto"/>
          <w:sz w:val="24"/>
          <w:szCs w:val="24"/>
          <w:highlight w:val="none"/>
          <w:lang w:eastAsia="zh-CN"/>
        </w:rPr>
        <w:t>仅供</w:t>
      </w:r>
      <w:r>
        <w:rPr>
          <w:rFonts w:hint="eastAsia" w:ascii="宋体" w:hAnsi="宋体" w:eastAsia="宋体" w:cs="宋体"/>
          <w:i w:val="0"/>
          <w:iCs w:val="0"/>
          <w:color w:val="auto"/>
          <w:sz w:val="24"/>
          <w:szCs w:val="24"/>
          <w:highlight w:val="none"/>
          <w:lang w:eastAsia="zh-CN"/>
        </w:rPr>
        <w:t>参考</w:t>
      </w:r>
      <w:r>
        <w:rPr>
          <w:rFonts w:hint="eastAsia" w:ascii="宋体" w:hAnsi="宋体" w:eastAsia="宋体" w:cs="宋体"/>
          <w:i w:val="0"/>
          <w:iCs w:val="0"/>
          <w:color w:val="auto"/>
          <w:sz w:val="24"/>
          <w:szCs w:val="24"/>
          <w:highlight w:val="none"/>
        </w:rPr>
        <w:t>，最终合同以双方协商为准）</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lang w:eastAsia="zh-CN"/>
        </w:rPr>
        <w:t>一、</w:t>
      </w:r>
      <w:r>
        <w:rPr>
          <w:rStyle w:val="25"/>
          <w:rFonts w:hint="eastAsia" w:cs="宋体"/>
          <w:b w:val="0"/>
          <w:bCs/>
          <w:color w:val="auto"/>
          <w:sz w:val="24"/>
          <w:szCs w:val="24"/>
          <w:highlight w:val="none"/>
        </w:rPr>
        <w:t xml:space="preserve">  通用合同条款</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本工程合同通用条款采用中华人民共和国建设部和国家工商行政管理局颁发的《建设工程施工合同》（GF－201</w:t>
      </w:r>
      <w:r>
        <w:rPr>
          <w:rStyle w:val="25"/>
          <w:rFonts w:hint="eastAsia" w:cs="宋体"/>
          <w:b w:val="0"/>
          <w:bCs/>
          <w:color w:val="auto"/>
          <w:sz w:val="24"/>
          <w:szCs w:val="24"/>
          <w:highlight w:val="none"/>
          <w:lang w:val="en-US" w:eastAsia="zh-CN"/>
        </w:rPr>
        <w:t>7</w:t>
      </w:r>
      <w:r>
        <w:rPr>
          <w:rStyle w:val="25"/>
          <w:rFonts w:hint="eastAsia" w:cs="宋体"/>
          <w:b w:val="0"/>
          <w:bCs/>
          <w:color w:val="auto"/>
          <w:sz w:val="24"/>
          <w:szCs w:val="24"/>
          <w:highlight w:val="none"/>
        </w:rPr>
        <w:t>－0201）的“合同条件”。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lang w:eastAsia="zh-CN"/>
        </w:rPr>
        <w:t>二、</w:t>
      </w:r>
      <w:r>
        <w:rPr>
          <w:rStyle w:val="25"/>
          <w:rFonts w:hint="eastAsia" w:cs="宋体"/>
          <w:b w:val="0"/>
          <w:bCs/>
          <w:color w:val="auto"/>
          <w:sz w:val="24"/>
          <w:szCs w:val="24"/>
          <w:highlight w:val="none"/>
        </w:rPr>
        <w:t xml:space="preserve">  专用合同条款</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《建设工程施工合同》（GF－20</w:t>
      </w:r>
      <w:r>
        <w:rPr>
          <w:rStyle w:val="25"/>
          <w:rFonts w:hint="eastAsia" w:cs="宋体"/>
          <w:b w:val="0"/>
          <w:bCs/>
          <w:color w:val="auto"/>
          <w:sz w:val="24"/>
          <w:szCs w:val="24"/>
          <w:highlight w:val="none"/>
          <w:lang w:val="en-US" w:eastAsia="zh-CN"/>
        </w:rPr>
        <w:t>17</w:t>
      </w:r>
      <w:r>
        <w:rPr>
          <w:rStyle w:val="25"/>
          <w:rFonts w:hint="eastAsia" w:cs="宋体"/>
          <w:b w:val="0"/>
          <w:bCs/>
          <w:color w:val="auto"/>
          <w:sz w:val="24"/>
          <w:szCs w:val="24"/>
          <w:highlight w:val="none"/>
        </w:rPr>
        <w:t>－0201）专用合同条款中的条款号与通用合同条款号相同，适当需要时增加新的条款,两者应对照阅读,若出现矛盾或不一致,则以本条款为准。未补充或修改条款执行通用合同条款。在本条款中未约定的专用合同条款，由发包人、承包人在签订合同时约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bookmarkStart w:id="206" w:name="_Toc296890984"/>
      <w:bookmarkStart w:id="207" w:name="_Toc297048342"/>
      <w:bookmarkStart w:id="208" w:name="_Toc292559866"/>
      <w:bookmarkStart w:id="209" w:name="_Toc296944495"/>
      <w:bookmarkStart w:id="210" w:name="_Toc292559361"/>
      <w:bookmarkStart w:id="211" w:name="_Toc296346657"/>
      <w:bookmarkStart w:id="212" w:name="_Toc297120456"/>
      <w:bookmarkStart w:id="213" w:name="_Toc296347155"/>
      <w:bookmarkStart w:id="214" w:name="_Toc296891196"/>
      <w:bookmarkStart w:id="215" w:name="_Toc296503156"/>
      <w:r>
        <w:rPr>
          <w:rStyle w:val="25"/>
          <w:rFonts w:hint="eastAsia" w:cs="宋体"/>
          <w:b w:val="0"/>
          <w:bCs/>
          <w:color w:val="auto"/>
          <w:sz w:val="24"/>
          <w:szCs w:val="24"/>
          <w:highlight w:val="none"/>
        </w:rPr>
        <w:t>. 一般约定</w:t>
      </w:r>
    </w:p>
    <w:bookmarkEnd w:id="206"/>
    <w:bookmarkEnd w:id="207"/>
    <w:bookmarkEnd w:id="208"/>
    <w:bookmarkEnd w:id="209"/>
    <w:bookmarkEnd w:id="210"/>
    <w:bookmarkEnd w:id="211"/>
    <w:bookmarkEnd w:id="212"/>
    <w:bookmarkEnd w:id="213"/>
    <w:bookmarkEnd w:id="214"/>
    <w:bookmarkEnd w:id="215"/>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1.1 词语定义</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1.1.1合同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1.1.1.10其他合同文件包括：</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，承包人按照</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要求向发包人提交的</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[除投标函及其附录或预算书外的其他</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]等。</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1.1.3 工程和设备</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1.1.3.7作为施工现场组成部分的其他场所包括：无。</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1.1.3.9 永久占地包括：无</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1.1.3.10 临时占地包括：承包人在施工现场须临时占用土地时，发包人应按照克拉玛依市的相关规定办理必要的占地审批手续。工程建设完工后，临时占用的地上建筑物和构筑物应予以拆除，并做好场地复原工作。所发生的费用由承包人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1.3法律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适用于合同的其他规范性文件：除符合国家、部及行业规范性文件外，还应符合新疆维吾尔自治区和克拉玛依市有关工程建设的管理办法及相关规定。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1.4 标准和规范</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1.4.1适用于工程的标准规范包括：执行通用合同条款本条款。执行有关工程建设的国家、部、行业及地方标准以及相应的规范、规程等，地方标准有高于或严于现行国家、部、行业标准的，承包人应熟悉并遵守。</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1.4.2 发包人提供国外标准、规范的名称：</w:t>
      </w:r>
      <w:r>
        <w:rPr>
          <w:rStyle w:val="25"/>
          <w:rFonts w:hint="eastAsia" w:cs="宋体"/>
          <w:b w:val="0"/>
          <w:bCs/>
          <w:color w:val="auto"/>
          <w:sz w:val="24"/>
          <w:szCs w:val="24"/>
          <w:highlight w:val="none"/>
          <w:u w:val="single"/>
        </w:rPr>
        <w:t xml:space="preserve">  无  </w:t>
      </w:r>
      <w:r>
        <w:rPr>
          <w:rStyle w:val="25"/>
          <w:rFonts w:hint="eastAsia" w:cs="宋体"/>
          <w:b w:val="0"/>
          <w:bCs/>
          <w:color w:val="auto"/>
          <w:sz w:val="24"/>
          <w:szCs w:val="24"/>
          <w:highlight w:val="none"/>
        </w:rPr>
        <w:t>；</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发包人提供国外标准、规范的份数：</w:t>
      </w:r>
      <w:r>
        <w:rPr>
          <w:rStyle w:val="25"/>
          <w:rFonts w:hint="eastAsia" w:cs="宋体"/>
          <w:b w:val="0"/>
          <w:bCs/>
          <w:color w:val="auto"/>
          <w:sz w:val="24"/>
          <w:szCs w:val="24"/>
          <w:highlight w:val="none"/>
          <w:u w:val="single"/>
        </w:rPr>
        <w:t xml:space="preserve">  无  </w:t>
      </w:r>
      <w:r>
        <w:rPr>
          <w:rStyle w:val="25"/>
          <w:rFonts w:hint="eastAsia" w:cs="宋体"/>
          <w:b w:val="0"/>
          <w:bCs/>
          <w:color w:val="auto"/>
          <w:sz w:val="24"/>
          <w:szCs w:val="24"/>
          <w:highlight w:val="none"/>
        </w:rPr>
        <w:t>；</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发包人提供国外标准、规范的名称：</w:t>
      </w:r>
      <w:r>
        <w:rPr>
          <w:rStyle w:val="25"/>
          <w:rFonts w:hint="eastAsia" w:cs="宋体"/>
          <w:b w:val="0"/>
          <w:bCs/>
          <w:color w:val="auto"/>
          <w:sz w:val="24"/>
          <w:szCs w:val="24"/>
          <w:highlight w:val="none"/>
          <w:u w:val="single"/>
        </w:rPr>
        <w:t xml:space="preserve">  无 </w:t>
      </w:r>
      <w:r>
        <w:rPr>
          <w:rStyle w:val="25"/>
          <w:rFonts w:hint="eastAsia" w:cs="宋体"/>
          <w:b w:val="0"/>
          <w:bCs/>
          <w:color w:val="auto"/>
          <w:sz w:val="24"/>
          <w:szCs w:val="24"/>
          <w:highlight w:val="none"/>
        </w:rPr>
        <w:t xml:space="preserve">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1.4.3发包人对工程的技术标准和功能要求的特殊要求：</w:t>
      </w:r>
      <w:r>
        <w:rPr>
          <w:rStyle w:val="25"/>
          <w:rFonts w:hint="eastAsia" w:cs="宋体"/>
          <w:b w:val="0"/>
          <w:bCs/>
          <w:color w:val="auto"/>
          <w:sz w:val="24"/>
          <w:szCs w:val="24"/>
          <w:highlight w:val="none"/>
          <w:u w:val="single"/>
        </w:rPr>
        <w:t xml:space="preserve"> 无  </w:t>
      </w:r>
      <w:r>
        <w:rPr>
          <w:rStyle w:val="25"/>
          <w:rFonts w:hint="eastAsia" w:cs="宋体"/>
          <w:b w:val="0"/>
          <w:bCs/>
          <w:color w:val="auto"/>
          <w:sz w:val="24"/>
          <w:szCs w:val="24"/>
          <w:highlight w:val="none"/>
        </w:rPr>
        <w:t>。</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1.5 合同文件的优先顺序</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合同文件组成及优先顺序为：</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（1）合同协议书；</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w:t>
      </w:r>
      <w:r>
        <w:rPr>
          <w:rStyle w:val="25"/>
          <w:rFonts w:hint="eastAsia" w:cs="宋体"/>
          <w:b w:val="0"/>
          <w:bCs/>
          <w:color w:val="auto"/>
          <w:sz w:val="24"/>
          <w:szCs w:val="24"/>
          <w:highlight w:val="none"/>
          <w:lang w:eastAsia="zh-CN"/>
        </w:rPr>
        <w:t>成交通知书</w:t>
      </w:r>
      <w:r>
        <w:rPr>
          <w:rStyle w:val="25"/>
          <w:rFonts w:hint="eastAsia" w:cs="宋体"/>
          <w:b w:val="0"/>
          <w:bCs/>
          <w:color w:val="auto"/>
          <w:sz w:val="24"/>
          <w:szCs w:val="24"/>
          <w:highlight w:val="none"/>
        </w:rPr>
        <w:t>；</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w:t>
      </w:r>
      <w:r>
        <w:rPr>
          <w:rStyle w:val="25"/>
          <w:rFonts w:hint="eastAsia" w:cs="宋体"/>
          <w:b w:val="0"/>
          <w:bCs/>
          <w:color w:val="auto"/>
          <w:sz w:val="24"/>
          <w:szCs w:val="24"/>
          <w:highlight w:val="none"/>
          <w:lang w:eastAsia="zh-CN"/>
        </w:rPr>
        <w:t>投标</w:t>
      </w:r>
      <w:r>
        <w:rPr>
          <w:rStyle w:val="25"/>
          <w:rFonts w:hint="eastAsia" w:cs="宋体"/>
          <w:b w:val="0"/>
          <w:bCs/>
          <w:color w:val="auto"/>
          <w:sz w:val="24"/>
          <w:szCs w:val="24"/>
          <w:highlight w:val="none"/>
        </w:rPr>
        <w:t>函及其附录；</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（4）专用合同条款及其附件；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（5）通用合同条款；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（6）技术标准和要求；</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（7）图纸；</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（8）预算书；</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（9）其他合同文件（</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，除投标函及其附录、预算书外的其他</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等）。</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1.6 图纸和承包人文件</w:t>
      </w:r>
      <w:r>
        <w:rPr>
          <w:rStyle w:val="25"/>
          <w:rFonts w:hint="eastAsia" w:cs="宋体"/>
          <w:b w:val="0"/>
          <w:bCs/>
          <w:color w:val="auto"/>
          <w:sz w:val="24"/>
          <w:szCs w:val="24"/>
          <w:highlight w:val="none"/>
        </w:rPr>
        <w:tab/>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1.6.1 图纸的提供</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发包人向承包人提供图纸的期限：执行通用合同条款本条款；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向承包人提供图纸的数量：向承包人免费提供完整的施工设计图纸四套，由于承包人自身原因造成需要加晒图纸，承包人应提请发包人加晒，费用由承包人自理。承包人任何时候不得将发包人提供的图纸等所有资料转让给第三方，并承担保密责任，工程竣工验收合格后，其所有资料应返还发包人。</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发包人向承包人提供图纸的内容：提供施工设计图纸的具体内容详见图纸目录清单。</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1.6.4 承包人文件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需要由承包人提供的文件，包括：施工组织设计（包括安全施工方案）、工程进度计划、专项施工方案、本合同约定的有关文件以及在工程建设过程中所需的相关文件。承包人应根据工程项目特点及技术要求编制适应于本工程项目的各类文件，防止简单套用其他工程的相关文件，以保证工程的质量和施工安全。</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承包人提供的文件的期限为：按照本合同第7条约定的时间及发包人或监理人的要求提供。</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承包人提供的文件的数量为：书面文件一式伍份，电子版文件一式壹份</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承包人提供的文件的形式为：书面文件和电子版文件；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发包人审批承包人文件的期限：收到承包人文件之日起7日内审查完毕。</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1.6.5 现场图纸准备</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关于现场图纸准备的约定：承包人在施工现场另行保留一套完整的施工设计图纸及相关的设计变更文件、承包人的文件供发包人、监理人等有关人员使用。本套文件由监理人负责保管。</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1.7 联络</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1.7.1发包人和承包人应当在2天内将与合同有关的通知、批准、证明、证书、指示、指令、要求、请求、同意、意见、确定和决定等书面函件送达对方当事人。</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1.10 交通运输</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bookmarkStart w:id="216" w:name="_Toc300934943"/>
      <w:bookmarkStart w:id="217" w:name="_Toc318581155"/>
      <w:bookmarkStart w:id="218" w:name="_Toc312677986"/>
      <w:bookmarkStart w:id="219" w:name="_Toc303539100"/>
      <w:bookmarkStart w:id="220" w:name="_Toc304295521"/>
      <w:r>
        <w:rPr>
          <w:rStyle w:val="25"/>
          <w:rFonts w:hint="eastAsia" w:cs="宋体"/>
          <w:b w:val="0"/>
          <w:bCs/>
          <w:color w:val="auto"/>
          <w:sz w:val="24"/>
          <w:szCs w:val="24"/>
          <w:highlight w:val="none"/>
        </w:rPr>
        <w:t>.10.1 出入现场的权利</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关于出入现场的权利的约定：执行通用合同条款本条款。</w:t>
      </w:r>
    </w:p>
    <w:bookmarkEnd w:id="216"/>
    <w:bookmarkEnd w:id="217"/>
    <w:bookmarkEnd w:id="218"/>
    <w:bookmarkEnd w:id="219"/>
    <w:bookmarkEnd w:id="220"/>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bookmarkStart w:id="221" w:name="_Toc300934944"/>
      <w:bookmarkStart w:id="222" w:name="_Toc304295522"/>
      <w:bookmarkStart w:id="223" w:name="_Toc318581156"/>
      <w:bookmarkStart w:id="224" w:name="_Toc312677987"/>
      <w:bookmarkStart w:id="225" w:name="_Toc303539101"/>
      <w:r>
        <w:rPr>
          <w:rStyle w:val="25"/>
          <w:rFonts w:hint="eastAsia" w:cs="宋体"/>
          <w:b w:val="0"/>
          <w:bCs/>
          <w:color w:val="auto"/>
          <w:sz w:val="24"/>
          <w:szCs w:val="24"/>
          <w:highlight w:val="none"/>
        </w:rPr>
        <w:t>.10.3 场内交通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关于场外交通和场内交通的边界的约定：无。</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关于发包人向承包人免费提供满足工程施工需要的场内道路和交通设施的约定：无。</w:t>
      </w:r>
      <w:bookmarkEnd w:id="221"/>
      <w:bookmarkEnd w:id="222"/>
      <w:bookmarkEnd w:id="223"/>
      <w:bookmarkEnd w:id="224"/>
      <w:bookmarkEnd w:id="225"/>
      <w:bookmarkStart w:id="226" w:name="_Toc318581157"/>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1.10.4超大件和超重件的运输</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运输超大件或超重件所需的道路和桥梁临时加固改造费用和其他有关费用由承包人承担。承包人根据工程项目情况应合理预见工程所需超大件或超重件，以及相关采购、运输、仓储等所有可能增加的难度和费用，其费用由承包人自行承担。</w:t>
      </w:r>
    </w:p>
    <w:bookmarkEnd w:id="226"/>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1.11 知识产权</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1.11.1关于发包人提供给承包人的图纸、发包人为实施工程自行编制或委托编制的技术规范以及反映发包人关于合同要求或其他类似性质的文件的著作权的归属：发包人。</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关于发包人提供的上述文件的使用限制的要求： 承包人不得将发包人提供的上述文件用于与本合同无关的其他任何事项，如用于承揽其他工程、向第三方出售或用于广告宣传等，否则，发包人有权追究承包人的责任。</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1.11.2 关于承包人为实施工程所编制文件的著作权的归属：除署名权以外的著作权属于发包人。</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承包人提供的上述文件的使用限制的要求：承包人不得以本工程提供的上述文件用于与本合同无关的其他任何事项，如用于承揽其他工程、向第三方出售或用于广告宣传等，否则，发包人有权追究承包人的责任。</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1.11.4 承包人在施工过程中所采用的专利、专有技术、技术秘密的使用费的承担方式：承包人无论使用第三方的或自有的专利、专有技术和技术秘密等，其费用均由承包人自行承担 。</w:t>
      </w:r>
    </w:p>
    <w:p>
      <w:pPr>
        <w:pStyle w:val="18"/>
        <w:spacing w:before="75" w:beforeAutospacing="0" w:after="75" w:afterAutospacing="0" w:line="360" w:lineRule="auto"/>
        <w:jc w:val="both"/>
        <w:rPr>
          <w:rStyle w:val="25"/>
          <w:rFonts w:hint="eastAsia" w:cs="宋体"/>
          <w:b w:val="0"/>
          <w:bCs/>
          <w:color w:val="auto"/>
          <w:sz w:val="24"/>
          <w:szCs w:val="24"/>
          <w:highlight w:val="none"/>
        </w:rPr>
      </w:pPr>
      <w:bookmarkStart w:id="227" w:name="_Toc351203634"/>
      <w:r>
        <w:rPr>
          <w:rStyle w:val="25"/>
          <w:rFonts w:hint="eastAsia" w:cs="宋体"/>
          <w:b w:val="0"/>
          <w:bCs/>
          <w:color w:val="auto"/>
          <w:sz w:val="24"/>
          <w:szCs w:val="24"/>
          <w:highlight w:val="none"/>
        </w:rPr>
        <w:t>2</w:t>
      </w:r>
      <w:bookmarkStart w:id="228" w:name="_Toc297120457"/>
      <w:bookmarkStart w:id="229" w:name="_Toc292559867"/>
      <w:bookmarkStart w:id="230" w:name="_Toc296891197"/>
      <w:bookmarkStart w:id="231" w:name="_Toc297048343"/>
      <w:bookmarkStart w:id="232" w:name="_Toc296890985"/>
      <w:bookmarkStart w:id="233" w:name="_Toc296346658"/>
      <w:bookmarkStart w:id="234" w:name="_Toc296503157"/>
      <w:bookmarkStart w:id="235" w:name="_Toc296347156"/>
      <w:bookmarkStart w:id="236" w:name="_Toc296944496"/>
      <w:bookmarkStart w:id="237" w:name="_Toc292559362"/>
      <w:r>
        <w:rPr>
          <w:rStyle w:val="25"/>
          <w:rFonts w:hint="eastAsia" w:cs="宋体"/>
          <w:b w:val="0"/>
          <w:bCs/>
          <w:color w:val="auto"/>
          <w:sz w:val="24"/>
          <w:szCs w:val="24"/>
          <w:highlight w:val="none"/>
        </w:rPr>
        <w:t>. 发包人</w:t>
      </w:r>
      <w:bookmarkEnd w:id="227"/>
    </w:p>
    <w:bookmarkEnd w:id="228"/>
    <w:bookmarkEnd w:id="229"/>
    <w:bookmarkEnd w:id="230"/>
    <w:bookmarkEnd w:id="231"/>
    <w:bookmarkEnd w:id="232"/>
    <w:bookmarkEnd w:id="233"/>
    <w:bookmarkEnd w:id="234"/>
    <w:bookmarkEnd w:id="235"/>
    <w:bookmarkEnd w:id="236"/>
    <w:bookmarkEnd w:id="237"/>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发包人对发包人代表的授权范围如下：设计变更、工程经济签证等引起工程价款洽商、索赔事项的处理、合同的变更、工期调整等。</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2.4 施工现场、施工条件和基础资料的提供</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2.4.1 提供施工现场</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关于发包人移交施工现场的期限要求：最迟于开工日期7天前。</w:t>
      </w:r>
      <w:bookmarkStart w:id="238" w:name="_Toc351203635"/>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2.4.2 提供施工条件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关于发包人应负责提供施工所需要的条件，包括：执行通用合同条款本条款。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2.5 资金来源证明及支付担保</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发包人提供资金来源证明的期限要求：无。</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发包人是否提供支付担保</w:t>
      </w: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rPr>
        <w:t>无。</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发包人提供支付担保的形式：无。</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w:t>
      </w:r>
      <w:bookmarkStart w:id="239" w:name="_Toc296890986"/>
      <w:bookmarkStart w:id="240" w:name="_Toc292559363"/>
      <w:bookmarkStart w:id="241" w:name="_Toc296503158"/>
      <w:bookmarkStart w:id="242" w:name="_Toc292559868"/>
      <w:bookmarkStart w:id="243" w:name="_Toc296347157"/>
      <w:bookmarkStart w:id="244" w:name="_Toc296944497"/>
      <w:bookmarkStart w:id="245" w:name="_Toc296346659"/>
      <w:bookmarkStart w:id="246" w:name="_Toc296891198"/>
      <w:bookmarkStart w:id="247" w:name="_Toc297048344"/>
      <w:bookmarkStart w:id="248" w:name="_Toc297120458"/>
      <w:r>
        <w:rPr>
          <w:rStyle w:val="25"/>
          <w:rFonts w:hint="eastAsia" w:cs="宋体"/>
          <w:b w:val="0"/>
          <w:bCs/>
          <w:color w:val="auto"/>
          <w:sz w:val="24"/>
          <w:szCs w:val="24"/>
          <w:highlight w:val="none"/>
        </w:rPr>
        <w:t>. 承包人</w:t>
      </w:r>
      <w:bookmarkEnd w:id="238"/>
    </w:p>
    <w:bookmarkEnd w:id="239"/>
    <w:bookmarkEnd w:id="240"/>
    <w:bookmarkEnd w:id="241"/>
    <w:bookmarkEnd w:id="242"/>
    <w:bookmarkEnd w:id="243"/>
    <w:bookmarkEnd w:id="244"/>
    <w:bookmarkEnd w:id="245"/>
    <w:bookmarkEnd w:id="246"/>
    <w:bookmarkEnd w:id="247"/>
    <w:bookmarkEnd w:id="248"/>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3.1 承包人的一般义务</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（5）承包人提交的竣工资料的内容：按照法律法规及相关规定</w:t>
      </w: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rPr>
        <w:t xml:space="preserve">要求以及监理人、发包人要求提供工程建设过程中的各项资料。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承包人需要提交的竣工资料套数：一式叁份书面资料（其中二套为原始件），并提供相应光盘3套。符合《质量管理条例》、《城市建设档案管理规定》的要求。</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承包人提交的竣工资料的费用承担：承包人自行承担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承包人提交的竣工资料移交时间： 竣工验收合格签字之日起90日内提供。</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承包人提交的竣工资料形式要求：承包人提供的所有资料应满足工程备案要求并经克拉玛依市</w:t>
      </w:r>
      <w:r>
        <w:rPr>
          <w:rStyle w:val="25"/>
          <w:rFonts w:hint="eastAsia" w:cs="宋体"/>
          <w:b w:val="0"/>
          <w:bCs/>
          <w:color w:val="auto"/>
          <w:sz w:val="24"/>
          <w:szCs w:val="24"/>
          <w:highlight w:val="none"/>
          <w:lang w:eastAsia="zh-CN"/>
        </w:rPr>
        <w:t>纤维检验所</w:t>
      </w:r>
      <w:r>
        <w:rPr>
          <w:rStyle w:val="25"/>
          <w:rFonts w:hint="eastAsia" w:cs="宋体"/>
          <w:b w:val="0"/>
          <w:bCs/>
          <w:color w:val="auto"/>
          <w:sz w:val="24"/>
          <w:szCs w:val="24"/>
          <w:highlight w:val="none"/>
        </w:rPr>
        <w:t>验收合格。如未通过克拉玛依市</w:t>
      </w:r>
      <w:r>
        <w:rPr>
          <w:rStyle w:val="25"/>
          <w:rFonts w:hint="eastAsia" w:cs="宋体"/>
          <w:b w:val="0"/>
          <w:bCs/>
          <w:color w:val="auto"/>
          <w:sz w:val="24"/>
          <w:szCs w:val="24"/>
          <w:highlight w:val="none"/>
          <w:lang w:eastAsia="zh-CN"/>
        </w:rPr>
        <w:t>纤维检验所</w:t>
      </w:r>
      <w:r>
        <w:rPr>
          <w:rStyle w:val="25"/>
          <w:rFonts w:hint="eastAsia" w:cs="宋体"/>
          <w:b w:val="0"/>
          <w:bCs/>
          <w:color w:val="auto"/>
          <w:sz w:val="24"/>
          <w:szCs w:val="24"/>
          <w:highlight w:val="none"/>
        </w:rPr>
        <w:t>验收者，则发包人将停止支付承包人的工程结算款，待合格后再进行结算。</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书面版按档案管理要求装订成册并符合克拉玛依市</w:t>
      </w:r>
      <w:r>
        <w:rPr>
          <w:rStyle w:val="25"/>
          <w:rFonts w:hint="eastAsia" w:cs="宋体"/>
          <w:b w:val="0"/>
          <w:bCs/>
          <w:color w:val="auto"/>
          <w:sz w:val="24"/>
          <w:szCs w:val="24"/>
          <w:highlight w:val="none"/>
          <w:lang w:eastAsia="zh-CN"/>
        </w:rPr>
        <w:t>纤维检验所</w:t>
      </w:r>
      <w:r>
        <w:rPr>
          <w:rStyle w:val="25"/>
          <w:rFonts w:hint="eastAsia" w:cs="宋体"/>
          <w:b w:val="0"/>
          <w:bCs/>
          <w:color w:val="auto"/>
          <w:sz w:val="24"/>
          <w:szCs w:val="24"/>
          <w:highlight w:val="none"/>
        </w:rPr>
        <w:t>对档案资料归档的相关规定；必须包含竣工资料的所有全部内容并与书面版资料一致。</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（6）承包人应履行的其他义务：</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①做好生活设施、料场、临时作业场地的租赁工作（在施工场地之外）。</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②协助发包人做好工程开工前的施工许可证等有关手续的办理并及时提供办理手续所需的相关资料。</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③按发包人代表要求每月20日递交各类报表，一式伍份。</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④负责协调施工场内、场外与施工有关的各种关系，办理应由承包人办理的各种证件、批件并承担由此所发生的费用。</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⑤施工防护工作：施工期间承包人须对本工程的及其不能影响到的其他专业工程和现场采取必要的措施进行加固、维护、安全防护和损毁修复，并承担由此发生的一切费用。</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⑥工地作业和施工方法：承包人应对工地所有作业和施工方法适当性、可靠性及安全性负责。同时根据施工现场的实际情况建立健全的质量保证体系、环境保证体系和职业健康与安全保证体系。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⑦对于承包人或其分包人所雇用的工人发生意外事故或伤害和赔偿，应由承包人自行承担。对于此类事故或损害和赔偿，发包人均不予承担任何责任，且发包人不承担涉及此类事故或损害与赔偿或与此有关的索赔、诉讼、损害赔偿、诉讼费、赔偿费及其它所有费用。</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⑧承包人应当加强工程款管理，做到专款专用，不得拖欠材料、设备货款、农民工和工人工资等费用。监理工程师或发包人对工程款使用情况进行监督检查时，承包人应当积极配合，不得阻扰和拒绝。如承包人发生本款所述拖欠行为，一经查实，发包人责令承包人自行组织资金迅速偿还欠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⑨承包人应按照合同实施完成本工程，并在质量保修期内承担修补工程中的任何质量缺陷等。</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⑩依法纳税：承包人应根据政府相关规定，缴纳相关税费，如需发包人代扣代缴的，发包人有权代扣代缴。</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fldChar w:fldCharType="begin"/>
      </w:r>
      <w:r>
        <w:rPr>
          <w:rStyle w:val="25"/>
          <w:rFonts w:hint="eastAsia" w:cs="宋体"/>
          <w:b w:val="0"/>
          <w:bCs/>
          <w:color w:val="auto"/>
          <w:sz w:val="24"/>
          <w:szCs w:val="24"/>
          <w:highlight w:val="none"/>
        </w:rPr>
        <w:instrText xml:space="preserve"> eq \o\ac(</w:instrText>
      </w:r>
      <w:r>
        <w:rPr>
          <w:rStyle w:val="25"/>
          <w:rFonts w:hint="eastAsia" w:cs="宋体"/>
          <w:b w:val="0"/>
          <w:bCs/>
          <w:color w:val="auto"/>
          <w:position w:val="-4"/>
          <w:sz w:val="36"/>
          <w:szCs w:val="24"/>
          <w:highlight w:val="none"/>
        </w:rPr>
        <w:instrText xml:space="preserve">○</w:instrText>
      </w:r>
      <w:r>
        <w:rPr>
          <w:rStyle w:val="25"/>
          <w:rFonts w:hint="eastAsia" w:cs="宋体"/>
          <w:b w:val="0"/>
          <w:bCs/>
          <w:color w:val="auto"/>
          <w:position w:val="0"/>
          <w:sz w:val="24"/>
          <w:szCs w:val="24"/>
          <w:highlight w:val="none"/>
        </w:rPr>
        <w:instrText xml:space="preserve">,⑾)</w:instrText>
      </w:r>
      <w:r>
        <w:rPr>
          <w:rStyle w:val="25"/>
          <w:rFonts w:hint="eastAsia" w:cs="宋体"/>
          <w:b w:val="0"/>
          <w:bCs/>
          <w:color w:val="auto"/>
          <w:sz w:val="24"/>
          <w:szCs w:val="24"/>
          <w:highlight w:val="none"/>
        </w:rPr>
        <w:fldChar w:fldCharType="end"/>
      </w:r>
      <w:r>
        <w:rPr>
          <w:rStyle w:val="25"/>
          <w:rFonts w:hint="eastAsia" w:cs="宋体"/>
          <w:b w:val="0"/>
          <w:bCs/>
          <w:color w:val="auto"/>
          <w:sz w:val="24"/>
          <w:szCs w:val="24"/>
          <w:highlight w:val="none"/>
        </w:rPr>
        <w:t>配合发包人做好本工程其它相关工作。</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3.2 项目经理</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3.2.1 项目经理：</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承包人对项目经理的授权范围如下：按照承包人的授权范围执行。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关于项目经理每月在施工现场的时间要求：承包人在项目实施过程中的项目经理应为</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中所报的项目经理，并经发包人认可。常驻施工现场每月不得少于25天。负责协调承包人在工程建设全过程的各项协调配合工作，随时解决施工过程中出现的问题。承包人项目经理短期（指5日及以下）离开施工现场时，应事先征得发包人同意，并委派代表行其职责。项目经理必须出席由发包人及监理单位主持的每周例会并书面汇报本周进度完成情况并提出下周进度计划及重要协调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承包人未提交劳动合同，以及没有为项目经理缴纳社会保险证明的违约责任：每发生一次，向发包人支付签约合同价格5‰的违约金，并无条件予以纠正，由此造成的责任和损失由承包人自行承担。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项目经理未经批准，擅自离开施工现场的违约责任：每发生一次，向发包人支付签约合同价格5‰的违约金；并无条件予以纠正。由此造成的责任和损失由承包人自行承担。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3.2.3 承包人擅自更换项目经理的违约责任：承包人不得随意擅自更换项目经理，承包人确需更换项目经理时，必须征得发包人同意，并应在更换前14日通知发包人和监理人。项目经理原则上不得变更，除克建发【2011】210号文件中规定的第二条第（二）、（四）条款除外。项目负责人变更，承包人应向发包人支付壹拾万元/人次的违约金；并无条件予以纠正。由此造成的责任和损失由承包人自行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3.2.4 承包人无正当理由拒绝更换项目经理的违约责任：承包人应对其项目经理进行有效管理，发包人要求撤换不胜任本职工作、行为不端或玩忽职守的项目经理，承包人应无条件予以撤换。由此而产生的一切费用和责任均由承包人承担。且每发生一次，向发包人支付签约合同价格5‰的违约金。并无条件予以更换。由此造成的责任和损失由承包人自行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3.3 承包人人员</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3.3.1 承包人提交项目管理机构及施工现场管理人员安排报告的期限：执行通用合同条款本条款。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3.3.3 承包人无正当理由拒绝撤换主要施工管理人员的违约责任：承包人应对其项目组织机构人员及其他人员进行有效管理，发包人要求撤换不胜任本职工作、行为不端或玩忽职守的项目组织机构人员及其他人员的，承包人应无条件予以撤换。由此而产生的一切费用和责任均由承包人承担。且每发生一次，向发包人支付签约合同价格5‰的违约金。并无条件予以更换。由此造成的责任和损失由承包人自行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3.3.4 承包人主要施工管理人员离开施工现场的批准要求：执行通用合同条款本条款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3.3.5承包人擅自更换主要施工管理人员的违约责任：承包人在项目实施过程中的项目组织机构人员应为</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中所报的项目组织机构人员并满足</w:t>
      </w:r>
      <w:r>
        <w:rPr>
          <w:rStyle w:val="25"/>
          <w:rFonts w:hint="eastAsia" w:cs="宋体"/>
          <w:b w:val="0"/>
          <w:bCs/>
          <w:color w:val="auto"/>
          <w:sz w:val="24"/>
          <w:szCs w:val="24"/>
          <w:highlight w:val="none"/>
          <w:lang w:val="zh-CN"/>
        </w:rPr>
        <w:t>本工程建设需要</w:t>
      </w:r>
      <w:r>
        <w:rPr>
          <w:rStyle w:val="25"/>
          <w:rFonts w:hint="eastAsia" w:cs="宋体"/>
          <w:b w:val="0"/>
          <w:bCs/>
          <w:color w:val="auto"/>
          <w:sz w:val="24"/>
          <w:szCs w:val="24"/>
          <w:highlight w:val="none"/>
        </w:rPr>
        <w:t>。承包人应拟派强有力的现场管理班子，提供的项目技术负责人、施工员、</w:t>
      </w:r>
      <w:r>
        <w:rPr>
          <w:rStyle w:val="25"/>
          <w:rFonts w:hint="eastAsia" w:cs="宋体"/>
          <w:b w:val="0"/>
          <w:bCs/>
          <w:color w:val="auto"/>
          <w:sz w:val="24"/>
          <w:szCs w:val="24"/>
          <w:highlight w:val="none"/>
          <w:lang w:eastAsia="zh-CN"/>
        </w:rPr>
        <w:t>劳务员</w:t>
      </w:r>
      <w:r>
        <w:rPr>
          <w:rStyle w:val="25"/>
          <w:rFonts w:hint="eastAsia" w:cs="宋体"/>
          <w:b w:val="0"/>
          <w:bCs/>
          <w:color w:val="auto"/>
          <w:sz w:val="24"/>
          <w:szCs w:val="24"/>
          <w:highlight w:val="none"/>
        </w:rPr>
        <w:t>、质量员、安全员、材料员、机械员、资料员等人员名单，须有相应的资格证或上岗证。投标所报的主要施工管理人员必须与</w:t>
      </w:r>
      <w:r>
        <w:rPr>
          <w:rStyle w:val="25"/>
          <w:rFonts w:hint="eastAsia" w:cs="宋体"/>
          <w:b w:val="0"/>
          <w:bCs/>
          <w:color w:val="auto"/>
          <w:sz w:val="24"/>
          <w:szCs w:val="24"/>
          <w:highlight w:val="none"/>
          <w:lang w:eastAsia="zh-CN"/>
        </w:rPr>
        <w:t>成交</w:t>
      </w:r>
      <w:r>
        <w:rPr>
          <w:rStyle w:val="25"/>
          <w:rFonts w:hint="eastAsia" w:cs="宋体"/>
          <w:b w:val="0"/>
          <w:bCs/>
          <w:color w:val="auto"/>
          <w:sz w:val="24"/>
          <w:szCs w:val="24"/>
          <w:highlight w:val="none"/>
        </w:rPr>
        <w:t>后实际施工时人员名单相一致。现场管理人员原则上不得变更，承包人不得随意擅自更换项目组织机构人员，承包人确需更换项目组织机构人员时，必须征得发包人同意，并应在更换前14日通知发包人和监理人。除克建发【2011】210号文件中规定的第二条第（二）、（四）条款除外。技术负责人、安全员、质检员变更，承包人应向发包人支付伍万元/人次的违约金；其他管理人员变更，承包人应向发包人支付叁万元/人次的违约金。施工现场项目管理人员变更执行克建发【2011】210号文。</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承包人主要施工管理人员擅自离开施工现场的违约责任：每发生一次，向发包人支付签约合同价格5‰的违约金。并无条件予以纠正。由此造成的责任和损失由承包人自行承担。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还应执行：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①建筑施工工地作业人员实名制管理执行克劳社发【2012】15号文。</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②承包人配置在本工程的造价人员必须根据工程建设进度随时跟踪、收集工程变更及各项经济签证资料，在合同规定的时间内编制出预算书，并与洽商、签证、变更资料一同报送监理人和发包人审核，以确认变更价款。承包人未在规定时间内提供相应资料的，发包人有权不予确认且每发生一次向发包人支付签约合同价格1%的违约金。并无条件予以纠正，由此造成的一切责任和损失均由承包人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③承包人配备在本工程项目的专职的安全员必须满足国家相关法律法规要求。</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④尽管承包人已按</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中所列的数量派遣了施工管理各类人员，但若监理人或发包人认为这些人员仍不足以适应现场施工的需要并不能保证工程进度时，监理人有权要求承包人继续增派或雇用这类人员并书面通知承包人。承包人在接到通知后应立即执行监理人的指示，不得无故拖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⑤特殊工种（电工、电梯工、起重工、电焊工、驾驶员、爆破工等）必须经过专业培训，并持有效合格证或上岗证上岗。监理人有权随时检查承包人派驻现场人员的上岗资格证明情况。如发现无证上岗人员，每发生一次，向发包人支付签约合同价格5‰的违约金。并无条件予以纠正。由此造成的责任和损失由承包人自行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w:t>
      </w:r>
      <w:bookmarkStart w:id="249" w:name="_Toc292559869"/>
      <w:bookmarkStart w:id="250" w:name="_Toc296944498"/>
      <w:bookmarkStart w:id="251" w:name="_Toc303539102"/>
      <w:bookmarkStart w:id="252" w:name="_Toc300934945"/>
      <w:bookmarkStart w:id="253" w:name="_Toc296347158"/>
      <w:bookmarkStart w:id="254" w:name="_Toc296890987"/>
      <w:bookmarkStart w:id="255" w:name="_Toc296503159"/>
      <w:bookmarkStart w:id="256" w:name="_Toc304295523"/>
      <w:bookmarkStart w:id="257" w:name="_Toc296891199"/>
      <w:bookmarkStart w:id="258" w:name="_Toc296346660"/>
      <w:bookmarkStart w:id="259" w:name="_Toc297120459"/>
      <w:bookmarkStart w:id="260" w:name="_Toc312677988"/>
      <w:bookmarkStart w:id="261" w:name="_Toc297216151"/>
      <w:bookmarkStart w:id="262" w:name="_Toc297123492"/>
      <w:bookmarkStart w:id="263" w:name="_Toc297048345"/>
      <w:bookmarkStart w:id="264" w:name="_Toc292559364"/>
      <w:r>
        <w:rPr>
          <w:rStyle w:val="25"/>
          <w:rFonts w:hint="eastAsia" w:cs="宋体"/>
          <w:b w:val="0"/>
          <w:bCs/>
          <w:color w:val="auto"/>
          <w:sz w:val="24"/>
          <w:szCs w:val="24"/>
          <w:highlight w:val="none"/>
        </w:rPr>
        <w:t>.5 分包</w:t>
      </w:r>
    </w:p>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Pr>
        <w:pStyle w:val="18"/>
        <w:spacing w:before="75" w:beforeAutospacing="0" w:after="75" w:afterAutospacing="0" w:line="360" w:lineRule="auto"/>
        <w:jc w:val="both"/>
        <w:rPr>
          <w:rStyle w:val="25"/>
          <w:rFonts w:hint="eastAsia" w:cs="宋体"/>
          <w:b w:val="0"/>
          <w:bCs/>
          <w:color w:val="auto"/>
          <w:sz w:val="24"/>
          <w:szCs w:val="24"/>
          <w:highlight w:val="none"/>
        </w:rPr>
      </w:pPr>
      <w:bookmarkStart w:id="265" w:name="_Toc296944499"/>
      <w:bookmarkStart w:id="266" w:name="_Toc304295524"/>
      <w:bookmarkStart w:id="267" w:name="_Toc297123493"/>
      <w:bookmarkStart w:id="268" w:name="_Toc296346661"/>
      <w:bookmarkStart w:id="269" w:name="_Toc303539103"/>
      <w:bookmarkStart w:id="270" w:name="_Toc300934946"/>
      <w:bookmarkStart w:id="271" w:name="_Toc296891200"/>
      <w:bookmarkStart w:id="272" w:name="_Toc292559365"/>
      <w:bookmarkStart w:id="273" w:name="_Toc296347159"/>
      <w:bookmarkStart w:id="274" w:name="_Toc296890988"/>
      <w:bookmarkStart w:id="275" w:name="_Toc297216152"/>
      <w:bookmarkStart w:id="276" w:name="_Toc297048346"/>
      <w:bookmarkStart w:id="277" w:name="_Toc318581158"/>
      <w:bookmarkStart w:id="278" w:name="_Toc296503160"/>
      <w:bookmarkStart w:id="279" w:name="_Toc297120460"/>
      <w:bookmarkStart w:id="280" w:name="_Toc292559870"/>
      <w:bookmarkStart w:id="281" w:name="_Toc312677989"/>
      <w:r>
        <w:rPr>
          <w:rStyle w:val="25"/>
          <w:rFonts w:hint="eastAsia" w:cs="宋体"/>
          <w:b w:val="0"/>
          <w:bCs/>
          <w:color w:val="auto"/>
          <w:sz w:val="24"/>
          <w:szCs w:val="24"/>
          <w:highlight w:val="none"/>
          <w:lang w:val="en-US" w:eastAsia="zh-CN"/>
        </w:rPr>
        <w:t>3.5.1</w:t>
      </w:r>
      <w:r>
        <w:rPr>
          <w:rStyle w:val="25"/>
          <w:rFonts w:hint="eastAsia" w:cs="宋体"/>
          <w:b w:val="0"/>
          <w:bCs/>
          <w:color w:val="auto"/>
          <w:sz w:val="24"/>
          <w:szCs w:val="24"/>
          <w:highlight w:val="none"/>
        </w:rPr>
        <w:t>分包的一般约定</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Start w:id="282" w:name="_Toc318581159"/>
      <w:bookmarkStart w:id="283" w:name="_Toc312677990"/>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禁止分包的工程包括：（1）主体结构和关键性工作。承包人违反本款规定分包的，发包人和监理人向承包人发出整改通知，要求其在指定的期限内改正或解除合同。承包人应承担其违约所引起的费用增加和（或）工期延误及一切责任，并向发包人支付签约合同价格3％的违约金。</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（2）承包人不得转包或转让所承包的全部或部分工程，也不得肢解所承包的工程以分包的名义分别转包给他人。</w:t>
      </w:r>
    </w:p>
    <w:bookmarkEnd w:id="282"/>
    <w:bookmarkEnd w:id="283"/>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3.5.2分包的确定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允许分包的专业工程包括：</w:t>
      </w:r>
      <w:r>
        <w:rPr>
          <w:rStyle w:val="25"/>
          <w:rFonts w:hint="eastAsia" w:cs="宋体"/>
          <w:b w:val="0"/>
          <w:bCs/>
          <w:color w:val="auto"/>
          <w:sz w:val="24"/>
          <w:szCs w:val="24"/>
          <w:highlight w:val="none"/>
          <w:lang w:val="en-US" w:eastAsia="zh-CN"/>
        </w:rPr>
        <w:t>/</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3.5.4</w:t>
      </w:r>
      <w:r>
        <w:rPr>
          <w:rStyle w:val="25"/>
          <w:rFonts w:hint="eastAsia" w:cs="宋体"/>
          <w:b w:val="0"/>
          <w:bCs/>
          <w:color w:val="auto"/>
          <w:sz w:val="24"/>
          <w:szCs w:val="24"/>
          <w:highlight w:val="none"/>
        </w:rPr>
        <w:t>分包合同价格</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关于分包合同价格支付的约定：/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3.6工程照管与成品、半成品保护</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负责照管工程及工程相关的材料、工程设备的起始时间：除执行通用合同条款本条款外，还应执行：①工程竣工验收移交前，承包人负责对工程照管、已完工程成品、半成品保护工作，承包人负责对其采取必要的措施进行维护，使其免于损毁或破坏。如出现损毁或破坏，承包人须及时进行修复并承担由此发生的一切费用。工程接收证书颁发时，尚有部分未竣工工程的，承包人还应负责该未竣工工程的照管和维护工作，直至竣工后移交给发包人为止。②如果在承包人负责照管期间，由于不可抗力以外的原因，致使其工程、货物等发生任何损失或损害，承包人应自行承担风险和费用，并修复该项损失或损害，使其符合合同约定。③承包人不按要求对工程成品进行管护，发包人有权委托其他承包人进行该项工作，费用由承包人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3.7履约担保</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承包人是否提供履约担保：  无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承包人提供履约担保的形式金额及期限的：  无。</w:t>
      </w:r>
    </w:p>
    <w:p>
      <w:pPr>
        <w:pStyle w:val="18"/>
        <w:spacing w:before="75" w:beforeAutospacing="0" w:after="75" w:afterAutospacing="0" w:line="360" w:lineRule="auto"/>
        <w:jc w:val="both"/>
        <w:rPr>
          <w:rStyle w:val="25"/>
          <w:rFonts w:hint="eastAsia" w:cs="宋体"/>
          <w:b w:val="0"/>
          <w:bCs/>
          <w:color w:val="auto"/>
          <w:sz w:val="24"/>
          <w:szCs w:val="24"/>
          <w:highlight w:val="none"/>
        </w:rPr>
      </w:pPr>
      <w:bookmarkStart w:id="284" w:name="_Toc351203636"/>
      <w:r>
        <w:rPr>
          <w:rStyle w:val="25"/>
          <w:rFonts w:hint="eastAsia" w:cs="宋体"/>
          <w:b w:val="0"/>
          <w:bCs/>
          <w:color w:val="auto"/>
          <w:sz w:val="24"/>
          <w:szCs w:val="24"/>
          <w:highlight w:val="none"/>
        </w:rPr>
        <w:t>4</w:t>
      </w:r>
      <w:bookmarkStart w:id="285" w:name="_Toc297120462"/>
      <w:bookmarkStart w:id="286" w:name="_Toc296347161"/>
      <w:bookmarkStart w:id="287" w:name="_Toc297048348"/>
      <w:bookmarkStart w:id="288" w:name="_Toc296503162"/>
      <w:bookmarkStart w:id="289" w:name="_Toc296891202"/>
      <w:bookmarkStart w:id="290" w:name="_Toc267251413"/>
      <w:bookmarkStart w:id="291" w:name="_Toc292559871"/>
      <w:bookmarkStart w:id="292" w:name="_Toc296346663"/>
      <w:bookmarkStart w:id="293" w:name="_Toc292559366"/>
      <w:bookmarkStart w:id="294" w:name="_Toc296944501"/>
      <w:bookmarkStart w:id="295" w:name="_Toc296890990"/>
      <w:r>
        <w:rPr>
          <w:rStyle w:val="25"/>
          <w:rFonts w:hint="eastAsia" w:cs="宋体"/>
          <w:b w:val="0"/>
          <w:bCs/>
          <w:color w:val="auto"/>
          <w:sz w:val="24"/>
          <w:szCs w:val="24"/>
          <w:highlight w:val="none"/>
        </w:rPr>
        <w:t>. 监</w:t>
      </w:r>
      <w:bookmarkEnd w:id="285"/>
      <w:bookmarkEnd w:id="286"/>
      <w:bookmarkEnd w:id="287"/>
      <w:bookmarkEnd w:id="288"/>
      <w:bookmarkEnd w:id="289"/>
      <w:bookmarkEnd w:id="290"/>
      <w:bookmarkEnd w:id="291"/>
      <w:bookmarkEnd w:id="292"/>
      <w:bookmarkEnd w:id="293"/>
      <w:bookmarkEnd w:id="294"/>
      <w:bookmarkEnd w:id="295"/>
      <w:r>
        <w:rPr>
          <w:rStyle w:val="25"/>
          <w:rFonts w:hint="eastAsia" w:cs="宋体"/>
          <w:b w:val="0"/>
          <w:bCs/>
          <w:color w:val="auto"/>
          <w:sz w:val="24"/>
          <w:szCs w:val="24"/>
          <w:highlight w:val="none"/>
        </w:rPr>
        <w:t>理人</w:t>
      </w:r>
      <w:bookmarkEnd w:id="284"/>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4.1监理人的一般规定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关于监理人的监理内容：监理合同约定的监理工作内容。</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关于监理人的监理权限：①须经发包人事先批准行使的权力：涉及工程开工、竣工、工期变化、工程变更、工程范围变化、工程计量、工程费用变化等事项须发包人事先批准。发包人在合同履行期间有权根据具体情况调整监理人须经发包人批准的权力范围并及时通知承包人。②当监理人认为出现了危及生命、工程或毗邻财产等安全的紧急事件时，在不免除合同规定的承包人责任的情况下，监理人可以指示承包人实施为消除或减少这种危险所必须进行的工作，即使未经发包人的事先批准，承包人也应立即遵照执行并在事件发生后2日内形成书面材料报发包人审批。③监理人应公正地履行职责，在按合同要求由监理人发出指示、表示意见、审批文件、确定价格以及采取可能涉及发包人或承包人的义务和权利的行动时，应认真查清事实，并与双方充分协商后作出公正的决定。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关于监理人在施工现场的办公场所、生活场所的提供和费用承担的约定：执行通用合同条款本条款。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4.4 商定或确定</w:t>
      </w:r>
    </w:p>
    <w:p>
      <w:pPr>
        <w:pStyle w:val="18"/>
        <w:spacing w:before="75" w:beforeAutospacing="0" w:after="75" w:afterAutospacing="0" w:line="360" w:lineRule="auto"/>
        <w:jc w:val="both"/>
        <w:rPr>
          <w:rStyle w:val="25"/>
          <w:rFonts w:hint="eastAsia" w:cs="宋体"/>
          <w:b w:val="0"/>
          <w:bCs/>
          <w:color w:val="auto"/>
          <w:sz w:val="24"/>
          <w:szCs w:val="24"/>
          <w:highlight w:val="none"/>
        </w:rPr>
      </w:pPr>
      <w:bookmarkStart w:id="296" w:name="_Toc267251418"/>
      <w:r>
        <w:rPr>
          <w:rStyle w:val="25"/>
          <w:rFonts w:hint="eastAsia" w:cs="宋体"/>
          <w:b w:val="0"/>
          <w:bCs/>
          <w:color w:val="auto"/>
          <w:sz w:val="24"/>
          <w:szCs w:val="24"/>
          <w:highlight w:val="none"/>
        </w:rPr>
        <w:t>在发包人和承包人不能通过协商达成一致意见时，发包人授权监理人对以下事项进行确定：</w:t>
      </w:r>
    </w:p>
    <w:p>
      <w:pPr>
        <w:pStyle w:val="18"/>
        <w:spacing w:before="75" w:beforeAutospacing="0" w:after="75" w:afterAutospacing="0" w:line="360" w:lineRule="auto"/>
        <w:jc w:val="both"/>
        <w:rPr>
          <w:rStyle w:val="25"/>
          <w:rFonts w:hint="eastAsia" w:cs="宋体"/>
          <w:b w:val="0"/>
          <w:bCs/>
          <w:color w:val="auto"/>
          <w:sz w:val="24"/>
          <w:szCs w:val="24"/>
          <w:highlight w:val="none"/>
        </w:rPr>
      </w:pPr>
      <w:bookmarkStart w:id="297" w:name="_Toc351203637"/>
      <w:r>
        <w:rPr>
          <w:rStyle w:val="25"/>
          <w:rFonts w:hint="eastAsia" w:cs="宋体"/>
          <w:b w:val="0"/>
          <w:bCs/>
          <w:color w:val="auto"/>
          <w:sz w:val="24"/>
          <w:szCs w:val="24"/>
          <w:highlight w:val="none"/>
        </w:rPr>
        <w:t>(1)替代材料价格的确认；</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(2)变更引起的工期调整；</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(3)变更估价（变更工作的单价确定）；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(4)计日工（变更工作的单价）；</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(5)法律变化引起的调整（合同价格和工期）；</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(6)因承包人违约解除合同后，承包人实际完成的工作对应的合同价款等的确定；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(7)因不可抗力解除合同后，确定发包人应支付的款项；</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(8)合同当事人对是否属于不可抗力或其损失的意见不一致的。</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5</w:t>
      </w:r>
      <w:bookmarkEnd w:id="296"/>
      <w:bookmarkStart w:id="298" w:name="_Toc296890991"/>
      <w:bookmarkStart w:id="299" w:name="_Toc296346664"/>
      <w:bookmarkStart w:id="300" w:name="_Toc297120463"/>
      <w:bookmarkStart w:id="301" w:name="_Toc292559872"/>
      <w:bookmarkStart w:id="302" w:name="_Toc296944502"/>
      <w:bookmarkStart w:id="303" w:name="_Toc292559367"/>
      <w:bookmarkStart w:id="304" w:name="_Toc296347162"/>
      <w:bookmarkStart w:id="305" w:name="_Toc297048349"/>
      <w:bookmarkStart w:id="306" w:name="_Toc296891203"/>
      <w:bookmarkStart w:id="307" w:name="_Toc296503163"/>
      <w:r>
        <w:rPr>
          <w:rStyle w:val="25"/>
          <w:rFonts w:hint="eastAsia" w:cs="宋体"/>
          <w:b w:val="0"/>
          <w:bCs/>
          <w:color w:val="auto"/>
          <w:sz w:val="24"/>
          <w:szCs w:val="24"/>
          <w:highlight w:val="none"/>
        </w:rPr>
        <w:t>. 工程质量</w:t>
      </w:r>
      <w:bookmarkEnd w:id="297"/>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5.1 质量要求</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本工程按国家、部委和设计要求的规范及标准，同时执行新疆维吾尔自治区、克拉玛依市建设工程竣工备案实施的具体要求。</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5</w:t>
      </w:r>
      <w:bookmarkStart w:id="308" w:name="_Toc300934949"/>
      <w:bookmarkStart w:id="309" w:name="_Toc318581164"/>
      <w:bookmarkStart w:id="310" w:name="_Toc303539106"/>
      <w:bookmarkStart w:id="311" w:name="_Toc297123496"/>
      <w:bookmarkStart w:id="312" w:name="_Toc312677997"/>
      <w:bookmarkStart w:id="313" w:name="_Toc297216155"/>
      <w:bookmarkStart w:id="314" w:name="_Toc304295527"/>
      <w:r>
        <w:rPr>
          <w:rStyle w:val="25"/>
          <w:rFonts w:hint="eastAsia" w:cs="宋体"/>
          <w:b w:val="0"/>
          <w:bCs/>
          <w:color w:val="auto"/>
          <w:sz w:val="24"/>
          <w:szCs w:val="24"/>
          <w:highlight w:val="none"/>
        </w:rPr>
        <w:t>.1.1 特殊质量标准和要求：无。</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关于工程奖项的约定：无</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5.3 隐蔽工程检查</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5.3.2承包人提前通知监理人隐蔽工程检查的期限的约定：除执行通用合同条款本条款外，还应执行：根据工程进度及监理工程师指令及时向监理工程师递交隐蔽工程验收通知、工程质量自检报告、竣工验收申请报告等。</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监理人不能按时进行检查时，应提前 24 小时提交书面延期要求。</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关于延期最长不得超过： 48  小时。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5.4不合格工程处理</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除执行通用合同条款外，还应执行：① 由于承包人使用了不合格材料和工程设备造成了工程损害，监理人可以随时发出指示，要求承包人立即采取措施进行补救，直至彻底清除工程的不合格部位以及不合格的材料或工程设备，由此增加的费用和工期延误责任由承包人承担。② 若承包人无故拖延或拒绝执行监理人的指示，则发包人有权委托其它承包人执行该项指示，由此增加的费用和工期延误的责任，均由承包人承担。</w:t>
      </w:r>
      <w:bookmarkStart w:id="315" w:name="_Toc351203638"/>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6. 安全文明施工与环境保护</w:t>
      </w:r>
      <w:bookmarkEnd w:id="315"/>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6.1安全文明施工</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6.1.1 项目安全生产的达标目标及相应事项的约定：承包人必须严格执行《中华人民共和国安全生产法》、《建筑安装施工安全检查标准》（JGJ59-2011）、《中华人民共和国建筑法》、《安全生产许可证条例》和《建筑工程安全生产管理条例》等法律、法规及新疆维吾尔自治区、克拉玛依《克拉玛依市建筑工程安全文明施工-标准化指南》等有关安全文明施工管理的相关规定，施工现场由专职持证上岗的安全员负责安全事宜。</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6.1.4 关于治安保卫的特别约定：执行通用合同条款本条款。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关于编制施工场地治安管理计划的约定：执行通用合同条款本条款。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6.1.5 文明施工</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合同当事人对文明施工的要求：除执行通用合同条款外还应执行：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①承包人应采取有效管理措施，保证施工现场特种作业人员均持有有效证件，经过安全培训合格后持证上岗。</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②承包人必须认真组织实施施工组织设计中制定的安全防护、文明施工措施，严格执行《消防法》及自治区、克拉玛依市的相关安全消防管理规定。承包人必须根据现场情况制定严格的用火、用电制度和消防设施管理制度，严禁现场吸烟和违章用水、用电以及其他可能导致火灾事故和人身伤亡事故的行为。</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③承包人在施工过程中，遵守有关环境保护的法律、法规，履行环境保护义务，并对违反法律、法规所造成的环境破坏、人身伤害和财产损失负责。承包人应按批准的施工环保措施计划有序地堆放和处理施工废弃物，避免对环境造成的破坏，保持现场清洁，不得出现不必要的障碍。各类设备和材料应妥善存放，并随时将废料、垃圾及不再需要的临时设施清运出指定地点内。当承包人未能按要求完成清理工作，发包人可指定他人完成此项工作，其费用从发包人向承包人支付的的任何款项中扣除。</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④承包人加强对噪音、粉尘、废气、废水和废油的控制，降低噪音、控制粉尘和废气浓度，做好废水和废油的治理和排放。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⑤因承包人任意堆放、排放废水废油或弃置施工废弃物造成妨碍公共交通、影响城镇居民生活、危及居民安全、破坏周边环境等后果，承包人承担一切责任和费用。</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⑥施工场地周围地下管线和邻近建筑物、构筑物（含文物保护建筑）、古树名木的保护要求及费用承担：承包人被认为在送交</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之前，已进行了现场考察，对现场和其周围环境以及可得到的有关资料进行了查看和核查，承包人已取得可能对投标有影响或起作用的风险、意外等必要资料。承包人应采取一切合理的措施保护施工场地内外环境并防止由于其作业方法导致的污染、噪音或其它原因造成的对周围地下管线和邻近建筑物、构筑物（文物保护建筑）、古树名木等的伤害和受损。</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⑦做好施工现场（包括进出口附近道路）的整洁卫生，搞好文明施工，工程验收一周前应作好清场工作。</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⑧减少夜间噪声：承包人不得在夜间安排噪声很大的机械施工。若承包人违反有关安全文明施工、扬尘治理的有关规定，情节严重的发包人有权终止合同。由此造成政府相关部门处罚的亦由承包人自行承担。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6.1.6 关于安全文明施工费支付比例和支付期限的约定：</w:t>
      </w:r>
      <w:bookmarkEnd w:id="308"/>
      <w:bookmarkEnd w:id="309"/>
      <w:bookmarkEnd w:id="310"/>
      <w:bookmarkEnd w:id="311"/>
      <w:bookmarkEnd w:id="312"/>
      <w:bookmarkEnd w:id="313"/>
      <w:bookmarkEnd w:id="314"/>
      <w:bookmarkStart w:id="316" w:name="_Toc351203639"/>
      <w:r>
        <w:rPr>
          <w:rStyle w:val="25"/>
          <w:rFonts w:hint="eastAsia" w:cs="宋体"/>
          <w:b w:val="0"/>
          <w:bCs/>
          <w:color w:val="auto"/>
          <w:sz w:val="24"/>
          <w:szCs w:val="24"/>
          <w:highlight w:val="none"/>
        </w:rPr>
        <w:t>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安全文明施工费：a、安全文明施工费包括的内容和使用范围，符合国家现行有关文件和计量规范的规定。b、发包人在工程开工后的28天内预付不低于安全文明施工费总额的</w:t>
      </w:r>
      <w:r>
        <w:rPr>
          <w:rStyle w:val="25"/>
          <w:rFonts w:hint="eastAsia" w:cs="宋体"/>
          <w:b w:val="0"/>
          <w:bCs/>
          <w:color w:val="auto"/>
          <w:sz w:val="24"/>
          <w:szCs w:val="24"/>
          <w:highlight w:val="none"/>
          <w:lang w:val="en-US" w:eastAsia="zh-CN"/>
        </w:rPr>
        <w:t>6</w:t>
      </w:r>
      <w:r>
        <w:rPr>
          <w:rStyle w:val="25"/>
          <w:rFonts w:hint="eastAsia" w:cs="宋体"/>
          <w:b w:val="0"/>
          <w:bCs/>
          <w:color w:val="auto"/>
          <w:sz w:val="24"/>
          <w:szCs w:val="24"/>
          <w:highlight w:val="none"/>
        </w:rPr>
        <w:t>0%，其余部分按照提前安排的原则进行分解，与进度款同期支付。c、承包人对安全文明施工费应专款专用，在财务账目中应单独列项备查，不得挪作他用，否则发包人有权要求其限期改正；逾期未改正的，造成的损失和延误的工期应由承包人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 工期和进度</w:t>
      </w:r>
      <w:bookmarkEnd w:id="316"/>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7.1 施工组织设计</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7.1.1 合同当事人约定的施工组织设计应包括的其他内容：除执行通用合同条款约定内容外，承包人应结合本工程实际情况编制涵盖合同范围内全部工作内容的施工组织设计文件。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7.1.2 施工组织设计的提交和修改</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提交详细施工组织设计的期限的约定：在会审图纸和设计交底完成后7日内向监理人提交详细的施工组织设计、施工进度计划及开工申请报告。其中施工总平面图应在搭设临设前7天提供，分部分项工程施工方案应在该项目开工前14天提供。如未能按期提供，由此引起的延误由承包人负责。当月报表，下月计划应在当月20日提交，否则工程进度款相应延期支付。上述资料应不少于一式伍份。</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发包人和监理人在收到详细的施工组织设计后确认或提出修改意见的期限：执行通用合同条款本条款。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w:t>
      </w:r>
      <w:bookmarkStart w:id="317" w:name="_Toc303539123"/>
      <w:bookmarkStart w:id="318" w:name="_Toc312678005"/>
      <w:bookmarkStart w:id="319" w:name="_Toc297123514"/>
      <w:bookmarkStart w:id="320" w:name="_Toc297216173"/>
      <w:bookmarkStart w:id="321" w:name="_Toc300934966"/>
      <w:bookmarkStart w:id="322" w:name="_Toc312677479"/>
      <w:bookmarkStart w:id="323" w:name="_Toc304295541"/>
      <w:r>
        <w:rPr>
          <w:rStyle w:val="25"/>
          <w:rFonts w:hint="eastAsia" w:cs="宋体"/>
          <w:b w:val="0"/>
          <w:bCs/>
          <w:color w:val="auto"/>
          <w:sz w:val="24"/>
          <w:szCs w:val="24"/>
          <w:highlight w:val="none"/>
        </w:rPr>
        <w:t>.2 施工进度计划</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7.2.2 施工进度计划的修订</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发包人和监理人在收到修订的施工进度计划后确认或提出修改意见的期限：发包人和监理人应在收到修订的施工进度计划后7天内完成审核和批准或提出修改意见。</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除执行通用合同条款外，还应执行：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①承包人必须按批准的进度计划组织施工，接受发包人代表和监理人对工程进度的检查监督，无论何种原因造成工程的实际进度与合同进度计划不符时，承包人应按监理人的指示在7天内提交一份修订的进度计划报送监理人审批。批准后的修订进度计划作为实际实施的合同进度计划。承包人无权就加快进度采取措施提出追加合同价格。</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②承包人在施工过程中，不允许以任何理由拖延工程。无论何种原因造成施工进度计划拖后，承包人均应按监理人的指示，采取有效措施加快工程进度。承包人应在向监理人报送修订进度计划的同时，编制一份赶工措施报告报送监理人审批，加快工程进度措施应以保证工程按期完工为前提调整和修改进度计划。承包人无权因此采取此种措施而获得任何追加款项。</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7.3 开工</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7.3.1 开工准备</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关于承包人提交工程开工报审表的期限：执行通用合同条款本条款。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关于发包人应完成的其他开工准备工作及期限：开工日期前14天内。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关于承包人应完成的其他开工准备工作及期限：开工日期前14天内。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7.3.2开工通知</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因发包人原因造成监理人未能在计划开工日期之日起 90 天内发出开工通知的，承包人有权提出价格调整要求，或者解除合同。</w:t>
      </w:r>
    </w:p>
    <w:bookmarkEnd w:id="317"/>
    <w:bookmarkEnd w:id="318"/>
    <w:bookmarkEnd w:id="319"/>
    <w:bookmarkEnd w:id="320"/>
    <w:bookmarkEnd w:id="321"/>
    <w:bookmarkEnd w:id="322"/>
    <w:bookmarkEnd w:id="323"/>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7.4 测量放线</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7.4.1发包人通过监理人向承包人提供测量基准点、基准线和水准点及其书面资料的期限：执行通用合同条款本条款。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还应执行：①承包人应根据本工程中规定的原始基准点、基准线和基准标高进行工程放线。承包人应负责对工程的所有部分正确定位，并应纠正在工程的位置、标高、尺寸或定线中的任何差错。承包人应根据国家测绘基准、测绘系统和工程测量技术规范，按上述基准点（线）以及本工程精度要求，测设施工控制网，并将施工控制网数据报送监理人审批。②承包人应负责管理好施工控制网点，若有丢失或损坏，应及时修复，其所需的管理和修复费用由承包人承担。工程竣工后应完好地移交给发包人。</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w:t>
      </w:r>
      <w:bookmarkStart w:id="324" w:name="_Toc297216175"/>
      <w:bookmarkStart w:id="325" w:name="_Toc297123516"/>
      <w:bookmarkStart w:id="326" w:name="_Toc304295546"/>
      <w:bookmarkStart w:id="327" w:name="_Toc312677484"/>
      <w:bookmarkStart w:id="328" w:name="_Toc303539125"/>
      <w:bookmarkStart w:id="329" w:name="_Toc312678010"/>
      <w:bookmarkStart w:id="330" w:name="_Toc300934968"/>
      <w:r>
        <w:rPr>
          <w:rStyle w:val="25"/>
          <w:rFonts w:hint="eastAsia" w:cs="宋体"/>
          <w:b w:val="0"/>
          <w:bCs/>
          <w:color w:val="auto"/>
          <w:sz w:val="24"/>
          <w:szCs w:val="24"/>
          <w:highlight w:val="none"/>
        </w:rPr>
        <w:t>.5 工期延误</w:t>
      </w:r>
    </w:p>
    <w:bookmarkEnd w:id="324"/>
    <w:bookmarkEnd w:id="325"/>
    <w:bookmarkEnd w:id="326"/>
    <w:bookmarkEnd w:id="327"/>
    <w:bookmarkEnd w:id="328"/>
    <w:bookmarkEnd w:id="329"/>
    <w:bookmarkEnd w:id="330"/>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7.5.1 因发包人原因导致工期延误</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（7）因发包人原因导致工期延误的其他情形：无</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w:t>
      </w:r>
      <w:bookmarkStart w:id="331" w:name="_Toc318581169"/>
      <w:bookmarkStart w:id="332" w:name="_Toc312678012"/>
      <w:bookmarkStart w:id="333" w:name="_Toc312677486"/>
      <w:bookmarkStart w:id="334" w:name="_Toc304295548"/>
      <w:bookmarkStart w:id="335" w:name="_Toc297216177"/>
      <w:bookmarkStart w:id="336" w:name="_Toc297123518"/>
      <w:bookmarkStart w:id="337" w:name="_Toc300934970"/>
      <w:bookmarkStart w:id="338" w:name="_Toc303539127"/>
      <w:r>
        <w:rPr>
          <w:rStyle w:val="25"/>
          <w:rFonts w:hint="eastAsia" w:cs="宋体"/>
          <w:b w:val="0"/>
          <w:bCs/>
          <w:color w:val="auto"/>
          <w:sz w:val="24"/>
          <w:szCs w:val="24"/>
          <w:highlight w:val="none"/>
        </w:rPr>
        <w:t>.5.2 因承包人原因导致工期延误</w:t>
      </w:r>
    </w:p>
    <w:bookmarkEnd w:id="331"/>
    <w:bookmarkEnd w:id="332"/>
    <w:bookmarkEnd w:id="333"/>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因</w:t>
      </w:r>
      <w:bookmarkStart w:id="339" w:name="_Toc312678013"/>
      <w:bookmarkStart w:id="340" w:name="_Toc312677487"/>
      <w:bookmarkStart w:id="341" w:name="_Toc318581170"/>
      <w:r>
        <w:rPr>
          <w:rStyle w:val="25"/>
          <w:rFonts w:hint="eastAsia" w:cs="宋体"/>
          <w:b w:val="0"/>
          <w:bCs/>
          <w:color w:val="auto"/>
          <w:sz w:val="24"/>
          <w:szCs w:val="24"/>
          <w:highlight w:val="none"/>
        </w:rPr>
        <w:t>承包人原因造成工期延误，逾期竣工违约金的计算方法为：每延误一天工期，向发包人支付签约合同价格5‰的违约金。</w:t>
      </w:r>
    </w:p>
    <w:bookmarkEnd w:id="334"/>
    <w:bookmarkEnd w:id="335"/>
    <w:bookmarkEnd w:id="336"/>
    <w:bookmarkEnd w:id="337"/>
    <w:bookmarkEnd w:id="338"/>
    <w:bookmarkEnd w:id="339"/>
    <w:bookmarkEnd w:id="340"/>
    <w:bookmarkEnd w:id="341"/>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因承包人原因造成工期延误，逾</w:t>
      </w:r>
      <w:bookmarkStart w:id="342" w:name="_Toc318581171"/>
      <w:bookmarkStart w:id="343" w:name="_Toc312678014"/>
      <w:r>
        <w:rPr>
          <w:rStyle w:val="25"/>
          <w:rFonts w:hint="eastAsia" w:cs="宋体"/>
          <w:b w:val="0"/>
          <w:bCs/>
          <w:color w:val="auto"/>
          <w:sz w:val="24"/>
          <w:szCs w:val="24"/>
          <w:highlight w:val="none"/>
        </w:rPr>
        <w:t>期竣工违约金的上限：工程审定竣工结算价款的</w:t>
      </w:r>
      <w:r>
        <w:rPr>
          <w:rStyle w:val="25"/>
          <w:rFonts w:hint="eastAsia" w:cs="宋体"/>
          <w:b w:val="0"/>
          <w:bCs/>
          <w:color w:val="auto"/>
          <w:sz w:val="24"/>
          <w:szCs w:val="24"/>
          <w:highlight w:val="none"/>
          <w:lang w:val="en-US" w:eastAsia="zh-CN"/>
        </w:rPr>
        <w:t>3</w:t>
      </w:r>
      <w:r>
        <w:rPr>
          <w:rStyle w:val="25"/>
          <w:rFonts w:hint="eastAsia" w:cs="宋体"/>
          <w:b w:val="0"/>
          <w:bCs/>
          <w:color w:val="auto"/>
          <w:sz w:val="24"/>
          <w:szCs w:val="24"/>
          <w:highlight w:val="none"/>
        </w:rPr>
        <w:t>%。</w:t>
      </w:r>
    </w:p>
    <w:bookmarkEnd w:id="342"/>
    <w:bookmarkEnd w:id="343"/>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w:t>
      </w:r>
      <w:bookmarkStart w:id="344" w:name="_Toc297216178"/>
      <w:bookmarkStart w:id="345" w:name="_Toc304295549"/>
      <w:bookmarkStart w:id="346" w:name="_Toc312678015"/>
      <w:bookmarkStart w:id="347" w:name="_Toc300934971"/>
      <w:bookmarkStart w:id="348" w:name="_Toc297123519"/>
      <w:bookmarkStart w:id="349" w:name="_Toc303539128"/>
      <w:r>
        <w:rPr>
          <w:rStyle w:val="25"/>
          <w:rFonts w:hint="eastAsia" w:cs="宋体"/>
          <w:b w:val="0"/>
          <w:bCs/>
          <w:color w:val="auto"/>
          <w:sz w:val="24"/>
          <w:szCs w:val="24"/>
          <w:highlight w:val="none"/>
        </w:rPr>
        <w:t>.6 不</w:t>
      </w:r>
      <w:bookmarkEnd w:id="344"/>
      <w:bookmarkEnd w:id="345"/>
      <w:bookmarkEnd w:id="346"/>
      <w:bookmarkEnd w:id="347"/>
      <w:bookmarkEnd w:id="348"/>
      <w:bookmarkEnd w:id="349"/>
      <w:r>
        <w:rPr>
          <w:rStyle w:val="25"/>
          <w:rFonts w:hint="eastAsia" w:cs="宋体"/>
          <w:b w:val="0"/>
          <w:bCs/>
          <w:color w:val="auto"/>
          <w:sz w:val="24"/>
          <w:szCs w:val="24"/>
          <w:highlight w:val="none"/>
        </w:rPr>
        <w:t>利物质条件</w:t>
      </w:r>
    </w:p>
    <w:p>
      <w:pPr>
        <w:pStyle w:val="18"/>
        <w:spacing w:before="75" w:beforeAutospacing="0" w:after="75" w:afterAutospacing="0" w:line="360" w:lineRule="auto"/>
        <w:jc w:val="both"/>
        <w:rPr>
          <w:rStyle w:val="25"/>
          <w:rFonts w:hint="eastAsia" w:cs="宋体"/>
          <w:b w:val="0"/>
          <w:bCs/>
          <w:color w:val="auto"/>
          <w:sz w:val="24"/>
          <w:szCs w:val="24"/>
          <w:highlight w:val="none"/>
        </w:rPr>
      </w:pPr>
      <w:bookmarkStart w:id="350" w:name="_Toc297216179"/>
      <w:bookmarkStart w:id="351" w:name="_Toc300934972"/>
      <w:bookmarkStart w:id="352" w:name="_Toc297123520"/>
      <w:bookmarkStart w:id="353" w:name="_Toc304295550"/>
      <w:bookmarkStart w:id="354" w:name="_Toc312678016"/>
      <w:bookmarkStart w:id="355" w:name="_Toc318581172"/>
      <w:bookmarkStart w:id="356" w:name="_Toc303539129"/>
      <w:r>
        <w:rPr>
          <w:rStyle w:val="25"/>
          <w:rFonts w:hint="eastAsia" w:cs="宋体"/>
          <w:b w:val="0"/>
          <w:bCs/>
          <w:color w:val="auto"/>
          <w:sz w:val="24"/>
          <w:szCs w:val="24"/>
          <w:highlight w:val="none"/>
        </w:rPr>
        <w:t>不利物质条件的其他情形和有关约定：无</w:t>
      </w:r>
    </w:p>
    <w:bookmarkEnd w:id="350"/>
    <w:bookmarkEnd w:id="351"/>
    <w:bookmarkEnd w:id="352"/>
    <w:bookmarkEnd w:id="353"/>
    <w:bookmarkEnd w:id="354"/>
    <w:bookmarkEnd w:id="355"/>
    <w:bookmarkEnd w:id="356"/>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w:t>
      </w:r>
      <w:bookmarkStart w:id="357" w:name="_Toc297216180"/>
      <w:bookmarkStart w:id="358" w:name="_Toc297123521"/>
      <w:bookmarkStart w:id="359" w:name="_Toc304295551"/>
      <w:bookmarkStart w:id="360" w:name="_Toc312678017"/>
      <w:bookmarkStart w:id="361" w:name="_Toc300934973"/>
      <w:bookmarkStart w:id="362" w:name="_Toc303539130"/>
      <w:r>
        <w:rPr>
          <w:rStyle w:val="25"/>
          <w:rFonts w:hint="eastAsia" w:cs="宋体"/>
          <w:b w:val="0"/>
          <w:bCs/>
          <w:color w:val="auto"/>
          <w:sz w:val="24"/>
          <w:szCs w:val="24"/>
          <w:highlight w:val="none"/>
        </w:rPr>
        <w:t>.7异常恶劣的气候条件</w:t>
      </w:r>
    </w:p>
    <w:bookmarkEnd w:id="357"/>
    <w:bookmarkEnd w:id="358"/>
    <w:bookmarkEnd w:id="359"/>
    <w:bookmarkEnd w:id="360"/>
    <w:bookmarkEnd w:id="361"/>
    <w:bookmarkEnd w:id="362"/>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发包人和承包人同意以下情形视为异常恶劣的气候条件：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 执行国家的相关规定 。由于异常恶劣气候（按国家有关规定确定）造成的工期误延按国家有关规定执行。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（2） 无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（3） 无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7.9 提前竣工的奖励</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7.9.2提前竣工的奖励：</w:t>
      </w:r>
      <w:bookmarkStart w:id="363" w:name="_Toc351203640"/>
      <w:r>
        <w:rPr>
          <w:rStyle w:val="25"/>
          <w:rFonts w:hint="eastAsia" w:cs="宋体"/>
          <w:b w:val="0"/>
          <w:bCs/>
          <w:color w:val="auto"/>
          <w:sz w:val="24"/>
          <w:szCs w:val="24"/>
          <w:highlight w:val="none"/>
        </w:rPr>
        <w:t>无。</w:t>
      </w:r>
    </w:p>
    <w:bookmarkEnd w:id="298"/>
    <w:bookmarkEnd w:id="299"/>
    <w:bookmarkEnd w:id="300"/>
    <w:bookmarkEnd w:id="301"/>
    <w:bookmarkEnd w:id="302"/>
    <w:bookmarkEnd w:id="303"/>
    <w:bookmarkEnd w:id="304"/>
    <w:bookmarkEnd w:id="305"/>
    <w:bookmarkEnd w:id="306"/>
    <w:bookmarkEnd w:id="307"/>
    <w:bookmarkEnd w:id="363"/>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8. 材料与设备</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8.2承包人采购与工程设备</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除执行通用合同条款外，还应执行：①承包人用于本工程的材料或设备，必须符合设计文件及相关标准合要求且是合格产品，否则，监理人不予验收，由此造成的损失由承包人自行承担。②对承包人负责采购的材料和设备，承包人应保证完成货物、材料或设备的货款支付，避免因货款支付纠纷给工程建设带来不利影响。如承包人未及时支付材料和设备货款影响工程进度的，发包人有权根据监理人签发的证书，直接向此供货人支付按材料、设备合同应付而承包人未支付的一切款项（扣除保留金），并加收代为支付总金额的10%管理费，且每发生一次，向发包人支付人民币壹万元/次违约金。监理人在签发给承包人下一期或当期支付证书时，应从中扣除已由发包人直接支付的款额及相应管理费。</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8</w:t>
      </w:r>
      <w:bookmarkStart w:id="364" w:name="_Toc297048353"/>
      <w:bookmarkStart w:id="365" w:name="_Toc296891207"/>
      <w:bookmarkStart w:id="366" w:name="_Toc296503167"/>
      <w:bookmarkStart w:id="367" w:name="_Toc296347166"/>
      <w:bookmarkStart w:id="368" w:name="_Toc296944506"/>
      <w:bookmarkStart w:id="369" w:name="_Toc280868654"/>
      <w:bookmarkStart w:id="370" w:name="_Toc297216186"/>
      <w:bookmarkStart w:id="371" w:name="_Toc292559372"/>
      <w:bookmarkStart w:id="372" w:name="_Toc296890995"/>
      <w:bookmarkStart w:id="373" w:name="_Toc300934979"/>
      <w:bookmarkStart w:id="374" w:name="_Toc312677493"/>
      <w:bookmarkStart w:id="375" w:name="_Toc297123527"/>
      <w:bookmarkStart w:id="376" w:name="_Toc303539136"/>
      <w:bookmarkStart w:id="377" w:name="_Toc296346668"/>
      <w:bookmarkStart w:id="378" w:name="_Toc297120467"/>
      <w:bookmarkStart w:id="379" w:name="_Toc304295556"/>
      <w:bookmarkStart w:id="380" w:name="_Toc292559877"/>
      <w:bookmarkStart w:id="381" w:name="_Toc312678019"/>
      <w:bookmarkStart w:id="382" w:name="_Toc267251424"/>
      <w:bookmarkStart w:id="383" w:name="_Toc280868656"/>
      <w:bookmarkStart w:id="384" w:name="_Toc280868655"/>
      <w:r>
        <w:rPr>
          <w:rStyle w:val="25"/>
          <w:rFonts w:hint="eastAsia" w:cs="宋体"/>
          <w:b w:val="0"/>
          <w:bCs/>
          <w:color w:val="auto"/>
          <w:sz w:val="24"/>
          <w:szCs w:val="24"/>
          <w:highlight w:val="none"/>
        </w:rPr>
        <w:t>.4材料与工程设备的保管与使用</w:t>
      </w: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8</w:t>
      </w:r>
      <w:bookmarkStart w:id="385" w:name="_Toc292559373"/>
      <w:bookmarkStart w:id="386" w:name="_Toc292559878"/>
      <w:bookmarkStart w:id="387" w:name="_Toc297048354"/>
      <w:bookmarkStart w:id="388" w:name="_Toc296891208"/>
      <w:bookmarkStart w:id="389" w:name="_Toc296346669"/>
      <w:bookmarkStart w:id="390" w:name="_Toc318581173"/>
      <w:bookmarkStart w:id="391" w:name="_Toc312678020"/>
      <w:bookmarkStart w:id="392" w:name="_Toc303539137"/>
      <w:bookmarkStart w:id="393" w:name="_Toc296503168"/>
      <w:bookmarkStart w:id="394" w:name="_Toc297123528"/>
      <w:bookmarkStart w:id="395" w:name="_Toc297120468"/>
      <w:bookmarkStart w:id="396" w:name="_Toc300934980"/>
      <w:bookmarkStart w:id="397" w:name="_Toc312677494"/>
      <w:bookmarkStart w:id="398" w:name="_Toc296944507"/>
      <w:bookmarkStart w:id="399" w:name="_Toc296347167"/>
      <w:bookmarkStart w:id="400" w:name="_Toc304295557"/>
      <w:bookmarkStart w:id="401" w:name="_Toc296890996"/>
      <w:bookmarkStart w:id="402" w:name="_Toc297216187"/>
      <w:r>
        <w:rPr>
          <w:rStyle w:val="25"/>
          <w:rFonts w:hint="eastAsia" w:cs="宋体"/>
          <w:b w:val="0"/>
          <w:bCs/>
          <w:color w:val="auto"/>
          <w:sz w:val="24"/>
          <w:szCs w:val="24"/>
          <w:highlight w:val="none"/>
        </w:rPr>
        <w:t>.4.1发包人供应的材料设备的保管费用的承担：执行通用合同条款本条款。</w:t>
      </w:r>
    </w:p>
    <w:bookmarkEnd w:id="385"/>
    <w:bookmarkEnd w:id="386"/>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8.6 样品</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8.6.1</w:t>
      </w:r>
      <w:r>
        <w:rPr>
          <w:rStyle w:val="25"/>
          <w:rFonts w:hint="eastAsia" w:cs="宋体"/>
          <w:b w:val="0"/>
          <w:bCs/>
          <w:color w:val="auto"/>
          <w:sz w:val="24"/>
          <w:szCs w:val="24"/>
          <w:highlight w:val="none"/>
        </w:rPr>
        <w:tab/>
      </w:r>
      <w:r>
        <w:rPr>
          <w:rStyle w:val="25"/>
          <w:rFonts w:hint="eastAsia" w:cs="宋体"/>
          <w:b w:val="0"/>
          <w:bCs/>
          <w:color w:val="auto"/>
          <w:sz w:val="24"/>
          <w:szCs w:val="24"/>
          <w:highlight w:val="none"/>
        </w:rPr>
        <w:t>样品的报送与封存</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需要承包人报送样品的材料或工程设备，样品的种类、名称、规格、数量要求：无</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8.8 施工设备和临时设施</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8.8.1 承包人提供的施工设备和临时设施</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关于修建临时设施费用承担的约定：执行通用合同条款本条款</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Start w:id="403" w:name="_Toc351203641"/>
      <w:r>
        <w:rPr>
          <w:rStyle w:val="25"/>
          <w:rFonts w:hint="eastAsia" w:cs="宋体"/>
          <w:b w:val="0"/>
          <w:bCs/>
          <w:color w:val="auto"/>
          <w:sz w:val="24"/>
          <w:szCs w:val="24"/>
          <w:highlight w:val="none"/>
        </w:rPr>
        <w:t>。</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9</w:t>
      </w:r>
      <w:bookmarkEnd w:id="382"/>
      <w:bookmarkEnd w:id="383"/>
      <w:bookmarkEnd w:id="384"/>
      <w:bookmarkStart w:id="404" w:name="_Toc297123533"/>
      <w:bookmarkStart w:id="405" w:name="_Toc303539139"/>
      <w:bookmarkStart w:id="406" w:name="_Toc297216192"/>
      <w:bookmarkStart w:id="407" w:name="_Toc300934982"/>
      <w:bookmarkStart w:id="408" w:name="_Toc304295559"/>
      <w:bookmarkStart w:id="409" w:name="_Toc312678021"/>
      <w:bookmarkStart w:id="410" w:name="_Toc312677495"/>
      <w:bookmarkStart w:id="411" w:name="_Toc296503173"/>
      <w:bookmarkStart w:id="412" w:name="_Toc267251427"/>
      <w:bookmarkStart w:id="413" w:name="_Toc296891213"/>
      <w:bookmarkStart w:id="414" w:name="_Toc296944512"/>
      <w:bookmarkStart w:id="415" w:name="_Toc296347172"/>
      <w:bookmarkStart w:id="416" w:name="_Toc296346674"/>
      <w:bookmarkStart w:id="417" w:name="_Toc267251428"/>
      <w:bookmarkStart w:id="418" w:name="_Toc297048359"/>
      <w:bookmarkStart w:id="419" w:name="_Toc296891001"/>
      <w:bookmarkStart w:id="420" w:name="_Toc297120473"/>
      <w:bookmarkStart w:id="421" w:name="_Toc292559883"/>
      <w:bookmarkStart w:id="422" w:name="_Toc292559378"/>
      <w:r>
        <w:rPr>
          <w:rStyle w:val="25"/>
          <w:rFonts w:hint="eastAsia" w:cs="宋体"/>
          <w:b w:val="0"/>
          <w:bCs/>
          <w:color w:val="auto"/>
          <w:sz w:val="24"/>
          <w:szCs w:val="24"/>
          <w:highlight w:val="none"/>
        </w:rPr>
        <w:t>. 试验与检验</w:t>
      </w:r>
      <w:bookmarkEnd w:id="403"/>
    </w:p>
    <w:bookmarkEnd w:id="404"/>
    <w:bookmarkEnd w:id="405"/>
    <w:bookmarkEnd w:id="406"/>
    <w:bookmarkEnd w:id="407"/>
    <w:bookmarkEnd w:id="408"/>
    <w:bookmarkEnd w:id="409"/>
    <w:bookmarkEnd w:id="410"/>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9</w:t>
      </w:r>
      <w:bookmarkStart w:id="423" w:name="_Toc300934983"/>
      <w:bookmarkStart w:id="424" w:name="_Toc312678022"/>
      <w:bookmarkStart w:id="425" w:name="_Toc303539140"/>
      <w:bookmarkStart w:id="426" w:name="_Toc312677496"/>
      <w:bookmarkStart w:id="427" w:name="_Toc297123534"/>
      <w:bookmarkStart w:id="428" w:name="_Toc304295560"/>
      <w:bookmarkStart w:id="429" w:name="_Toc297216193"/>
      <w:r>
        <w:rPr>
          <w:rStyle w:val="25"/>
          <w:rFonts w:hint="eastAsia" w:cs="宋体"/>
          <w:b w:val="0"/>
          <w:bCs/>
          <w:color w:val="auto"/>
          <w:sz w:val="24"/>
          <w:szCs w:val="24"/>
          <w:highlight w:val="none"/>
        </w:rPr>
        <w:t>.1试验设备与试验人员</w:t>
      </w:r>
    </w:p>
    <w:bookmarkEnd w:id="423"/>
    <w:bookmarkEnd w:id="424"/>
    <w:bookmarkEnd w:id="425"/>
    <w:bookmarkEnd w:id="426"/>
    <w:bookmarkEnd w:id="427"/>
    <w:bookmarkEnd w:id="428"/>
    <w:bookmarkEnd w:id="429"/>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9</w:t>
      </w:r>
      <w:bookmarkStart w:id="430" w:name="_Toc312678023"/>
      <w:bookmarkStart w:id="431" w:name="_Toc303539141"/>
      <w:bookmarkStart w:id="432" w:name="_Toc297123535"/>
      <w:bookmarkStart w:id="433" w:name="_Toc304295561"/>
      <w:bookmarkStart w:id="434" w:name="_Toc312677497"/>
      <w:bookmarkStart w:id="435" w:name="_Toc297216194"/>
      <w:bookmarkStart w:id="436" w:name="_Toc300934984"/>
      <w:bookmarkStart w:id="437" w:name="_Toc318581174"/>
      <w:r>
        <w:rPr>
          <w:rStyle w:val="25"/>
          <w:rFonts w:hint="eastAsia" w:cs="宋体"/>
          <w:b w:val="0"/>
          <w:bCs/>
          <w:color w:val="auto"/>
          <w:sz w:val="24"/>
          <w:szCs w:val="24"/>
          <w:highlight w:val="none"/>
        </w:rPr>
        <w:t>.1.2 试验设备</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施工现场需要配置的试验场所：</w:t>
      </w:r>
      <w:bookmarkEnd w:id="430"/>
      <w:bookmarkEnd w:id="431"/>
      <w:bookmarkEnd w:id="432"/>
      <w:bookmarkEnd w:id="433"/>
      <w:bookmarkEnd w:id="434"/>
      <w:bookmarkEnd w:id="435"/>
      <w:bookmarkEnd w:id="436"/>
      <w:bookmarkStart w:id="438" w:name="_Toc312678024"/>
      <w:bookmarkStart w:id="439" w:name="_Toc303539142"/>
      <w:bookmarkStart w:id="440" w:name="_Toc304295562"/>
      <w:bookmarkStart w:id="441" w:name="_Toc300934985"/>
      <w:bookmarkStart w:id="442" w:name="_Toc297123536"/>
      <w:bookmarkStart w:id="443" w:name="_Toc297216195"/>
      <w:bookmarkStart w:id="444" w:name="_Toc312677498"/>
      <w:r>
        <w:rPr>
          <w:rStyle w:val="25"/>
          <w:rFonts w:hint="eastAsia" w:cs="宋体"/>
          <w:b w:val="0"/>
          <w:bCs/>
          <w:color w:val="auto"/>
          <w:sz w:val="24"/>
          <w:szCs w:val="24"/>
          <w:highlight w:val="none"/>
        </w:rPr>
        <w:t xml:space="preserve"> 根据本工程实际情况配置，并满足施工现场的试验需求。</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施工现场需要配备的试验设备： 根据本工程实际情况配置，并满足施工现场的试验需求。如混凝土试验所需设备，砌筑砂浆试验所需设备，回填土试验所需设备等，配置常用器具等。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施工现场需要具备的其他试验条件： 根据本工程实际情况配置并满足施工现场试验需求。</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9.3材料、工程设备和工程的试验和检验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除执行通用合同条款外，还应执行：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①承包人负责采购的材料和工程设备，承包人应通知监理人共同进行检验和交货验收，验收时应同时查验材质证明和产品合格证书。承包人还应按国家规范的规定进行材料的抽样检验和工程设备的检验测试，并将检验结果提交监理人，其所需费用由承包人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②监理人应按合同规定参加交货验收，承包人应为监理人进行交货验收的监督检查提供一切方便。监理人参加交货验收不免除承包人在检验和交货验收中应负的责任。</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sym w:font="Wingdings" w:char="F083"/>
      </w:r>
      <w:r>
        <w:rPr>
          <w:rStyle w:val="25"/>
          <w:rFonts w:hint="eastAsia" w:cs="宋体"/>
          <w:b w:val="0"/>
          <w:bCs/>
          <w:color w:val="auto"/>
          <w:sz w:val="24"/>
          <w:szCs w:val="24"/>
          <w:highlight w:val="none"/>
        </w:rPr>
        <w:t>额外检验和重新检验：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若监理人要求承包人对某项材料和工程设备进行的检查和检验在超出国家规范和本合同的规定，监理人可以指示承包人增加额外检验，承包人应遵照执行。若检验结果合格，则相关费用由发包人承担，否则由承包人自行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不按合同的规定完成监理人指示的检查和检验工作，监理人可以指派自己的人员或委托其它有资质的检验机构或人员进行检查和检验，承包人不得拒绝，并应提供一切方便。由此增加的费用和工期延误责任由承包人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无论何种原因，若监理人对以往的检验结果有疑问时，可以指示承包人重新检验，承包人不得拒绝。</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9.4 现场工艺试验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现场工艺试验的有关约定：</w:t>
      </w:r>
      <w:bookmarkEnd w:id="437"/>
      <w:bookmarkEnd w:id="438"/>
      <w:bookmarkEnd w:id="439"/>
      <w:bookmarkEnd w:id="440"/>
      <w:bookmarkEnd w:id="441"/>
      <w:bookmarkEnd w:id="442"/>
      <w:bookmarkEnd w:id="443"/>
      <w:bookmarkEnd w:id="444"/>
      <w:bookmarkStart w:id="445" w:name="_Toc351203642"/>
      <w:r>
        <w:rPr>
          <w:rStyle w:val="25"/>
          <w:rFonts w:hint="eastAsia" w:cs="宋体"/>
          <w:b w:val="0"/>
          <w:bCs/>
          <w:color w:val="auto"/>
          <w:sz w:val="24"/>
          <w:szCs w:val="24"/>
          <w:highlight w:val="none"/>
        </w:rPr>
        <w:t>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bookmarkEnd w:id="411"/>
      <w:bookmarkEnd w:id="412"/>
      <w:bookmarkEnd w:id="413"/>
      <w:bookmarkEnd w:id="414"/>
      <w:bookmarkEnd w:id="415"/>
      <w:bookmarkEnd w:id="416"/>
      <w:bookmarkEnd w:id="417"/>
      <w:bookmarkEnd w:id="418"/>
      <w:bookmarkEnd w:id="419"/>
      <w:bookmarkEnd w:id="420"/>
      <w:bookmarkEnd w:id="421"/>
      <w:bookmarkEnd w:id="422"/>
      <w:bookmarkStart w:id="446" w:name="_Toc292559903"/>
      <w:bookmarkStart w:id="447" w:name="_Toc296346694"/>
      <w:bookmarkStart w:id="448" w:name="_Toc296891021"/>
      <w:bookmarkStart w:id="449" w:name="_Toc296891233"/>
      <w:bookmarkStart w:id="450" w:name="_Toc297048379"/>
      <w:bookmarkStart w:id="451" w:name="_Toc297120493"/>
      <w:bookmarkStart w:id="452" w:name="_Toc296503193"/>
      <w:bookmarkStart w:id="453" w:name="_Toc296347192"/>
      <w:bookmarkStart w:id="454" w:name="_Toc303539146"/>
      <w:bookmarkStart w:id="455" w:name="_Toc297123540"/>
      <w:bookmarkStart w:id="456" w:name="_Toc296944532"/>
      <w:bookmarkStart w:id="457" w:name="_Toc292559398"/>
      <w:bookmarkStart w:id="458" w:name="_Toc304295566"/>
      <w:bookmarkStart w:id="459" w:name="_Toc300934989"/>
      <w:bookmarkStart w:id="460" w:name="_Toc297216199"/>
      <w:bookmarkStart w:id="461" w:name="_Toc312678025"/>
      <w:bookmarkStart w:id="462" w:name="_Toc312677499"/>
      <w:bookmarkStart w:id="463" w:name="_Toc267251439"/>
      <w:bookmarkStart w:id="464" w:name="_Toc267251440"/>
      <w:bookmarkStart w:id="465" w:name="_Toc267251437"/>
      <w:bookmarkStart w:id="466" w:name="_Toc267251435"/>
      <w:bookmarkStart w:id="467" w:name="_Toc267251433"/>
      <w:bookmarkStart w:id="468" w:name="_Toc267251441"/>
      <w:bookmarkStart w:id="469" w:name="_Toc267251442"/>
      <w:r>
        <w:rPr>
          <w:rStyle w:val="25"/>
          <w:rFonts w:hint="eastAsia" w:cs="宋体"/>
          <w:b w:val="0"/>
          <w:bCs/>
          <w:color w:val="auto"/>
          <w:sz w:val="24"/>
          <w:szCs w:val="24"/>
          <w:highlight w:val="none"/>
        </w:rPr>
        <w:t>0. 变更</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bookmarkEnd w:id="461"/>
    <w:bookmarkEnd w:id="462"/>
    <w:p>
      <w:pPr>
        <w:pStyle w:val="18"/>
        <w:spacing w:before="75" w:beforeAutospacing="0" w:after="75" w:afterAutospacing="0" w:line="360" w:lineRule="auto"/>
        <w:jc w:val="both"/>
        <w:rPr>
          <w:rStyle w:val="25"/>
          <w:rFonts w:hint="eastAsia" w:cs="宋体"/>
          <w:b w:val="0"/>
          <w:bCs/>
          <w:color w:val="auto"/>
          <w:sz w:val="24"/>
          <w:szCs w:val="24"/>
          <w:highlight w:val="none"/>
        </w:rPr>
      </w:pPr>
      <w:bookmarkStart w:id="470" w:name="_Toc292559904"/>
      <w:bookmarkStart w:id="471" w:name="_Toc292559399"/>
      <w:bookmarkStart w:id="472" w:name="_Toc296944533"/>
      <w:bookmarkStart w:id="473" w:name="_Toc296891234"/>
      <w:bookmarkStart w:id="474" w:name="_Toc303539147"/>
      <w:bookmarkStart w:id="475" w:name="_Toc312678026"/>
      <w:bookmarkStart w:id="476" w:name="_Toc297120494"/>
      <w:bookmarkStart w:id="477" w:name="_Toc296347193"/>
      <w:bookmarkStart w:id="478" w:name="_Toc297123541"/>
      <w:bookmarkStart w:id="479" w:name="_Toc296503194"/>
      <w:bookmarkStart w:id="480" w:name="_Toc300934990"/>
      <w:bookmarkStart w:id="481" w:name="_Toc296891022"/>
      <w:bookmarkStart w:id="482" w:name="_Toc312677500"/>
      <w:bookmarkStart w:id="483" w:name="_Toc297048380"/>
      <w:bookmarkStart w:id="484" w:name="_Toc304295567"/>
      <w:bookmarkStart w:id="485" w:name="_Toc296346695"/>
      <w:bookmarkStart w:id="486" w:name="_Toc297216200"/>
      <w:r>
        <w:rPr>
          <w:rStyle w:val="25"/>
          <w:rFonts w:hint="eastAsia" w:cs="宋体"/>
          <w:b w:val="0"/>
          <w:bCs/>
          <w:color w:val="auto"/>
          <w:sz w:val="24"/>
          <w:szCs w:val="24"/>
          <w:highlight w:val="none"/>
        </w:rPr>
        <w:t>10.1变更的范围</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关于变更的范围的约定：经发包人、监理共同确认的通用合同条款事项内容。</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10.3变更程序</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除执行通用合同条款外，还应执行：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①变更指示只能由监理人经发包人批准后发出，否则视为无效，因无效变更导致费用增加和（或）工期延误的，由承包人自行承担。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②所有变更必须得到发包人的认可且获得发包人的书面确认，否则所有变更视为无效。若是减少金额的变更，未经双方确认，发包人也将在结算及付款时进行扣除。</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③因承包人自身原因而引起的工程变更增加或减少费用的，承包人无权要求增加费用，减少的费用予以扣减。因承包人自身原因而引起工程变更所产生的其它责任和损失均由承包人自行承担。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10.4 变更估价</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10.4.1 变更估价原则</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关于变更估价的约定: 执行本专用合同条款12.1条的相关规定。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Start w:id="487" w:name="_Toc296891025"/>
      <w:bookmarkStart w:id="488" w:name="_Toc297120497"/>
      <w:bookmarkStart w:id="489" w:name="_Toc296503197"/>
      <w:bookmarkStart w:id="490" w:name="_Toc297123544"/>
      <w:bookmarkStart w:id="491" w:name="_Toc296347196"/>
      <w:bookmarkStart w:id="492" w:name="_Toc297048383"/>
      <w:bookmarkStart w:id="493" w:name="_Toc292559907"/>
      <w:bookmarkStart w:id="494" w:name="_Toc297216203"/>
      <w:bookmarkStart w:id="495" w:name="_Toc303539150"/>
      <w:bookmarkStart w:id="496" w:name="_Toc300934993"/>
      <w:bookmarkStart w:id="497" w:name="_Toc296944536"/>
      <w:bookmarkStart w:id="498" w:name="_Toc292559402"/>
      <w:bookmarkStart w:id="499" w:name="_Toc296346698"/>
      <w:bookmarkStart w:id="500" w:name="_Toc296891237"/>
      <w:bookmarkStart w:id="501" w:name="_Toc304295570"/>
      <w:bookmarkStart w:id="502" w:name="_Toc312678029"/>
      <w:bookmarkStart w:id="503" w:name="_Toc312677503"/>
      <w:r>
        <w:rPr>
          <w:rStyle w:val="25"/>
          <w:rFonts w:hint="eastAsia" w:cs="宋体"/>
          <w:b w:val="0"/>
          <w:bCs/>
          <w:color w:val="auto"/>
          <w:sz w:val="24"/>
          <w:szCs w:val="24"/>
          <w:highlight w:val="none"/>
        </w:rPr>
        <w:t>0.5承</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Start w:id="504" w:name="_Toc292559408"/>
      <w:bookmarkStart w:id="505" w:name="_Toc297216204"/>
      <w:bookmarkStart w:id="506" w:name="_Toc297123545"/>
      <w:bookmarkStart w:id="507" w:name="_Toc303539151"/>
      <w:bookmarkStart w:id="508" w:name="_Toc296347202"/>
      <w:bookmarkStart w:id="509" w:name="_Toc296891243"/>
      <w:bookmarkStart w:id="510" w:name="_Toc296944542"/>
      <w:bookmarkStart w:id="511" w:name="_Toc296346704"/>
      <w:bookmarkStart w:id="512" w:name="_Toc300934994"/>
      <w:bookmarkStart w:id="513" w:name="_Toc296503203"/>
      <w:bookmarkStart w:id="514" w:name="_Toc296891031"/>
      <w:bookmarkStart w:id="515" w:name="_Toc297120503"/>
      <w:bookmarkStart w:id="516" w:name="_Toc297048389"/>
      <w:bookmarkStart w:id="517" w:name="_Toc292559913"/>
      <w:r>
        <w:rPr>
          <w:rStyle w:val="25"/>
          <w:rFonts w:hint="eastAsia" w:cs="宋体"/>
          <w:b w:val="0"/>
          <w:bCs/>
          <w:color w:val="auto"/>
          <w:sz w:val="24"/>
          <w:szCs w:val="24"/>
          <w:highlight w:val="none"/>
        </w:rPr>
        <w:t>包人的合理化建议</w:t>
      </w:r>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监理人审查承包人合理化建议的期限：执行通用合同条款本条款。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发包人审批承包人合理化建议的期限：执行通用合同条款本条款。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w:t>
      </w:r>
      <w:bookmarkStart w:id="518" w:name="_Toc304295571"/>
      <w:bookmarkStart w:id="519" w:name="_Toc296891032"/>
      <w:bookmarkStart w:id="520" w:name="_Toc312678030"/>
      <w:bookmarkStart w:id="521" w:name="_Toc318581175"/>
      <w:bookmarkStart w:id="522" w:name="_Toc292559409"/>
      <w:bookmarkStart w:id="523" w:name="_Toc297216205"/>
      <w:bookmarkStart w:id="524" w:name="_Toc297120504"/>
      <w:bookmarkStart w:id="525" w:name="_Toc292559914"/>
      <w:bookmarkStart w:id="526" w:name="_Toc296503204"/>
      <w:bookmarkStart w:id="527" w:name="_Toc296944543"/>
      <w:bookmarkStart w:id="528" w:name="_Toc297048390"/>
      <w:bookmarkStart w:id="529" w:name="_Toc312677504"/>
      <w:bookmarkStart w:id="530" w:name="_Toc296347203"/>
      <w:bookmarkStart w:id="531" w:name="_Toc297123546"/>
      <w:bookmarkStart w:id="532" w:name="_Toc303539152"/>
      <w:bookmarkStart w:id="533" w:name="_Toc296346705"/>
      <w:bookmarkStart w:id="534" w:name="_Toc296891244"/>
      <w:bookmarkStart w:id="535" w:name="_Toc300934995"/>
      <w:r>
        <w:rPr>
          <w:rStyle w:val="25"/>
          <w:rFonts w:hint="eastAsia" w:cs="宋体"/>
          <w:b w:val="0"/>
          <w:bCs/>
          <w:color w:val="auto"/>
          <w:sz w:val="24"/>
          <w:szCs w:val="24"/>
          <w:highlight w:val="none"/>
        </w:rPr>
        <w:t>包人提出的合理化建议降低了合同价格或者提高了工程经济效益的奖励的方法和金额为：不奖励。</w:t>
      </w:r>
    </w:p>
    <w:bookmarkEnd w:id="463"/>
    <w:bookmarkEnd w:id="464"/>
    <w:bookmarkEnd w:id="465"/>
    <w:bookmarkEnd w:id="466"/>
    <w:bookmarkEnd w:id="467"/>
    <w:bookmarkEnd w:id="468"/>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Pr>
        <w:pStyle w:val="18"/>
        <w:spacing w:before="75" w:beforeAutospacing="0" w:after="75" w:afterAutospacing="0" w:line="360" w:lineRule="auto"/>
        <w:jc w:val="both"/>
        <w:rPr>
          <w:rStyle w:val="25"/>
          <w:rFonts w:hint="eastAsia" w:cs="宋体"/>
          <w:b w:val="0"/>
          <w:bCs/>
          <w:color w:val="auto"/>
          <w:sz w:val="24"/>
          <w:szCs w:val="24"/>
          <w:highlight w:val="none"/>
        </w:rPr>
      </w:pPr>
      <w:bookmarkStart w:id="536" w:name="_Toc297120507"/>
      <w:bookmarkStart w:id="537" w:name="_Toc300935004"/>
      <w:bookmarkStart w:id="538" w:name="_Toc292559412"/>
      <w:bookmarkStart w:id="539" w:name="_Toc296891035"/>
      <w:bookmarkStart w:id="540" w:name="_Toc303539161"/>
      <w:bookmarkStart w:id="541" w:name="_Toc312678042"/>
      <w:bookmarkStart w:id="542" w:name="_Toc297048393"/>
      <w:bookmarkStart w:id="543" w:name="_Toc296944546"/>
      <w:bookmarkStart w:id="544" w:name="_Toc297216213"/>
      <w:bookmarkStart w:id="545" w:name="_Toc304295581"/>
      <w:bookmarkStart w:id="546" w:name="_Toc296891247"/>
      <w:bookmarkStart w:id="547" w:name="_Toc296503207"/>
      <w:bookmarkStart w:id="548" w:name="_Toc292559917"/>
      <w:bookmarkStart w:id="549" w:name="_Toc296346708"/>
      <w:bookmarkStart w:id="550" w:name="_Toc297123554"/>
      <w:bookmarkStart w:id="551" w:name="_Toc296347206"/>
      <w:r>
        <w:rPr>
          <w:rStyle w:val="25"/>
          <w:rFonts w:hint="eastAsia" w:cs="宋体"/>
          <w:b w:val="0"/>
          <w:bCs/>
          <w:color w:val="auto"/>
          <w:sz w:val="24"/>
          <w:szCs w:val="24"/>
          <w:highlight w:val="none"/>
        </w:rPr>
        <w:t>1</w:t>
      </w:r>
      <w:bookmarkStart w:id="552" w:name="_Toc304295574"/>
      <w:bookmarkStart w:id="553" w:name="_Toc296346700"/>
      <w:bookmarkStart w:id="554" w:name="_Toc297216207"/>
      <w:bookmarkStart w:id="555" w:name="_Toc296347198"/>
      <w:bookmarkStart w:id="556" w:name="_Toc296944538"/>
      <w:bookmarkStart w:id="557" w:name="_Toc297120499"/>
      <w:bookmarkStart w:id="558" w:name="_Toc300934997"/>
      <w:bookmarkStart w:id="559" w:name="_Toc303539154"/>
      <w:bookmarkStart w:id="560" w:name="_Toc296503199"/>
      <w:bookmarkStart w:id="561" w:name="_Toc297123548"/>
      <w:bookmarkStart w:id="562" w:name="_Toc292559909"/>
      <w:bookmarkStart w:id="563" w:name="_Toc312677507"/>
      <w:bookmarkStart w:id="564" w:name="_Toc292559404"/>
      <w:bookmarkStart w:id="565" w:name="_Toc312678033"/>
      <w:bookmarkStart w:id="566" w:name="_Toc296891239"/>
      <w:bookmarkStart w:id="567" w:name="_Toc296891027"/>
      <w:bookmarkStart w:id="568" w:name="_Toc297048385"/>
      <w:r>
        <w:rPr>
          <w:rStyle w:val="25"/>
          <w:rFonts w:hint="eastAsia" w:cs="宋体"/>
          <w:b w:val="0"/>
          <w:bCs/>
          <w:color w:val="auto"/>
          <w:sz w:val="24"/>
          <w:szCs w:val="24"/>
          <w:highlight w:val="none"/>
        </w:rPr>
        <w:t>0.7 暂估价</w:t>
      </w:r>
    </w:p>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暂</w:t>
      </w:r>
      <w:bookmarkStart w:id="569" w:name="_Toc318581176"/>
      <w:bookmarkStart w:id="570" w:name="_Toc312678034"/>
      <w:bookmarkStart w:id="571" w:name="_Toc312677508"/>
      <w:r>
        <w:rPr>
          <w:rStyle w:val="25"/>
          <w:rFonts w:hint="eastAsia" w:cs="宋体"/>
          <w:b w:val="0"/>
          <w:bCs/>
          <w:color w:val="auto"/>
          <w:sz w:val="24"/>
          <w:szCs w:val="24"/>
          <w:highlight w:val="none"/>
        </w:rPr>
        <w:t>估价材料和工程设备的明细详见附件11：《暂估价一览表》。</w:t>
      </w:r>
    </w:p>
    <w:bookmarkEnd w:id="569"/>
    <w:bookmarkEnd w:id="570"/>
    <w:bookmarkEnd w:id="571"/>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w:t>
      </w:r>
      <w:bookmarkStart w:id="572" w:name="_Toc318581177"/>
      <w:bookmarkStart w:id="573" w:name="_Toc312678035"/>
      <w:bookmarkStart w:id="574" w:name="_Toc312677509"/>
      <w:r>
        <w:rPr>
          <w:rStyle w:val="25"/>
          <w:rFonts w:hint="eastAsia" w:cs="宋体"/>
          <w:b w:val="0"/>
          <w:bCs/>
          <w:color w:val="auto"/>
          <w:sz w:val="24"/>
          <w:szCs w:val="24"/>
          <w:highlight w:val="none"/>
        </w:rPr>
        <w:t>0.7.1 依法必须招标的暂估价项目</w:t>
      </w:r>
    </w:p>
    <w:bookmarkEnd w:id="572"/>
    <w:bookmarkEnd w:id="573"/>
    <w:bookmarkEnd w:id="574"/>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对于依法必须招标的暂估价项目的确认和批准采取第    /    种方式确定。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10.7.2 不属于依法必须招标的暂估价项目</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对于不属于依法必须招标的暂估价项目的确认和批准采取第    /    种方式确定。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第3种方式：承包人直接实施的暂估价项目</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承包人直接实施的暂估价项目的约定：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10.8 暂列金额</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合同当事人关于暂列金额使用的约定：</w:t>
      </w:r>
      <w:bookmarkStart w:id="575" w:name="_Toc351203643"/>
      <w:r>
        <w:rPr>
          <w:rStyle w:val="25"/>
          <w:rFonts w:hint="eastAsia" w:cs="宋体"/>
          <w:b w:val="0"/>
          <w:bCs/>
          <w:color w:val="auto"/>
          <w:sz w:val="24"/>
          <w:szCs w:val="24"/>
          <w:highlight w:val="none"/>
          <w:lang w:val="en-US" w:eastAsia="zh-CN"/>
        </w:rPr>
        <w:t>/</w:t>
      </w:r>
    </w:p>
    <w:bookmarkEnd w:id="575"/>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11.1 市场价格波动引起的调整</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市场价格波动是否调整合同价格的约定：不调整。</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12. 合同价格、计量与支付</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12.1 合同价格形式</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Fonts w:hint="eastAsia" w:ascii="宋体" w:hAnsi="宋体" w:eastAsia="宋体" w:cs="宋体"/>
          <w:color w:val="auto"/>
          <w:kern w:val="0"/>
          <w:sz w:val="24"/>
          <w:szCs w:val="24"/>
          <w:highlight w:val="none"/>
          <w:lang w:val="zh-CN" w:bidi="zh-CN"/>
        </w:rPr>
        <w:t>关于合同价格形式的约定：</w:t>
      </w:r>
      <w:r>
        <w:rPr>
          <w:rStyle w:val="25"/>
          <w:rFonts w:hint="eastAsia" w:cs="宋体"/>
          <w:b w:val="0"/>
          <w:bCs/>
          <w:color w:val="auto"/>
          <w:sz w:val="24"/>
          <w:szCs w:val="24"/>
          <w:highlight w:val="none"/>
          <w:lang w:eastAsia="zh-CN"/>
        </w:rPr>
        <w:t>固定</w:t>
      </w:r>
      <w:r>
        <w:rPr>
          <w:rStyle w:val="25"/>
          <w:rFonts w:hint="eastAsia" w:cs="宋体"/>
          <w:b w:val="0"/>
          <w:bCs/>
          <w:color w:val="auto"/>
          <w:sz w:val="24"/>
          <w:szCs w:val="24"/>
          <w:highlight w:val="none"/>
        </w:rPr>
        <w:t>总价合同。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总价包含的风险范围：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风险费用的计算方法：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风险范围以外合同价格的调整方法：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3、其他价格方式：      /           </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12.2 预付款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12.2.1 预付款的支付</w:t>
      </w:r>
    </w:p>
    <w:p>
      <w:pPr>
        <w:pStyle w:val="18"/>
        <w:spacing w:before="75" w:beforeAutospacing="0" w:after="75" w:afterAutospacing="0" w:line="360" w:lineRule="auto"/>
        <w:jc w:val="both"/>
        <w:rPr>
          <w:rStyle w:val="25"/>
          <w:rFonts w:hint="eastAsia" w:eastAsia="宋体" w:cs="宋体"/>
          <w:b w:val="0"/>
          <w:bCs/>
          <w:color w:val="auto"/>
          <w:sz w:val="24"/>
          <w:szCs w:val="24"/>
          <w:highlight w:val="none"/>
          <w:lang w:eastAsia="zh-CN"/>
        </w:rPr>
      </w:pPr>
      <w:r>
        <w:rPr>
          <w:rStyle w:val="25"/>
          <w:rFonts w:hint="eastAsia" w:cs="宋体"/>
          <w:b w:val="0"/>
          <w:bCs/>
          <w:color w:val="auto"/>
          <w:sz w:val="24"/>
          <w:szCs w:val="24"/>
          <w:highlight w:val="none"/>
        </w:rPr>
        <w:t>预付款支付比例或金额：</w:t>
      </w:r>
      <w:r>
        <w:rPr>
          <w:rStyle w:val="25"/>
          <w:rFonts w:hint="eastAsia" w:cs="宋体"/>
          <w:b w:val="0"/>
          <w:bCs/>
          <w:color w:val="auto"/>
          <w:sz w:val="24"/>
          <w:szCs w:val="24"/>
          <w:highlight w:val="none"/>
          <w:lang w:val="en-US" w:eastAsia="zh-CN"/>
        </w:rPr>
        <w:t>/</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预付款支付期限：发、承包双方在签订合同时中约定 。</w:t>
      </w:r>
    </w:p>
    <w:p>
      <w:pPr>
        <w:pStyle w:val="18"/>
        <w:spacing w:before="75" w:beforeAutospacing="0" w:after="75" w:afterAutospacing="0" w:line="360" w:lineRule="auto"/>
        <w:jc w:val="both"/>
        <w:rPr>
          <w:rStyle w:val="25"/>
          <w:rFonts w:hint="eastAsia" w:cs="宋体"/>
          <w:b w:val="0"/>
          <w:bCs/>
          <w:color w:val="auto"/>
          <w:sz w:val="24"/>
          <w:szCs w:val="24"/>
          <w:highlight w:val="none"/>
          <w:lang w:eastAsia="zh-CN"/>
        </w:rPr>
      </w:pPr>
      <w:r>
        <w:rPr>
          <w:rStyle w:val="25"/>
          <w:rFonts w:hint="eastAsia" w:cs="宋体"/>
          <w:b w:val="0"/>
          <w:bCs/>
          <w:color w:val="auto"/>
          <w:sz w:val="24"/>
          <w:szCs w:val="24"/>
          <w:highlight w:val="none"/>
        </w:rPr>
        <w:t>预付款扣回的方式：预付款的起扣时间为支付工程进度款开始起扣，</w:t>
      </w:r>
      <w:r>
        <w:rPr>
          <w:rStyle w:val="25"/>
          <w:rFonts w:hint="eastAsia" w:cs="宋体"/>
          <w:b w:val="0"/>
          <w:bCs/>
          <w:color w:val="auto"/>
          <w:sz w:val="24"/>
          <w:szCs w:val="24"/>
          <w:highlight w:val="none"/>
          <w:lang w:eastAsia="zh-CN"/>
        </w:rPr>
        <w:t>一次性扣完。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12.2.2 预付款担保</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承包人提交预付款担保的期限：无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预付款担保的形式为：无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12.3 计量</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12.3.1 计量原则</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工程量计算规则：《建设工程工程量清单计价规范》（GB50500-2013）、《房屋建筑与装饰工程工程量计算规范》（GB50854-2013）、《通用安装工程工程量计价规范（GB50856-2013）等相关规定。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12.3.2 计量周期</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关于计量周期的约定：工程量的计量按月进行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12.3.3 单价合同的计量</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关于单价合同计量的约定：执行通用合同条款本条款。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12.3.4 总价合同的计量</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关于总价合同计量的约定：/。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12.3.5总价合同采用支付分解表计量支付的，是否适用第12.3.4 项〔总价合同的计量〕约定进行计量：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12.3.6 其他价格形式合同的计量</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其他价格形式的计量方式和程序：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12.4 工程进度款支付</w:t>
      </w:r>
    </w:p>
    <w:p>
      <w:pPr>
        <w:pStyle w:val="18"/>
        <w:spacing w:before="75" w:beforeAutospacing="0" w:after="75" w:afterAutospacing="0" w:line="360" w:lineRule="auto"/>
        <w:jc w:val="both"/>
        <w:rPr>
          <w:rStyle w:val="25"/>
          <w:rFonts w:hint="eastAsia" w:cs="宋体"/>
          <w:b w:val="0"/>
          <w:bCs/>
          <w:color w:val="auto"/>
          <w:sz w:val="24"/>
          <w:szCs w:val="24"/>
          <w:highlight w:val="none"/>
        </w:rPr>
      </w:pPr>
      <w:bookmarkStart w:id="576" w:name="_Toc296891039"/>
      <w:bookmarkStart w:id="577" w:name="_Toc297216215"/>
      <w:bookmarkStart w:id="578" w:name="_Toc292559921"/>
      <w:bookmarkStart w:id="579" w:name="_Toc296347210"/>
      <w:bookmarkStart w:id="580" w:name="_Toc292559416"/>
      <w:bookmarkStart w:id="581" w:name="_Toc297048397"/>
      <w:bookmarkStart w:id="582" w:name="_Toc300935006"/>
      <w:bookmarkStart w:id="583" w:name="_Toc296346712"/>
      <w:bookmarkStart w:id="584" w:name="_Toc297123556"/>
      <w:bookmarkStart w:id="585" w:name="_Toc296891251"/>
      <w:bookmarkStart w:id="586" w:name="_Toc303539163"/>
      <w:bookmarkStart w:id="587" w:name="_Toc297120511"/>
      <w:bookmarkStart w:id="588" w:name="_Toc296503211"/>
      <w:bookmarkStart w:id="589" w:name="_Toc296944550"/>
      <w:r>
        <w:rPr>
          <w:rStyle w:val="25"/>
          <w:rFonts w:hint="eastAsia" w:cs="宋体"/>
          <w:b w:val="0"/>
          <w:bCs/>
          <w:color w:val="auto"/>
          <w:sz w:val="24"/>
          <w:szCs w:val="24"/>
          <w:highlight w:val="none"/>
        </w:rPr>
        <w:t>12.4.1 付款周期</w:t>
      </w:r>
    </w:p>
    <w:p>
      <w:pPr>
        <w:pStyle w:val="18"/>
        <w:spacing w:before="75" w:beforeAutospacing="0" w:after="75" w:afterAutospacing="0" w:line="360" w:lineRule="auto"/>
        <w:jc w:val="both"/>
        <w:rPr>
          <w:rStyle w:val="25"/>
          <w:rFonts w:hint="eastAsia" w:eastAsia="宋体" w:cs="宋体"/>
          <w:b w:val="0"/>
          <w:bCs/>
          <w:color w:val="auto"/>
          <w:sz w:val="24"/>
          <w:szCs w:val="24"/>
          <w:highlight w:val="none"/>
          <w:lang w:eastAsia="zh-CN"/>
        </w:rPr>
      </w:pPr>
      <w:r>
        <w:rPr>
          <w:rStyle w:val="25"/>
          <w:rFonts w:hint="eastAsia" w:cs="宋体"/>
          <w:b w:val="0"/>
          <w:bCs/>
          <w:color w:val="auto"/>
          <w:sz w:val="24"/>
          <w:szCs w:val="24"/>
          <w:highlight w:val="none"/>
        </w:rPr>
        <w:t>关于付款周期的约定：</w:t>
      </w:r>
      <w:r>
        <w:rPr>
          <w:rStyle w:val="25"/>
          <w:rFonts w:hint="eastAsia" w:cs="宋体"/>
          <w:b w:val="0"/>
          <w:bCs/>
          <w:color w:val="auto"/>
          <w:sz w:val="24"/>
          <w:szCs w:val="24"/>
          <w:highlight w:val="none"/>
          <w:lang w:val="en-US" w:eastAsia="zh-CN"/>
        </w:rPr>
        <w:t>/。</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12.4.2 进度付款申请单的编制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关于进度付款申请单编制的约定：执行通用合同条款本条款。</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12.4.3 进度付款申请单的提交</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（1）单价合同进度付款申请单提交的约定：执行通用合同条款本条款。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（2）总价合同进度付款申请单提交的约定：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（3）其他价格形式合同进度付款申请单提交的约定：/  。</w:t>
      </w:r>
    </w:p>
    <w:bookmarkEnd w:id="469"/>
    <w:p>
      <w:pPr>
        <w:pStyle w:val="18"/>
        <w:spacing w:before="75" w:beforeAutospacing="0" w:after="75" w:afterAutospacing="0" w:line="360" w:lineRule="auto"/>
        <w:jc w:val="both"/>
        <w:rPr>
          <w:rStyle w:val="25"/>
          <w:rFonts w:hint="eastAsia" w:cs="宋体"/>
          <w:b w:val="0"/>
          <w:bCs/>
          <w:color w:val="auto"/>
          <w:sz w:val="24"/>
          <w:szCs w:val="24"/>
          <w:highlight w:val="none"/>
        </w:rPr>
      </w:pPr>
      <w:bookmarkStart w:id="590" w:name="_Toc351203645"/>
      <w:bookmarkStart w:id="591" w:name="_Toc296891259"/>
      <w:bookmarkStart w:id="592" w:name="_Toc297120519"/>
      <w:bookmarkStart w:id="593" w:name="_Toc297048405"/>
      <w:bookmarkStart w:id="594" w:name="_Toc304295593"/>
      <w:bookmarkStart w:id="595" w:name="_Toc300935015"/>
      <w:bookmarkStart w:id="596" w:name="_Toc303539172"/>
      <w:bookmarkStart w:id="597" w:name="_Toc296944558"/>
      <w:bookmarkStart w:id="598" w:name="_Toc312678053"/>
      <w:bookmarkStart w:id="599" w:name="_Toc292559929"/>
      <w:bookmarkStart w:id="600" w:name="_Toc296347218"/>
      <w:bookmarkStart w:id="601" w:name="_Toc297123564"/>
      <w:bookmarkStart w:id="602" w:name="_Toc296503219"/>
      <w:bookmarkStart w:id="603" w:name="_Toc296891047"/>
      <w:bookmarkStart w:id="604" w:name="_Toc297216223"/>
      <w:bookmarkStart w:id="605" w:name="_Toc296346720"/>
      <w:bookmarkStart w:id="606" w:name="_Toc292559424"/>
      <w:r>
        <w:rPr>
          <w:rStyle w:val="25"/>
          <w:rFonts w:hint="eastAsia" w:cs="宋体"/>
          <w:b w:val="0"/>
          <w:bCs/>
          <w:color w:val="auto"/>
          <w:sz w:val="24"/>
          <w:szCs w:val="24"/>
          <w:highlight w:val="none"/>
        </w:rPr>
        <w:t>12.4.</w:t>
      </w:r>
      <w:r>
        <w:rPr>
          <w:rStyle w:val="25"/>
          <w:rFonts w:hint="eastAsia" w:cs="宋体"/>
          <w:b w:val="0"/>
          <w:bCs/>
          <w:color w:val="auto"/>
          <w:sz w:val="24"/>
          <w:szCs w:val="24"/>
          <w:highlight w:val="none"/>
          <w:lang w:val="en-US" w:eastAsia="zh-CN"/>
        </w:rPr>
        <w:t>4</w:t>
      </w:r>
      <w:r>
        <w:rPr>
          <w:rStyle w:val="25"/>
          <w:rFonts w:hint="eastAsia" w:cs="宋体"/>
          <w:b w:val="0"/>
          <w:bCs/>
          <w:color w:val="auto"/>
          <w:sz w:val="24"/>
          <w:szCs w:val="24"/>
          <w:highlight w:val="none"/>
        </w:rPr>
        <w:t>支付分解表的编制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2、总价合同支付分解表的编制与审批： 无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3、单价合同的总价项目支付分解表的编制与审批：执行通用合同条款本条款。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13. 验收和工程试车</w:t>
      </w:r>
      <w:bookmarkEnd w:id="590"/>
    </w:p>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13.1 分部分项工程验收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13.1.2监理人不能按时进行验收时，应提前 24 小时提交书面延期要求。</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关于延期最长不得超过：48 小时。</w:t>
      </w:r>
    </w:p>
    <w:p>
      <w:pPr>
        <w:pStyle w:val="18"/>
        <w:spacing w:before="75" w:beforeAutospacing="0" w:after="75" w:afterAutospacing="0" w:line="360" w:lineRule="auto"/>
        <w:jc w:val="both"/>
        <w:rPr>
          <w:rStyle w:val="25"/>
          <w:rFonts w:hint="eastAsia" w:cs="宋体"/>
          <w:b w:val="0"/>
          <w:bCs/>
          <w:color w:val="auto"/>
          <w:sz w:val="24"/>
          <w:szCs w:val="24"/>
          <w:highlight w:val="none"/>
        </w:rPr>
      </w:pPr>
      <w:bookmarkStart w:id="607" w:name="_Toc297123565"/>
      <w:bookmarkStart w:id="608" w:name="_Toc296891051"/>
      <w:bookmarkStart w:id="609" w:name="_Toc296891263"/>
      <w:bookmarkStart w:id="610" w:name="_Toc297120523"/>
      <w:bookmarkStart w:id="611" w:name="_Toc297048409"/>
      <w:bookmarkStart w:id="612" w:name="_Toc300935016"/>
      <w:bookmarkStart w:id="613" w:name="_Toc297216224"/>
      <w:bookmarkStart w:id="614" w:name="_Toc296347222"/>
      <w:bookmarkStart w:id="615" w:name="_Toc296346724"/>
      <w:bookmarkStart w:id="616" w:name="_Toc312678056"/>
      <w:bookmarkStart w:id="617" w:name="_Toc303539173"/>
      <w:bookmarkStart w:id="618" w:name="_Toc292559933"/>
      <w:bookmarkStart w:id="619" w:name="_Toc304295596"/>
      <w:bookmarkStart w:id="620" w:name="_Toc296944562"/>
      <w:bookmarkStart w:id="621" w:name="_Toc292559428"/>
      <w:bookmarkStart w:id="622" w:name="_Toc296503223"/>
      <w:bookmarkStart w:id="623" w:name="_Toc267251475"/>
      <w:bookmarkStart w:id="624" w:name="_Toc267251476"/>
      <w:bookmarkStart w:id="625" w:name="_Toc267251470"/>
      <w:bookmarkStart w:id="626" w:name="_Toc267251474"/>
      <w:bookmarkStart w:id="627" w:name="_Toc267251472"/>
      <w:bookmarkStart w:id="628" w:name="_Toc267251473"/>
      <w:bookmarkStart w:id="629" w:name="_Toc267251471"/>
      <w:r>
        <w:rPr>
          <w:rStyle w:val="25"/>
          <w:rFonts w:hint="eastAsia" w:cs="宋体"/>
          <w:b w:val="0"/>
          <w:bCs/>
          <w:color w:val="auto"/>
          <w:sz w:val="24"/>
          <w:szCs w:val="24"/>
          <w:highlight w:val="none"/>
        </w:rPr>
        <w:t>13.2 竣工验收</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Pr>
        <w:pStyle w:val="18"/>
        <w:spacing w:before="75" w:beforeAutospacing="0" w:after="75" w:afterAutospacing="0" w:line="360" w:lineRule="auto"/>
        <w:jc w:val="both"/>
        <w:rPr>
          <w:rStyle w:val="25"/>
          <w:rFonts w:hint="eastAsia" w:cs="宋体"/>
          <w:b w:val="0"/>
          <w:bCs/>
          <w:color w:val="auto"/>
          <w:sz w:val="24"/>
          <w:szCs w:val="24"/>
          <w:highlight w:val="none"/>
        </w:rPr>
      </w:pPr>
      <w:bookmarkStart w:id="630" w:name="_Toc280868704"/>
      <w:bookmarkStart w:id="631" w:name="_Toc280868705"/>
      <w:bookmarkStart w:id="632" w:name="_Toc280868706"/>
      <w:bookmarkStart w:id="633" w:name="_Toc280868707"/>
      <w:bookmarkStart w:id="634" w:name="_Toc280868708"/>
      <w:bookmarkStart w:id="635" w:name="_Toc280868709"/>
      <w:r>
        <w:rPr>
          <w:rStyle w:val="25"/>
          <w:rFonts w:hint="eastAsia" w:cs="宋体"/>
          <w:b w:val="0"/>
          <w:bCs/>
          <w:color w:val="auto"/>
          <w:sz w:val="24"/>
          <w:szCs w:val="24"/>
          <w:highlight w:val="none"/>
        </w:rPr>
        <w:t>除执行通用合同条款外，还应执行：发包人应确认承包人提交的竣工结算书和结算资料已包括：经批准的施工图纸、设计变更图纸、</w:t>
      </w:r>
      <w:r>
        <w:rPr>
          <w:rStyle w:val="25"/>
          <w:rFonts w:hint="eastAsia" w:cs="宋体"/>
          <w:b w:val="0"/>
          <w:bCs/>
          <w:color w:val="auto"/>
          <w:sz w:val="24"/>
          <w:szCs w:val="24"/>
          <w:highlight w:val="none"/>
          <w:lang w:eastAsia="zh-CN"/>
        </w:rPr>
        <w:t>竞争性磋商文件</w:t>
      </w:r>
      <w:r>
        <w:rPr>
          <w:rStyle w:val="25"/>
          <w:rFonts w:hint="eastAsia" w:cs="宋体"/>
          <w:b w:val="0"/>
          <w:bCs/>
          <w:color w:val="auto"/>
          <w:sz w:val="24"/>
          <w:szCs w:val="24"/>
          <w:highlight w:val="none"/>
        </w:rPr>
        <w:t>、招标答疑纪要、</w:t>
      </w:r>
      <w:r>
        <w:rPr>
          <w:rStyle w:val="25"/>
          <w:rFonts w:hint="eastAsia" w:cs="宋体"/>
          <w:b w:val="0"/>
          <w:bCs/>
          <w:color w:val="auto"/>
          <w:sz w:val="24"/>
          <w:szCs w:val="24"/>
          <w:highlight w:val="none"/>
          <w:lang w:eastAsia="zh-CN"/>
        </w:rPr>
        <w:t>成交</w:t>
      </w:r>
      <w:r>
        <w:rPr>
          <w:rStyle w:val="25"/>
          <w:rFonts w:hint="eastAsia" w:cs="宋体"/>
          <w:b w:val="0"/>
          <w:bCs/>
          <w:color w:val="auto"/>
          <w:sz w:val="24"/>
          <w:szCs w:val="24"/>
          <w:highlight w:val="none"/>
        </w:rPr>
        <w:t>的投标总报价组成明细、</w:t>
      </w:r>
      <w:r>
        <w:rPr>
          <w:rStyle w:val="25"/>
          <w:rFonts w:hint="eastAsia" w:cs="宋体"/>
          <w:b w:val="0"/>
          <w:bCs/>
          <w:color w:val="auto"/>
          <w:sz w:val="24"/>
          <w:szCs w:val="24"/>
          <w:highlight w:val="none"/>
          <w:lang w:eastAsia="zh-CN"/>
        </w:rPr>
        <w:t>成交</w:t>
      </w:r>
      <w:r>
        <w:rPr>
          <w:rStyle w:val="25"/>
          <w:rFonts w:hint="eastAsia" w:cs="宋体"/>
          <w:b w:val="0"/>
          <w:bCs/>
          <w:color w:val="auto"/>
          <w:sz w:val="24"/>
          <w:szCs w:val="24"/>
          <w:highlight w:val="none"/>
        </w:rPr>
        <w:t>通知书、施工合同、工程签证、设计变更确认文件、双方合同价格调整确认资料、批准的索赔费用明细等一切办理竣工结算核对所需资料，自此另行追加结算资料将不作为竣工结算的依据。</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13.2.2竣工验收程序</w:t>
      </w:r>
    </w:p>
    <w:bookmarkEnd w:id="630"/>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关于竣工验收程序的约定：执行通用合同条款本条款。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发包人不按照本项约定组织竣工验收、颁发工程接收证书的违约金的计算方法：执行通用合同条款本条款。</w:t>
      </w:r>
    </w:p>
    <w:bookmarkEnd w:id="631"/>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13.2.5移交、接收全部与部分工程</w:t>
      </w:r>
    </w:p>
    <w:bookmarkEnd w:id="632"/>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承包人向发包人移交工程的期限：执行通用合同条款本条款。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发包人未按本合同约定接收全部或部分工程的，违约金的计算方法为：</w:t>
      </w:r>
      <w:bookmarkEnd w:id="633"/>
      <w:r>
        <w:rPr>
          <w:rStyle w:val="25"/>
          <w:rFonts w:hint="eastAsia" w:cs="宋体"/>
          <w:b w:val="0"/>
          <w:bCs/>
          <w:color w:val="auto"/>
          <w:sz w:val="24"/>
          <w:szCs w:val="24"/>
          <w:highlight w:val="none"/>
        </w:rPr>
        <w:t>除承担工程照管、成品保护、保管等与工程有关的各项费用外，每延误一天，向承包人支付签约合同价格1‰的违约金。</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承包人未按时移交工程的，违约金的计算方法为：除承担工程照管、成品保护、保管等与工程有关的各项费用外，每延误一天，向发包人支付签约合同价格1‰的违约金。</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13.3 工程试车</w:t>
      </w:r>
    </w:p>
    <w:bookmarkEnd w:id="634"/>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13.3.1 试车程序</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工程试车内容：与本合同约定的承包范围一致。</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（1）单机无负荷试车费用由 承包人 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（2）无负荷联动试车费用由 发包人 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13.3.3 投料试车</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关于投料试车相关事项的约定：    无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13.6 竣工退场</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13.6.1 竣工退场</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承包人完成竣工退场的期限：颁发工程接收证书之日起14日内 。</w:t>
      </w:r>
      <w:bookmarkStart w:id="636" w:name="_Toc351203646"/>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除执行通用合同条款外，还应执行：①承包人应当保留为完成甩尾工作和保修工作的必要人员、工程设备和设施，发包人应为承包人履行上述义务、进出和占用现场提供方便和协助。②在承包人逾期退场，发包人处理承包人遗留在现场的物品时应当慎重。原则上，发包人应事先通知承包人自行处理，承包人在发包人规定的合理期限内仍不处理的，发包人有权出售或另行处理，包括进行拍卖、提存等。</w:t>
      </w:r>
    </w:p>
    <w:bookmarkEnd w:id="636"/>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14. 竣工结算</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14.1 竣工</w:t>
      </w:r>
      <w:r>
        <w:rPr>
          <w:rStyle w:val="25"/>
          <w:rFonts w:hint="eastAsia" w:cs="宋体"/>
          <w:b w:val="0"/>
          <w:bCs/>
          <w:color w:val="auto"/>
          <w:sz w:val="24"/>
          <w:szCs w:val="24"/>
          <w:highlight w:val="none"/>
          <w:lang w:eastAsia="zh-CN"/>
        </w:rPr>
        <w:t>结算</w:t>
      </w:r>
      <w:r>
        <w:rPr>
          <w:rStyle w:val="25"/>
          <w:rFonts w:hint="eastAsia" w:cs="宋体"/>
          <w:b w:val="0"/>
          <w:bCs/>
          <w:color w:val="auto"/>
          <w:sz w:val="24"/>
          <w:szCs w:val="24"/>
          <w:highlight w:val="none"/>
        </w:rPr>
        <w:t>申请</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承包人提交竣工</w:t>
      </w:r>
      <w:r>
        <w:rPr>
          <w:rStyle w:val="25"/>
          <w:rFonts w:hint="eastAsia" w:cs="宋体"/>
          <w:b w:val="0"/>
          <w:bCs/>
          <w:color w:val="auto"/>
          <w:sz w:val="24"/>
          <w:szCs w:val="24"/>
          <w:highlight w:val="none"/>
          <w:lang w:eastAsia="zh-CN"/>
        </w:rPr>
        <w:t>结算</w:t>
      </w:r>
      <w:r>
        <w:rPr>
          <w:rStyle w:val="25"/>
          <w:rFonts w:hint="eastAsia" w:cs="宋体"/>
          <w:b w:val="0"/>
          <w:bCs/>
          <w:color w:val="auto"/>
          <w:sz w:val="24"/>
          <w:szCs w:val="24"/>
          <w:highlight w:val="none"/>
        </w:rPr>
        <w:t>申请单的期限：执行通用合同条款本条款。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竣工</w:t>
      </w:r>
      <w:r>
        <w:rPr>
          <w:rStyle w:val="25"/>
          <w:rFonts w:hint="eastAsia" w:cs="宋体"/>
          <w:b w:val="0"/>
          <w:bCs/>
          <w:color w:val="auto"/>
          <w:sz w:val="24"/>
          <w:szCs w:val="24"/>
          <w:highlight w:val="none"/>
          <w:lang w:eastAsia="zh-CN"/>
        </w:rPr>
        <w:t>结算申请</w:t>
      </w:r>
      <w:r>
        <w:rPr>
          <w:rStyle w:val="25"/>
          <w:rFonts w:hint="eastAsia" w:cs="宋体"/>
          <w:b w:val="0"/>
          <w:bCs/>
          <w:color w:val="auto"/>
          <w:sz w:val="24"/>
          <w:szCs w:val="24"/>
          <w:highlight w:val="none"/>
        </w:rPr>
        <w:t>单应包括的内容：除执行通用合同条款本条款外，按照发包人、监理人及克拉玛依市各管理部门规定和要求提供。</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14.2 竣工结算审核</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发包人审批竣工结算申请单的期限：执行通用合同条款本条款。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发包人完成竣工付款的期限：执行通用合同条款本条款。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关于竣工付款证书异议部分复核的方式和程序：执行通用合同条款本条款。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14.4 最终结清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14.4.1 最终结清申请单</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承包人提交最终结清申请单的份数：一式伍份。</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承包人提交最终结算申请单的期限：承包人应在缺陷责任期终止证书颁发后7天内。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14.4.2 最终结清证书和支付</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（1）发包人完成最终结清申请单的审批并颁发最终结清证书的期限：执行通用合同条款本条款。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（2）发包人完成支付的期限：</w:t>
      </w:r>
      <w:bookmarkEnd w:id="623"/>
      <w:bookmarkEnd w:id="624"/>
      <w:bookmarkEnd w:id="625"/>
      <w:bookmarkEnd w:id="626"/>
      <w:bookmarkEnd w:id="627"/>
      <w:bookmarkEnd w:id="628"/>
      <w:bookmarkEnd w:id="629"/>
      <w:bookmarkEnd w:id="635"/>
      <w:bookmarkStart w:id="637" w:name="_Toc351203647"/>
      <w:bookmarkStart w:id="638" w:name="_Toc267251483"/>
      <w:bookmarkStart w:id="639" w:name="_Toc267251482"/>
      <w:bookmarkStart w:id="640" w:name="_Toc267251484"/>
      <w:bookmarkStart w:id="641" w:name="_Toc267251485"/>
      <w:bookmarkStart w:id="642" w:name="_Toc267251490"/>
      <w:bookmarkStart w:id="643" w:name="_Toc267251486"/>
      <w:bookmarkStart w:id="644" w:name="_Toc267251489"/>
      <w:bookmarkStart w:id="645" w:name="_Toc267251488"/>
      <w:bookmarkStart w:id="646" w:name="_Toc267251496"/>
      <w:bookmarkStart w:id="647" w:name="_Toc267251491"/>
      <w:bookmarkStart w:id="648" w:name="_Toc267251501"/>
      <w:bookmarkStart w:id="649" w:name="_Toc267251492"/>
      <w:bookmarkStart w:id="650" w:name="_Toc267251497"/>
      <w:bookmarkStart w:id="651" w:name="_Toc267251502"/>
      <w:bookmarkStart w:id="652" w:name="_Toc267251499"/>
      <w:bookmarkStart w:id="653" w:name="_Toc267251503"/>
      <w:bookmarkStart w:id="654" w:name="_Toc267251504"/>
      <w:bookmarkStart w:id="655" w:name="_Toc267251494"/>
      <w:bookmarkStart w:id="656" w:name="_Toc267251495"/>
      <w:bookmarkStart w:id="657" w:name="_Toc267251498"/>
      <w:bookmarkStart w:id="658" w:name="_Toc267251493"/>
      <w:bookmarkStart w:id="659" w:name="_Toc267251506"/>
      <w:bookmarkStart w:id="660" w:name="_Toc267251507"/>
      <w:bookmarkStart w:id="661" w:name="_Toc267251508"/>
      <w:bookmarkStart w:id="662" w:name="_Toc267251511"/>
      <w:bookmarkStart w:id="663" w:name="_Toc267251509"/>
      <w:bookmarkStart w:id="664" w:name="_Toc267251515"/>
      <w:bookmarkStart w:id="665" w:name="_Toc267251514"/>
      <w:bookmarkStart w:id="666" w:name="_Toc267251510"/>
      <w:bookmarkStart w:id="667" w:name="_Toc267251513"/>
      <w:r>
        <w:rPr>
          <w:rStyle w:val="25"/>
          <w:rFonts w:hint="eastAsia" w:cs="宋体"/>
          <w:b w:val="0"/>
          <w:bCs/>
          <w:color w:val="auto"/>
          <w:sz w:val="24"/>
          <w:szCs w:val="24"/>
          <w:highlight w:val="none"/>
        </w:rPr>
        <w:t>执行通用合同条款本条款。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还应执行（与通用合同条款不一致之处，以本约定为准）：</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①竣工结算与支付：承包人应在提交竣工验收报告的同时向发包人提交竣工结算报告及完整的结算资料</w:t>
      </w:r>
      <w:r>
        <w:rPr>
          <w:rStyle w:val="25"/>
          <w:rFonts w:hint="eastAsia" w:cs="宋体"/>
          <w:b w:val="0"/>
          <w:bCs/>
          <w:color w:val="auto"/>
          <w:sz w:val="24"/>
          <w:szCs w:val="24"/>
          <w:highlight w:val="none"/>
          <w:lang w:eastAsia="zh-CN"/>
        </w:rPr>
        <w:t>。</w:t>
      </w:r>
      <w:r>
        <w:rPr>
          <w:rStyle w:val="25"/>
          <w:rFonts w:hint="eastAsia" w:cs="宋体"/>
          <w:b w:val="0"/>
          <w:bCs/>
          <w:color w:val="auto"/>
          <w:sz w:val="24"/>
          <w:szCs w:val="24"/>
          <w:highlight w:val="none"/>
        </w:rPr>
        <w:t>发包人根据</w:t>
      </w:r>
      <w:r>
        <w:rPr>
          <w:rStyle w:val="25"/>
          <w:rFonts w:hint="eastAsia" w:cs="宋体"/>
          <w:b w:val="0"/>
          <w:bCs/>
          <w:color w:val="auto"/>
          <w:sz w:val="24"/>
          <w:szCs w:val="24"/>
          <w:highlight w:val="none"/>
          <w:lang w:eastAsia="zh-CN"/>
        </w:rPr>
        <w:t>工程竣工验收合格后，三个月内支付</w:t>
      </w:r>
      <w:r>
        <w:rPr>
          <w:rStyle w:val="25"/>
          <w:rFonts w:hint="eastAsia" w:cs="宋体"/>
          <w:b w:val="0"/>
          <w:bCs/>
          <w:color w:val="auto"/>
          <w:sz w:val="24"/>
          <w:szCs w:val="24"/>
          <w:highlight w:val="none"/>
        </w:rPr>
        <w:t>工程竣工结算价款，保留</w:t>
      </w:r>
      <w:r>
        <w:rPr>
          <w:rStyle w:val="25"/>
          <w:rFonts w:hint="eastAsia" w:cs="宋体"/>
          <w:b w:val="0"/>
          <w:bCs/>
          <w:color w:val="auto"/>
          <w:sz w:val="24"/>
          <w:szCs w:val="24"/>
          <w:highlight w:val="none"/>
          <w:lang w:val="en-US" w:eastAsia="zh-CN"/>
        </w:rPr>
        <w:t>3</w:t>
      </w:r>
      <w:r>
        <w:rPr>
          <w:rStyle w:val="25"/>
          <w:rFonts w:hint="eastAsia" w:cs="宋体"/>
          <w:b w:val="0"/>
          <w:bCs/>
          <w:color w:val="auto"/>
          <w:sz w:val="24"/>
          <w:szCs w:val="24"/>
          <w:highlight w:val="none"/>
        </w:rPr>
        <w:t>%的质量保证（保修）金，质保期内如有返修，发生费用应在质量保证（保修）金内扣除。</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②竣工结算审定后发包人按下列方式支付：A、当承包人达到合同要求的工程质量时，发包人按竣工结算造价的9</w:t>
      </w:r>
      <w:r>
        <w:rPr>
          <w:rStyle w:val="25"/>
          <w:rFonts w:hint="eastAsia" w:cs="宋体"/>
          <w:b w:val="0"/>
          <w:bCs/>
          <w:color w:val="auto"/>
          <w:sz w:val="24"/>
          <w:szCs w:val="24"/>
          <w:highlight w:val="none"/>
          <w:lang w:val="en-US" w:eastAsia="zh-CN"/>
        </w:rPr>
        <w:t>7</w:t>
      </w:r>
      <w:r>
        <w:rPr>
          <w:rStyle w:val="25"/>
          <w:rFonts w:hint="eastAsia" w:cs="宋体"/>
          <w:b w:val="0"/>
          <w:bCs/>
          <w:color w:val="auto"/>
          <w:sz w:val="24"/>
          <w:szCs w:val="24"/>
          <w:highlight w:val="none"/>
        </w:rPr>
        <w:t>%支付给承包人，剩余部分作为工程质量保证（保修）金，依据国家和自治区的有关规定进行返还。B、因发包人原因造成工程质量不合格的，发包人应承担全部经济责任。C、因承包人原因造成工程质量不合格或返工后不合格的，承包人应承担全部经济责任，并依据相关要求进行处理。</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③竣工结算完成15日内，发、承包人双方携带核定确认的竣工结算资料，按克建发〖2009〗38号《克拉玛依市建设工程竣工结算备案暂行管理办法》文件要求到克拉玛依市建设局工程造价标准定额管理站备案。</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④其他相关规定执行《关于加强政府投资项目工程造价管理工作通知》（克建发[2013]110号）。</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⑤承包人如未在规定时间内提供完整的工程竣工结算资料，经发包人催促后14天内仍未提供或没有明确答复，发包人有权根据已有资料进行审查，且每延误一天支付签约合同价格1‰的违约金。</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15. 缺陷责任期与保修</w:t>
      </w:r>
      <w:bookmarkEnd w:id="637"/>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15.2缺陷责任期</w:t>
      </w:r>
      <w:bookmarkEnd w:id="638"/>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缺陷责任期的具体期限： 自工程通过竣工验收之日起24个月。</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15.3 质量保证金</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关于是否扣留质量保证金的约定：扣留质量保证金。</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在工程项目竣工前，承包人按本专用合同条款第3.7条提供履约担保的，发包人不得同时预留工程质量保证金</w:t>
      </w:r>
      <w:r>
        <w:rPr>
          <w:rStyle w:val="25"/>
          <w:rFonts w:hint="eastAsia" w:cs="宋体"/>
          <w:b w:val="0"/>
          <w:bCs/>
          <w:color w:val="auto"/>
          <w:sz w:val="24"/>
          <w:szCs w:val="24"/>
          <w:highlight w:val="none"/>
          <w:lang w:eastAsia="zh-CN"/>
        </w:rPr>
        <w:t>。</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15.3.1 承包人提供质量保证金的方式</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质量保证金采用以下第 （2） 种方式：</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（1）质量保证金保函，保证金额为：     /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（2）经审定的竣工结算价款的3 %的工程款；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（3）其他方式: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15.3.2 质量保证金的扣留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质量保证金的扣留采取以下第（2）种方式：</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（1）在支付工程进度款时逐次扣留，在此情形下，质量保证金的计算基数不包括预付款的支付、扣回以及价格调整的金额；</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（2）工程竣工结算时一次性扣留质量保证金；</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（3）其他扣留方式: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关于质量保证金的补充约定：执行质量保证书的相关约定。</w:t>
      </w:r>
    </w:p>
    <w:bookmarkEnd w:id="639"/>
    <w:bookmarkEnd w:id="640"/>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15.4保修</w:t>
      </w:r>
    </w:p>
    <w:bookmarkEnd w:id="641"/>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15.4.1 保修责任</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工程保修期为：工程质量保修范围、期限和责任按照《工程质量保修书》和本合同相关条款执行。保修期自实际竣工日期起计算。</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15.4.3 修复通知</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承包人收到保修通知并到达工程现场的合理时间：接到发包人通知（包括书面和电话通知）之日起8小时内到达工程现场。</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还应执行：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①保修期内，承包人应负责未移交工程和工程设备的全部日常维护和质量保修工作，对己移交发包人使用的工程和工程设备，则应由发包人负责日常维护工作，但承包人应按移交证书中所列的质量保修清单进行修复，直至经监理人检验合格为止。</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②发包人在保修期内使用工程和工程设备过程中，发现新的缺陷和损坏或原修复的缺陷部位或部件又遭损坏，则承包人应按监理人的指示负责修复，直至经监理人检验合格为止。监理人应会同发包人和承包人共同进行查验，若经查验确属由于承包人施工中隐存的或其它由于承包人责任造成的缺陷或损坏，应由承包人承担修复费用；若经查验确属发包人使用不当或其它由于发包人责任造成的缺陷或损坏，则应由发包人承担修复费用。</w:t>
      </w:r>
      <w:bookmarkEnd w:id="642"/>
      <w:bookmarkEnd w:id="643"/>
      <w:bookmarkEnd w:id="644"/>
      <w:bookmarkEnd w:id="645"/>
      <w:bookmarkStart w:id="668" w:name="_Toc351203648"/>
      <w:bookmarkStart w:id="669" w:name="_Toc280868717"/>
      <w:bookmarkStart w:id="670" w:name="_Toc280868718"/>
    </w:p>
    <w:bookmarkEnd w:id="668"/>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16. 违约</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16.1 发包人违约</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16.1.1 发包人违约的其他情形：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    16.1.2 发包人违约的责任</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发包人违约责任的承担方式和计算方法：</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（1）因发包人原因未能在计划开工日期前7天内下达开工通知的违约责任：顺延工期，并支付签约合同价格0.5‰的违约金。</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（2）因发包人原因未能按合同约定支付合同价格的违约责任：除执行通用合同条款本条款外，每逾期一天发包人应按约定应付之日起向承包人支付应付款的同期贷款利息。</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（3）发包人违反第10.1款〔变更的范围〕第（2）项约定，自行实施被取消的工作或转由他人实施的违约责任：由此给承包人造成的一切损失由发包人承担。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4）发包人提供的材料、工程设备的规格、数量或质量不符合合同约定，或因发包人原因导致交货日期延误或交货地点变更等情况的违约责任：由此造成的工程质量问题及工期延误由发包人承担质量及工期延误责任，同时承担相应的费用；如发包人原因导致交货日期延误和交货地点变更由此引起的一切相关费用由发包人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（5）因发包人违反合同约定造成暂停施工的违约责任：由此造成工期延误的责任及相关费用由发包人承担，同时工期相应顺延。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（6）发包人无正当理由没有在约定期限内发出复工指示，导致承包人无法复工的违约责任：由此造成工期延误的责任及相关费用由发包人承担，同时工期相应顺延。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（7）其他：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16.1.3 因发包人违约解除合同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承包人按16.1.1项〔发包人违约的情形〕约定暂停施工满  28  天后发包人仍不纠正其违约行为并致使合同目的不能实现的，承包人有权解除合同。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16.2 承包人违约</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16.2.1 承包人违约的情形</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（1）承包人违反合同约定进行转包或违法分包的；</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（2）承包人违反合同约定采购和使用不合格的材料和工程设备的；</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（3）因承包人原因导致工程质量不符合合同要求的；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（4）承包人违反第8.9款〔材料与设备专用要求〕的约定，未经批准，私自将已按照合同约定进入施工现场的材料或设备撤离施工现场的；</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（5）承包人未能按施工进度计划及时完成合同约定的工作，造成工期延误的；</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（6）承包人在缺陷责任期及保修期内，未能在合理期限对工程缺陷进行修复，或拒绝按发包人要求进行修复的；</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（7）承包人明确表示或者以其行为表明不履行合同主要义务的；</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（8）承包人未能按照合同约定履行其他义务的。</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承包人发生除本项第（7）目约定以外的其他违约情况时，监理人可向承包人发出整改通知，要求其在指定的期限内改正。</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承包人违约的其他情形：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16.2.2承包人违约的责任</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承包人违约责任的承担方式和计算方法：</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①承包人有16.2.1条违约行为时，发包人可向承包人发出解除合同通知，且自承包人接到发包人通知之日起，发包人尚未退还承包人的履约保证金不再退还，并保留进一步追究承包人法律责任的权利；由此造成与任意第三方的经济纠纷全部由承包人自行负责解决。其中，造成与承包人有关的第三方阻碍本项目移交使用的，自承包人接到发包人通知之日起10 日内，承包人必须完全完成清场退出工作，每延迟一天，按日向发包人支付签约合同价格5‰的违约金。违约金的计算公式为：本签约合同价格×5‰×延迟天数。同时给发包人及相关单位工作带来不利影响或造成损失的，由承包人承担相应赔偿等法律责任。</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②工程竣工验收未达到合同约定的质量标准，</w:t>
      </w:r>
      <w:bookmarkStart w:id="671" w:name="工程质量达不到合同约定的质量标准承包人违约责任约定"/>
      <w:r>
        <w:rPr>
          <w:rStyle w:val="25"/>
          <w:rFonts w:hint="eastAsia" w:cs="宋体"/>
          <w:b w:val="0"/>
          <w:bCs/>
          <w:color w:val="auto"/>
          <w:sz w:val="24"/>
          <w:szCs w:val="24"/>
          <w:highlight w:val="none"/>
        </w:rPr>
        <w:t>承包人负责免费返修或返工重建，直至达到合同约定的质量标准为止，费用由承包人自行承担并承担由此给发包人造成的损失，工期不顺延，同时承包人向发包人支付经审定的工程竣工结算价款5%的违约金，如给发包人造成损失，由此引起的费用由承包人负责，此费用在应付工程款中扣除。施工过程中出现一般质量事故但不影响结构安全和功能的，每次向发包人支付人民币</w:t>
      </w:r>
      <w:r>
        <w:rPr>
          <w:rStyle w:val="25"/>
          <w:rFonts w:hint="eastAsia" w:cs="宋体"/>
          <w:b w:val="0"/>
          <w:bCs/>
          <w:color w:val="auto"/>
          <w:sz w:val="24"/>
          <w:szCs w:val="24"/>
          <w:highlight w:val="none"/>
          <w:lang w:eastAsia="zh-CN"/>
        </w:rPr>
        <w:t>贰仟</w:t>
      </w:r>
      <w:r>
        <w:rPr>
          <w:rStyle w:val="25"/>
          <w:rFonts w:hint="eastAsia" w:cs="宋体"/>
          <w:b w:val="0"/>
          <w:bCs/>
          <w:color w:val="auto"/>
          <w:sz w:val="24"/>
          <w:szCs w:val="24"/>
          <w:highlight w:val="none"/>
        </w:rPr>
        <w:t>元以下违约金;施工过程中出现重大质量事故但不影响结构安全和功能的，每次向发包人支付人民币</w:t>
      </w:r>
      <w:r>
        <w:rPr>
          <w:rStyle w:val="25"/>
          <w:rFonts w:hint="eastAsia" w:cs="宋体"/>
          <w:b w:val="0"/>
          <w:bCs/>
          <w:color w:val="auto"/>
          <w:sz w:val="24"/>
          <w:szCs w:val="24"/>
          <w:highlight w:val="none"/>
          <w:lang w:eastAsia="zh-CN"/>
        </w:rPr>
        <w:t>壹</w:t>
      </w:r>
      <w:r>
        <w:rPr>
          <w:rStyle w:val="25"/>
          <w:rFonts w:hint="eastAsia" w:cs="宋体"/>
          <w:b w:val="0"/>
          <w:bCs/>
          <w:color w:val="auto"/>
          <w:sz w:val="24"/>
          <w:szCs w:val="24"/>
          <w:highlight w:val="none"/>
        </w:rPr>
        <w:t>万元以下违约金;施工过程中出现重大质量事故且影响结构安全和功能的，每次向发包人支付人民币</w:t>
      </w:r>
      <w:r>
        <w:rPr>
          <w:rStyle w:val="25"/>
          <w:rFonts w:hint="eastAsia" w:cs="宋体"/>
          <w:b w:val="0"/>
          <w:bCs/>
          <w:color w:val="auto"/>
          <w:sz w:val="24"/>
          <w:szCs w:val="24"/>
          <w:highlight w:val="none"/>
          <w:lang w:eastAsia="zh-CN"/>
        </w:rPr>
        <w:t>叁</w:t>
      </w:r>
      <w:r>
        <w:rPr>
          <w:rStyle w:val="25"/>
          <w:rFonts w:hint="eastAsia" w:cs="宋体"/>
          <w:b w:val="0"/>
          <w:bCs/>
          <w:color w:val="auto"/>
          <w:sz w:val="24"/>
          <w:szCs w:val="24"/>
          <w:highlight w:val="none"/>
        </w:rPr>
        <w:t>万元以下违约金，承包人同时应承担由此带来的一切损失；外观质量差，但不影响结构安全和功能的，每处向发包人支付人民币</w:t>
      </w:r>
      <w:r>
        <w:rPr>
          <w:rStyle w:val="25"/>
          <w:rFonts w:hint="eastAsia" w:cs="宋体"/>
          <w:b w:val="0"/>
          <w:bCs/>
          <w:color w:val="auto"/>
          <w:sz w:val="24"/>
          <w:szCs w:val="24"/>
          <w:highlight w:val="none"/>
          <w:lang w:eastAsia="zh-CN"/>
        </w:rPr>
        <w:t>壹</w:t>
      </w:r>
      <w:r>
        <w:rPr>
          <w:rStyle w:val="25"/>
          <w:rFonts w:hint="eastAsia" w:cs="宋体"/>
          <w:b w:val="0"/>
          <w:bCs/>
          <w:color w:val="auto"/>
          <w:sz w:val="24"/>
          <w:szCs w:val="24"/>
          <w:highlight w:val="none"/>
        </w:rPr>
        <w:t>万元以下违约金;对出现的质量事故必须在监理人、发包人规定的时间内完成整改，否则将按该项违约金的三倍赔偿。</w:t>
      </w:r>
    </w:p>
    <w:bookmarkEnd w:id="671"/>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③承包人未按施工规范施工或施工质量达不到合同规定要求的，自监理人发出整改通知之日起3日内，承包人必须无条件进行整改，费用自行承担。如整改后，仍达不到规定要求的，承包人应承担人民币</w:t>
      </w:r>
      <w:r>
        <w:rPr>
          <w:rStyle w:val="25"/>
          <w:rFonts w:hint="eastAsia" w:cs="宋体"/>
          <w:b w:val="0"/>
          <w:bCs/>
          <w:color w:val="auto"/>
          <w:sz w:val="24"/>
          <w:szCs w:val="24"/>
          <w:highlight w:val="none"/>
          <w:lang w:eastAsia="zh-CN"/>
        </w:rPr>
        <w:t>贰仟</w:t>
      </w:r>
      <w:r>
        <w:rPr>
          <w:rStyle w:val="25"/>
          <w:rFonts w:hint="eastAsia" w:cs="宋体"/>
          <w:b w:val="0"/>
          <w:bCs/>
          <w:color w:val="auto"/>
          <w:sz w:val="24"/>
          <w:szCs w:val="24"/>
          <w:highlight w:val="none"/>
        </w:rPr>
        <w:t>元/次的违约金，发包人有权另行指定施工单位进行整改，其费用由承包人承担。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④因承包人提供和使用了不合格的材料和工程设备，限期在12小时内退场，已使用的必须拆除。由此造成的工期延误由承包人承担工期延误责任，造成的损失由承包人自行承担，并向发包人支付所提供和使用不合格材料和工程设备总价10%的违约金。</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⑤因承包人原因造成的质量事故、工程事故和安全事故，造成人身和财产损害的，承包人承担全部行政、民事和刑事责任，并承担</w:t>
      </w:r>
      <w:r>
        <w:rPr>
          <w:rStyle w:val="25"/>
          <w:rFonts w:hint="eastAsia" w:cs="宋体"/>
          <w:b w:val="0"/>
          <w:bCs/>
          <w:color w:val="auto"/>
          <w:sz w:val="24"/>
          <w:szCs w:val="24"/>
          <w:highlight w:val="none"/>
          <w:lang w:eastAsia="zh-CN"/>
        </w:rPr>
        <w:t>全部</w:t>
      </w:r>
      <w:r>
        <w:rPr>
          <w:rStyle w:val="25"/>
          <w:rFonts w:hint="eastAsia" w:cs="宋体"/>
          <w:b w:val="0"/>
          <w:bCs/>
          <w:color w:val="auto"/>
          <w:sz w:val="24"/>
          <w:szCs w:val="24"/>
          <w:highlight w:val="none"/>
        </w:rPr>
        <w:t>损害赔偿责任。造成人员死亡等重大安全事故的还必须向发包人支付每次人民币贰万元的违约金。</w:t>
      </w:r>
    </w:p>
    <w:p>
      <w:pPr>
        <w:pStyle w:val="18"/>
        <w:spacing w:before="75" w:beforeAutospacing="0" w:after="75" w:afterAutospacing="0" w:line="360" w:lineRule="auto"/>
        <w:jc w:val="both"/>
        <w:rPr>
          <w:rStyle w:val="25"/>
          <w:rFonts w:hint="eastAsia" w:eastAsia="宋体" w:cs="宋体"/>
          <w:b w:val="0"/>
          <w:bCs/>
          <w:color w:val="auto"/>
          <w:sz w:val="24"/>
          <w:szCs w:val="24"/>
          <w:highlight w:val="none"/>
          <w:lang w:eastAsia="zh-CN"/>
        </w:rPr>
      </w:pPr>
      <w:r>
        <w:rPr>
          <w:rStyle w:val="25"/>
          <w:rFonts w:hint="eastAsia" w:cs="宋体"/>
          <w:b w:val="0"/>
          <w:bCs/>
          <w:color w:val="auto"/>
          <w:sz w:val="24"/>
          <w:szCs w:val="24"/>
          <w:highlight w:val="none"/>
        </w:rPr>
        <w:t>⑥</w:t>
      </w:r>
      <w:r>
        <w:rPr>
          <w:rStyle w:val="25"/>
          <w:rFonts w:hint="eastAsia" w:cs="宋体"/>
          <w:b w:val="0"/>
          <w:bCs/>
          <w:color w:val="auto"/>
          <w:sz w:val="24"/>
          <w:szCs w:val="24"/>
          <w:highlight w:val="none"/>
          <w:lang w:eastAsia="zh-CN"/>
        </w:rPr>
        <w:t>因承包人原因造成防控疫情工作滞后，未达到相关规定及要求的，承包人承担全部行政、民事和刑事责任，并承担全部损害赔偿责任。给发包人造成的任何损失均由承包人承担。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⑦承包人违反本专用合同条款第6.1.5条相关规定及国家、自治区、克拉玛依市有关文明施工管理、卫生管理、噪声扬尘污染防治等规定，造成后果的，由承包人承担一切责任。一旦被政府有关职能部门处罚、负面通报和媒体负面曝光，除接受相关部门处罚外，还必须向发包人支付签订合同价格5‰的违约金。</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⑧未按发包人、监理人以及主管部门规定建立、健全安全、文明施工制度、措施等，每发现一处，承包人须向发包人支付人民币壹仟元违约金，出现一般安全事故、重大安全事故的按相关规定进行处罚。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⑨因承包人提供产品材质或工期不能满足发包人要求的，或承包人提供的材料或设备价格差异过大的，自监理人发出整改通知之日起3日内，承包人必须无条件进行整改，费用由承包人自行承担。如整改后，仍达不到规定要求的，发包人有权另行指定分包，其费用由承包人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⑩如果发生恶意停工、恶意闹事，每发生一次，承包人向发包人支付￥</w:t>
      </w:r>
      <w:r>
        <w:rPr>
          <w:rStyle w:val="25"/>
          <w:rFonts w:hint="eastAsia" w:cs="宋体"/>
          <w:b w:val="0"/>
          <w:bCs/>
          <w:color w:val="auto"/>
          <w:sz w:val="24"/>
          <w:szCs w:val="24"/>
          <w:highlight w:val="none"/>
          <w:lang w:val="en-US" w:eastAsia="zh-CN"/>
        </w:rPr>
        <w:t>2</w:t>
      </w:r>
      <w:r>
        <w:rPr>
          <w:rStyle w:val="25"/>
          <w:rFonts w:hint="eastAsia" w:cs="宋体"/>
          <w:b w:val="0"/>
          <w:bCs/>
          <w:color w:val="auto"/>
          <w:sz w:val="24"/>
          <w:szCs w:val="24"/>
          <w:highlight w:val="none"/>
        </w:rPr>
        <w:t>万元违约金。</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⑪承包人应严格按照</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中的承诺将劳务工工资发放到位，如出现因承包人恶意拖欠和拒不按计划偿付民工工资或未能按期足额支付农民工工资，导致民工到政府部门上访或到发包人处索要工资的情况，则每出现一次，发包人将向承包人收取￥</w:t>
      </w:r>
      <w:r>
        <w:rPr>
          <w:rStyle w:val="25"/>
          <w:rFonts w:hint="eastAsia" w:cs="宋体"/>
          <w:b w:val="0"/>
          <w:bCs/>
          <w:color w:val="auto"/>
          <w:sz w:val="24"/>
          <w:szCs w:val="24"/>
          <w:highlight w:val="none"/>
          <w:lang w:val="en-US" w:eastAsia="zh-CN"/>
        </w:rPr>
        <w:t>2</w:t>
      </w:r>
      <w:r>
        <w:rPr>
          <w:rStyle w:val="25"/>
          <w:rFonts w:hint="eastAsia" w:cs="宋体"/>
          <w:b w:val="0"/>
          <w:bCs/>
          <w:color w:val="auto"/>
          <w:sz w:val="24"/>
          <w:szCs w:val="24"/>
          <w:highlight w:val="none"/>
        </w:rPr>
        <w:t>万元违约金；若发包人代为支付民工工资，发包人将按所代付民工工资总金额的10%向承包人收取管理费。并依据国家、自治区、克拉玛依等相关法律、法规、政策文件予以严厉处罚，必要时可解除合同并依法追究承包人的责任。</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⑫承包人不得以材料价格、清单控制价等经济问题未确定而发生威胁发包人或停工或闹事等不良影响，每发生一次，承包人向发包人支付贰拾万元/次违约金。</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⑬承包人如发生二次（含二次）及以上未完成发包人要求的工程进度节点，承包人无条件接受发包人的另行委托，由此造成的损失由承包人承担。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⑭承包人如未按要求参加发包人、监理人及行业主管部门对本项目组织的专题会，在请假未经同意的条件下（须经会议最高负责人同意），按项目经理</w:t>
      </w:r>
      <w:r>
        <w:rPr>
          <w:rStyle w:val="25"/>
          <w:rFonts w:hint="eastAsia" w:cs="宋体"/>
          <w:b w:val="0"/>
          <w:bCs/>
          <w:color w:val="auto"/>
          <w:sz w:val="24"/>
          <w:szCs w:val="24"/>
          <w:highlight w:val="none"/>
          <w:lang w:val="en-US" w:eastAsia="zh-CN"/>
        </w:rPr>
        <w:t>1</w:t>
      </w:r>
      <w:r>
        <w:rPr>
          <w:rStyle w:val="25"/>
          <w:rFonts w:hint="eastAsia" w:cs="宋体"/>
          <w:b w:val="0"/>
          <w:bCs/>
          <w:color w:val="auto"/>
          <w:sz w:val="24"/>
          <w:szCs w:val="24"/>
          <w:highlight w:val="none"/>
        </w:rPr>
        <w:t>000元/次、其他人员</w:t>
      </w:r>
      <w:r>
        <w:rPr>
          <w:rStyle w:val="25"/>
          <w:rFonts w:hint="eastAsia" w:cs="宋体"/>
          <w:b w:val="0"/>
          <w:bCs/>
          <w:color w:val="auto"/>
          <w:sz w:val="24"/>
          <w:szCs w:val="24"/>
          <w:highlight w:val="none"/>
          <w:lang w:val="en-US" w:eastAsia="zh-CN"/>
        </w:rPr>
        <w:t>2</w:t>
      </w:r>
      <w:r>
        <w:rPr>
          <w:rStyle w:val="25"/>
          <w:rFonts w:hint="eastAsia" w:cs="宋体"/>
          <w:b w:val="0"/>
          <w:bCs/>
          <w:color w:val="auto"/>
          <w:sz w:val="24"/>
          <w:szCs w:val="24"/>
          <w:highlight w:val="none"/>
        </w:rPr>
        <w:t>00元/次作违约金在当期付款及结算中扣除；若迟到，则项目经理按</w:t>
      </w:r>
      <w:r>
        <w:rPr>
          <w:rStyle w:val="25"/>
          <w:rFonts w:hint="eastAsia" w:cs="宋体"/>
          <w:b w:val="0"/>
          <w:bCs/>
          <w:color w:val="auto"/>
          <w:sz w:val="24"/>
          <w:szCs w:val="24"/>
          <w:highlight w:val="none"/>
          <w:lang w:val="en-US" w:eastAsia="zh-CN"/>
        </w:rPr>
        <w:t>3</w:t>
      </w:r>
      <w:r>
        <w:rPr>
          <w:rStyle w:val="25"/>
          <w:rFonts w:hint="eastAsia" w:cs="宋体"/>
          <w:b w:val="0"/>
          <w:bCs/>
          <w:color w:val="auto"/>
          <w:sz w:val="24"/>
          <w:szCs w:val="24"/>
          <w:highlight w:val="none"/>
        </w:rPr>
        <w:t>00元/人.次，其他人员</w:t>
      </w:r>
      <w:r>
        <w:rPr>
          <w:rStyle w:val="25"/>
          <w:rFonts w:hint="eastAsia" w:cs="宋体"/>
          <w:b w:val="0"/>
          <w:bCs/>
          <w:color w:val="auto"/>
          <w:sz w:val="24"/>
          <w:szCs w:val="24"/>
          <w:highlight w:val="none"/>
          <w:lang w:val="en-US" w:eastAsia="zh-CN"/>
        </w:rPr>
        <w:t>1</w:t>
      </w:r>
      <w:r>
        <w:rPr>
          <w:rStyle w:val="25"/>
          <w:rFonts w:hint="eastAsia" w:cs="宋体"/>
          <w:b w:val="0"/>
          <w:bCs/>
          <w:color w:val="auto"/>
          <w:sz w:val="24"/>
          <w:szCs w:val="24"/>
          <w:highlight w:val="none"/>
        </w:rPr>
        <w:t>00元/人.次以现金方式向发包人支付。</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⑮承包人违约，发包人可发出整改通知要求承包人限期进行整改，如承包人在规定时间内仍不纠正违约行为的，发包人有权解除合同且向承包人发出解除合同通知。合同解除后，发包人可派员进驻施工场地，另行组织人员或委托其他承包人施工。发包人因继续完成该工程需要，有权扣留使用承包人在现场的材料、设备和临时设施。但发包人的这一行为不免除或减轻承包人应承担的违约责任，也不影响发包人根据合同约定享有的索赔权利。</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⑯承包人不得转包或转让所承包的全部或部分工程，也不得肢解所承包的工程以分包的名义分别转包给他人。承包人违反本款规定，发包人和监理人向承包人发出整改通知，要求其在指定的期限内改正或解除合同，承包人应承担其违约所引起的费用增加和（或）工期延误及一切责任，并向发包人支付签约合同价格</w:t>
      </w:r>
      <w:r>
        <w:rPr>
          <w:rStyle w:val="25"/>
          <w:rFonts w:hint="eastAsia" w:cs="宋体"/>
          <w:b w:val="0"/>
          <w:bCs/>
          <w:color w:val="auto"/>
          <w:sz w:val="24"/>
          <w:szCs w:val="24"/>
          <w:highlight w:val="none"/>
          <w:lang w:val="en-US" w:eastAsia="zh-CN"/>
        </w:rPr>
        <w:t>3</w:t>
      </w:r>
      <w:r>
        <w:rPr>
          <w:rStyle w:val="25"/>
          <w:rFonts w:hint="eastAsia" w:cs="宋体"/>
          <w:b w:val="0"/>
          <w:bCs/>
          <w:color w:val="auto"/>
          <w:sz w:val="24"/>
          <w:szCs w:val="24"/>
          <w:highlight w:val="none"/>
        </w:rPr>
        <w:t>％的违约金。</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⑰承包人在投标时拟投入的各类机械设备应按计划进场，不得拖延、减少或降低标准。各施工阶段所投入的各类机械设备数量、规格及型号应与</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中所列的各类机械设备数量、规格及型号一致。承包人开工后按</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承诺进场的设备、机械未经监理人或发包人许可，不得擅自撤出现场。承包人未按</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的承诺及监理工程师的指令进场施工机械设备，每延迟一天，承包人向发包人支付签约合同价格1％的违约金。若承包人进场的设备的数量或性能不能满足施工需要，发包人和监理人有权要求承包人更换或补充设备。否则，由此造成的工期延误和费用的增加均由承包人自行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⑱在本工程建设过程中，因承包人违约而向发包人支付的违约金，发包人可在应付工程款或承包人履约担保中直接扣除违约金。</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16.2.3 因承包人违约解除合同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关于承包人违约解除合同的特别约定：详见本专用合同条款相关条款。</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继续使用承包人在施工现场的材料、设备、临时工程、承包人文件和由承包人或以其名义编制的其他文件的费用承担方式：除按实际使用承包人在施工现场的材料、工程设备数量和发包人确认的价格支付承包人在施工现场的材料、工程设备费 ，其他费用发包人不予支付。</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还应执行：发包人和承包人未能就解除合同后的清算和款项支付达成一致而形成争议的，除按第20条的约定办理的程序外，发包人有权对项目进行全面管理，承包人不得以任何借口阻扰或拖延发包人的组织安排。</w:t>
      </w:r>
    </w:p>
    <w:p>
      <w:pPr>
        <w:pStyle w:val="18"/>
        <w:spacing w:before="75" w:beforeAutospacing="0" w:after="75" w:afterAutospacing="0" w:line="360" w:lineRule="auto"/>
        <w:jc w:val="both"/>
        <w:rPr>
          <w:rStyle w:val="25"/>
          <w:rFonts w:hint="eastAsia" w:cs="宋体"/>
          <w:b w:val="0"/>
          <w:bCs/>
          <w:color w:val="auto"/>
          <w:sz w:val="24"/>
          <w:szCs w:val="24"/>
          <w:highlight w:val="none"/>
        </w:rPr>
      </w:pPr>
      <w:bookmarkStart w:id="672" w:name="_Toc351203649"/>
      <w:r>
        <w:rPr>
          <w:rStyle w:val="25"/>
          <w:rFonts w:hint="eastAsia" w:cs="宋体"/>
          <w:b w:val="0"/>
          <w:bCs/>
          <w:color w:val="auto"/>
          <w:sz w:val="24"/>
          <w:szCs w:val="24"/>
          <w:highlight w:val="none"/>
        </w:rPr>
        <w:t>承包人在施工过程中必须遵守发包人的相应文件规定。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17. 不可抗力</w:t>
      </w:r>
      <w:bookmarkEnd w:id="672"/>
      <w:r>
        <w:rPr>
          <w:rStyle w:val="25"/>
          <w:rFonts w:hint="eastAsia" w:cs="宋体"/>
          <w:b w:val="0"/>
          <w:bCs/>
          <w:color w:val="auto"/>
          <w:sz w:val="24"/>
          <w:szCs w:val="24"/>
          <w:highlight w:val="none"/>
        </w:rPr>
        <w:t xml:space="preserve"> </w:t>
      </w:r>
      <w:bookmarkEnd w:id="669"/>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17.1 不可抗力的确认</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除通用合同条款约定的不可抗力事件之外，视为不可抗力的其他情形： 自然原因：洪水、暴风、暴风雪、干旱等人类无法控制的灾害事故；社会原因：罢工、政府禁止令等引起的社会突发性事件。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17.4 因不可抗力解除合同</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合同解除后，发包人应在商定或确定发包人应支付款项后 28 天内完成款项的支付。</w:t>
      </w:r>
      <w:bookmarkStart w:id="673" w:name="_Toc351203650"/>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18. 保险</w:t>
      </w:r>
      <w:bookmarkEnd w:id="673"/>
    </w:p>
    <w:bookmarkEnd w:id="670"/>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18.1 工程保险</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关于工程保险的特别约定：承包人应以发包人和承包人的共同名义向双方同意的保险人投保建筑工程一切险，保险费用已含在承包人的</w:t>
      </w:r>
      <w:r>
        <w:rPr>
          <w:rStyle w:val="25"/>
          <w:rFonts w:hint="eastAsia" w:cs="宋体"/>
          <w:b w:val="0"/>
          <w:bCs/>
          <w:color w:val="auto"/>
          <w:sz w:val="24"/>
          <w:szCs w:val="24"/>
          <w:highlight w:val="none"/>
          <w:lang w:eastAsia="zh-CN"/>
        </w:rPr>
        <w:t>投标报价</w:t>
      </w:r>
      <w:r>
        <w:rPr>
          <w:rStyle w:val="25"/>
          <w:rFonts w:hint="eastAsia" w:cs="宋体"/>
          <w:b w:val="0"/>
          <w:bCs/>
          <w:color w:val="auto"/>
          <w:sz w:val="24"/>
          <w:szCs w:val="24"/>
          <w:highlight w:val="none"/>
        </w:rPr>
        <w:t>中。</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（1）投保内容：本工程工地范围内的建筑、安装工程及用于该工程的材料、机械、设备因自然灾害或意外事故造成的损坏或灭失。</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（2）保险金额：本工程工地范围内的建筑、安装工程及用于该工程的材料、机械、设备的实际总价值。</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（3）保险期限：自被保险工程在工地动工或用于保险工程的材料、机械、设备运抵工地之时起，至发包人签发完工验收证书或验收合格，或发包人实际占有或使用或接收该工程之时止（以最迟者为准）。</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（4）保险受益人：按投资主体确定受益人。</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18.3 其他保险</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关于其他保险的约定：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承包人是否应为其施工设备等办理财产保险： 是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18.5保险凭证</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还应执行：①承包人应在开工后一个月内向发包人提交各项保险生效的证据和保险单副本。</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保险金不足以补偿损失的，由发包人和承包人协议解决。</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②保险的延期：</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若因非承包人原因（除不可抗力）出现工程尚未完工但保险已过期的情况，承包人应主动续保，涉及费用由发包人及承包人双方协商支付。若承包人不主动续保，因保险过期各类损失无法得到保险赔偿，由此造成损失由承包人自行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若因不可抗力原因出现工程尚未完工但保险已过期的情况，承包人应主动续保，涉及费用由发包人和承包人双方协商予以支付。若承包人不主动续保，因保险过期各类损失无法得到保险赔偿，由此造成损失由承包人自行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18.7 通知义务</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关于变更保险合同时的通知义务的约定：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20. 争议解决</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20.3 争</w:t>
      </w:r>
      <w:bookmarkEnd w:id="660"/>
      <w:r>
        <w:rPr>
          <w:rStyle w:val="25"/>
          <w:rFonts w:hint="eastAsia" w:cs="宋体"/>
          <w:b w:val="0"/>
          <w:bCs/>
          <w:color w:val="auto"/>
          <w:sz w:val="24"/>
          <w:szCs w:val="24"/>
          <w:highlight w:val="none"/>
        </w:rPr>
        <w:t>议评审</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合同当事人是否同意将工程争议提交争议评审小组决定：  同意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20.3.1 争议评审小组的确定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争议评审小组成员的确定：3名合同当事人各自选1名，第3名成员为首席争议评审员，由合同当事人共同确定或由合同当事人委托已选定的争议评审员共同确定。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选定争议评审员的期限：争议发生后7天内。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争议评审小组成员的报酬承担方式：发、承包双方各承担一半。</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其他事项的约定：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20.3.2 争议评审小组的决定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合同当事人关于本项的约定：。</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20.4仲裁或诉讼</w:t>
      </w:r>
      <w:bookmarkEnd w:id="661"/>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因合同及合同有关事项发生的争议，按下列第（2）种方式解决：</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（1）向</w:t>
      </w:r>
      <w:r>
        <w:rPr>
          <w:rStyle w:val="25"/>
          <w:rFonts w:hint="eastAsia" w:cs="宋体"/>
          <w:b w:val="0"/>
          <w:bCs/>
          <w:color w:val="auto"/>
          <w:sz w:val="24"/>
          <w:szCs w:val="24"/>
          <w:highlight w:val="none"/>
          <w:u w:val="single"/>
        </w:rPr>
        <w:t xml:space="preserve">               </w:t>
      </w:r>
      <w:r>
        <w:rPr>
          <w:rStyle w:val="25"/>
          <w:rFonts w:hint="eastAsia" w:cs="宋体"/>
          <w:b w:val="0"/>
          <w:bCs/>
          <w:color w:val="auto"/>
          <w:sz w:val="24"/>
          <w:szCs w:val="24"/>
          <w:highlight w:val="none"/>
        </w:rPr>
        <w:t>仲裁委员会申请仲裁；</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w:t>
      </w:r>
      <w:bookmarkEnd w:id="662"/>
      <w:bookmarkEnd w:id="663"/>
      <w:bookmarkEnd w:id="664"/>
      <w:bookmarkEnd w:id="665"/>
      <w:bookmarkEnd w:id="666"/>
      <w:bookmarkEnd w:id="667"/>
      <w:r>
        <w:rPr>
          <w:rStyle w:val="25"/>
          <w:rFonts w:hint="eastAsia" w:cs="宋体"/>
          <w:b w:val="0"/>
          <w:bCs/>
          <w:color w:val="auto"/>
          <w:sz w:val="24"/>
          <w:szCs w:val="24"/>
          <w:highlight w:val="none"/>
        </w:rPr>
        <w:t>向   克拉玛依市  人民法院起诉。</w:t>
      </w:r>
    </w:p>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both"/>
        <w:rPr>
          <w:rStyle w:val="25"/>
          <w:rFonts w:hint="eastAsia" w:cs="宋体"/>
          <w:b/>
          <w:bCs w:val="0"/>
          <w:color w:val="auto"/>
          <w:sz w:val="28"/>
          <w:szCs w:val="28"/>
          <w:highlight w:val="none"/>
        </w:rPr>
      </w:pPr>
    </w:p>
    <w:p>
      <w:pPr>
        <w:pStyle w:val="18"/>
        <w:spacing w:before="75" w:beforeAutospacing="0" w:after="75" w:afterAutospacing="0" w:line="360" w:lineRule="auto"/>
        <w:jc w:val="center"/>
        <w:rPr>
          <w:rStyle w:val="25"/>
          <w:rFonts w:hint="eastAsia" w:cs="宋体"/>
          <w:b/>
          <w:bCs w:val="0"/>
          <w:color w:val="auto"/>
          <w:sz w:val="36"/>
          <w:szCs w:val="36"/>
          <w:highlight w:val="none"/>
        </w:rPr>
      </w:pPr>
      <w:r>
        <w:rPr>
          <w:rStyle w:val="25"/>
          <w:rFonts w:hint="eastAsia" w:cs="宋体"/>
          <w:b/>
          <w:bCs w:val="0"/>
          <w:color w:val="auto"/>
          <w:sz w:val="36"/>
          <w:szCs w:val="36"/>
          <w:highlight w:val="none"/>
        </w:rPr>
        <w:t>工程质量保修书</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发包人（全称）：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承包人（全称）：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发包人和承包人根据《中华人民共和国建筑法》、《建设工程质量管理条例》，经协商一致就                          （工程全称）签订工程质量保修书。</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一、工程质量保修范围和内容</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承包人在质量保修期内，按照有关法律规定和合同约定，承担工程质量保修责任。</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质量保修范围包括地基基础工程、主体结构工程，屋面防水工程、有防水要求的卫生间、房间和外墙面的防渗漏，供热与供冷系统，电气管线、给排水管道、设备安装和装修工程等，以及双方约定的其他项目。具体质量保修的内容，双方约定如下：由承包人承建的全部工程项目均在保修范围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二、质量保修期</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根据《建设工程质量管理条例》及有关规定，工程的质量保修期如下：</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1</w:t>
      </w:r>
      <w:r>
        <w:rPr>
          <w:rStyle w:val="25"/>
          <w:rFonts w:hint="eastAsia" w:cs="宋体"/>
          <w:b w:val="0"/>
          <w:bCs/>
          <w:color w:val="auto"/>
          <w:sz w:val="24"/>
          <w:szCs w:val="24"/>
          <w:highlight w:val="none"/>
        </w:rPr>
        <w:t xml:space="preserve">、屋面防水工程、有防水要求的卫生间、房间和外墙面的防渗漏为 </w:t>
      </w:r>
      <w:r>
        <w:rPr>
          <w:rStyle w:val="25"/>
          <w:rFonts w:hint="eastAsia" w:cs="宋体"/>
          <w:b w:val="0"/>
          <w:bCs/>
          <w:color w:val="auto"/>
          <w:sz w:val="24"/>
          <w:szCs w:val="24"/>
          <w:highlight w:val="none"/>
          <w:lang w:val="en-US" w:eastAsia="zh-CN"/>
        </w:rPr>
        <w:t>10</w:t>
      </w:r>
      <w:r>
        <w:rPr>
          <w:rStyle w:val="25"/>
          <w:rFonts w:hint="eastAsia" w:cs="宋体"/>
          <w:b w:val="0"/>
          <w:bCs/>
          <w:color w:val="auto"/>
          <w:sz w:val="24"/>
          <w:szCs w:val="24"/>
          <w:highlight w:val="none"/>
        </w:rPr>
        <w:t xml:space="preserve"> 年；</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2</w:t>
      </w:r>
      <w:r>
        <w:rPr>
          <w:rStyle w:val="25"/>
          <w:rFonts w:hint="eastAsia" w:cs="宋体"/>
          <w:b w:val="0"/>
          <w:bCs/>
          <w:color w:val="auto"/>
          <w:sz w:val="24"/>
          <w:szCs w:val="24"/>
          <w:highlight w:val="none"/>
        </w:rPr>
        <w:t xml:space="preserve">、装修工程为 </w:t>
      </w:r>
      <w:r>
        <w:rPr>
          <w:rStyle w:val="25"/>
          <w:rFonts w:hint="eastAsia" w:cs="宋体"/>
          <w:b w:val="0"/>
          <w:bCs/>
          <w:color w:val="auto"/>
          <w:sz w:val="24"/>
          <w:szCs w:val="24"/>
          <w:highlight w:val="none"/>
          <w:lang w:val="en-US" w:eastAsia="zh-CN"/>
        </w:rPr>
        <w:t>5</w:t>
      </w:r>
      <w:r>
        <w:rPr>
          <w:rStyle w:val="25"/>
          <w:rFonts w:hint="eastAsia" w:cs="宋体"/>
          <w:b w:val="0"/>
          <w:bCs/>
          <w:color w:val="auto"/>
          <w:sz w:val="24"/>
          <w:szCs w:val="24"/>
          <w:highlight w:val="none"/>
        </w:rPr>
        <w:t>年；</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3</w:t>
      </w:r>
      <w:r>
        <w:rPr>
          <w:rStyle w:val="25"/>
          <w:rFonts w:hint="eastAsia" w:cs="宋体"/>
          <w:b w:val="0"/>
          <w:bCs/>
          <w:color w:val="auto"/>
          <w:sz w:val="24"/>
          <w:szCs w:val="24"/>
          <w:highlight w:val="none"/>
        </w:rPr>
        <w:t>、电气管线、给排水管道、设备安装工程为</w:t>
      </w:r>
      <w:r>
        <w:rPr>
          <w:rStyle w:val="25"/>
          <w:rFonts w:hint="eastAsia" w:cs="宋体"/>
          <w:b w:val="0"/>
          <w:bCs/>
          <w:color w:val="auto"/>
          <w:sz w:val="24"/>
          <w:szCs w:val="24"/>
          <w:highlight w:val="none"/>
          <w:lang w:val="en-US" w:eastAsia="zh-CN"/>
        </w:rPr>
        <w:t>5</w:t>
      </w:r>
      <w:r>
        <w:rPr>
          <w:rStyle w:val="25"/>
          <w:rFonts w:hint="eastAsia" w:cs="宋体"/>
          <w:b w:val="0"/>
          <w:bCs/>
          <w:color w:val="auto"/>
          <w:sz w:val="24"/>
          <w:szCs w:val="24"/>
          <w:highlight w:val="none"/>
        </w:rPr>
        <w:t>年；</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4</w:t>
      </w:r>
      <w:r>
        <w:rPr>
          <w:rStyle w:val="25"/>
          <w:rFonts w:hint="eastAsia" w:cs="宋体"/>
          <w:b w:val="0"/>
          <w:bCs/>
          <w:color w:val="auto"/>
          <w:sz w:val="24"/>
          <w:szCs w:val="24"/>
          <w:highlight w:val="none"/>
        </w:rPr>
        <w:t>、供热与供冷系统为</w:t>
      </w:r>
      <w:r>
        <w:rPr>
          <w:rStyle w:val="25"/>
          <w:rFonts w:hint="eastAsia" w:cs="宋体"/>
          <w:b w:val="0"/>
          <w:bCs/>
          <w:color w:val="auto"/>
          <w:sz w:val="24"/>
          <w:szCs w:val="24"/>
          <w:highlight w:val="none"/>
          <w:lang w:val="en-US" w:eastAsia="zh-CN"/>
        </w:rPr>
        <w:t>5</w:t>
      </w:r>
      <w:r>
        <w:rPr>
          <w:rStyle w:val="25"/>
          <w:rFonts w:hint="eastAsia" w:cs="宋体"/>
          <w:b w:val="0"/>
          <w:bCs/>
          <w:color w:val="auto"/>
          <w:sz w:val="24"/>
          <w:szCs w:val="24"/>
          <w:highlight w:val="none"/>
        </w:rPr>
        <w:t>个采暖期、供冷期；</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5</w:t>
      </w:r>
      <w:r>
        <w:rPr>
          <w:rStyle w:val="25"/>
          <w:rFonts w:hint="eastAsia" w:cs="宋体"/>
          <w:b w:val="0"/>
          <w:bCs/>
          <w:color w:val="auto"/>
          <w:sz w:val="24"/>
          <w:szCs w:val="24"/>
          <w:highlight w:val="none"/>
        </w:rPr>
        <w:t>、住宅小区内的给排水设施、道路等配套工程为</w:t>
      </w:r>
      <w:r>
        <w:rPr>
          <w:rStyle w:val="25"/>
          <w:rFonts w:hint="eastAsia" w:cs="宋体"/>
          <w:b w:val="0"/>
          <w:bCs/>
          <w:color w:val="auto"/>
          <w:sz w:val="24"/>
          <w:szCs w:val="24"/>
          <w:highlight w:val="none"/>
          <w:lang w:val="en-US" w:eastAsia="zh-CN"/>
        </w:rPr>
        <w:t>3</w:t>
      </w:r>
      <w:r>
        <w:rPr>
          <w:rStyle w:val="25"/>
          <w:rFonts w:hint="eastAsia" w:cs="宋体"/>
          <w:b w:val="0"/>
          <w:bCs/>
          <w:color w:val="auto"/>
          <w:sz w:val="24"/>
          <w:szCs w:val="24"/>
          <w:highlight w:val="none"/>
        </w:rPr>
        <w:t>年；</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6</w:t>
      </w:r>
      <w:r>
        <w:rPr>
          <w:rStyle w:val="25"/>
          <w:rFonts w:hint="eastAsia" w:cs="宋体"/>
          <w:b w:val="0"/>
          <w:bCs/>
          <w:color w:val="auto"/>
          <w:sz w:val="24"/>
          <w:szCs w:val="24"/>
          <w:highlight w:val="none"/>
        </w:rPr>
        <w:t>、其他项目保修期限约定如下：</w:t>
      </w:r>
      <w:r>
        <w:rPr>
          <w:rStyle w:val="25"/>
          <w:rFonts w:hint="eastAsia" w:cs="宋体"/>
          <w:b w:val="0"/>
          <w:bCs/>
          <w:color w:val="auto"/>
          <w:sz w:val="24"/>
          <w:szCs w:val="24"/>
          <w:highlight w:val="none"/>
          <w:lang w:val="en-US" w:eastAsia="zh-CN"/>
        </w:rPr>
        <w:t>3</w:t>
      </w:r>
      <w:r>
        <w:rPr>
          <w:rStyle w:val="25"/>
          <w:rFonts w:hint="eastAsia" w:cs="宋体"/>
          <w:b w:val="0"/>
          <w:bCs/>
          <w:color w:val="auto"/>
          <w:sz w:val="24"/>
          <w:szCs w:val="24"/>
          <w:highlight w:val="none"/>
        </w:rPr>
        <w:t>年；</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lang w:val="en-US" w:eastAsia="zh-CN"/>
        </w:rPr>
        <w:t>7</w:t>
      </w:r>
      <w:r>
        <w:rPr>
          <w:rStyle w:val="25"/>
          <w:rFonts w:hint="eastAsia" w:cs="宋体"/>
          <w:b w:val="0"/>
          <w:bCs/>
          <w:color w:val="auto"/>
          <w:sz w:val="24"/>
          <w:szCs w:val="24"/>
          <w:highlight w:val="none"/>
        </w:rPr>
        <w:t>、质量保修期自工程竣工验收合格签字之日起计算。</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三、缺陷责任期</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工程缺陷责任期为 24 个月，缺陷责任期自工程通过竣工验收之日起计算。单位工程先于全部工程进行验收，单位工程缺陷责任期自单位工程验收合格签字之日起算。</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缺陷责任期终止后，发包人应退还剩余的质量保证金。</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四、质量保修责任</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1、属于保修范围、内容的项目，承包人应当在接到保修通知之日起7天内派人保修。承包人不在约定期限内派人保修的，发包人可以委托他人修理。</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2、发生紧急抢修事故的，承包人在接到事故通知8小时内到达事故现场抢修。</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3、对于涉及结构安全的质量问题，应当按照《建设工程质量管理条例》的规定，立即向当地行政主管部门和有关部门报告，采取安全防范措施；并由原设计人或者具有相应资质等级有设计人提出保修方案，承包人实施保修。</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4、质量保修完成后，由发包人组织验收。</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五、保修费用</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保修费用由造成质量缺陷的责任方承担。</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六、双方约定的其他工程质量保修事项：                             </w:t>
      </w:r>
    </w:p>
    <w:p>
      <w:pPr>
        <w:pStyle w:val="18"/>
        <w:spacing w:before="75" w:beforeAutospacing="0" w:after="75" w:afterAutospacing="0" w:line="360" w:lineRule="auto"/>
        <w:ind w:firstLine="480" w:firstLineChars="200"/>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工程质量保修书由发包人、承包人在工程竣工验收前共同签署，作为施工合同附件，其有效期限至保修期满。</w:t>
      </w:r>
    </w:p>
    <w:p>
      <w:pPr>
        <w:pStyle w:val="18"/>
        <w:spacing w:before="75" w:beforeAutospacing="0" w:after="75" w:afterAutospacing="0" w:line="360" w:lineRule="auto"/>
        <w:jc w:val="both"/>
        <w:rPr>
          <w:rStyle w:val="25"/>
          <w:rFonts w:hint="eastAsia" w:cs="宋体"/>
          <w:b w:val="0"/>
          <w:bCs/>
          <w:color w:val="auto"/>
          <w:sz w:val="24"/>
          <w:szCs w:val="24"/>
          <w:highlight w:val="none"/>
        </w:rPr>
      </w:pP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　发包人(公章)：                承包人(公章)：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　地  址：             地  址：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　法定代表人(签字)：              法定代表人(签字)：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　委托代理人(签字)：              委托代理人(签字)：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　电  话：            电  话：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　传  真：            传  真：  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　开户银行：            开户银行：   </w:t>
      </w:r>
    </w:p>
    <w:p>
      <w:pPr>
        <w:pStyle w:val="18"/>
        <w:spacing w:before="75" w:beforeAutospacing="0" w:after="75" w:afterAutospacing="0" w:line="360" w:lineRule="auto"/>
        <w:jc w:val="both"/>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　账  号：                 账  号：     </w:t>
      </w:r>
    </w:p>
    <w:p>
      <w:pPr>
        <w:pStyle w:val="18"/>
        <w:spacing w:before="75" w:beforeAutospacing="0" w:after="75" w:afterAutospacing="0" w:line="360" w:lineRule="auto"/>
        <w:jc w:val="both"/>
        <w:rPr>
          <w:rStyle w:val="25"/>
          <w:rFonts w:hint="eastAsia" w:cs="宋体"/>
          <w:b/>
          <w:bCs w:val="0"/>
          <w:color w:val="auto"/>
          <w:sz w:val="28"/>
          <w:szCs w:val="28"/>
          <w:highlight w:val="none"/>
        </w:rPr>
      </w:pPr>
      <w:r>
        <w:rPr>
          <w:rStyle w:val="25"/>
          <w:rFonts w:hint="eastAsia" w:cs="宋体"/>
          <w:b w:val="0"/>
          <w:bCs/>
          <w:color w:val="auto"/>
          <w:sz w:val="24"/>
          <w:szCs w:val="24"/>
          <w:highlight w:val="none"/>
        </w:rPr>
        <w:t xml:space="preserve">　邮政编码：               邮政编码： </w:t>
      </w:r>
      <w:r>
        <w:rPr>
          <w:rStyle w:val="25"/>
          <w:rFonts w:hint="eastAsia" w:cs="宋体"/>
          <w:b/>
          <w:bCs w:val="0"/>
          <w:color w:val="auto"/>
          <w:sz w:val="28"/>
          <w:szCs w:val="28"/>
          <w:highlight w:val="none"/>
        </w:rPr>
        <w:t xml:space="preserve">  </w:t>
      </w:r>
    </w:p>
    <w:p>
      <w:pPr>
        <w:pStyle w:val="18"/>
        <w:spacing w:before="75" w:beforeAutospacing="0" w:after="75" w:afterAutospacing="0" w:line="320" w:lineRule="exact"/>
        <w:jc w:val="both"/>
        <w:rPr>
          <w:rStyle w:val="25"/>
          <w:rFonts w:hint="eastAsia" w:cs="宋体"/>
          <w:b/>
          <w:bCs w:val="0"/>
          <w:color w:val="auto"/>
          <w:sz w:val="28"/>
          <w:szCs w:val="28"/>
          <w:highlight w:val="none"/>
        </w:rPr>
      </w:pPr>
    </w:p>
    <w:p>
      <w:pPr>
        <w:pStyle w:val="18"/>
        <w:spacing w:before="75" w:beforeAutospacing="0" w:after="75" w:afterAutospacing="0" w:line="320" w:lineRule="exact"/>
        <w:jc w:val="both"/>
        <w:rPr>
          <w:rStyle w:val="25"/>
          <w:rFonts w:hint="eastAsia" w:cs="宋体"/>
          <w:b/>
          <w:bCs w:val="0"/>
          <w:color w:val="auto"/>
          <w:sz w:val="28"/>
          <w:szCs w:val="28"/>
          <w:highlight w:val="none"/>
        </w:rPr>
      </w:pPr>
    </w:p>
    <w:p>
      <w:pPr>
        <w:pStyle w:val="18"/>
        <w:spacing w:before="75" w:beforeAutospacing="0" w:after="75" w:afterAutospacing="0" w:line="320" w:lineRule="exact"/>
        <w:jc w:val="both"/>
        <w:rPr>
          <w:rStyle w:val="25"/>
          <w:rFonts w:hint="eastAsia" w:cs="宋体"/>
          <w:b/>
          <w:bCs w:val="0"/>
          <w:color w:val="auto"/>
          <w:sz w:val="28"/>
          <w:szCs w:val="28"/>
          <w:highlight w:val="none"/>
        </w:rPr>
      </w:pPr>
    </w:p>
    <w:p>
      <w:pPr>
        <w:pStyle w:val="18"/>
        <w:spacing w:before="75" w:beforeAutospacing="0" w:after="75" w:afterAutospacing="0" w:line="320" w:lineRule="exact"/>
        <w:jc w:val="both"/>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r>
        <w:rPr>
          <w:rStyle w:val="25"/>
          <w:rFonts w:hint="eastAsia" w:cs="宋体"/>
          <w:b/>
          <w:bCs w:val="0"/>
          <w:color w:val="auto"/>
          <w:sz w:val="28"/>
          <w:szCs w:val="28"/>
          <w:highlight w:val="none"/>
        </w:rPr>
        <w:t xml:space="preserve">第五章  </w:t>
      </w:r>
      <w:r>
        <w:rPr>
          <w:rStyle w:val="25"/>
          <w:rFonts w:hint="eastAsia" w:cs="宋体"/>
          <w:b/>
          <w:bCs w:val="0"/>
          <w:color w:val="auto"/>
          <w:sz w:val="28"/>
          <w:szCs w:val="28"/>
          <w:highlight w:val="none"/>
          <w:lang w:eastAsia="zh-CN"/>
        </w:rPr>
        <w:t>响应文件</w:t>
      </w:r>
      <w:r>
        <w:rPr>
          <w:rStyle w:val="25"/>
          <w:rFonts w:hint="eastAsia" w:cs="宋体"/>
          <w:b/>
          <w:bCs w:val="0"/>
          <w:color w:val="auto"/>
          <w:sz w:val="28"/>
          <w:szCs w:val="28"/>
          <w:highlight w:val="none"/>
        </w:rPr>
        <w:t>格式</w:t>
      </w: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60" w:lineRule="auto"/>
        <w:rPr>
          <w:rStyle w:val="25"/>
          <w:rFonts w:hint="eastAsia" w:ascii="宋体" w:hAnsi="宋体" w:eastAsia="宋体" w:cs="宋体"/>
          <w:b w:val="0"/>
          <w:bCs/>
          <w:color w:val="auto"/>
          <w:sz w:val="24"/>
          <w:szCs w:val="24"/>
          <w:highlight w:val="none"/>
        </w:rPr>
      </w:pPr>
      <w:r>
        <w:rPr>
          <w:rStyle w:val="25"/>
          <w:rFonts w:hint="eastAsia" w:cs="宋体"/>
          <w:b w:val="0"/>
          <w:bCs/>
          <w:color w:val="auto"/>
          <w:sz w:val="24"/>
          <w:szCs w:val="24"/>
          <w:highlight w:val="none"/>
          <w:lang w:eastAsia="zh-CN"/>
        </w:rPr>
        <w:t>响应文件</w:t>
      </w:r>
      <w:r>
        <w:rPr>
          <w:rStyle w:val="25"/>
          <w:rFonts w:hint="eastAsia" w:ascii="宋体" w:hAnsi="宋体" w:eastAsia="宋体" w:cs="宋体"/>
          <w:b w:val="0"/>
          <w:bCs/>
          <w:color w:val="auto"/>
          <w:sz w:val="24"/>
          <w:szCs w:val="24"/>
          <w:highlight w:val="none"/>
        </w:rPr>
        <w:t>封面</w:t>
      </w:r>
    </w:p>
    <w:p>
      <w:pPr>
        <w:spacing w:line="360" w:lineRule="auto"/>
        <w:rPr>
          <w:rFonts w:hint="eastAsia" w:ascii="宋体" w:hAnsi="宋体" w:eastAsia="宋体" w:cs="宋体"/>
          <w:bCs/>
          <w:color w:val="auto"/>
          <w:sz w:val="24"/>
          <w:highlight w:val="none"/>
          <w:shd w:val="clear" w:color="auto" w:fill="auto"/>
          <w:lang w:eastAsia="zh-CN"/>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1    </w:t>
      </w:r>
      <w:r>
        <w:rPr>
          <w:rFonts w:hint="eastAsia" w:ascii="宋体" w:hAnsi="宋体" w:cs="宋体"/>
          <w:bCs/>
          <w:color w:val="auto"/>
          <w:sz w:val="24"/>
          <w:highlight w:val="none"/>
          <w:shd w:val="clear" w:color="auto" w:fill="auto"/>
          <w:lang w:eastAsia="zh-CN"/>
        </w:rPr>
        <w:t>响应函</w:t>
      </w:r>
    </w:p>
    <w:p>
      <w:pPr>
        <w:spacing w:line="360" w:lineRule="auto"/>
        <w:rPr>
          <w:rFonts w:hint="eastAsia" w:ascii="宋体" w:hAnsi="宋体" w:eastAsia="宋体" w:cs="宋体"/>
          <w:bCs/>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2    </w:t>
      </w:r>
      <w:r>
        <w:rPr>
          <w:rFonts w:hint="eastAsia" w:ascii="宋体" w:hAnsi="宋体" w:eastAsia="宋体" w:cs="宋体"/>
          <w:bCs/>
          <w:color w:val="auto"/>
          <w:sz w:val="24"/>
          <w:highlight w:val="none"/>
          <w:shd w:val="clear" w:color="auto" w:fill="auto"/>
        </w:rPr>
        <w:t>投标书附录</w:t>
      </w:r>
    </w:p>
    <w:p>
      <w:pPr>
        <w:spacing w:line="360" w:lineRule="auto"/>
        <w:rPr>
          <w:rFonts w:hint="eastAsia" w:ascii="宋体" w:hAnsi="宋体" w:eastAsia="宋体" w:cs="宋体"/>
          <w:bCs/>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3    </w:t>
      </w:r>
      <w:r>
        <w:rPr>
          <w:rFonts w:hint="eastAsia" w:ascii="宋体" w:hAnsi="宋体" w:eastAsia="宋体" w:cs="宋体"/>
          <w:bCs/>
          <w:color w:val="auto"/>
          <w:sz w:val="24"/>
          <w:highlight w:val="none"/>
          <w:shd w:val="clear" w:color="auto" w:fill="auto"/>
        </w:rPr>
        <w:t>法定代表人资格证明文件</w:t>
      </w:r>
    </w:p>
    <w:p>
      <w:pPr>
        <w:spacing w:line="360" w:lineRule="auto"/>
        <w:rPr>
          <w:rFonts w:hint="eastAsia" w:ascii="宋体" w:hAnsi="宋体" w:eastAsia="宋体" w:cs="宋体"/>
          <w:bCs/>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4    </w:t>
      </w:r>
      <w:r>
        <w:rPr>
          <w:rFonts w:hint="eastAsia" w:ascii="宋体" w:hAnsi="宋体" w:eastAsia="宋体" w:cs="宋体"/>
          <w:bCs/>
          <w:color w:val="auto"/>
          <w:sz w:val="24"/>
          <w:highlight w:val="none"/>
          <w:shd w:val="clear" w:color="auto" w:fill="auto"/>
        </w:rPr>
        <w:t>法定代表人授权书</w:t>
      </w:r>
    </w:p>
    <w:p>
      <w:pPr>
        <w:pStyle w:val="18"/>
        <w:spacing w:before="75" w:beforeAutospacing="0" w:after="75" w:afterAutospacing="0" w:line="360" w:lineRule="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 xml:space="preserve">格式5  </w:t>
      </w:r>
      <w:r>
        <w:rPr>
          <w:rStyle w:val="25"/>
          <w:rFonts w:hint="eastAsia" w:ascii="宋体" w:hAnsi="宋体" w:eastAsia="宋体" w:cs="宋体"/>
          <w:b w:val="0"/>
          <w:bCs/>
          <w:color w:val="auto"/>
          <w:sz w:val="24"/>
          <w:szCs w:val="24"/>
          <w:highlight w:val="none"/>
          <w:lang w:val="en-US" w:eastAsia="zh-CN"/>
        </w:rPr>
        <w:t xml:space="preserve">  </w:t>
      </w:r>
      <w:r>
        <w:rPr>
          <w:rStyle w:val="25"/>
          <w:rFonts w:hint="eastAsia" w:ascii="宋体" w:hAnsi="宋体" w:eastAsia="宋体" w:cs="宋体"/>
          <w:b w:val="0"/>
          <w:bCs/>
          <w:color w:val="auto"/>
          <w:sz w:val="24"/>
          <w:szCs w:val="24"/>
          <w:highlight w:val="none"/>
        </w:rPr>
        <w:t>中小企业声明函</w:t>
      </w:r>
    </w:p>
    <w:p>
      <w:pPr>
        <w:spacing w:line="360" w:lineRule="auto"/>
        <w:rPr>
          <w:rFonts w:hint="eastAsia" w:ascii="宋体" w:hAnsi="宋体" w:eastAsia="宋体" w:cs="宋体"/>
          <w:bCs/>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6    </w:t>
      </w:r>
      <w:r>
        <w:rPr>
          <w:rFonts w:hint="eastAsia" w:ascii="宋体" w:hAnsi="宋体" w:eastAsia="宋体" w:cs="宋体"/>
          <w:bCs/>
          <w:color w:val="auto"/>
          <w:sz w:val="24"/>
          <w:highlight w:val="none"/>
          <w:shd w:val="clear" w:color="auto" w:fill="auto"/>
        </w:rPr>
        <w:t>项目负责人简历</w:t>
      </w:r>
    </w:p>
    <w:p>
      <w:pPr>
        <w:spacing w:line="360" w:lineRule="auto"/>
        <w:rPr>
          <w:rFonts w:hint="eastAsia" w:ascii="宋体" w:hAnsi="宋体" w:eastAsia="宋体" w:cs="宋体"/>
          <w:bCs/>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7    </w:t>
      </w:r>
      <w:r>
        <w:rPr>
          <w:rFonts w:hint="eastAsia" w:ascii="宋体" w:hAnsi="宋体" w:eastAsia="宋体" w:cs="宋体"/>
          <w:bCs/>
          <w:color w:val="auto"/>
          <w:sz w:val="24"/>
          <w:highlight w:val="none"/>
          <w:shd w:val="clear" w:color="auto" w:fill="auto"/>
        </w:rPr>
        <w:t>主要施工管理人员汇总表</w:t>
      </w:r>
    </w:p>
    <w:p>
      <w:pPr>
        <w:spacing w:line="360" w:lineRule="auto"/>
        <w:rPr>
          <w:rFonts w:hint="eastAsia" w:ascii="宋体" w:hAnsi="宋体" w:eastAsia="宋体" w:cs="宋体"/>
          <w:bCs/>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8    </w:t>
      </w:r>
      <w:r>
        <w:rPr>
          <w:rFonts w:hint="eastAsia" w:ascii="宋体" w:hAnsi="宋体" w:eastAsia="宋体" w:cs="宋体"/>
          <w:color w:val="auto"/>
          <w:sz w:val="24"/>
          <w:highlight w:val="none"/>
          <w:shd w:val="clear" w:color="auto" w:fill="auto"/>
        </w:rPr>
        <w:t>主要施工机械设备表</w:t>
      </w:r>
    </w:p>
    <w:p>
      <w:p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9    </w:t>
      </w:r>
      <w:r>
        <w:rPr>
          <w:rFonts w:hint="eastAsia" w:ascii="宋体" w:hAnsi="宋体" w:eastAsia="宋体" w:cs="宋体"/>
          <w:color w:val="auto"/>
          <w:sz w:val="24"/>
          <w:highlight w:val="none"/>
          <w:shd w:val="clear" w:color="auto" w:fill="auto"/>
        </w:rPr>
        <w:t>项目拟分包情况表</w:t>
      </w:r>
    </w:p>
    <w:p>
      <w:pPr>
        <w:spacing w:line="360" w:lineRule="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eastAsia="zh-CN"/>
        </w:rPr>
        <w:t>格式</w:t>
      </w:r>
      <w:r>
        <w:rPr>
          <w:rFonts w:hint="eastAsia" w:ascii="宋体" w:hAnsi="宋体" w:eastAsia="宋体" w:cs="宋体"/>
          <w:color w:val="auto"/>
          <w:sz w:val="24"/>
          <w:highlight w:val="none"/>
          <w:shd w:val="clear" w:color="auto" w:fill="auto"/>
          <w:lang w:val="en-US" w:eastAsia="zh-CN"/>
        </w:rPr>
        <w:t>10   资格性/符合性自查表</w:t>
      </w:r>
    </w:p>
    <w:p>
      <w:p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11   </w:t>
      </w:r>
      <w:r>
        <w:rPr>
          <w:rFonts w:hint="eastAsia" w:ascii="宋体" w:hAnsi="宋体" w:eastAsia="宋体" w:cs="宋体"/>
          <w:color w:val="auto"/>
          <w:sz w:val="24"/>
          <w:highlight w:val="none"/>
          <w:shd w:val="clear" w:color="auto" w:fill="auto"/>
        </w:rPr>
        <w:t>投标总价封面</w:t>
      </w:r>
    </w:p>
    <w:p>
      <w:p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12   </w:t>
      </w:r>
      <w:r>
        <w:rPr>
          <w:rFonts w:hint="eastAsia" w:ascii="宋体" w:hAnsi="宋体" w:eastAsia="宋体" w:cs="宋体"/>
          <w:color w:val="auto"/>
          <w:sz w:val="24"/>
          <w:highlight w:val="none"/>
          <w:shd w:val="clear" w:color="auto" w:fill="auto"/>
        </w:rPr>
        <w:t>投标总价</w:t>
      </w:r>
    </w:p>
    <w:p>
      <w:p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12-1 </w:t>
      </w:r>
      <w:r>
        <w:rPr>
          <w:rFonts w:hint="eastAsia" w:ascii="宋体" w:hAnsi="宋体" w:eastAsia="宋体" w:cs="宋体"/>
          <w:color w:val="auto"/>
          <w:sz w:val="24"/>
          <w:highlight w:val="none"/>
          <w:shd w:val="clear" w:color="auto" w:fill="auto"/>
        </w:rPr>
        <w:t>安全文明施工费用明细表</w:t>
      </w:r>
    </w:p>
    <w:p>
      <w:pPr>
        <w:numPr>
          <w:ilvl w:val="0"/>
          <w:numId w:val="0"/>
        </w:num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13   </w:t>
      </w:r>
      <w:r>
        <w:rPr>
          <w:rFonts w:hint="eastAsia" w:ascii="宋体" w:hAnsi="宋体" w:eastAsia="宋体" w:cs="宋体"/>
          <w:color w:val="auto"/>
          <w:sz w:val="24"/>
          <w:highlight w:val="none"/>
          <w:shd w:val="clear" w:color="auto" w:fill="auto"/>
        </w:rPr>
        <w:t>投标总价总说明</w:t>
      </w:r>
    </w:p>
    <w:p>
      <w:pPr>
        <w:numPr>
          <w:ilvl w:val="0"/>
          <w:numId w:val="0"/>
        </w:num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14   </w:t>
      </w:r>
      <w:r>
        <w:rPr>
          <w:rFonts w:hint="eastAsia" w:ascii="宋体" w:hAnsi="宋体" w:eastAsia="宋体" w:cs="宋体"/>
          <w:color w:val="auto"/>
          <w:sz w:val="24"/>
          <w:highlight w:val="none"/>
          <w:shd w:val="clear" w:color="auto" w:fill="auto"/>
        </w:rPr>
        <w:t>建设项目投标报价汇总表</w:t>
      </w:r>
    </w:p>
    <w:p>
      <w:pPr>
        <w:numPr>
          <w:ilvl w:val="0"/>
          <w:numId w:val="0"/>
        </w:num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15   </w:t>
      </w:r>
      <w:r>
        <w:rPr>
          <w:rFonts w:hint="eastAsia" w:ascii="宋体" w:hAnsi="宋体" w:eastAsia="宋体" w:cs="宋体"/>
          <w:color w:val="auto"/>
          <w:sz w:val="24"/>
          <w:highlight w:val="none"/>
          <w:shd w:val="clear" w:color="auto" w:fill="auto"/>
        </w:rPr>
        <w:t>单项工程投标报价汇总表</w:t>
      </w:r>
    </w:p>
    <w:p>
      <w:pPr>
        <w:numPr>
          <w:ilvl w:val="0"/>
          <w:numId w:val="0"/>
        </w:num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16   </w:t>
      </w:r>
      <w:r>
        <w:rPr>
          <w:rFonts w:hint="eastAsia" w:ascii="宋体" w:hAnsi="宋体" w:eastAsia="宋体" w:cs="宋体"/>
          <w:color w:val="auto"/>
          <w:sz w:val="24"/>
          <w:highlight w:val="none"/>
          <w:shd w:val="clear" w:color="auto" w:fill="auto"/>
        </w:rPr>
        <w:t>单位工程投标报价汇总表</w:t>
      </w:r>
    </w:p>
    <w:p>
      <w:pPr>
        <w:numPr>
          <w:ilvl w:val="0"/>
          <w:numId w:val="0"/>
        </w:num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17   </w:t>
      </w:r>
      <w:r>
        <w:rPr>
          <w:rFonts w:hint="eastAsia" w:ascii="宋体" w:hAnsi="宋体" w:eastAsia="宋体" w:cs="宋体"/>
          <w:color w:val="auto"/>
          <w:sz w:val="24"/>
          <w:highlight w:val="none"/>
          <w:shd w:val="clear" w:color="auto" w:fill="auto"/>
        </w:rPr>
        <w:t>分部分项工程和单价措施项目清单与计价表</w:t>
      </w:r>
    </w:p>
    <w:p>
      <w:p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18   </w:t>
      </w:r>
      <w:r>
        <w:rPr>
          <w:rFonts w:hint="eastAsia" w:ascii="宋体" w:hAnsi="宋体" w:eastAsia="宋体" w:cs="宋体"/>
          <w:color w:val="auto"/>
          <w:sz w:val="24"/>
          <w:highlight w:val="none"/>
          <w:shd w:val="clear" w:color="auto" w:fill="auto"/>
        </w:rPr>
        <w:t>综合单价分析表</w:t>
      </w:r>
    </w:p>
    <w:p>
      <w:p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19   </w:t>
      </w:r>
      <w:r>
        <w:rPr>
          <w:rFonts w:hint="eastAsia" w:ascii="宋体" w:hAnsi="宋体" w:eastAsia="宋体" w:cs="宋体"/>
          <w:color w:val="auto"/>
          <w:sz w:val="24"/>
          <w:highlight w:val="none"/>
          <w:shd w:val="clear" w:color="auto" w:fill="auto"/>
        </w:rPr>
        <w:t>总价措施项目清单与计价表</w:t>
      </w:r>
    </w:p>
    <w:p>
      <w:p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20   </w:t>
      </w:r>
      <w:r>
        <w:rPr>
          <w:rFonts w:hint="eastAsia" w:ascii="宋体" w:hAnsi="宋体" w:eastAsia="宋体" w:cs="宋体"/>
          <w:color w:val="auto"/>
          <w:sz w:val="24"/>
          <w:highlight w:val="none"/>
          <w:shd w:val="clear" w:color="auto" w:fill="auto"/>
        </w:rPr>
        <w:t>措施项目汇总表</w:t>
      </w:r>
    </w:p>
    <w:p>
      <w:p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21   </w:t>
      </w:r>
      <w:r>
        <w:rPr>
          <w:rFonts w:hint="eastAsia" w:ascii="宋体" w:hAnsi="宋体" w:eastAsia="宋体" w:cs="宋体"/>
          <w:color w:val="auto"/>
          <w:sz w:val="24"/>
          <w:highlight w:val="none"/>
          <w:shd w:val="clear" w:color="auto" w:fill="auto"/>
        </w:rPr>
        <w:t>其他项目清单与计价汇总表</w:t>
      </w:r>
    </w:p>
    <w:p>
      <w:p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22   </w:t>
      </w:r>
      <w:r>
        <w:rPr>
          <w:rFonts w:hint="eastAsia" w:ascii="宋体" w:hAnsi="宋体" w:eastAsia="宋体" w:cs="宋体"/>
          <w:color w:val="auto"/>
          <w:sz w:val="24"/>
          <w:highlight w:val="none"/>
          <w:shd w:val="clear" w:color="auto" w:fill="auto"/>
        </w:rPr>
        <w:t>暂列金额明细表</w:t>
      </w:r>
    </w:p>
    <w:p>
      <w:p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23   </w:t>
      </w:r>
      <w:r>
        <w:rPr>
          <w:rFonts w:hint="eastAsia" w:ascii="宋体" w:hAnsi="宋体" w:eastAsia="宋体" w:cs="宋体"/>
          <w:color w:val="auto"/>
          <w:sz w:val="24"/>
          <w:highlight w:val="none"/>
          <w:shd w:val="clear" w:color="auto" w:fill="auto"/>
        </w:rPr>
        <w:t>材料（工程设备）暂估单价及调整表</w:t>
      </w:r>
    </w:p>
    <w:p>
      <w:p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24   </w:t>
      </w:r>
      <w:r>
        <w:rPr>
          <w:rFonts w:hint="eastAsia" w:ascii="宋体" w:hAnsi="宋体" w:eastAsia="宋体" w:cs="宋体"/>
          <w:color w:val="auto"/>
          <w:sz w:val="24"/>
          <w:highlight w:val="none"/>
          <w:shd w:val="clear" w:color="auto" w:fill="auto"/>
        </w:rPr>
        <w:t>专业工程暂估表及结算表</w:t>
      </w:r>
    </w:p>
    <w:p>
      <w:p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25   </w:t>
      </w:r>
      <w:r>
        <w:rPr>
          <w:rFonts w:hint="eastAsia" w:ascii="宋体" w:hAnsi="宋体" w:eastAsia="宋体" w:cs="宋体"/>
          <w:color w:val="auto"/>
          <w:sz w:val="24"/>
          <w:highlight w:val="none"/>
          <w:shd w:val="clear" w:color="auto" w:fill="auto"/>
        </w:rPr>
        <w:t>计日工表</w:t>
      </w:r>
    </w:p>
    <w:p>
      <w:pPr>
        <w:spacing w:line="360" w:lineRule="auto"/>
        <w:rPr>
          <w:rFonts w:hint="eastAsia" w:ascii="宋体" w:hAnsi="宋体" w:eastAsia="宋体" w:cs="宋体"/>
          <w:color w:val="auto"/>
          <w:sz w:val="24"/>
          <w:highlight w:val="none"/>
          <w:shd w:val="clear" w:color="auto" w:fill="auto"/>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26   </w:t>
      </w:r>
      <w:r>
        <w:rPr>
          <w:rFonts w:hint="eastAsia" w:ascii="宋体" w:hAnsi="宋体" w:eastAsia="宋体" w:cs="宋体"/>
          <w:color w:val="auto"/>
          <w:sz w:val="24"/>
          <w:highlight w:val="none"/>
          <w:shd w:val="clear" w:color="auto" w:fill="auto"/>
        </w:rPr>
        <w:t>总承包服务费计价表</w:t>
      </w:r>
    </w:p>
    <w:p>
      <w:pPr>
        <w:spacing w:line="360" w:lineRule="auto"/>
        <w:rPr>
          <w:rFonts w:hint="eastAsia" w:ascii="宋体" w:hAnsi="宋体" w:eastAsia="宋体" w:cs="宋体"/>
          <w:color w:val="auto"/>
          <w:sz w:val="24"/>
          <w:highlight w:val="none"/>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27   </w:t>
      </w:r>
      <w:r>
        <w:rPr>
          <w:rFonts w:hint="eastAsia" w:ascii="宋体" w:hAnsi="宋体" w:eastAsia="宋体" w:cs="宋体"/>
          <w:color w:val="auto"/>
          <w:sz w:val="24"/>
          <w:highlight w:val="none"/>
        </w:rPr>
        <w:t>规费、税金项目计价表（</w:t>
      </w:r>
      <w:r>
        <w:rPr>
          <w:rFonts w:hint="eastAsia" w:ascii="宋体" w:hAnsi="宋体" w:eastAsia="宋体" w:cs="宋体"/>
          <w:color w:val="auto"/>
          <w:sz w:val="24"/>
          <w:highlight w:val="none"/>
          <w:lang w:eastAsia="zh-CN"/>
        </w:rPr>
        <w:t>建筑工程</w:t>
      </w:r>
      <w:r>
        <w:rPr>
          <w:rFonts w:hint="eastAsia" w:ascii="宋体" w:hAnsi="宋体" w:eastAsia="宋体" w:cs="宋体"/>
          <w:color w:val="auto"/>
          <w:sz w:val="24"/>
          <w:highlight w:val="none"/>
        </w:rPr>
        <w:t>）</w:t>
      </w:r>
    </w:p>
    <w:p>
      <w:pPr>
        <w:spacing w:line="360" w:lineRule="auto"/>
        <w:rPr>
          <w:rFonts w:hint="eastAsia" w:ascii="宋体" w:hAnsi="宋体" w:eastAsia="宋体" w:cs="宋体"/>
          <w:color w:val="auto"/>
          <w:sz w:val="24"/>
          <w:highlight w:val="none"/>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28   </w:t>
      </w:r>
      <w:r>
        <w:rPr>
          <w:rFonts w:hint="eastAsia" w:ascii="宋体" w:hAnsi="宋体" w:eastAsia="宋体" w:cs="宋体"/>
          <w:color w:val="auto"/>
          <w:sz w:val="24"/>
          <w:highlight w:val="none"/>
          <w:lang w:val="zh-CN"/>
        </w:rPr>
        <w:t>规费、税金项目计价表（安装工程）</w:t>
      </w:r>
    </w:p>
    <w:p>
      <w:pPr>
        <w:pStyle w:val="18"/>
        <w:spacing w:before="75" w:beforeAutospacing="0" w:after="75" w:afterAutospacing="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格式</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规费、税金项目计价表（</w:t>
      </w:r>
      <w:r>
        <w:rPr>
          <w:rFonts w:hint="eastAsia" w:ascii="宋体" w:hAnsi="宋体" w:eastAsia="宋体" w:cs="宋体"/>
          <w:color w:val="auto"/>
          <w:sz w:val="24"/>
          <w:highlight w:val="none"/>
          <w:lang w:eastAsia="zh-CN"/>
        </w:rPr>
        <w:t>装饰装修工程</w:t>
      </w:r>
      <w:r>
        <w:rPr>
          <w:rFonts w:hint="eastAsia" w:ascii="宋体" w:hAnsi="宋体" w:eastAsia="宋体" w:cs="宋体"/>
          <w:color w:val="auto"/>
          <w:sz w:val="24"/>
          <w:highlight w:val="none"/>
        </w:rPr>
        <w:t>）</w:t>
      </w:r>
    </w:p>
    <w:p>
      <w:pPr>
        <w:pStyle w:val="18"/>
        <w:spacing w:before="75" w:beforeAutospacing="0" w:after="75" w:afterAutospacing="0" w:line="360" w:lineRule="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 xml:space="preserve">30   </w:t>
      </w:r>
      <w:r>
        <w:rPr>
          <w:rFonts w:hint="eastAsia" w:ascii="宋体" w:hAnsi="宋体" w:eastAsia="宋体" w:cs="宋体"/>
          <w:color w:val="auto"/>
          <w:sz w:val="24"/>
          <w:highlight w:val="none"/>
          <w:lang w:val="en-US" w:eastAsia="zh-CN"/>
        </w:rPr>
        <w:t>主</w:t>
      </w:r>
      <w:r>
        <w:rPr>
          <w:rFonts w:hint="eastAsia" w:ascii="宋体" w:hAnsi="宋体" w:eastAsia="宋体" w:cs="宋体"/>
          <w:color w:val="auto"/>
          <w:sz w:val="24"/>
          <w:highlight w:val="none"/>
        </w:rPr>
        <w:t>要材料、设备价格表</w:t>
      </w:r>
      <w:r>
        <w:rPr>
          <w:rFonts w:hint="eastAsia" w:ascii="宋体" w:hAnsi="宋体" w:eastAsia="宋体" w:cs="宋体"/>
          <w:color w:val="auto"/>
          <w:sz w:val="24"/>
          <w:szCs w:val="22"/>
          <w:highlight w:val="none"/>
        </w:rPr>
        <w:t>（</w:t>
      </w:r>
      <w:r>
        <w:rPr>
          <w:rFonts w:hint="eastAsia" w:cs="宋体"/>
          <w:color w:val="auto"/>
          <w:sz w:val="24"/>
          <w:szCs w:val="22"/>
          <w:highlight w:val="none"/>
          <w:lang w:eastAsia="zh-CN"/>
        </w:rPr>
        <w:t>采购人</w:t>
      </w:r>
      <w:r>
        <w:rPr>
          <w:rFonts w:hint="eastAsia" w:ascii="宋体" w:hAnsi="宋体" w:eastAsia="宋体" w:cs="宋体"/>
          <w:color w:val="auto"/>
          <w:sz w:val="24"/>
          <w:szCs w:val="22"/>
          <w:highlight w:val="none"/>
        </w:rPr>
        <w:t>提供）</w:t>
      </w:r>
    </w:p>
    <w:p>
      <w:pPr>
        <w:pStyle w:val="18"/>
        <w:spacing w:before="75" w:beforeAutospacing="0" w:after="75" w:afterAutospacing="0" w:line="360" w:lineRule="auto"/>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31</w:t>
      </w:r>
      <w:r>
        <w:rPr>
          <w:rStyle w:val="25"/>
          <w:rFonts w:hint="eastAsia" w:ascii="宋体" w:hAnsi="宋体" w:eastAsia="宋体" w:cs="宋体"/>
          <w:b w:val="0"/>
          <w:bCs/>
          <w:color w:val="auto"/>
          <w:sz w:val="24"/>
          <w:szCs w:val="24"/>
          <w:highlight w:val="none"/>
        </w:rPr>
        <w:t xml:space="preserve">   </w:t>
      </w:r>
      <w:r>
        <w:rPr>
          <w:rStyle w:val="25"/>
          <w:rFonts w:hint="eastAsia" w:ascii="宋体" w:hAnsi="宋体" w:eastAsia="宋体" w:cs="宋体"/>
          <w:b w:val="0"/>
          <w:bCs/>
          <w:color w:val="auto"/>
          <w:sz w:val="24"/>
          <w:szCs w:val="24"/>
          <w:highlight w:val="none"/>
          <w:lang w:val="en-US" w:eastAsia="zh-CN"/>
        </w:rPr>
        <w:t>商务条款偏离表</w:t>
      </w:r>
    </w:p>
    <w:p>
      <w:pPr>
        <w:pStyle w:val="18"/>
        <w:spacing w:before="75" w:beforeAutospacing="0" w:after="75" w:afterAutospacing="0" w:line="360" w:lineRule="auto"/>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32</w:t>
      </w:r>
      <w:r>
        <w:rPr>
          <w:rStyle w:val="25"/>
          <w:rFonts w:hint="eastAsia" w:ascii="宋体" w:hAnsi="宋体" w:eastAsia="宋体" w:cs="宋体"/>
          <w:b w:val="0"/>
          <w:bCs/>
          <w:color w:val="auto"/>
          <w:sz w:val="24"/>
          <w:szCs w:val="24"/>
          <w:highlight w:val="none"/>
        </w:rPr>
        <w:t xml:space="preserve">  </w:t>
      </w:r>
      <w:r>
        <w:rPr>
          <w:rStyle w:val="25"/>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近三年（201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月1日至今）</w:t>
      </w:r>
      <w:r>
        <w:rPr>
          <w:rFonts w:hint="eastAsia" w:ascii="宋体" w:hAnsi="宋体" w:eastAsia="宋体" w:cs="宋体"/>
          <w:color w:val="auto"/>
          <w:sz w:val="24"/>
          <w:szCs w:val="24"/>
          <w:highlight w:val="none"/>
          <w:lang w:eastAsia="zh-CN"/>
        </w:rPr>
        <w:t>类似</w:t>
      </w:r>
      <w:r>
        <w:rPr>
          <w:rFonts w:hint="eastAsia" w:ascii="宋体" w:hAnsi="宋体" w:eastAsia="宋体" w:cs="宋体"/>
          <w:color w:val="auto"/>
          <w:sz w:val="24"/>
          <w:szCs w:val="24"/>
          <w:highlight w:val="none"/>
        </w:rPr>
        <w:t>项目业绩表</w:t>
      </w:r>
    </w:p>
    <w:p>
      <w:pPr>
        <w:pStyle w:val="18"/>
        <w:spacing w:before="75" w:beforeAutospacing="0" w:after="75" w:afterAutospacing="0" w:line="360" w:lineRule="auto"/>
        <w:rPr>
          <w:rStyle w:val="25"/>
          <w:rFonts w:hint="eastAsia" w:cs="宋体"/>
          <w:b w:val="0"/>
          <w:bCs/>
          <w:color w:val="auto"/>
          <w:sz w:val="24"/>
          <w:szCs w:val="24"/>
          <w:highlight w:val="none"/>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33</w:t>
      </w:r>
      <w:r>
        <w:rPr>
          <w:rStyle w:val="25"/>
          <w:rFonts w:hint="eastAsia" w:ascii="宋体" w:hAnsi="宋体" w:eastAsia="宋体" w:cs="宋体"/>
          <w:b w:val="0"/>
          <w:bCs/>
          <w:color w:val="auto"/>
          <w:sz w:val="24"/>
          <w:szCs w:val="24"/>
          <w:highlight w:val="none"/>
        </w:rPr>
        <w:t xml:space="preserve">  </w:t>
      </w:r>
      <w:r>
        <w:rPr>
          <w:rStyle w:val="25"/>
          <w:rFonts w:hint="eastAsia" w:ascii="宋体" w:hAnsi="宋体" w:eastAsia="宋体" w:cs="宋体"/>
          <w:b w:val="0"/>
          <w:bCs/>
          <w:color w:val="auto"/>
          <w:sz w:val="24"/>
          <w:szCs w:val="24"/>
          <w:highlight w:val="none"/>
          <w:lang w:val="en-US" w:eastAsia="zh-CN"/>
        </w:rPr>
        <w:t xml:space="preserve"> 不拖欠农民工工资承诺书</w:t>
      </w:r>
    </w:p>
    <w:p>
      <w:pPr>
        <w:pStyle w:val="18"/>
        <w:spacing w:before="75" w:beforeAutospacing="0" w:after="75" w:afterAutospacing="0" w:line="360" w:lineRule="auto"/>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auto"/>
          <w:sz w:val="24"/>
          <w:szCs w:val="24"/>
          <w:highlight w:val="none"/>
        </w:rPr>
        <w:t>格式</w:t>
      </w:r>
      <w:r>
        <w:rPr>
          <w:rStyle w:val="25"/>
          <w:rFonts w:hint="eastAsia" w:ascii="宋体" w:hAnsi="宋体" w:eastAsia="宋体" w:cs="宋体"/>
          <w:b w:val="0"/>
          <w:bCs/>
          <w:color w:val="auto"/>
          <w:sz w:val="24"/>
          <w:szCs w:val="24"/>
          <w:highlight w:val="none"/>
          <w:lang w:val="en-US" w:eastAsia="zh-CN"/>
        </w:rPr>
        <w:t>34</w:t>
      </w:r>
      <w:r>
        <w:rPr>
          <w:rStyle w:val="25"/>
          <w:rFonts w:hint="eastAsia" w:ascii="宋体" w:hAnsi="宋体" w:eastAsia="宋体" w:cs="宋体"/>
          <w:b w:val="0"/>
          <w:bCs/>
          <w:color w:val="auto"/>
          <w:sz w:val="24"/>
          <w:szCs w:val="24"/>
          <w:highlight w:val="none"/>
        </w:rPr>
        <w:t xml:space="preserve">  </w:t>
      </w:r>
      <w:r>
        <w:rPr>
          <w:rStyle w:val="25"/>
          <w:rFonts w:hint="eastAsia" w:ascii="宋体" w:hAnsi="宋体" w:eastAsia="宋体" w:cs="宋体"/>
          <w:b w:val="0"/>
          <w:bCs/>
          <w:color w:val="auto"/>
          <w:sz w:val="24"/>
          <w:szCs w:val="24"/>
          <w:highlight w:val="none"/>
          <w:lang w:val="en-US" w:eastAsia="zh-CN"/>
        </w:rPr>
        <w:t xml:space="preserve"> 技术条款偏离表</w:t>
      </w: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jc w:val="center"/>
        <w:rPr>
          <w:rStyle w:val="25"/>
          <w:rFonts w:hint="eastAsia" w:cs="宋体"/>
          <w:b w:val="0"/>
          <w:bCs/>
          <w:color w:val="auto"/>
          <w:sz w:val="24"/>
          <w:szCs w:val="24"/>
          <w:highlight w:val="none"/>
          <w:lang w:eastAsia="zh-CN"/>
        </w:rPr>
      </w:pPr>
    </w:p>
    <w:p>
      <w:pPr>
        <w:pStyle w:val="18"/>
        <w:spacing w:before="75" w:beforeAutospacing="0" w:after="75" w:afterAutospacing="0" w:line="320" w:lineRule="exact"/>
        <w:jc w:val="center"/>
        <w:rPr>
          <w:rStyle w:val="25"/>
          <w:rFonts w:hint="eastAsia" w:cs="宋体"/>
          <w:b w:val="0"/>
          <w:bCs/>
          <w:color w:val="auto"/>
          <w:sz w:val="24"/>
          <w:szCs w:val="24"/>
          <w:highlight w:val="none"/>
          <w:lang w:eastAsia="zh-CN"/>
        </w:rPr>
      </w:pPr>
    </w:p>
    <w:p>
      <w:pPr>
        <w:pStyle w:val="18"/>
        <w:spacing w:before="75" w:beforeAutospacing="0" w:after="75" w:afterAutospacing="0" w:line="320" w:lineRule="exact"/>
        <w:jc w:val="center"/>
        <w:rPr>
          <w:rStyle w:val="25"/>
          <w:rFonts w:hint="eastAsia" w:cs="宋体"/>
          <w:b w:val="0"/>
          <w:bCs/>
          <w:color w:val="auto"/>
          <w:sz w:val="24"/>
          <w:szCs w:val="24"/>
          <w:highlight w:val="none"/>
          <w:lang w:eastAsia="zh-CN"/>
        </w:rPr>
      </w:pPr>
    </w:p>
    <w:p>
      <w:pPr>
        <w:pStyle w:val="18"/>
        <w:spacing w:before="75" w:beforeAutospacing="0" w:after="75" w:afterAutospacing="0" w:line="320" w:lineRule="exact"/>
        <w:jc w:val="center"/>
        <w:rPr>
          <w:rStyle w:val="25"/>
          <w:rFonts w:hint="eastAsia" w:cs="宋体"/>
          <w:b w:val="0"/>
          <w:bCs/>
          <w:color w:val="auto"/>
          <w:sz w:val="24"/>
          <w:szCs w:val="24"/>
          <w:highlight w:val="none"/>
          <w:lang w:eastAsia="zh-CN"/>
        </w:rPr>
      </w:pPr>
    </w:p>
    <w:p>
      <w:pPr>
        <w:pStyle w:val="18"/>
        <w:spacing w:before="75" w:beforeAutospacing="0" w:after="75" w:afterAutospacing="0" w:line="320" w:lineRule="exact"/>
        <w:jc w:val="center"/>
        <w:rPr>
          <w:rStyle w:val="25"/>
          <w:rFonts w:hint="eastAsia" w:cs="宋体"/>
          <w:b w:val="0"/>
          <w:bCs/>
          <w:color w:val="auto"/>
          <w:sz w:val="24"/>
          <w:szCs w:val="24"/>
          <w:highlight w:val="none"/>
          <w:lang w:eastAsia="zh-CN"/>
        </w:rPr>
      </w:pPr>
    </w:p>
    <w:p>
      <w:pPr>
        <w:pStyle w:val="18"/>
        <w:spacing w:beforeAutospacing="0" w:afterAutospacing="0" w:line="240" w:lineRule="auto"/>
        <w:jc w:val="center"/>
        <w:rPr>
          <w:rStyle w:val="25"/>
          <w:rFonts w:hint="eastAsia" w:cs="宋体"/>
          <w:b/>
          <w:bCs w:val="0"/>
          <w:color w:val="auto"/>
          <w:sz w:val="40"/>
          <w:szCs w:val="40"/>
          <w:highlight w:val="none"/>
          <w:lang w:eastAsia="zh-CN"/>
        </w:rPr>
      </w:pPr>
    </w:p>
    <w:p>
      <w:pPr>
        <w:pStyle w:val="18"/>
        <w:spacing w:beforeAutospacing="0" w:afterAutospacing="0" w:line="240" w:lineRule="auto"/>
        <w:jc w:val="center"/>
        <w:rPr>
          <w:rStyle w:val="25"/>
          <w:rFonts w:hint="eastAsia" w:cs="宋体"/>
          <w:b/>
          <w:bCs w:val="0"/>
          <w:color w:val="auto"/>
          <w:sz w:val="40"/>
          <w:szCs w:val="40"/>
          <w:highlight w:val="none"/>
          <w:lang w:eastAsia="zh-CN"/>
        </w:rPr>
      </w:pPr>
    </w:p>
    <w:p>
      <w:pPr>
        <w:pStyle w:val="18"/>
        <w:spacing w:beforeAutospacing="0" w:afterAutospacing="0" w:line="240" w:lineRule="auto"/>
        <w:jc w:val="center"/>
        <w:rPr>
          <w:rStyle w:val="25"/>
          <w:rFonts w:hint="eastAsia" w:cs="宋体"/>
          <w:b/>
          <w:bCs w:val="0"/>
          <w:color w:val="auto"/>
          <w:sz w:val="40"/>
          <w:szCs w:val="40"/>
          <w:highlight w:val="none"/>
        </w:rPr>
      </w:pPr>
      <w:r>
        <w:rPr>
          <w:rStyle w:val="25"/>
          <w:rFonts w:hint="eastAsia" w:cs="宋体"/>
          <w:b/>
          <w:bCs w:val="0"/>
          <w:color w:val="auto"/>
          <w:sz w:val="40"/>
          <w:szCs w:val="40"/>
          <w:highlight w:val="none"/>
          <w:lang w:eastAsia="zh-CN"/>
        </w:rPr>
        <w:t>克拉玛依市纤维检验所—老旧实验室维修改造</w:t>
      </w:r>
    </w:p>
    <w:p>
      <w:pPr>
        <w:pStyle w:val="18"/>
        <w:spacing w:before="75" w:beforeAutospacing="0" w:after="75" w:afterAutospacing="0" w:line="320" w:lineRule="exact"/>
        <w:jc w:val="center"/>
        <w:rPr>
          <w:rStyle w:val="25"/>
          <w:rFonts w:hint="eastAsia" w:cs="宋体"/>
          <w:b w:val="0"/>
          <w:bCs/>
          <w:color w:val="auto"/>
          <w:sz w:val="28"/>
          <w:szCs w:val="28"/>
          <w:highlight w:val="none"/>
        </w:rPr>
      </w:pPr>
    </w:p>
    <w:p>
      <w:pPr>
        <w:pStyle w:val="18"/>
        <w:spacing w:before="75" w:beforeAutospacing="0" w:after="75" w:afterAutospacing="0" w:line="320" w:lineRule="exact"/>
        <w:jc w:val="center"/>
        <w:rPr>
          <w:rStyle w:val="25"/>
          <w:rFonts w:hint="eastAsia" w:cs="宋体"/>
          <w:b w:val="0"/>
          <w:bCs/>
          <w:color w:val="auto"/>
          <w:sz w:val="28"/>
          <w:szCs w:val="28"/>
          <w:highlight w:val="none"/>
        </w:rPr>
      </w:pPr>
    </w:p>
    <w:p>
      <w:pPr>
        <w:pStyle w:val="18"/>
        <w:spacing w:before="75" w:beforeAutospacing="0" w:after="75" w:afterAutospacing="0" w:line="320" w:lineRule="exact"/>
        <w:jc w:val="center"/>
        <w:rPr>
          <w:rStyle w:val="25"/>
          <w:rFonts w:hint="eastAsia" w:cs="宋体"/>
          <w:b w:val="0"/>
          <w:bCs/>
          <w:color w:val="auto"/>
          <w:sz w:val="28"/>
          <w:szCs w:val="28"/>
          <w:highlight w:val="none"/>
        </w:rPr>
      </w:pPr>
    </w:p>
    <w:p>
      <w:pPr>
        <w:pStyle w:val="18"/>
        <w:spacing w:before="75" w:beforeAutospacing="0" w:after="75" w:afterAutospacing="0" w:line="320" w:lineRule="exact"/>
        <w:jc w:val="center"/>
        <w:rPr>
          <w:rStyle w:val="25"/>
          <w:rFonts w:hint="eastAsia" w:cs="宋体"/>
          <w:b w:val="0"/>
          <w:bCs/>
          <w:color w:val="auto"/>
          <w:sz w:val="28"/>
          <w:szCs w:val="28"/>
          <w:highlight w:val="none"/>
        </w:rPr>
      </w:pPr>
    </w:p>
    <w:p>
      <w:pPr>
        <w:pStyle w:val="18"/>
        <w:spacing w:before="75" w:beforeAutospacing="0" w:after="75" w:afterAutospacing="0" w:line="320" w:lineRule="exact"/>
        <w:jc w:val="center"/>
        <w:rPr>
          <w:rStyle w:val="25"/>
          <w:rFonts w:hint="eastAsia" w:cs="宋体"/>
          <w:b w:val="0"/>
          <w:bCs/>
          <w:color w:val="auto"/>
          <w:sz w:val="28"/>
          <w:szCs w:val="28"/>
          <w:highlight w:val="none"/>
        </w:rPr>
      </w:pPr>
    </w:p>
    <w:p>
      <w:pPr>
        <w:pStyle w:val="18"/>
        <w:spacing w:before="75" w:beforeAutospacing="0" w:after="75" w:afterAutospacing="0" w:line="320" w:lineRule="exact"/>
        <w:jc w:val="center"/>
        <w:rPr>
          <w:rStyle w:val="25"/>
          <w:rFonts w:hint="eastAsia" w:cs="宋体"/>
          <w:b w:val="0"/>
          <w:bCs/>
          <w:color w:val="auto"/>
          <w:sz w:val="28"/>
          <w:szCs w:val="28"/>
          <w:highlight w:val="none"/>
        </w:rPr>
      </w:pPr>
    </w:p>
    <w:p>
      <w:pPr>
        <w:pStyle w:val="18"/>
        <w:spacing w:beforeAutospacing="0" w:afterAutospacing="0" w:line="240" w:lineRule="auto"/>
        <w:jc w:val="center"/>
        <w:rPr>
          <w:rStyle w:val="25"/>
          <w:rFonts w:hint="eastAsia" w:cs="宋体"/>
          <w:b/>
          <w:bCs w:val="0"/>
          <w:color w:val="auto"/>
          <w:sz w:val="36"/>
          <w:szCs w:val="36"/>
          <w:highlight w:val="none"/>
        </w:rPr>
      </w:pPr>
      <w:r>
        <w:rPr>
          <w:rStyle w:val="25"/>
          <w:rFonts w:hint="eastAsia" w:cs="宋体"/>
          <w:b/>
          <w:bCs w:val="0"/>
          <w:color w:val="auto"/>
          <w:sz w:val="36"/>
          <w:szCs w:val="36"/>
          <w:highlight w:val="none"/>
          <w:lang w:eastAsia="zh-CN"/>
        </w:rPr>
        <w:t>响</w:t>
      </w:r>
      <w:r>
        <w:rPr>
          <w:rStyle w:val="25"/>
          <w:rFonts w:hint="eastAsia" w:cs="宋体"/>
          <w:b/>
          <w:bCs w:val="0"/>
          <w:color w:val="auto"/>
          <w:sz w:val="36"/>
          <w:szCs w:val="36"/>
          <w:highlight w:val="none"/>
          <w:lang w:val="en-US" w:eastAsia="zh-CN"/>
        </w:rPr>
        <w:t xml:space="preserve">  </w:t>
      </w:r>
      <w:r>
        <w:rPr>
          <w:rStyle w:val="25"/>
          <w:rFonts w:hint="eastAsia" w:cs="宋体"/>
          <w:b/>
          <w:bCs w:val="0"/>
          <w:color w:val="auto"/>
          <w:sz w:val="36"/>
          <w:szCs w:val="36"/>
          <w:highlight w:val="none"/>
          <w:lang w:eastAsia="zh-CN"/>
        </w:rPr>
        <w:t>应</w:t>
      </w:r>
      <w:r>
        <w:rPr>
          <w:rStyle w:val="25"/>
          <w:rFonts w:hint="eastAsia" w:cs="宋体"/>
          <w:b/>
          <w:bCs w:val="0"/>
          <w:color w:val="auto"/>
          <w:sz w:val="36"/>
          <w:szCs w:val="36"/>
          <w:highlight w:val="none"/>
        </w:rPr>
        <w:t xml:space="preserve">  文  件</w:t>
      </w: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eastAsia" w:cs="宋体"/>
          <w:b/>
          <w:bCs w:val="0"/>
          <w:color w:val="auto"/>
          <w:sz w:val="28"/>
          <w:szCs w:val="28"/>
          <w:highlight w:val="none"/>
        </w:rPr>
      </w:pPr>
    </w:p>
    <w:p>
      <w:pPr>
        <w:pStyle w:val="18"/>
        <w:spacing w:before="75" w:beforeAutospacing="0" w:after="75" w:afterAutospacing="0" w:line="320" w:lineRule="exact"/>
        <w:jc w:val="center"/>
        <w:rPr>
          <w:rStyle w:val="25"/>
          <w:rFonts w:hint="default" w:eastAsia="宋体" w:cs="宋体"/>
          <w:b/>
          <w:bCs w:val="0"/>
          <w:color w:val="auto"/>
          <w:sz w:val="28"/>
          <w:szCs w:val="28"/>
          <w:highlight w:val="none"/>
          <w:lang w:val="en-US" w:eastAsia="zh-CN"/>
        </w:rPr>
      </w:pPr>
      <w:r>
        <w:rPr>
          <w:rStyle w:val="25"/>
          <w:rFonts w:hint="eastAsia" w:cs="宋体"/>
          <w:b/>
          <w:bCs w:val="0"/>
          <w:color w:val="auto"/>
          <w:sz w:val="28"/>
          <w:szCs w:val="28"/>
          <w:highlight w:val="none"/>
          <w:lang w:eastAsia="zh-CN"/>
        </w:rPr>
        <w:t>竞争性磋商文件</w:t>
      </w:r>
      <w:r>
        <w:rPr>
          <w:rStyle w:val="25"/>
          <w:rFonts w:hint="eastAsia" w:cs="宋体"/>
          <w:b/>
          <w:bCs w:val="0"/>
          <w:color w:val="auto"/>
          <w:sz w:val="28"/>
          <w:szCs w:val="28"/>
          <w:highlight w:val="none"/>
        </w:rPr>
        <w:t>编号：</w:t>
      </w:r>
      <w:r>
        <w:rPr>
          <w:rStyle w:val="25"/>
          <w:rFonts w:hint="eastAsia" w:cs="宋体"/>
          <w:b/>
          <w:bCs w:val="0"/>
          <w:color w:val="auto"/>
          <w:sz w:val="28"/>
          <w:szCs w:val="28"/>
          <w:highlight w:val="none"/>
          <w:lang w:val="en-US" w:eastAsia="zh-CN"/>
        </w:rPr>
        <w:t>JKJL[ZC]2021-52</w:t>
      </w:r>
    </w:p>
    <w:p>
      <w:pPr>
        <w:pStyle w:val="18"/>
        <w:spacing w:before="75" w:beforeAutospacing="0" w:after="75" w:afterAutospacing="0" w:line="320" w:lineRule="exact"/>
        <w:rPr>
          <w:rStyle w:val="25"/>
          <w:rFonts w:hint="eastAsia" w:cs="宋体"/>
          <w:b w:val="0"/>
          <w:bCs/>
          <w:color w:val="auto"/>
          <w:sz w:val="24"/>
          <w:szCs w:val="24"/>
          <w:highlight w:val="none"/>
          <w:lang w:eastAsia="zh-CN"/>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bCs w:val="0"/>
          <w:color w:val="auto"/>
          <w:sz w:val="24"/>
          <w:szCs w:val="24"/>
          <w:highlight w:val="none"/>
        </w:rPr>
      </w:pPr>
    </w:p>
    <w:p>
      <w:pPr>
        <w:pStyle w:val="18"/>
        <w:spacing w:before="75" w:beforeAutospacing="0" w:after="75" w:afterAutospacing="0" w:line="320" w:lineRule="exact"/>
        <w:rPr>
          <w:rStyle w:val="25"/>
          <w:rFonts w:hint="eastAsia" w:cs="宋体"/>
          <w:b/>
          <w:bCs w:val="0"/>
          <w:color w:val="auto"/>
          <w:sz w:val="28"/>
          <w:szCs w:val="28"/>
          <w:highlight w:val="none"/>
        </w:rPr>
      </w:pPr>
      <w:r>
        <w:rPr>
          <w:rStyle w:val="25"/>
          <w:rFonts w:hint="eastAsia" w:cs="宋体"/>
          <w:b/>
          <w:bCs w:val="0"/>
          <w:color w:val="auto"/>
          <w:sz w:val="28"/>
          <w:szCs w:val="28"/>
          <w:highlight w:val="none"/>
          <w:lang w:eastAsia="zh-CN"/>
        </w:rPr>
        <w:t>供应商</w:t>
      </w:r>
      <w:r>
        <w:rPr>
          <w:rStyle w:val="25"/>
          <w:rFonts w:hint="eastAsia" w:cs="宋体"/>
          <w:b/>
          <w:bCs w:val="0"/>
          <w:color w:val="auto"/>
          <w:sz w:val="28"/>
          <w:szCs w:val="28"/>
          <w:highlight w:val="none"/>
        </w:rPr>
        <w:t>： （单位名称）盖章</w:t>
      </w:r>
    </w:p>
    <w:p>
      <w:pPr>
        <w:pStyle w:val="18"/>
        <w:spacing w:before="75" w:beforeAutospacing="0" w:after="75" w:afterAutospacing="0" w:line="320" w:lineRule="exact"/>
        <w:rPr>
          <w:rStyle w:val="25"/>
          <w:rFonts w:hint="eastAsia" w:cs="宋体"/>
          <w:b/>
          <w:bCs w:val="0"/>
          <w:color w:val="auto"/>
          <w:sz w:val="28"/>
          <w:szCs w:val="28"/>
          <w:highlight w:val="none"/>
        </w:rPr>
      </w:pPr>
    </w:p>
    <w:p>
      <w:pPr>
        <w:pStyle w:val="18"/>
        <w:spacing w:before="75" w:beforeAutospacing="0" w:after="75" w:afterAutospacing="0" w:line="320" w:lineRule="exact"/>
        <w:rPr>
          <w:rStyle w:val="25"/>
          <w:rFonts w:hint="eastAsia" w:cs="宋体"/>
          <w:b/>
          <w:bCs w:val="0"/>
          <w:color w:val="auto"/>
          <w:sz w:val="28"/>
          <w:szCs w:val="28"/>
          <w:highlight w:val="none"/>
        </w:rPr>
      </w:pPr>
      <w:r>
        <w:rPr>
          <w:rStyle w:val="25"/>
          <w:rFonts w:hint="eastAsia" w:cs="宋体"/>
          <w:b/>
          <w:bCs w:val="0"/>
          <w:color w:val="auto"/>
          <w:sz w:val="28"/>
          <w:szCs w:val="28"/>
          <w:highlight w:val="none"/>
        </w:rPr>
        <w:t>单位地址：</w:t>
      </w:r>
    </w:p>
    <w:p>
      <w:pPr>
        <w:pStyle w:val="18"/>
        <w:spacing w:before="75" w:beforeAutospacing="0" w:after="75" w:afterAutospacing="0" w:line="320" w:lineRule="exact"/>
        <w:rPr>
          <w:rStyle w:val="25"/>
          <w:rFonts w:hint="eastAsia" w:cs="宋体"/>
          <w:b/>
          <w:bCs w:val="0"/>
          <w:color w:val="auto"/>
          <w:sz w:val="28"/>
          <w:szCs w:val="28"/>
          <w:highlight w:val="none"/>
        </w:rPr>
      </w:pPr>
    </w:p>
    <w:p>
      <w:pPr>
        <w:pStyle w:val="18"/>
        <w:spacing w:before="75" w:beforeAutospacing="0" w:after="75" w:afterAutospacing="0" w:line="320" w:lineRule="exact"/>
        <w:rPr>
          <w:rStyle w:val="25"/>
          <w:rFonts w:hint="eastAsia" w:cs="宋体"/>
          <w:b/>
          <w:bCs w:val="0"/>
          <w:color w:val="auto"/>
          <w:sz w:val="28"/>
          <w:szCs w:val="28"/>
          <w:highlight w:val="none"/>
        </w:rPr>
      </w:pPr>
      <w:r>
        <w:rPr>
          <w:rStyle w:val="25"/>
          <w:rFonts w:hint="eastAsia" w:cs="宋体"/>
          <w:b/>
          <w:bCs w:val="0"/>
          <w:color w:val="auto"/>
          <w:sz w:val="28"/>
          <w:szCs w:val="28"/>
          <w:highlight w:val="none"/>
        </w:rPr>
        <w:t>联系人：                   联系电话：</w:t>
      </w: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ageBreakBefore/>
        <w:numPr>
          <w:ilvl w:val="0"/>
          <w:numId w:val="0"/>
        </w:numPr>
        <w:spacing w:line="460" w:lineRule="exact"/>
        <w:jc w:val="center"/>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格式</w:t>
      </w:r>
      <w:r>
        <w:rPr>
          <w:rFonts w:hint="eastAsia" w:ascii="宋体" w:hAnsi="宋体" w:cs="宋体"/>
          <w:b/>
          <w:bCs w:val="0"/>
          <w:color w:val="auto"/>
          <w:sz w:val="24"/>
          <w:szCs w:val="24"/>
          <w:highlight w:val="none"/>
          <w:lang w:val="en-US" w:eastAsia="zh-CN"/>
        </w:rPr>
        <w:t xml:space="preserve">1  </w:t>
      </w:r>
      <w:r>
        <w:rPr>
          <w:rFonts w:hint="eastAsia" w:ascii="宋体" w:hAnsi="宋体" w:cs="宋体"/>
          <w:b/>
          <w:bCs w:val="0"/>
          <w:color w:val="auto"/>
          <w:sz w:val="24"/>
          <w:szCs w:val="24"/>
          <w:highlight w:val="none"/>
          <w:lang w:eastAsia="zh-CN"/>
        </w:rPr>
        <w:t>响应函</w:t>
      </w:r>
    </w:p>
    <w:p>
      <w:pPr>
        <w:spacing w:line="460" w:lineRule="exact"/>
        <w:rPr>
          <w:rFonts w:hint="eastAsia" w:ascii="宋体" w:hAnsi="宋体" w:eastAsia="宋体" w:cs="宋体"/>
          <w:bCs/>
          <w:color w:val="auto"/>
          <w:sz w:val="30"/>
          <w:szCs w:val="30"/>
          <w:highlight w:val="none"/>
        </w:rPr>
      </w:pPr>
    </w:p>
    <w:p>
      <w:pPr>
        <w:adjustRightInd w:val="0"/>
        <w:snapToGrid w:val="0"/>
        <w:spacing w:line="460" w:lineRule="exact"/>
        <w:ind w:right="560"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我们收到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号</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rPr>
        <w:t>，经认真研究，决定参加投标。</w:t>
      </w:r>
    </w:p>
    <w:p>
      <w:pPr>
        <w:adjustRightInd w:val="0"/>
        <w:snapToGrid w:val="0"/>
        <w:spacing w:line="460" w:lineRule="exact"/>
        <w:ind w:left="225" w:leftChars="107" w:right="-145"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1、经考察现场并研究上述工程的图纸、合同条款、技术规范后，我方愿以人民币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万元</w:t>
      </w:r>
      <w:r>
        <w:rPr>
          <w:rFonts w:hint="eastAsia" w:ascii="宋体" w:hAnsi="宋体" w:eastAsia="宋体" w:cs="宋体"/>
          <w:color w:val="auto"/>
          <w:sz w:val="24"/>
          <w:highlight w:val="none"/>
        </w:rPr>
        <w:t>（大写：人民币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）的总价（投标报价（含</w:t>
      </w:r>
      <w:r>
        <w:rPr>
          <w:rFonts w:hint="eastAsia" w:ascii="宋体" w:hAnsi="宋体" w:cs="宋体"/>
          <w:color w:val="auto"/>
          <w:sz w:val="24"/>
          <w:highlight w:val="none"/>
          <w:lang w:eastAsia="zh-CN"/>
        </w:rPr>
        <w:t>防疫费</w:t>
      </w:r>
      <w:r>
        <w:rPr>
          <w:rFonts w:hint="eastAsia" w:ascii="宋体" w:hAnsi="宋体" w:eastAsia="宋体" w:cs="宋体"/>
          <w:color w:val="auto"/>
          <w:sz w:val="24"/>
          <w:highlight w:val="none"/>
        </w:rPr>
        <w:t>）+安全文明施工费的合计）或按上述合同条款确定的其他总价并按上述图纸、合同条款、技术规范的条件要求承包上述工程的实施、完工和维修。</w:t>
      </w:r>
    </w:p>
    <w:p>
      <w:pPr>
        <w:adjustRightInd w:val="0"/>
        <w:snapToGrid w:val="0"/>
        <w:spacing w:line="460" w:lineRule="exact"/>
        <w:ind w:left="225" w:leftChars="107" w:right="-145"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2.如果我方</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被接受，我们将履行</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rPr>
        <w:t>中规定的每一项要求，按期、按质、按量、确保安全完成施工任务。</w:t>
      </w:r>
    </w:p>
    <w:p>
      <w:pPr>
        <w:adjustRightInd w:val="0"/>
        <w:snapToGrid w:val="0"/>
        <w:spacing w:line="460" w:lineRule="exact"/>
        <w:ind w:left="235" w:leftChars="112" w:right="-145" w:firstLine="539" w:firstLineChars="257"/>
        <w:rPr>
          <w:rFonts w:hint="eastAsia" w:ascii="宋体" w:hAnsi="宋体" w:eastAsia="宋体" w:cs="宋体"/>
          <w:color w:val="auto"/>
          <w:sz w:val="24"/>
          <w:highlight w:val="none"/>
        </w:rPr>
      </w:pPr>
      <w:r>
        <w:rPr>
          <w:rFonts w:hint="eastAsia" w:ascii="宋体" w:hAnsi="宋体" w:eastAsia="宋体" w:cs="宋体"/>
          <w:color w:val="auto"/>
          <w:szCs w:val="21"/>
          <w:highlight w:val="none"/>
        </w:rPr>
        <w:t>3、</w:t>
      </w:r>
      <w:r>
        <w:rPr>
          <w:rFonts w:hint="eastAsia" w:ascii="宋体" w:hAnsi="宋体" w:eastAsia="宋体" w:cs="宋体"/>
          <w:color w:val="auto"/>
          <w:sz w:val="24"/>
          <w:highlight w:val="none"/>
        </w:rPr>
        <w:t>我方接受评标委员会的</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结果，拟派往</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的项目负责人</w:t>
      </w:r>
      <w:r>
        <w:rPr>
          <w:rFonts w:hint="eastAsia" w:ascii="宋体" w:hAnsi="宋体" w:eastAsia="宋体" w:cs="宋体"/>
          <w:color w:val="auto"/>
          <w:sz w:val="24"/>
          <w:highlight w:val="none"/>
          <w:u w:val="single"/>
        </w:rPr>
        <w:t xml:space="preserve">    （项目负责人姓名）</w:t>
      </w:r>
      <w:r>
        <w:rPr>
          <w:rFonts w:hint="eastAsia" w:ascii="宋体" w:hAnsi="宋体" w:eastAsia="宋体" w:cs="宋体"/>
          <w:color w:val="auto"/>
          <w:sz w:val="24"/>
          <w:highlight w:val="none"/>
        </w:rPr>
        <w:t>现阶段没有担任任何在建工程项目的项目负责人。</w:t>
      </w:r>
    </w:p>
    <w:p>
      <w:pPr>
        <w:adjustRightInd w:val="0"/>
        <w:snapToGrid w:val="0"/>
        <w:spacing w:line="460" w:lineRule="exact"/>
        <w:ind w:left="235" w:leftChars="112" w:right="-145" w:firstLine="398" w:firstLineChars="166"/>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我方保证上述信息的真实和准确，并愿意承担因我方就此弄虚作假所引起的一切法律后果。</w:t>
      </w:r>
    </w:p>
    <w:p>
      <w:pPr>
        <w:adjustRightInd w:val="0"/>
        <w:snapToGrid w:val="0"/>
        <w:spacing w:line="460" w:lineRule="exact"/>
        <w:ind w:right="560"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4.我们同意按</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rPr>
        <w:t>的规定，本</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有效期为开标后90天。</w:t>
      </w:r>
    </w:p>
    <w:p>
      <w:pPr>
        <w:adjustRightInd w:val="0"/>
        <w:snapToGrid w:val="0"/>
        <w:spacing w:line="460" w:lineRule="exact"/>
        <w:ind w:right="-147"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5.我们愿意</w:t>
      </w:r>
      <w:r>
        <w:rPr>
          <w:rFonts w:hint="eastAsia" w:ascii="宋体" w:hAnsi="宋体" w:cs="宋体"/>
          <w:color w:val="auto"/>
          <w:sz w:val="24"/>
          <w:highlight w:val="none"/>
          <w:lang w:eastAsia="zh-CN"/>
        </w:rPr>
        <w:t>投标采购人</w:t>
      </w:r>
      <w:r>
        <w:rPr>
          <w:rFonts w:hint="eastAsia" w:ascii="宋体" w:hAnsi="宋体" w:eastAsia="宋体" w:cs="宋体"/>
          <w:color w:val="auto"/>
          <w:sz w:val="24"/>
          <w:highlight w:val="none"/>
        </w:rPr>
        <w:t>在</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rPr>
        <w:t>中的一切要求。</w:t>
      </w:r>
    </w:p>
    <w:p>
      <w:pPr>
        <w:adjustRightInd w:val="0"/>
        <w:snapToGrid w:val="0"/>
        <w:spacing w:line="460" w:lineRule="exact"/>
        <w:ind w:left="807" w:leftChars="270" w:right="-145"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6.我们认为你们有选择或拒绝任何投标者</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的权力。我们理解，最低报价不是</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的唯一条件。</w:t>
      </w:r>
    </w:p>
    <w:p>
      <w:pPr>
        <w:adjustRightInd w:val="0"/>
        <w:snapToGrid w:val="0"/>
        <w:spacing w:line="460" w:lineRule="exact"/>
        <w:ind w:right="560"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7.我们愿按</w:t>
      </w:r>
      <w:r>
        <w:rPr>
          <w:rFonts w:hint="eastAsia" w:ascii="宋体" w:hAnsi="宋体" w:eastAsia="宋体" w:cs="宋体"/>
          <w:color w:val="auto"/>
          <w:sz w:val="24"/>
          <w:highlight w:val="none"/>
          <w:lang w:eastAsia="zh-CN"/>
        </w:rPr>
        <w:t>民法典</w:t>
      </w:r>
      <w:r>
        <w:rPr>
          <w:rFonts w:hint="eastAsia" w:ascii="宋体" w:hAnsi="宋体" w:eastAsia="宋体" w:cs="宋体"/>
          <w:color w:val="auto"/>
          <w:sz w:val="24"/>
          <w:highlight w:val="none"/>
        </w:rPr>
        <w:t>履行自己的全部责任。</w:t>
      </w:r>
    </w:p>
    <w:p>
      <w:pPr>
        <w:adjustRightInd w:val="0"/>
        <w:snapToGrid w:val="0"/>
        <w:spacing w:line="460" w:lineRule="exact"/>
        <w:ind w:right="560"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8.该项投标在开标后的全过程中保持有效，不作任何更改和变动。</w:t>
      </w:r>
    </w:p>
    <w:p>
      <w:pPr>
        <w:adjustRightInd w:val="0"/>
        <w:snapToGrid w:val="0"/>
        <w:spacing w:line="460" w:lineRule="exact"/>
        <w:ind w:right="560" w:firstLine="57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.我公司承诺建筑工人的工资在工程结算完毕前全部付清。</w:t>
      </w:r>
    </w:p>
    <w:p>
      <w:pPr>
        <w:adjustRightInd w:val="0"/>
        <w:snapToGrid w:val="0"/>
        <w:spacing w:line="460" w:lineRule="exact"/>
        <w:ind w:right="560" w:firstLine="570"/>
        <w:rPr>
          <w:rFonts w:hint="eastAsia" w:ascii="宋体" w:hAnsi="宋体" w:eastAsia="宋体" w:cs="宋体"/>
          <w:color w:val="auto"/>
          <w:sz w:val="24"/>
          <w:highlight w:val="none"/>
        </w:rPr>
      </w:pPr>
    </w:p>
    <w:p>
      <w:pPr>
        <w:adjustRightInd w:val="0"/>
        <w:snapToGrid w:val="0"/>
        <w:spacing w:line="460" w:lineRule="exact"/>
        <w:ind w:right="560"/>
        <w:rPr>
          <w:rFonts w:hint="eastAsia" w:ascii="宋体" w:hAnsi="宋体" w:eastAsia="宋体" w:cs="宋体"/>
          <w:color w:val="auto"/>
          <w:sz w:val="24"/>
          <w:highlight w:val="none"/>
        </w:rPr>
      </w:pPr>
    </w:p>
    <w:p>
      <w:pPr>
        <w:adjustRightInd w:val="0"/>
        <w:snapToGrid w:val="0"/>
        <w:spacing w:line="460" w:lineRule="exact"/>
        <w:ind w:right="560" w:firstLine="57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：（盖章）</w:t>
      </w:r>
    </w:p>
    <w:p>
      <w:pPr>
        <w:spacing w:line="420" w:lineRule="exact"/>
        <w:rPr>
          <w:rFonts w:hint="eastAsia" w:ascii="宋体" w:hAnsi="宋体" w:eastAsia="宋体" w:cs="宋体"/>
          <w:color w:val="auto"/>
          <w:sz w:val="24"/>
          <w:highlight w:val="none"/>
        </w:rPr>
      </w:pPr>
    </w:p>
    <w:p>
      <w:pPr>
        <w:spacing w:line="42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法定代表人或授权代理人：（签字或盖章）</w:t>
      </w:r>
    </w:p>
    <w:p>
      <w:pPr>
        <w:spacing w:line="420" w:lineRule="exact"/>
        <w:ind w:firstLine="600" w:firstLineChars="250"/>
        <w:rPr>
          <w:rFonts w:hint="eastAsia" w:ascii="宋体" w:hAnsi="宋体" w:eastAsia="宋体" w:cs="宋体"/>
          <w:color w:val="auto"/>
          <w:sz w:val="24"/>
          <w:highlight w:val="none"/>
        </w:rPr>
      </w:pPr>
    </w:p>
    <w:p>
      <w:pPr>
        <w:spacing w:line="420" w:lineRule="exact"/>
        <w:ind w:firstLine="600" w:firstLineChars="250"/>
        <w:rPr>
          <w:rFonts w:hint="eastAsia" w:ascii="宋体" w:hAnsi="宋体" w:eastAsia="宋体" w:cs="宋体"/>
          <w:bCs/>
          <w:color w:val="auto"/>
          <w:sz w:val="24"/>
          <w:highlight w:val="none"/>
        </w:rPr>
      </w:pPr>
      <w:r>
        <w:rPr>
          <w:rFonts w:hint="eastAsia" w:ascii="宋体" w:hAnsi="宋体" w:eastAsia="宋体" w:cs="宋体"/>
          <w:color w:val="auto"/>
          <w:sz w:val="24"/>
          <w:highlight w:val="none"/>
        </w:rPr>
        <w:t>日期：   年   月    日</w:t>
      </w:r>
    </w:p>
    <w:p>
      <w:pPr>
        <w:pageBreakBefore/>
        <w:adjustRightInd w:val="0"/>
        <w:snapToGrid w:val="0"/>
        <w:spacing w:line="460" w:lineRule="exact"/>
        <w:jc w:val="center"/>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eastAsia="zh-CN"/>
        </w:rPr>
        <w:t>格式</w:t>
      </w:r>
      <w:r>
        <w:rPr>
          <w:rFonts w:hint="eastAsia" w:ascii="宋体" w:hAnsi="宋体" w:cs="宋体"/>
          <w:b/>
          <w:bCs w:val="0"/>
          <w:color w:val="auto"/>
          <w:sz w:val="24"/>
          <w:szCs w:val="24"/>
          <w:highlight w:val="none"/>
          <w:lang w:val="en-US" w:eastAsia="zh-CN"/>
        </w:rPr>
        <w:t xml:space="preserve">2  </w:t>
      </w:r>
      <w:r>
        <w:rPr>
          <w:rFonts w:hint="eastAsia" w:ascii="宋体" w:hAnsi="宋体" w:eastAsia="宋体" w:cs="宋体"/>
          <w:b/>
          <w:bCs w:val="0"/>
          <w:color w:val="auto"/>
          <w:sz w:val="24"/>
          <w:szCs w:val="24"/>
          <w:highlight w:val="none"/>
        </w:rPr>
        <w:t>投标书附录</w:t>
      </w:r>
    </w:p>
    <w:tbl>
      <w:tblPr>
        <w:tblStyle w:val="22"/>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595"/>
        <w:gridCol w:w="385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90" w:type="dxa"/>
            <w:noWrap w:val="0"/>
            <w:vAlign w:val="center"/>
          </w:tcPr>
          <w:p>
            <w:pPr>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595" w:type="dxa"/>
            <w:noWrap w:val="0"/>
            <w:vAlign w:val="center"/>
          </w:tcPr>
          <w:p>
            <w:pPr>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3858" w:type="dxa"/>
            <w:noWrap w:val="0"/>
            <w:vAlign w:val="center"/>
          </w:tcPr>
          <w:p>
            <w:pPr>
              <w:spacing w:line="420" w:lineRule="exact"/>
              <w:jc w:val="center"/>
              <w:rPr>
                <w:rFonts w:hint="eastAsia" w:ascii="宋体" w:hAnsi="宋体" w:eastAsia="宋体" w:cs="宋体"/>
                <w:color w:val="auto"/>
                <w:highlight w:val="none"/>
              </w:rPr>
            </w:pPr>
            <w:r>
              <w:rPr>
                <w:rFonts w:hint="eastAsia" w:ascii="宋体" w:hAnsi="宋体" w:cs="宋体"/>
                <w:color w:val="auto"/>
                <w:highlight w:val="none"/>
                <w:lang w:eastAsia="zh-CN"/>
              </w:rPr>
              <w:t>竞争性磋商文件</w:t>
            </w:r>
            <w:r>
              <w:rPr>
                <w:rFonts w:hint="eastAsia" w:ascii="宋体" w:hAnsi="宋体" w:eastAsia="宋体" w:cs="宋体"/>
                <w:color w:val="auto"/>
                <w:highlight w:val="none"/>
              </w:rPr>
              <w:t>要求</w:t>
            </w:r>
          </w:p>
        </w:tc>
        <w:tc>
          <w:tcPr>
            <w:tcW w:w="1512" w:type="dxa"/>
            <w:noWrap w:val="0"/>
            <w:vAlign w:val="center"/>
          </w:tcPr>
          <w:p>
            <w:pPr>
              <w:spacing w:line="420" w:lineRule="exact"/>
              <w:jc w:val="center"/>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790" w:type="dxa"/>
            <w:noWrap w:val="0"/>
            <w:vAlign w:val="center"/>
          </w:tcPr>
          <w:p>
            <w:pPr>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595" w:type="dxa"/>
            <w:noWrap w:val="0"/>
            <w:vAlign w:val="center"/>
          </w:tcPr>
          <w:p>
            <w:pPr>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3858" w:type="dxa"/>
            <w:noWrap w:val="0"/>
            <w:vAlign w:val="center"/>
          </w:tcPr>
          <w:p>
            <w:pPr>
              <w:spacing w:line="280" w:lineRule="exac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总工期</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天（日历日）。</w:t>
            </w:r>
          </w:p>
        </w:tc>
        <w:tc>
          <w:tcPr>
            <w:tcW w:w="1512" w:type="dxa"/>
            <w:noWrap w:val="0"/>
            <w:vAlign w:val="center"/>
          </w:tcPr>
          <w:p>
            <w:pPr>
              <w:pStyle w:val="7"/>
              <w:spacing w:line="280" w:lineRule="exact"/>
              <w:ind w:left="105" w:leftChars="0" w:hanging="105" w:hangingChars="50"/>
              <w:jc w:val="both"/>
              <w:rPr>
                <w:rFonts w:hint="eastAsia" w:ascii="宋体" w:hAnsi="宋体" w:eastAsia="宋体" w:cs="宋体"/>
                <w:color w:val="auto"/>
                <w:kern w:val="2"/>
                <w:sz w:val="28"/>
                <w:highlight w:val="none"/>
                <w:lang w:val="en-US" w:eastAsia="zh-CN"/>
              </w:rPr>
            </w:pPr>
            <w:r>
              <w:rPr>
                <w:rFonts w:hint="eastAsia" w:ascii="宋体" w:hAnsi="宋体" w:cs="宋体"/>
                <w:color w:val="auto"/>
                <w:kern w:val="2"/>
                <w:sz w:val="21"/>
                <w:szCs w:val="21"/>
                <w:highlight w:val="none"/>
                <w:lang w:val="en-US" w:eastAsia="zh-CN"/>
              </w:rPr>
              <w:t>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90" w:type="dxa"/>
            <w:noWrap w:val="0"/>
            <w:vAlign w:val="center"/>
          </w:tcPr>
          <w:p>
            <w:pPr>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595" w:type="dxa"/>
            <w:noWrap w:val="0"/>
            <w:vAlign w:val="center"/>
          </w:tcPr>
          <w:p>
            <w:pPr>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延误工期赔偿费金额</w:t>
            </w:r>
          </w:p>
        </w:tc>
        <w:tc>
          <w:tcPr>
            <w:tcW w:w="3858" w:type="dxa"/>
            <w:noWrap w:val="0"/>
            <w:vAlign w:val="center"/>
          </w:tcPr>
          <w:p>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逾期天数×签约合同价款的千分之十五</w:t>
            </w:r>
          </w:p>
        </w:tc>
        <w:tc>
          <w:tcPr>
            <w:tcW w:w="1512" w:type="dxa"/>
            <w:noWrap w:val="0"/>
            <w:vAlign w:val="center"/>
          </w:tcPr>
          <w:p>
            <w:pPr>
              <w:spacing w:line="420" w:lineRule="exact"/>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90" w:type="dxa"/>
            <w:noWrap w:val="0"/>
            <w:vAlign w:val="center"/>
          </w:tcPr>
          <w:p>
            <w:pPr>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595" w:type="dxa"/>
            <w:noWrap w:val="0"/>
            <w:vAlign w:val="center"/>
          </w:tcPr>
          <w:p>
            <w:pPr>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延误工期赔偿费金额的最大限额</w:t>
            </w:r>
          </w:p>
        </w:tc>
        <w:tc>
          <w:tcPr>
            <w:tcW w:w="3858" w:type="dxa"/>
            <w:noWrap w:val="0"/>
            <w:vAlign w:val="center"/>
          </w:tcPr>
          <w:p>
            <w:pPr>
              <w:spacing w:line="420" w:lineRule="exac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价款的</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p>
        </w:tc>
        <w:tc>
          <w:tcPr>
            <w:tcW w:w="1512" w:type="dxa"/>
            <w:noWrap w:val="0"/>
            <w:vAlign w:val="center"/>
          </w:tcPr>
          <w:p>
            <w:pPr>
              <w:spacing w:line="420" w:lineRule="exact"/>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90" w:type="dxa"/>
            <w:noWrap w:val="0"/>
            <w:vAlign w:val="center"/>
          </w:tcPr>
          <w:p>
            <w:pPr>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595" w:type="dxa"/>
            <w:noWrap w:val="0"/>
            <w:vAlign w:val="center"/>
          </w:tcPr>
          <w:p>
            <w:pPr>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工程质量目标</w:t>
            </w:r>
          </w:p>
        </w:tc>
        <w:tc>
          <w:tcPr>
            <w:tcW w:w="3858" w:type="dxa"/>
            <w:noWrap w:val="0"/>
            <w:vAlign w:val="center"/>
          </w:tcPr>
          <w:p>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w:t>
            </w:r>
          </w:p>
        </w:tc>
        <w:tc>
          <w:tcPr>
            <w:tcW w:w="1512" w:type="dxa"/>
            <w:noWrap w:val="0"/>
            <w:vAlign w:val="center"/>
          </w:tcPr>
          <w:p>
            <w:pPr>
              <w:spacing w:line="420" w:lineRule="exact"/>
              <w:rPr>
                <w:rFonts w:hint="eastAsia" w:ascii="宋体" w:hAnsi="宋体" w:eastAsia="宋体" w:cs="宋体"/>
                <w:bCs/>
                <w:color w:val="auto"/>
                <w:highlight w:val="none"/>
                <w:lang w:eastAsia="zh-CN"/>
              </w:rPr>
            </w:pPr>
            <w:r>
              <w:rPr>
                <w:rFonts w:hint="eastAsia" w:ascii="宋体" w:hAnsi="宋体" w:cs="宋体"/>
                <w:color w:val="auto"/>
                <w:szCs w:val="21"/>
                <w:highlight w:val="none"/>
                <w:lang w:eastAsia="zh-CN"/>
              </w:rPr>
              <w:t>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790" w:type="dxa"/>
            <w:noWrap w:val="0"/>
            <w:vAlign w:val="center"/>
          </w:tcPr>
          <w:p>
            <w:pPr>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595" w:type="dxa"/>
            <w:noWrap w:val="0"/>
            <w:vAlign w:val="center"/>
          </w:tcPr>
          <w:p>
            <w:pPr>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承包人擅自分包，向发包人支付的违约金金额</w:t>
            </w:r>
          </w:p>
        </w:tc>
        <w:tc>
          <w:tcPr>
            <w:tcW w:w="3858" w:type="dxa"/>
            <w:noWrap w:val="0"/>
            <w:vAlign w:val="center"/>
          </w:tcPr>
          <w:p>
            <w:pPr>
              <w:adjustRightInd w:val="0"/>
              <w:snapToGrid w:val="0"/>
              <w:spacing w:line="380" w:lineRule="exact"/>
              <w:ind w:right="207"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签约合同价款的5%</w:t>
            </w:r>
          </w:p>
        </w:tc>
        <w:tc>
          <w:tcPr>
            <w:tcW w:w="1512" w:type="dxa"/>
            <w:noWrap w:val="0"/>
            <w:vAlign w:val="center"/>
          </w:tcPr>
          <w:p>
            <w:pPr>
              <w:spacing w:line="420" w:lineRule="exact"/>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790" w:type="dxa"/>
            <w:noWrap w:val="0"/>
            <w:vAlign w:val="center"/>
          </w:tcPr>
          <w:p>
            <w:pPr>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595" w:type="dxa"/>
            <w:noWrap w:val="0"/>
            <w:vAlign w:val="center"/>
          </w:tcPr>
          <w:p>
            <w:pPr>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承包人转包或转让所承包的全部或部分内容，向发包人支付的违约金金额</w:t>
            </w:r>
          </w:p>
        </w:tc>
        <w:tc>
          <w:tcPr>
            <w:tcW w:w="3858" w:type="dxa"/>
            <w:noWrap w:val="0"/>
            <w:vAlign w:val="center"/>
          </w:tcPr>
          <w:p>
            <w:pPr>
              <w:adjustRightInd w:val="0"/>
              <w:snapToGrid w:val="0"/>
              <w:spacing w:line="380" w:lineRule="exact"/>
              <w:ind w:right="207"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签约合同价款的5%</w:t>
            </w:r>
          </w:p>
        </w:tc>
        <w:tc>
          <w:tcPr>
            <w:tcW w:w="1512" w:type="dxa"/>
            <w:noWrap w:val="0"/>
            <w:vAlign w:val="center"/>
          </w:tcPr>
          <w:p>
            <w:pPr>
              <w:spacing w:line="420" w:lineRule="exact"/>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790" w:type="dxa"/>
            <w:noWrap w:val="0"/>
            <w:vAlign w:val="center"/>
          </w:tcPr>
          <w:p>
            <w:pPr>
              <w:spacing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2595" w:type="dxa"/>
            <w:noWrap w:val="0"/>
            <w:vAlign w:val="center"/>
          </w:tcPr>
          <w:p>
            <w:pPr>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3858" w:type="dxa"/>
            <w:noWrap w:val="0"/>
            <w:vAlign w:val="center"/>
          </w:tcPr>
          <w:p>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详见专用合同条款的相关内容</w:t>
            </w:r>
          </w:p>
        </w:tc>
        <w:tc>
          <w:tcPr>
            <w:tcW w:w="1512" w:type="dxa"/>
            <w:noWrap w:val="0"/>
            <w:vAlign w:val="center"/>
          </w:tcPr>
          <w:p>
            <w:pPr>
              <w:spacing w:line="420" w:lineRule="exact"/>
              <w:rPr>
                <w:rFonts w:hint="eastAsia" w:ascii="宋体" w:hAnsi="宋体" w:eastAsia="宋体" w:cs="宋体"/>
                <w:bCs/>
                <w:color w:val="auto"/>
                <w:highlight w:val="none"/>
              </w:rPr>
            </w:pPr>
          </w:p>
        </w:tc>
      </w:tr>
    </w:tbl>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说明：上述内容，各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必须按</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的格式填写，各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将自报工期和质量承诺填写在附表1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“投标总价”中，本表不得出现自报工期和质量承诺。</w:t>
      </w:r>
    </w:p>
    <w:p>
      <w:pPr>
        <w:spacing w:line="420" w:lineRule="exact"/>
        <w:ind w:firstLine="525" w:firstLineChars="250"/>
        <w:rPr>
          <w:rFonts w:hint="eastAsia" w:ascii="宋体" w:hAnsi="宋体" w:eastAsia="宋体" w:cs="宋体"/>
          <w:color w:val="auto"/>
          <w:szCs w:val="21"/>
          <w:highlight w:val="none"/>
        </w:rPr>
      </w:pPr>
    </w:p>
    <w:p>
      <w:pPr>
        <w:spacing w:line="420" w:lineRule="exact"/>
        <w:ind w:firstLine="525" w:firstLineChars="25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：（盖章）</w:t>
      </w:r>
    </w:p>
    <w:p>
      <w:pPr>
        <w:spacing w:line="420" w:lineRule="exact"/>
        <w:ind w:firstLine="525" w:firstLineChars="250"/>
        <w:rPr>
          <w:rFonts w:hint="eastAsia" w:ascii="宋体" w:hAnsi="宋体" w:eastAsia="宋体" w:cs="宋体"/>
          <w:color w:val="auto"/>
          <w:szCs w:val="21"/>
          <w:highlight w:val="none"/>
        </w:rPr>
      </w:pPr>
    </w:p>
    <w:p>
      <w:pPr>
        <w:spacing w:line="42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法定代表人或授权代理人：（签字或盖章）</w:t>
      </w:r>
    </w:p>
    <w:p>
      <w:pPr>
        <w:spacing w:line="420" w:lineRule="exact"/>
        <w:ind w:firstLine="525" w:firstLineChars="250"/>
        <w:rPr>
          <w:rFonts w:hint="eastAsia" w:ascii="宋体" w:hAnsi="宋体" w:eastAsia="宋体" w:cs="宋体"/>
          <w:color w:val="auto"/>
          <w:szCs w:val="21"/>
          <w:highlight w:val="none"/>
        </w:rPr>
      </w:pPr>
    </w:p>
    <w:p>
      <w:pPr>
        <w:spacing w:line="42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pageBreakBefore/>
        <w:numPr>
          <w:ilvl w:val="0"/>
          <w:numId w:val="0"/>
        </w:numPr>
        <w:adjustRightInd w:val="0"/>
        <w:snapToGrid w:val="0"/>
        <w:spacing w:line="460" w:lineRule="exact"/>
        <w:jc w:val="center"/>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eastAsia="zh-CN"/>
        </w:rPr>
        <w:t>格式</w:t>
      </w:r>
      <w:r>
        <w:rPr>
          <w:rFonts w:hint="eastAsia" w:ascii="宋体" w:hAnsi="宋体" w:cs="宋体"/>
          <w:b/>
          <w:bCs w:val="0"/>
          <w:color w:val="auto"/>
          <w:sz w:val="24"/>
          <w:szCs w:val="24"/>
          <w:highlight w:val="none"/>
          <w:lang w:val="en-US" w:eastAsia="zh-CN"/>
        </w:rPr>
        <w:t xml:space="preserve">3  </w:t>
      </w:r>
      <w:r>
        <w:rPr>
          <w:rFonts w:hint="eastAsia" w:ascii="宋体" w:hAnsi="宋体" w:eastAsia="宋体" w:cs="宋体"/>
          <w:b/>
          <w:bCs w:val="0"/>
          <w:color w:val="auto"/>
          <w:sz w:val="24"/>
          <w:szCs w:val="24"/>
          <w:highlight w:val="none"/>
        </w:rPr>
        <w:t>法定代表人资格证明文件</w:t>
      </w:r>
    </w:p>
    <w:p>
      <w:pPr>
        <w:autoSpaceDE w:val="0"/>
        <w:autoSpaceDN w:val="0"/>
        <w:adjustRightInd w:val="0"/>
        <w:jc w:val="center"/>
        <w:rPr>
          <w:rFonts w:hint="eastAsia" w:ascii="宋体" w:hAnsi="宋体" w:eastAsia="宋体" w:cs="宋体"/>
          <w:b/>
          <w:color w:val="auto"/>
          <w:kern w:val="0"/>
          <w:sz w:val="24"/>
          <w:szCs w:val="24"/>
          <w:highlight w:val="none"/>
        </w:rPr>
      </w:pP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w:t>
      </w: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p>
      <w:pPr>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同志现在任我单位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职务，为法定代表人。</w:t>
      </w:r>
    </w:p>
    <w:p>
      <w:pPr>
        <w:spacing w:line="480" w:lineRule="auto"/>
        <w:ind w:firstLine="333" w:firstLineChars="13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spacing w:line="480" w:lineRule="auto"/>
        <w:ind w:firstLine="333" w:firstLineChars="139"/>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附：法定代表人：姓名：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p>
    <w:p>
      <w:pPr>
        <w:spacing w:line="480" w:lineRule="auto"/>
        <w:ind w:firstLine="335" w:firstLineChars="139"/>
        <w:rPr>
          <w:rFonts w:hint="eastAsia" w:ascii="宋体" w:hAnsi="宋体" w:eastAsia="宋体" w:cs="宋体"/>
          <w:b/>
          <w:color w:val="auto"/>
          <w:sz w:val="24"/>
          <w:szCs w:val="24"/>
          <w:highlight w:val="none"/>
        </w:rPr>
      </w:pPr>
    </w:p>
    <w:p>
      <w:pPr>
        <w:autoSpaceDE w:val="0"/>
        <w:autoSpaceDN w:val="0"/>
        <w:adjustRightInd w:val="0"/>
        <w:rPr>
          <w:rFonts w:hint="eastAsia" w:ascii="宋体" w:hAnsi="宋体" w:eastAsia="宋体" w:cs="宋体"/>
          <w:color w:val="auto"/>
          <w:kern w:val="0"/>
          <w:sz w:val="24"/>
          <w:szCs w:val="24"/>
          <w:highlight w:val="none"/>
        </w:rPr>
      </w:pPr>
    </w:p>
    <w:p>
      <w:pPr>
        <w:autoSpaceDE w:val="0"/>
        <w:autoSpaceDN w:val="0"/>
        <w:adjustRightInd w:val="0"/>
        <w:rPr>
          <w:rFonts w:hint="eastAsia" w:ascii="宋体" w:hAnsi="宋体" w:eastAsia="宋体" w:cs="宋体"/>
          <w:color w:val="auto"/>
          <w:kern w:val="0"/>
          <w:sz w:val="24"/>
          <w:szCs w:val="24"/>
          <w:highlight w:val="none"/>
        </w:rPr>
      </w:pPr>
    </w:p>
    <w:p>
      <w:pPr>
        <w:autoSpaceDE w:val="0"/>
        <w:autoSpaceDN w:val="0"/>
        <w:adjustRightInd w:val="0"/>
        <w:rPr>
          <w:rFonts w:hint="eastAsia" w:ascii="宋体" w:hAnsi="宋体" w:eastAsia="宋体" w:cs="宋体"/>
          <w:color w:val="auto"/>
          <w:kern w:val="0"/>
          <w:sz w:val="24"/>
          <w:szCs w:val="24"/>
          <w:highlight w:val="none"/>
        </w:rPr>
      </w:pPr>
    </w:p>
    <w:p>
      <w:pPr>
        <w:autoSpaceDE w:val="0"/>
        <w:autoSpaceDN w:val="0"/>
        <w:adjustRightInd w:val="0"/>
        <w:rPr>
          <w:rFonts w:hint="eastAsia" w:ascii="宋体" w:hAnsi="宋体" w:eastAsia="宋体" w:cs="宋体"/>
          <w:color w:val="auto"/>
          <w:kern w:val="0"/>
          <w:sz w:val="24"/>
          <w:szCs w:val="24"/>
          <w:highlight w:val="none"/>
        </w:rPr>
      </w:pPr>
    </w:p>
    <w:p>
      <w:pPr>
        <w:autoSpaceDE w:val="0"/>
        <w:autoSpaceDN w:val="0"/>
        <w:adjustRightInd w:val="0"/>
        <w:rPr>
          <w:rFonts w:hint="eastAsia" w:ascii="宋体" w:hAnsi="宋体" w:eastAsia="宋体" w:cs="宋体"/>
          <w:color w:val="auto"/>
          <w:kern w:val="0"/>
          <w:sz w:val="24"/>
          <w:szCs w:val="24"/>
          <w:highlight w:val="none"/>
        </w:rPr>
      </w:pPr>
    </w:p>
    <w:p>
      <w:pPr>
        <w:autoSpaceDE w:val="0"/>
        <w:autoSpaceDN w:val="0"/>
        <w:adjustRightInd w:val="0"/>
        <w:rPr>
          <w:rFonts w:hint="eastAsia" w:ascii="宋体" w:hAnsi="宋体" w:eastAsia="宋体" w:cs="宋体"/>
          <w:color w:val="auto"/>
          <w:kern w:val="0"/>
          <w:sz w:val="24"/>
          <w:szCs w:val="24"/>
          <w:highlight w:val="none"/>
        </w:rPr>
      </w:pPr>
    </w:p>
    <w:p>
      <w:pPr>
        <w:autoSpaceDE w:val="0"/>
        <w:autoSpaceDN w:val="0"/>
        <w:adjustRightInd w:val="0"/>
        <w:ind w:firstLine="4800" w:firstLineChars="20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：（盖章）</w:t>
      </w:r>
    </w:p>
    <w:p>
      <w:pPr>
        <w:spacing w:line="420" w:lineRule="exact"/>
        <w:ind w:firstLine="2880" w:firstLineChars="1200"/>
        <w:rPr>
          <w:rFonts w:hint="eastAsia" w:ascii="宋体" w:hAnsi="宋体" w:eastAsia="宋体" w:cs="宋体"/>
          <w:color w:val="auto"/>
          <w:sz w:val="24"/>
          <w:szCs w:val="24"/>
          <w:highlight w:val="none"/>
        </w:rPr>
      </w:pPr>
    </w:p>
    <w:p>
      <w:pPr>
        <w:autoSpaceDE w:val="0"/>
        <w:autoSpaceDN w:val="0"/>
        <w:adjustRightInd w:val="0"/>
        <w:ind w:firstLine="2880" w:firstLineChars="1200"/>
        <w:rPr>
          <w:rFonts w:hint="eastAsia" w:ascii="宋体" w:hAnsi="宋体" w:eastAsia="宋体" w:cs="宋体"/>
          <w:color w:val="auto"/>
          <w:kern w:val="0"/>
          <w:sz w:val="24"/>
          <w:szCs w:val="24"/>
          <w:highlight w:val="none"/>
        </w:rPr>
      </w:pPr>
    </w:p>
    <w:p>
      <w:pPr>
        <w:autoSpaceDE w:val="0"/>
        <w:autoSpaceDN w:val="0"/>
        <w:adjustRightInd w:val="0"/>
        <w:ind w:firstLine="6000" w:firstLineChars="25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autoSpaceDE w:val="0"/>
        <w:autoSpaceDN w:val="0"/>
        <w:adjustRightInd w:val="0"/>
        <w:ind w:firstLine="4200" w:firstLineChars="1750"/>
        <w:rPr>
          <w:rFonts w:hint="eastAsia" w:ascii="宋体" w:hAnsi="宋体" w:eastAsia="宋体" w:cs="宋体"/>
          <w:color w:val="auto"/>
          <w:kern w:val="0"/>
          <w:sz w:val="24"/>
          <w:szCs w:val="24"/>
          <w:highlight w:val="none"/>
        </w:rPr>
      </w:pPr>
    </w:p>
    <w:p>
      <w:pPr>
        <w:autoSpaceDE w:val="0"/>
        <w:autoSpaceDN w:val="0"/>
        <w:adjustRightInd w:val="0"/>
        <w:ind w:firstLine="4200" w:firstLineChars="1750"/>
        <w:rPr>
          <w:rFonts w:hint="eastAsia" w:ascii="宋体" w:hAnsi="宋体" w:eastAsia="宋体" w:cs="宋体"/>
          <w:color w:val="auto"/>
          <w:kern w:val="0"/>
          <w:sz w:val="24"/>
          <w:highlight w:val="none"/>
        </w:rPr>
      </w:pPr>
    </w:p>
    <w:tbl>
      <w:tblPr>
        <w:tblStyle w:val="22"/>
        <w:tblpPr w:leftFromText="180" w:rightFromText="180" w:vertAnchor="text" w:horzAnchor="page" w:tblpX="1692" w:tblpY="1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3" w:hRule="atLeast"/>
        </w:trPr>
        <w:tc>
          <w:tcPr>
            <w:tcW w:w="9186" w:type="dxa"/>
            <w:noWrap w:val="0"/>
            <w:vAlign w:val="center"/>
          </w:tcPr>
          <w:p>
            <w:pPr>
              <w:autoSpaceDE w:val="0"/>
              <w:autoSpaceDN w:val="0"/>
              <w:adjustRightIn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法定代表人身份证粘贴处</w:t>
            </w:r>
          </w:p>
        </w:tc>
      </w:tr>
    </w:tbl>
    <w:p>
      <w:pPr>
        <w:autoSpaceDE w:val="0"/>
        <w:autoSpaceDN w:val="0"/>
        <w:adjustRightInd w:val="0"/>
        <w:ind w:firstLine="210" w:firstLineChars="100"/>
        <w:jc w:val="left"/>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要求：法定代表人身份证复印件应反映证件有效期所载内容，</w:t>
      </w:r>
      <w:r>
        <w:rPr>
          <w:rFonts w:hint="eastAsia" w:ascii="宋体" w:hAnsi="宋体" w:eastAsia="宋体" w:cs="宋体"/>
          <w:color w:val="auto"/>
          <w:highlight w:val="none"/>
        </w:rPr>
        <w:t>正反两面复印，</w:t>
      </w:r>
      <w:r>
        <w:rPr>
          <w:rFonts w:hint="eastAsia" w:ascii="宋体" w:hAnsi="宋体" w:eastAsia="宋体" w:cs="宋体"/>
          <w:color w:val="auto"/>
          <w:szCs w:val="21"/>
          <w:highlight w:val="none"/>
        </w:rPr>
        <w:t>作为本表的附件（要求复印清晰）。</w:t>
      </w:r>
    </w:p>
    <w:p>
      <w:pPr>
        <w:pageBreakBefore/>
        <w:adjustRightInd w:val="0"/>
        <w:snapToGrid w:val="0"/>
        <w:spacing w:line="460" w:lineRule="exact"/>
        <w:jc w:val="center"/>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eastAsia="zh-CN"/>
        </w:rPr>
        <w:t>格式</w:t>
      </w:r>
      <w:r>
        <w:rPr>
          <w:rFonts w:hint="eastAsia" w:ascii="宋体" w:hAnsi="宋体" w:cs="宋体"/>
          <w:b/>
          <w:bCs w:val="0"/>
          <w:color w:val="auto"/>
          <w:sz w:val="24"/>
          <w:szCs w:val="24"/>
          <w:highlight w:val="none"/>
          <w:lang w:val="en-US" w:eastAsia="zh-CN"/>
        </w:rPr>
        <w:t xml:space="preserve">4  </w:t>
      </w:r>
      <w:r>
        <w:rPr>
          <w:rFonts w:hint="eastAsia" w:ascii="宋体" w:hAnsi="宋体" w:eastAsia="宋体" w:cs="宋体"/>
          <w:b/>
          <w:bCs w:val="0"/>
          <w:color w:val="auto"/>
          <w:sz w:val="24"/>
          <w:szCs w:val="24"/>
          <w:highlight w:val="none"/>
        </w:rPr>
        <w:t>法定代表人授权委托书</w:t>
      </w:r>
    </w:p>
    <w:p>
      <w:pPr>
        <w:spacing w:line="420" w:lineRule="exact"/>
        <w:ind w:firstLine="628" w:firstLine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名称）的法人代表人，现授权委托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（姓名）为我公司代理人，以本公司的名义参加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招标工程的投标活动。代理人在参加整个工程招标活动、合同谈判过程中所签署的一切文件和处理与之有关的一切业务，我均予以承认。</w:t>
      </w:r>
    </w:p>
    <w:p>
      <w:pPr>
        <w:spacing w:line="420" w:lineRule="exact"/>
        <w:ind w:firstLine="628" w:firstLineChars="262"/>
        <w:rPr>
          <w:rFonts w:hint="eastAsia" w:ascii="宋体" w:hAnsi="宋体" w:eastAsia="宋体" w:cs="宋体"/>
          <w:color w:val="auto"/>
          <w:sz w:val="24"/>
          <w:szCs w:val="24"/>
          <w:highlight w:val="none"/>
        </w:rPr>
      </w:pPr>
    </w:p>
    <w:p>
      <w:pPr>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p>
    <w:p>
      <w:pPr>
        <w:spacing w:line="420" w:lineRule="exact"/>
        <w:rPr>
          <w:rFonts w:hint="eastAsia" w:ascii="宋体" w:hAnsi="宋体" w:eastAsia="宋体" w:cs="宋体"/>
          <w:color w:val="auto"/>
          <w:sz w:val="24"/>
          <w:szCs w:val="24"/>
          <w:highlight w:val="none"/>
          <w:u w:val="single"/>
        </w:rPr>
      </w:pPr>
    </w:p>
    <w:p>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spacing w:line="420" w:lineRule="exact"/>
        <w:rPr>
          <w:rFonts w:hint="eastAsia" w:ascii="宋体" w:hAnsi="宋体" w:eastAsia="宋体" w:cs="宋体"/>
          <w:color w:val="auto"/>
          <w:sz w:val="24"/>
          <w:szCs w:val="24"/>
          <w:highlight w:val="none"/>
        </w:rPr>
      </w:pPr>
    </w:p>
    <w:p>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代理人无转委权 。特此委托。</w:t>
      </w:r>
    </w:p>
    <w:p>
      <w:pPr>
        <w:spacing w:line="420" w:lineRule="exact"/>
        <w:rPr>
          <w:rFonts w:hint="eastAsia" w:ascii="宋体" w:hAnsi="宋体" w:eastAsia="宋体" w:cs="宋体"/>
          <w:color w:val="auto"/>
          <w:sz w:val="24"/>
          <w:szCs w:val="24"/>
          <w:highlight w:val="none"/>
        </w:rPr>
      </w:pPr>
    </w:p>
    <w:p>
      <w:pPr>
        <w:spacing w:line="42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：（盖章）</w:t>
      </w:r>
    </w:p>
    <w:p>
      <w:pPr>
        <w:spacing w:line="420" w:lineRule="exact"/>
        <w:rPr>
          <w:rFonts w:hint="eastAsia" w:ascii="宋体" w:hAnsi="宋体" w:eastAsia="宋体" w:cs="宋体"/>
          <w:color w:val="auto"/>
          <w:sz w:val="24"/>
          <w:szCs w:val="24"/>
          <w:highlight w:val="none"/>
        </w:rPr>
      </w:pPr>
    </w:p>
    <w:p>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pacing w:line="420" w:lineRule="exact"/>
        <w:rPr>
          <w:rFonts w:hint="eastAsia" w:ascii="宋体" w:hAnsi="宋体" w:eastAsia="宋体" w:cs="宋体"/>
          <w:color w:val="auto"/>
          <w:sz w:val="24"/>
          <w:szCs w:val="24"/>
          <w:highlight w:val="none"/>
        </w:rPr>
      </w:pPr>
    </w:p>
    <w:p>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授权代理人：（签字或盖章）</w:t>
      </w:r>
    </w:p>
    <w:p>
      <w:pPr>
        <w:spacing w:line="420" w:lineRule="exact"/>
        <w:rPr>
          <w:rFonts w:hint="eastAsia" w:ascii="宋体" w:hAnsi="宋体" w:eastAsia="宋体" w:cs="宋体"/>
          <w:color w:val="auto"/>
          <w:sz w:val="24"/>
          <w:szCs w:val="24"/>
          <w:highlight w:val="none"/>
        </w:rPr>
      </w:pPr>
    </w:p>
    <w:p>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utoSpaceDE w:val="0"/>
        <w:autoSpaceDN w:val="0"/>
        <w:adjustRightInd w:val="0"/>
        <w:rPr>
          <w:rFonts w:hint="eastAsia" w:ascii="宋体" w:hAnsi="宋体" w:eastAsia="宋体" w:cs="宋体"/>
          <w:color w:val="auto"/>
          <w:sz w:val="24"/>
          <w:szCs w:val="24"/>
          <w:highlight w:val="none"/>
        </w:rPr>
      </w:pPr>
    </w:p>
    <w:tbl>
      <w:tblPr>
        <w:tblStyle w:val="22"/>
        <w:tblW w:w="0" w:type="auto"/>
        <w:tblInd w:w="1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6381" w:type="dxa"/>
            <w:noWrap w:val="0"/>
            <w:vAlign w:val="top"/>
          </w:tcPr>
          <w:p>
            <w:pPr>
              <w:autoSpaceDE w:val="0"/>
              <w:autoSpaceDN w:val="0"/>
              <w:adjustRightInd w:val="0"/>
              <w:rPr>
                <w:rFonts w:hint="eastAsia" w:ascii="宋体" w:hAnsi="宋体" w:eastAsia="宋体" w:cs="宋体"/>
                <w:color w:val="auto"/>
                <w:kern w:val="0"/>
                <w:sz w:val="24"/>
                <w:szCs w:val="24"/>
                <w:highlight w:val="none"/>
              </w:rPr>
            </w:pPr>
          </w:p>
          <w:p>
            <w:pPr>
              <w:autoSpaceDE w:val="0"/>
              <w:autoSpaceDN w:val="0"/>
              <w:adjustRightInd w:val="0"/>
              <w:rPr>
                <w:rFonts w:hint="eastAsia" w:ascii="宋体" w:hAnsi="宋体" w:eastAsia="宋体" w:cs="宋体"/>
                <w:color w:val="auto"/>
                <w:kern w:val="0"/>
                <w:sz w:val="24"/>
                <w:szCs w:val="24"/>
                <w:highlight w:val="none"/>
              </w:rPr>
            </w:pPr>
          </w:p>
          <w:p>
            <w:pPr>
              <w:autoSpaceDE w:val="0"/>
              <w:autoSpaceDN w:val="0"/>
              <w:adjustRightInd w:val="0"/>
              <w:rPr>
                <w:rFonts w:hint="eastAsia" w:ascii="宋体" w:hAnsi="宋体" w:eastAsia="宋体" w:cs="宋体"/>
                <w:color w:val="auto"/>
                <w:kern w:val="0"/>
                <w:sz w:val="24"/>
                <w:szCs w:val="24"/>
                <w:highlight w:val="none"/>
              </w:rPr>
            </w:pPr>
          </w:p>
          <w:p>
            <w:pPr>
              <w:autoSpaceDE w:val="0"/>
              <w:autoSpaceDN w:val="0"/>
              <w:adjustRightInd w:val="0"/>
              <w:rPr>
                <w:rFonts w:hint="eastAsia" w:ascii="宋体" w:hAnsi="宋体" w:eastAsia="宋体" w:cs="宋体"/>
                <w:color w:val="auto"/>
                <w:kern w:val="0"/>
                <w:sz w:val="24"/>
                <w:szCs w:val="24"/>
                <w:highlight w:val="none"/>
              </w:rPr>
            </w:pPr>
          </w:p>
          <w:p>
            <w:pPr>
              <w:autoSpaceDE w:val="0"/>
              <w:autoSpaceDN w:val="0"/>
              <w:adjustRightInd w:val="0"/>
              <w:rPr>
                <w:rFonts w:hint="eastAsia" w:ascii="宋体" w:hAnsi="宋体" w:eastAsia="宋体" w:cs="宋体"/>
                <w:color w:val="auto"/>
                <w:kern w:val="0"/>
                <w:sz w:val="24"/>
                <w:szCs w:val="24"/>
                <w:highlight w:val="none"/>
              </w:rPr>
            </w:pPr>
          </w:p>
          <w:p>
            <w:pPr>
              <w:autoSpaceDE w:val="0"/>
              <w:autoSpaceDN w:val="0"/>
              <w:adjustRightIn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授权代理人</w:t>
            </w:r>
            <w:r>
              <w:rPr>
                <w:rFonts w:hint="eastAsia" w:ascii="宋体" w:hAnsi="宋体" w:eastAsia="宋体" w:cs="宋体"/>
                <w:color w:val="auto"/>
                <w:kern w:val="0"/>
                <w:sz w:val="24"/>
                <w:szCs w:val="24"/>
                <w:highlight w:val="none"/>
              </w:rPr>
              <w:t>身份证粘贴处</w:t>
            </w:r>
          </w:p>
          <w:p>
            <w:pPr>
              <w:autoSpaceDE w:val="0"/>
              <w:autoSpaceDN w:val="0"/>
              <w:adjustRightInd w:val="0"/>
              <w:rPr>
                <w:rFonts w:hint="eastAsia" w:ascii="宋体" w:hAnsi="宋体" w:eastAsia="宋体" w:cs="宋体"/>
                <w:color w:val="auto"/>
                <w:kern w:val="0"/>
                <w:sz w:val="24"/>
                <w:szCs w:val="24"/>
                <w:highlight w:val="none"/>
              </w:rPr>
            </w:pPr>
          </w:p>
          <w:p>
            <w:pPr>
              <w:autoSpaceDE w:val="0"/>
              <w:autoSpaceDN w:val="0"/>
              <w:adjustRightInd w:val="0"/>
              <w:rPr>
                <w:rFonts w:hint="eastAsia" w:ascii="宋体" w:hAnsi="宋体" w:eastAsia="宋体" w:cs="宋体"/>
                <w:color w:val="auto"/>
                <w:kern w:val="0"/>
                <w:sz w:val="24"/>
                <w:szCs w:val="24"/>
                <w:highlight w:val="none"/>
              </w:rPr>
            </w:pPr>
          </w:p>
          <w:p>
            <w:pPr>
              <w:autoSpaceDE w:val="0"/>
              <w:autoSpaceDN w:val="0"/>
              <w:adjustRightInd w:val="0"/>
              <w:rPr>
                <w:rFonts w:hint="eastAsia" w:ascii="宋体" w:hAnsi="宋体" w:eastAsia="宋体" w:cs="宋体"/>
                <w:color w:val="auto"/>
                <w:kern w:val="0"/>
                <w:sz w:val="24"/>
                <w:szCs w:val="24"/>
                <w:highlight w:val="none"/>
              </w:rPr>
            </w:pPr>
          </w:p>
          <w:p>
            <w:pPr>
              <w:autoSpaceDE w:val="0"/>
              <w:autoSpaceDN w:val="0"/>
              <w:adjustRightInd w:val="0"/>
              <w:rPr>
                <w:rFonts w:hint="eastAsia" w:ascii="宋体" w:hAnsi="宋体" w:eastAsia="宋体" w:cs="宋体"/>
                <w:color w:val="auto"/>
                <w:kern w:val="0"/>
                <w:sz w:val="24"/>
                <w:szCs w:val="24"/>
                <w:highlight w:val="none"/>
              </w:rPr>
            </w:pPr>
          </w:p>
        </w:tc>
      </w:tr>
    </w:tbl>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要求：授权代理人必须是本企业的人员，须提供授权代理人与本企业有合法的劳动合同以及社会保险关系证明的复印件（加盖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公章），授权代理人身份证复印件应反映证件有效期所载内容，正反两面复印，作为本表的附件（要求复印清晰）。</w:t>
      </w:r>
    </w:p>
    <w:p>
      <w:pPr>
        <w:pStyle w:val="18"/>
        <w:spacing w:before="75" w:beforeAutospacing="0" w:after="75" w:afterAutospacing="0" w:line="320" w:lineRule="exact"/>
        <w:jc w:val="center"/>
        <w:rPr>
          <w:rStyle w:val="25"/>
          <w:rFonts w:hint="eastAsia" w:eastAsia="宋体" w:cs="宋体"/>
          <w:b/>
          <w:bCs w:val="0"/>
          <w:color w:val="auto"/>
          <w:sz w:val="24"/>
          <w:szCs w:val="24"/>
          <w:highlight w:val="none"/>
          <w:lang w:eastAsia="zh-CN"/>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5 </w:t>
      </w:r>
      <w:r>
        <w:rPr>
          <w:rStyle w:val="25"/>
          <w:rFonts w:hint="eastAsia" w:cs="宋体"/>
          <w:b/>
          <w:bCs w:val="0"/>
          <w:color w:val="auto"/>
          <w:sz w:val="24"/>
          <w:szCs w:val="24"/>
          <w:highlight w:val="none"/>
        </w:rPr>
        <w:t xml:space="preserve">  中小企业声明函</w:t>
      </w:r>
    </w:p>
    <w:p>
      <w:pPr>
        <w:pStyle w:val="18"/>
        <w:spacing w:before="75" w:beforeAutospacing="0" w:after="75" w:afterAutospacing="0" w:line="320" w:lineRule="exact"/>
        <w:rPr>
          <w:rStyle w:val="25"/>
          <w:rFonts w:hint="eastAsia" w:cs="宋体"/>
          <w:b w:val="0"/>
          <w:bCs/>
          <w:color w:val="auto"/>
          <w:sz w:val="24"/>
          <w:szCs w:val="24"/>
          <w:highlight w:val="none"/>
        </w:rPr>
      </w:pP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本公司郑重声明，根据《政府采购促进中小企业发展管理办法》（财库（2020）46 号）的规定，本公司参加（单位名称）的（项目名称）采购活动，服务全部由符合政策要求的中小企业承接。相关企业（含联合体中的中小企业、签订分包意向协议的中小企业）的具体情况如下∶ </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u w:val="single"/>
          <w:lang w:val="en-US" w:eastAsia="zh-CN"/>
        </w:rPr>
        <w:t>（标的名称）</w:t>
      </w:r>
      <w:r>
        <w:rPr>
          <w:rFonts w:hint="eastAsia" w:ascii="宋体" w:hAnsi="宋体" w:eastAsia="宋体" w:cs="宋体"/>
          <w:b w:val="0"/>
          <w:bCs/>
          <w:color w:val="auto"/>
          <w:sz w:val="24"/>
          <w:szCs w:val="24"/>
          <w:highlight w:val="none"/>
          <w:lang w:val="en-US" w:eastAsia="zh-CN"/>
        </w:rPr>
        <w:t>，属于</w:t>
      </w:r>
      <w:r>
        <w:rPr>
          <w:rFonts w:hint="eastAsia" w:ascii="宋体" w:hAnsi="宋体" w:eastAsia="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lang w:val="en-US" w:eastAsia="zh-CN"/>
        </w:rPr>
        <w:t>竞争性磋商文件</w:t>
      </w:r>
      <w:r>
        <w:rPr>
          <w:rFonts w:hint="eastAsia" w:ascii="宋体" w:hAnsi="宋体" w:eastAsia="宋体" w:cs="宋体"/>
          <w:b w:val="0"/>
          <w:bCs/>
          <w:color w:val="auto"/>
          <w:sz w:val="24"/>
          <w:szCs w:val="24"/>
          <w:highlight w:val="none"/>
          <w:u w:val="single"/>
          <w:lang w:val="en-US" w:eastAsia="zh-CN"/>
        </w:rPr>
        <w:t>中明确的所属行业）</w:t>
      </w:r>
      <w:r>
        <w:rPr>
          <w:rFonts w:hint="eastAsia" w:ascii="宋体" w:hAnsi="宋体" w:eastAsia="宋体" w:cs="宋体"/>
          <w:b w:val="0"/>
          <w:bCs/>
          <w:color w:val="auto"/>
          <w:sz w:val="24"/>
          <w:szCs w:val="24"/>
          <w:highlight w:val="none"/>
          <w:lang w:val="en-US" w:eastAsia="zh-CN"/>
        </w:rPr>
        <w:t>;承接企业为</w:t>
      </w:r>
      <w:r>
        <w:rPr>
          <w:rFonts w:hint="eastAsia" w:ascii="宋体" w:hAnsi="宋体" w:eastAsia="宋体" w:cs="宋体"/>
          <w:b w:val="0"/>
          <w:bCs/>
          <w:color w:val="auto"/>
          <w:sz w:val="24"/>
          <w:szCs w:val="24"/>
          <w:highlight w:val="none"/>
          <w:u w:val="single"/>
          <w:lang w:val="en-US" w:eastAsia="zh-CN"/>
        </w:rPr>
        <w:t>（企业名称）</w:t>
      </w:r>
      <w:r>
        <w:rPr>
          <w:rFonts w:hint="eastAsia" w:ascii="宋体" w:hAnsi="宋体" w:eastAsia="宋体" w:cs="宋体"/>
          <w:b w:val="0"/>
          <w:bCs/>
          <w:color w:val="auto"/>
          <w:sz w:val="24"/>
          <w:szCs w:val="24"/>
          <w:highlight w:val="none"/>
          <w:lang w:val="en-US" w:eastAsia="zh-CN"/>
        </w:rPr>
        <w:t>，从业人员____人，营业收入为___万元，资产总额为__万元'，属于</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（中型企业、小型企业、微型企业）；</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u w:val="single"/>
          <w:lang w:val="en-US" w:eastAsia="zh-CN"/>
        </w:rPr>
        <w:t>（标的名称）</w:t>
      </w:r>
      <w:r>
        <w:rPr>
          <w:rFonts w:hint="eastAsia" w:ascii="宋体" w:hAnsi="宋体" w:eastAsia="宋体" w:cs="宋体"/>
          <w:b w:val="0"/>
          <w:bCs/>
          <w:color w:val="auto"/>
          <w:sz w:val="24"/>
          <w:szCs w:val="24"/>
          <w:highlight w:val="none"/>
          <w:lang w:val="en-US" w:eastAsia="zh-CN"/>
        </w:rPr>
        <w:t>，属于</w:t>
      </w:r>
      <w:r>
        <w:rPr>
          <w:rFonts w:hint="eastAsia" w:ascii="宋体" w:hAnsi="宋体" w:eastAsia="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lang w:val="en-US" w:eastAsia="zh-CN"/>
        </w:rPr>
        <w:t>竞争性磋商文件</w:t>
      </w:r>
      <w:r>
        <w:rPr>
          <w:rFonts w:hint="eastAsia" w:ascii="宋体" w:hAnsi="宋体" w:eastAsia="宋体" w:cs="宋体"/>
          <w:b w:val="0"/>
          <w:bCs/>
          <w:color w:val="auto"/>
          <w:sz w:val="24"/>
          <w:szCs w:val="24"/>
          <w:highlight w:val="none"/>
          <w:u w:val="single"/>
          <w:lang w:val="en-US" w:eastAsia="zh-CN"/>
        </w:rPr>
        <w:t>中明确的所属行业）</w:t>
      </w:r>
      <w:r>
        <w:rPr>
          <w:rFonts w:hint="eastAsia" w:ascii="宋体" w:hAnsi="宋体" w:eastAsia="宋体" w:cs="宋体"/>
          <w:b w:val="0"/>
          <w:bCs/>
          <w:color w:val="auto"/>
          <w:sz w:val="24"/>
          <w:szCs w:val="24"/>
          <w:highlight w:val="none"/>
          <w:lang w:val="en-US" w:eastAsia="zh-CN"/>
        </w:rPr>
        <w:t>;承接企业为</w:t>
      </w:r>
      <w:r>
        <w:rPr>
          <w:rFonts w:hint="eastAsia" w:ascii="宋体" w:hAnsi="宋体" w:eastAsia="宋体" w:cs="宋体"/>
          <w:b w:val="0"/>
          <w:bCs/>
          <w:color w:val="auto"/>
          <w:sz w:val="24"/>
          <w:szCs w:val="24"/>
          <w:highlight w:val="none"/>
          <w:u w:val="single"/>
          <w:lang w:val="en-US" w:eastAsia="zh-CN"/>
        </w:rPr>
        <w:t>（企业名称）</w:t>
      </w:r>
      <w:r>
        <w:rPr>
          <w:rFonts w:hint="eastAsia" w:ascii="宋体" w:hAnsi="宋体" w:eastAsia="宋体" w:cs="宋体"/>
          <w:b w:val="0"/>
          <w:bCs/>
          <w:color w:val="auto"/>
          <w:sz w:val="24"/>
          <w:szCs w:val="24"/>
          <w:highlight w:val="none"/>
          <w:lang w:val="en-US" w:eastAsia="zh-CN"/>
        </w:rPr>
        <w:t>，从业人员____人，营业收入为___万元，资产总额为__万元'，属于</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（中型企业、小型企业、微型企业）；</w:t>
      </w:r>
    </w:p>
    <w:p>
      <w:pPr>
        <w:pStyle w:val="2"/>
        <w:ind w:firstLine="480" w:firstLineChars="200"/>
        <w:rPr>
          <w:rFonts w:hint="default"/>
          <w:color w:val="auto"/>
          <w:highlight w:val="none"/>
          <w:lang w:val="en-US" w:eastAsia="zh-CN"/>
        </w:rPr>
      </w:pPr>
      <w:r>
        <w:rPr>
          <w:rFonts w:hint="eastAsia" w:ascii="宋体" w:hAnsi="宋体" w:eastAsia="宋体" w:cs="宋体"/>
          <w:b w:val="0"/>
          <w:bCs/>
          <w:color w:val="auto"/>
          <w:sz w:val="24"/>
          <w:szCs w:val="24"/>
          <w:highlight w:val="none"/>
          <w:lang w:val="en-US" w:eastAsia="zh-CN"/>
        </w:rPr>
        <w:t>......</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以上企业，不属于大企业的分支机构，不存在控股股东为大企业的情形，也不存在与大企业的负责人为同一人的情形。 </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本企业对上述声明内容的真实性负责。如有虚假，将依法承担相应责任。 </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企业名称（盖章）∶ </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日 期∶</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注∶ </w:t>
      </w:r>
    </w:p>
    <w:p>
      <w:pPr>
        <w:numPr>
          <w:ilvl w:val="0"/>
          <w:numId w:val="0"/>
        </w:numPr>
        <w:tabs>
          <w:tab w:val="left" w:pos="6300"/>
        </w:tabs>
        <w:snapToGrid w:val="0"/>
        <w:spacing w:line="500" w:lineRule="exact"/>
        <w:ind w:firstLine="480" w:firstLineChars="200"/>
        <w:jc w:val="left"/>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1、从业人员、营业收入、资产总额填报上一年度数据，无上一年度数据的新成立企业可不填报.</w:t>
      </w:r>
    </w:p>
    <w:p>
      <w:pPr>
        <w:pStyle w:val="18"/>
        <w:spacing w:before="75" w:beforeAutospacing="0" w:after="75" w:afterAutospacing="0" w:line="320" w:lineRule="exact"/>
        <w:rPr>
          <w:rStyle w:val="25"/>
          <w:rFonts w:hint="eastAsia" w:cs="宋体"/>
          <w:b w:val="0"/>
          <w:bCs/>
          <w:color w:val="auto"/>
          <w:sz w:val="24"/>
          <w:szCs w:val="24"/>
          <w:highlight w:val="none"/>
        </w:rPr>
        <w:sectPr>
          <w:headerReference r:id="rId5" w:type="default"/>
          <w:footerReference r:id="rId6" w:type="default"/>
          <w:pgSz w:w="11907" w:h="16840"/>
          <w:pgMar w:top="1440" w:right="1417" w:bottom="1440" w:left="1417" w:header="964" w:footer="992" w:gutter="0"/>
          <w:pgBorders>
            <w:top w:val="none" w:sz="0" w:space="0"/>
            <w:left w:val="none" w:sz="0" w:space="0"/>
            <w:bottom w:val="none" w:sz="0" w:space="0"/>
            <w:right w:val="none" w:sz="0" w:space="0"/>
          </w:pgBorders>
          <w:pgNumType w:fmt="decimal" w:start="1"/>
          <w:cols w:space="720" w:num="1"/>
          <w:docGrid w:linePitch="354" w:charSpace="0"/>
        </w:sectPr>
      </w:pPr>
      <w:r>
        <w:rPr>
          <w:rStyle w:val="25"/>
          <w:rFonts w:hint="eastAsia" w:cs="宋体"/>
          <w:b w:val="0"/>
          <w:bCs/>
          <w:color w:val="auto"/>
          <w:sz w:val="24"/>
          <w:szCs w:val="24"/>
          <w:highlight w:val="none"/>
        </w:rPr>
        <w:t xml:space="preserve">                        </w:t>
      </w:r>
    </w:p>
    <w:p>
      <w:pPr>
        <w:pStyle w:val="18"/>
        <w:spacing w:before="75" w:beforeAutospacing="0" w:after="75" w:afterAutospacing="0" w:line="320" w:lineRule="exact"/>
        <w:jc w:val="center"/>
        <w:rPr>
          <w:rStyle w:val="25"/>
          <w:rFonts w:hint="eastAsia" w:eastAsia="宋体" w:cs="宋体"/>
          <w:b/>
          <w:bCs w:val="0"/>
          <w:color w:val="auto"/>
          <w:sz w:val="24"/>
          <w:szCs w:val="24"/>
          <w:highlight w:val="none"/>
          <w:lang w:eastAsia="zh-CN"/>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6</w:t>
      </w:r>
      <w:r>
        <w:rPr>
          <w:rStyle w:val="25"/>
          <w:rFonts w:hint="eastAsia" w:cs="宋体"/>
          <w:b/>
          <w:bCs w:val="0"/>
          <w:color w:val="auto"/>
          <w:sz w:val="24"/>
          <w:szCs w:val="24"/>
          <w:highlight w:val="none"/>
        </w:rPr>
        <w:t xml:space="preserve">  项目负责人简历</w:t>
      </w:r>
    </w:p>
    <w:tbl>
      <w:tblPr>
        <w:tblStyle w:val="22"/>
        <w:tblpPr w:leftFromText="180" w:rightFromText="180" w:vertAnchor="text" w:horzAnchor="page" w:tblpX="2013" w:tblpY="313"/>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215"/>
        <w:gridCol w:w="446"/>
        <w:gridCol w:w="922"/>
        <w:gridCol w:w="731"/>
        <w:gridCol w:w="557"/>
        <w:gridCol w:w="1485"/>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24" w:type="dxa"/>
            <w:noWrap w:val="0"/>
            <w:vAlign w:val="top"/>
          </w:tcPr>
          <w:p>
            <w:pPr>
              <w:spacing w:line="420" w:lineRule="exact"/>
              <w:ind w:right="71" w:rightChars="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61"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922" w:type="dxa"/>
            <w:noWrap w:val="0"/>
            <w:vAlign w:val="top"/>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288"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1485" w:type="dxa"/>
            <w:noWrap w:val="0"/>
            <w:vAlign w:val="top"/>
          </w:tcPr>
          <w:p>
            <w:pPr>
              <w:spacing w:line="420" w:lineRule="exact"/>
              <w:ind w:right="441" w:rightChars="2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年龄</w:t>
            </w:r>
          </w:p>
        </w:tc>
        <w:tc>
          <w:tcPr>
            <w:tcW w:w="2079" w:type="dxa"/>
            <w:noWrap w:val="0"/>
            <w:vAlign w:val="top"/>
          </w:tcPr>
          <w:p>
            <w:pPr>
              <w:spacing w:line="4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24" w:type="dxa"/>
            <w:noWrap w:val="0"/>
            <w:vAlign w:val="top"/>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661"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922" w:type="dxa"/>
            <w:noWrap w:val="0"/>
            <w:vAlign w:val="top"/>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88"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1485" w:type="dxa"/>
            <w:noWrap w:val="0"/>
            <w:vAlign w:val="top"/>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079" w:type="dxa"/>
            <w:noWrap w:val="0"/>
            <w:vAlign w:val="top"/>
          </w:tcPr>
          <w:p>
            <w:pPr>
              <w:spacing w:line="4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2339" w:type="dxa"/>
            <w:gridSpan w:val="2"/>
            <w:noWrap w:val="0"/>
            <w:vAlign w:val="top"/>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参加工作时间</w:t>
            </w:r>
          </w:p>
        </w:tc>
        <w:tc>
          <w:tcPr>
            <w:tcW w:w="1368"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2773" w:type="dxa"/>
            <w:gridSpan w:val="3"/>
            <w:noWrap w:val="0"/>
            <w:vAlign w:val="top"/>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从事项目负责人年限</w:t>
            </w:r>
          </w:p>
        </w:tc>
        <w:tc>
          <w:tcPr>
            <w:tcW w:w="2079" w:type="dxa"/>
            <w:noWrap w:val="0"/>
            <w:vAlign w:val="top"/>
          </w:tcPr>
          <w:p>
            <w:pPr>
              <w:spacing w:line="4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2339" w:type="dxa"/>
            <w:gridSpan w:val="2"/>
            <w:noWrap w:val="0"/>
            <w:vAlign w:val="top"/>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建造师资质情况</w:t>
            </w:r>
          </w:p>
        </w:tc>
        <w:tc>
          <w:tcPr>
            <w:tcW w:w="6220" w:type="dxa"/>
            <w:gridSpan w:val="6"/>
            <w:noWrap w:val="0"/>
            <w:vAlign w:val="top"/>
          </w:tcPr>
          <w:p>
            <w:pPr>
              <w:spacing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等级:           注册证书</w:t>
            </w:r>
            <w:r>
              <w:rPr>
                <w:rFonts w:hint="eastAsia" w:ascii="宋体" w:hAnsi="宋体" w:eastAsia="宋体" w:cs="宋体"/>
                <w:color w:val="auto"/>
                <w:sz w:val="24"/>
                <w:szCs w:val="24"/>
                <w:highlight w:val="none"/>
                <w:lang w:eastAsia="zh-CN"/>
              </w:rPr>
              <w:t>编</w:t>
            </w:r>
            <w:r>
              <w:rPr>
                <w:rFonts w:hint="eastAsia" w:ascii="宋体" w:hAnsi="宋体" w:eastAsia="宋体" w:cs="宋体"/>
                <w:color w:val="auto"/>
                <w:sz w:val="24"/>
                <w:szCs w:val="24"/>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8559" w:type="dxa"/>
            <w:gridSpan w:val="8"/>
            <w:noWrap w:val="0"/>
            <w:vAlign w:val="top"/>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该项目负责人近三年已完工的类似项目情况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24" w:type="dxa"/>
            <w:noWrap w:val="0"/>
            <w:vAlign w:val="top"/>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年～年</w:t>
            </w:r>
          </w:p>
        </w:tc>
        <w:tc>
          <w:tcPr>
            <w:tcW w:w="1661" w:type="dxa"/>
            <w:gridSpan w:val="2"/>
            <w:noWrap w:val="0"/>
            <w:vAlign w:val="top"/>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653" w:type="dxa"/>
            <w:gridSpan w:val="2"/>
            <w:noWrap w:val="0"/>
            <w:vAlign w:val="top"/>
          </w:tcPr>
          <w:p>
            <w:pPr>
              <w:spacing w:line="420" w:lineRule="exact"/>
              <w:ind w:right="-107" w:rightChars="-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建设规模</w:t>
            </w:r>
          </w:p>
        </w:tc>
        <w:tc>
          <w:tcPr>
            <w:tcW w:w="2042" w:type="dxa"/>
            <w:gridSpan w:val="2"/>
            <w:noWrap w:val="0"/>
            <w:vAlign w:val="top"/>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担任何职</w:t>
            </w:r>
          </w:p>
        </w:tc>
        <w:tc>
          <w:tcPr>
            <w:tcW w:w="2079" w:type="dxa"/>
            <w:noWrap w:val="0"/>
            <w:vAlign w:val="top"/>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质量或奖项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24" w:type="dxa"/>
            <w:noWrap w:val="0"/>
            <w:vAlign w:val="top"/>
          </w:tcPr>
          <w:p>
            <w:pPr>
              <w:spacing w:line="420" w:lineRule="exact"/>
              <w:jc w:val="center"/>
              <w:rPr>
                <w:rFonts w:hint="eastAsia" w:ascii="宋体" w:hAnsi="宋体" w:eastAsia="宋体" w:cs="宋体"/>
                <w:color w:val="auto"/>
                <w:sz w:val="24"/>
                <w:szCs w:val="24"/>
                <w:highlight w:val="none"/>
              </w:rPr>
            </w:pPr>
          </w:p>
        </w:tc>
        <w:tc>
          <w:tcPr>
            <w:tcW w:w="1661"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1653"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2042"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2079" w:type="dxa"/>
            <w:noWrap w:val="0"/>
            <w:vAlign w:val="top"/>
          </w:tcPr>
          <w:p>
            <w:pPr>
              <w:spacing w:line="4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24" w:type="dxa"/>
            <w:noWrap w:val="0"/>
            <w:vAlign w:val="top"/>
          </w:tcPr>
          <w:p>
            <w:pPr>
              <w:spacing w:line="420" w:lineRule="exact"/>
              <w:jc w:val="center"/>
              <w:rPr>
                <w:rFonts w:hint="eastAsia" w:ascii="宋体" w:hAnsi="宋体" w:eastAsia="宋体" w:cs="宋体"/>
                <w:color w:val="auto"/>
                <w:sz w:val="24"/>
                <w:szCs w:val="24"/>
                <w:highlight w:val="none"/>
              </w:rPr>
            </w:pPr>
          </w:p>
        </w:tc>
        <w:tc>
          <w:tcPr>
            <w:tcW w:w="1661"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1653"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2042"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2079" w:type="dxa"/>
            <w:noWrap w:val="0"/>
            <w:vAlign w:val="top"/>
          </w:tcPr>
          <w:p>
            <w:pPr>
              <w:spacing w:line="4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24" w:type="dxa"/>
            <w:noWrap w:val="0"/>
            <w:vAlign w:val="top"/>
          </w:tcPr>
          <w:p>
            <w:pPr>
              <w:spacing w:line="420" w:lineRule="exact"/>
              <w:jc w:val="center"/>
              <w:rPr>
                <w:rFonts w:hint="eastAsia" w:ascii="宋体" w:hAnsi="宋体" w:eastAsia="宋体" w:cs="宋体"/>
                <w:color w:val="auto"/>
                <w:sz w:val="24"/>
                <w:szCs w:val="24"/>
                <w:highlight w:val="none"/>
              </w:rPr>
            </w:pPr>
          </w:p>
        </w:tc>
        <w:tc>
          <w:tcPr>
            <w:tcW w:w="1661"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1653"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2042"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2079" w:type="dxa"/>
            <w:noWrap w:val="0"/>
            <w:vAlign w:val="top"/>
          </w:tcPr>
          <w:p>
            <w:pPr>
              <w:spacing w:line="4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24" w:type="dxa"/>
            <w:noWrap w:val="0"/>
            <w:vAlign w:val="top"/>
          </w:tcPr>
          <w:p>
            <w:pPr>
              <w:spacing w:line="420" w:lineRule="exact"/>
              <w:jc w:val="center"/>
              <w:rPr>
                <w:rFonts w:hint="eastAsia" w:ascii="宋体" w:hAnsi="宋体" w:eastAsia="宋体" w:cs="宋体"/>
                <w:color w:val="auto"/>
                <w:sz w:val="24"/>
                <w:szCs w:val="24"/>
                <w:highlight w:val="none"/>
              </w:rPr>
            </w:pPr>
          </w:p>
        </w:tc>
        <w:tc>
          <w:tcPr>
            <w:tcW w:w="1661"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1653"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2042"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2079" w:type="dxa"/>
            <w:noWrap w:val="0"/>
            <w:vAlign w:val="top"/>
          </w:tcPr>
          <w:p>
            <w:pPr>
              <w:spacing w:line="4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24" w:type="dxa"/>
            <w:noWrap w:val="0"/>
            <w:vAlign w:val="top"/>
          </w:tcPr>
          <w:p>
            <w:pPr>
              <w:spacing w:line="420" w:lineRule="exact"/>
              <w:jc w:val="center"/>
              <w:rPr>
                <w:rFonts w:hint="eastAsia" w:ascii="宋体" w:hAnsi="宋体" w:eastAsia="宋体" w:cs="宋体"/>
                <w:color w:val="auto"/>
                <w:sz w:val="24"/>
                <w:szCs w:val="24"/>
                <w:highlight w:val="none"/>
              </w:rPr>
            </w:pPr>
          </w:p>
        </w:tc>
        <w:tc>
          <w:tcPr>
            <w:tcW w:w="1661"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1653"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2042" w:type="dxa"/>
            <w:gridSpan w:val="2"/>
            <w:noWrap w:val="0"/>
            <w:vAlign w:val="top"/>
          </w:tcPr>
          <w:p>
            <w:pPr>
              <w:spacing w:line="420" w:lineRule="exact"/>
              <w:jc w:val="center"/>
              <w:rPr>
                <w:rFonts w:hint="eastAsia" w:ascii="宋体" w:hAnsi="宋体" w:eastAsia="宋体" w:cs="宋体"/>
                <w:color w:val="auto"/>
                <w:sz w:val="24"/>
                <w:szCs w:val="24"/>
                <w:highlight w:val="none"/>
              </w:rPr>
            </w:pPr>
          </w:p>
        </w:tc>
        <w:tc>
          <w:tcPr>
            <w:tcW w:w="2079" w:type="dxa"/>
            <w:noWrap w:val="0"/>
            <w:vAlign w:val="top"/>
          </w:tcPr>
          <w:p>
            <w:pPr>
              <w:spacing w:line="4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24" w:type="dxa"/>
            <w:noWrap w:val="0"/>
            <w:vAlign w:val="top"/>
          </w:tcPr>
          <w:p>
            <w:pPr>
              <w:spacing w:line="420" w:lineRule="exact"/>
              <w:jc w:val="center"/>
              <w:rPr>
                <w:rFonts w:hint="eastAsia" w:ascii="宋体" w:hAnsi="宋体" w:eastAsia="宋体" w:cs="宋体"/>
                <w:bCs/>
                <w:color w:val="auto"/>
                <w:sz w:val="24"/>
                <w:szCs w:val="24"/>
                <w:highlight w:val="none"/>
              </w:rPr>
            </w:pPr>
          </w:p>
        </w:tc>
        <w:tc>
          <w:tcPr>
            <w:tcW w:w="1661" w:type="dxa"/>
            <w:gridSpan w:val="2"/>
            <w:noWrap w:val="0"/>
            <w:vAlign w:val="top"/>
          </w:tcPr>
          <w:p>
            <w:pPr>
              <w:spacing w:line="420" w:lineRule="exact"/>
              <w:jc w:val="center"/>
              <w:rPr>
                <w:rFonts w:hint="eastAsia" w:ascii="宋体" w:hAnsi="宋体" w:eastAsia="宋体" w:cs="宋体"/>
                <w:bCs/>
                <w:color w:val="auto"/>
                <w:sz w:val="24"/>
                <w:szCs w:val="24"/>
                <w:highlight w:val="none"/>
              </w:rPr>
            </w:pPr>
          </w:p>
        </w:tc>
        <w:tc>
          <w:tcPr>
            <w:tcW w:w="1653" w:type="dxa"/>
            <w:gridSpan w:val="2"/>
            <w:noWrap w:val="0"/>
            <w:vAlign w:val="top"/>
          </w:tcPr>
          <w:p>
            <w:pPr>
              <w:spacing w:line="420" w:lineRule="exact"/>
              <w:jc w:val="center"/>
              <w:rPr>
                <w:rFonts w:hint="eastAsia" w:ascii="宋体" w:hAnsi="宋体" w:eastAsia="宋体" w:cs="宋体"/>
                <w:bCs/>
                <w:color w:val="auto"/>
                <w:sz w:val="24"/>
                <w:szCs w:val="24"/>
                <w:highlight w:val="none"/>
              </w:rPr>
            </w:pPr>
          </w:p>
        </w:tc>
        <w:tc>
          <w:tcPr>
            <w:tcW w:w="2042" w:type="dxa"/>
            <w:gridSpan w:val="2"/>
            <w:noWrap w:val="0"/>
            <w:vAlign w:val="top"/>
          </w:tcPr>
          <w:p>
            <w:pPr>
              <w:spacing w:line="420" w:lineRule="exact"/>
              <w:jc w:val="center"/>
              <w:rPr>
                <w:rFonts w:hint="eastAsia" w:ascii="宋体" w:hAnsi="宋体" w:eastAsia="宋体" w:cs="宋体"/>
                <w:bCs/>
                <w:color w:val="auto"/>
                <w:sz w:val="24"/>
                <w:szCs w:val="24"/>
                <w:highlight w:val="none"/>
              </w:rPr>
            </w:pPr>
          </w:p>
        </w:tc>
        <w:tc>
          <w:tcPr>
            <w:tcW w:w="2079" w:type="dxa"/>
            <w:noWrap w:val="0"/>
            <w:vAlign w:val="top"/>
          </w:tcPr>
          <w:p>
            <w:pPr>
              <w:spacing w:line="420" w:lineRule="exact"/>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24" w:type="dxa"/>
            <w:noWrap w:val="0"/>
            <w:vAlign w:val="top"/>
          </w:tcPr>
          <w:p>
            <w:pPr>
              <w:spacing w:line="420" w:lineRule="exact"/>
              <w:jc w:val="center"/>
              <w:rPr>
                <w:rFonts w:hint="eastAsia" w:ascii="宋体" w:hAnsi="宋体" w:eastAsia="宋体" w:cs="宋体"/>
                <w:bCs/>
                <w:color w:val="auto"/>
                <w:sz w:val="24"/>
                <w:szCs w:val="24"/>
                <w:highlight w:val="none"/>
              </w:rPr>
            </w:pPr>
          </w:p>
        </w:tc>
        <w:tc>
          <w:tcPr>
            <w:tcW w:w="1661" w:type="dxa"/>
            <w:gridSpan w:val="2"/>
            <w:noWrap w:val="0"/>
            <w:vAlign w:val="top"/>
          </w:tcPr>
          <w:p>
            <w:pPr>
              <w:spacing w:line="420" w:lineRule="exact"/>
              <w:jc w:val="center"/>
              <w:rPr>
                <w:rFonts w:hint="eastAsia" w:ascii="宋体" w:hAnsi="宋体" w:eastAsia="宋体" w:cs="宋体"/>
                <w:bCs/>
                <w:color w:val="auto"/>
                <w:sz w:val="24"/>
                <w:szCs w:val="24"/>
                <w:highlight w:val="none"/>
              </w:rPr>
            </w:pPr>
          </w:p>
        </w:tc>
        <w:tc>
          <w:tcPr>
            <w:tcW w:w="1653" w:type="dxa"/>
            <w:gridSpan w:val="2"/>
            <w:noWrap w:val="0"/>
            <w:vAlign w:val="top"/>
          </w:tcPr>
          <w:p>
            <w:pPr>
              <w:spacing w:line="420" w:lineRule="exact"/>
              <w:jc w:val="center"/>
              <w:rPr>
                <w:rFonts w:hint="eastAsia" w:ascii="宋体" w:hAnsi="宋体" w:eastAsia="宋体" w:cs="宋体"/>
                <w:bCs/>
                <w:color w:val="auto"/>
                <w:sz w:val="24"/>
                <w:szCs w:val="24"/>
                <w:highlight w:val="none"/>
              </w:rPr>
            </w:pPr>
          </w:p>
        </w:tc>
        <w:tc>
          <w:tcPr>
            <w:tcW w:w="2042" w:type="dxa"/>
            <w:gridSpan w:val="2"/>
            <w:noWrap w:val="0"/>
            <w:vAlign w:val="top"/>
          </w:tcPr>
          <w:p>
            <w:pPr>
              <w:spacing w:line="420" w:lineRule="exact"/>
              <w:jc w:val="center"/>
              <w:rPr>
                <w:rFonts w:hint="eastAsia" w:ascii="宋体" w:hAnsi="宋体" w:eastAsia="宋体" w:cs="宋体"/>
                <w:bCs/>
                <w:color w:val="auto"/>
                <w:sz w:val="24"/>
                <w:szCs w:val="24"/>
                <w:highlight w:val="none"/>
              </w:rPr>
            </w:pPr>
          </w:p>
        </w:tc>
        <w:tc>
          <w:tcPr>
            <w:tcW w:w="2079" w:type="dxa"/>
            <w:noWrap w:val="0"/>
            <w:vAlign w:val="top"/>
          </w:tcPr>
          <w:p>
            <w:pPr>
              <w:spacing w:line="420" w:lineRule="exact"/>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24" w:type="dxa"/>
            <w:noWrap w:val="0"/>
            <w:vAlign w:val="top"/>
          </w:tcPr>
          <w:p>
            <w:pPr>
              <w:spacing w:line="420" w:lineRule="exact"/>
              <w:jc w:val="center"/>
              <w:rPr>
                <w:rFonts w:hint="eastAsia" w:ascii="宋体" w:hAnsi="宋体" w:eastAsia="宋体" w:cs="宋体"/>
                <w:bCs/>
                <w:color w:val="auto"/>
                <w:sz w:val="24"/>
                <w:szCs w:val="24"/>
                <w:highlight w:val="none"/>
              </w:rPr>
            </w:pPr>
          </w:p>
        </w:tc>
        <w:tc>
          <w:tcPr>
            <w:tcW w:w="1661" w:type="dxa"/>
            <w:gridSpan w:val="2"/>
            <w:noWrap w:val="0"/>
            <w:vAlign w:val="top"/>
          </w:tcPr>
          <w:p>
            <w:pPr>
              <w:spacing w:line="420" w:lineRule="exact"/>
              <w:jc w:val="center"/>
              <w:rPr>
                <w:rFonts w:hint="eastAsia" w:ascii="宋体" w:hAnsi="宋体" w:eastAsia="宋体" w:cs="宋体"/>
                <w:bCs/>
                <w:color w:val="auto"/>
                <w:sz w:val="24"/>
                <w:szCs w:val="24"/>
                <w:highlight w:val="none"/>
              </w:rPr>
            </w:pPr>
          </w:p>
        </w:tc>
        <w:tc>
          <w:tcPr>
            <w:tcW w:w="1653" w:type="dxa"/>
            <w:gridSpan w:val="2"/>
            <w:noWrap w:val="0"/>
            <w:vAlign w:val="top"/>
          </w:tcPr>
          <w:p>
            <w:pPr>
              <w:spacing w:line="420" w:lineRule="exact"/>
              <w:jc w:val="center"/>
              <w:rPr>
                <w:rFonts w:hint="eastAsia" w:ascii="宋体" w:hAnsi="宋体" w:eastAsia="宋体" w:cs="宋体"/>
                <w:bCs/>
                <w:color w:val="auto"/>
                <w:sz w:val="24"/>
                <w:szCs w:val="24"/>
                <w:highlight w:val="none"/>
              </w:rPr>
            </w:pPr>
          </w:p>
        </w:tc>
        <w:tc>
          <w:tcPr>
            <w:tcW w:w="2042" w:type="dxa"/>
            <w:gridSpan w:val="2"/>
            <w:noWrap w:val="0"/>
            <w:vAlign w:val="top"/>
          </w:tcPr>
          <w:p>
            <w:pPr>
              <w:spacing w:line="420" w:lineRule="exact"/>
              <w:jc w:val="center"/>
              <w:rPr>
                <w:rFonts w:hint="eastAsia" w:ascii="宋体" w:hAnsi="宋体" w:eastAsia="宋体" w:cs="宋体"/>
                <w:bCs/>
                <w:color w:val="auto"/>
                <w:sz w:val="24"/>
                <w:szCs w:val="24"/>
                <w:highlight w:val="none"/>
              </w:rPr>
            </w:pPr>
          </w:p>
        </w:tc>
        <w:tc>
          <w:tcPr>
            <w:tcW w:w="2079" w:type="dxa"/>
            <w:noWrap w:val="0"/>
            <w:vAlign w:val="top"/>
          </w:tcPr>
          <w:p>
            <w:pPr>
              <w:spacing w:line="420" w:lineRule="exact"/>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24" w:type="dxa"/>
            <w:noWrap w:val="0"/>
            <w:vAlign w:val="top"/>
          </w:tcPr>
          <w:p>
            <w:pPr>
              <w:spacing w:line="420" w:lineRule="exact"/>
              <w:jc w:val="center"/>
              <w:rPr>
                <w:rFonts w:hint="eastAsia" w:ascii="宋体" w:hAnsi="宋体" w:eastAsia="宋体" w:cs="宋体"/>
                <w:bCs/>
                <w:color w:val="auto"/>
                <w:sz w:val="24"/>
                <w:szCs w:val="24"/>
                <w:highlight w:val="none"/>
              </w:rPr>
            </w:pPr>
          </w:p>
        </w:tc>
        <w:tc>
          <w:tcPr>
            <w:tcW w:w="1661" w:type="dxa"/>
            <w:gridSpan w:val="2"/>
            <w:noWrap w:val="0"/>
            <w:vAlign w:val="top"/>
          </w:tcPr>
          <w:p>
            <w:pPr>
              <w:spacing w:line="420" w:lineRule="exact"/>
              <w:jc w:val="center"/>
              <w:rPr>
                <w:rFonts w:hint="eastAsia" w:ascii="宋体" w:hAnsi="宋体" w:eastAsia="宋体" w:cs="宋体"/>
                <w:bCs/>
                <w:color w:val="auto"/>
                <w:sz w:val="24"/>
                <w:szCs w:val="24"/>
                <w:highlight w:val="none"/>
              </w:rPr>
            </w:pPr>
          </w:p>
        </w:tc>
        <w:tc>
          <w:tcPr>
            <w:tcW w:w="1653" w:type="dxa"/>
            <w:gridSpan w:val="2"/>
            <w:noWrap w:val="0"/>
            <w:vAlign w:val="top"/>
          </w:tcPr>
          <w:p>
            <w:pPr>
              <w:spacing w:line="420" w:lineRule="exact"/>
              <w:jc w:val="center"/>
              <w:rPr>
                <w:rFonts w:hint="eastAsia" w:ascii="宋体" w:hAnsi="宋体" w:eastAsia="宋体" w:cs="宋体"/>
                <w:bCs/>
                <w:color w:val="auto"/>
                <w:sz w:val="24"/>
                <w:szCs w:val="24"/>
                <w:highlight w:val="none"/>
              </w:rPr>
            </w:pPr>
          </w:p>
        </w:tc>
        <w:tc>
          <w:tcPr>
            <w:tcW w:w="2042" w:type="dxa"/>
            <w:gridSpan w:val="2"/>
            <w:noWrap w:val="0"/>
            <w:vAlign w:val="top"/>
          </w:tcPr>
          <w:p>
            <w:pPr>
              <w:spacing w:line="420" w:lineRule="exact"/>
              <w:jc w:val="center"/>
              <w:rPr>
                <w:rFonts w:hint="eastAsia" w:ascii="宋体" w:hAnsi="宋体" w:eastAsia="宋体" w:cs="宋体"/>
                <w:bCs/>
                <w:color w:val="auto"/>
                <w:sz w:val="24"/>
                <w:szCs w:val="24"/>
                <w:highlight w:val="none"/>
              </w:rPr>
            </w:pPr>
          </w:p>
        </w:tc>
        <w:tc>
          <w:tcPr>
            <w:tcW w:w="2079" w:type="dxa"/>
            <w:noWrap w:val="0"/>
            <w:vAlign w:val="top"/>
          </w:tcPr>
          <w:p>
            <w:pPr>
              <w:spacing w:line="420" w:lineRule="exact"/>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24" w:type="dxa"/>
            <w:noWrap w:val="0"/>
            <w:vAlign w:val="top"/>
          </w:tcPr>
          <w:p>
            <w:pPr>
              <w:spacing w:line="420" w:lineRule="exact"/>
              <w:jc w:val="center"/>
              <w:rPr>
                <w:rFonts w:hint="eastAsia" w:ascii="宋体" w:hAnsi="宋体" w:eastAsia="宋体" w:cs="宋体"/>
                <w:bCs/>
                <w:color w:val="auto"/>
                <w:sz w:val="24"/>
                <w:szCs w:val="24"/>
                <w:highlight w:val="none"/>
              </w:rPr>
            </w:pPr>
          </w:p>
        </w:tc>
        <w:tc>
          <w:tcPr>
            <w:tcW w:w="1661" w:type="dxa"/>
            <w:gridSpan w:val="2"/>
            <w:noWrap w:val="0"/>
            <w:vAlign w:val="top"/>
          </w:tcPr>
          <w:p>
            <w:pPr>
              <w:spacing w:line="420" w:lineRule="exact"/>
              <w:jc w:val="center"/>
              <w:rPr>
                <w:rFonts w:hint="eastAsia" w:ascii="宋体" w:hAnsi="宋体" w:eastAsia="宋体" w:cs="宋体"/>
                <w:bCs/>
                <w:color w:val="auto"/>
                <w:sz w:val="24"/>
                <w:szCs w:val="24"/>
                <w:highlight w:val="none"/>
              </w:rPr>
            </w:pPr>
          </w:p>
        </w:tc>
        <w:tc>
          <w:tcPr>
            <w:tcW w:w="1653" w:type="dxa"/>
            <w:gridSpan w:val="2"/>
            <w:noWrap w:val="0"/>
            <w:vAlign w:val="top"/>
          </w:tcPr>
          <w:p>
            <w:pPr>
              <w:spacing w:line="420" w:lineRule="exact"/>
              <w:jc w:val="center"/>
              <w:rPr>
                <w:rFonts w:hint="eastAsia" w:ascii="宋体" w:hAnsi="宋体" w:eastAsia="宋体" w:cs="宋体"/>
                <w:bCs/>
                <w:color w:val="auto"/>
                <w:sz w:val="24"/>
                <w:szCs w:val="24"/>
                <w:highlight w:val="none"/>
              </w:rPr>
            </w:pPr>
          </w:p>
        </w:tc>
        <w:tc>
          <w:tcPr>
            <w:tcW w:w="2042" w:type="dxa"/>
            <w:gridSpan w:val="2"/>
            <w:noWrap w:val="0"/>
            <w:vAlign w:val="top"/>
          </w:tcPr>
          <w:p>
            <w:pPr>
              <w:spacing w:line="420" w:lineRule="exact"/>
              <w:jc w:val="center"/>
              <w:rPr>
                <w:rFonts w:hint="eastAsia" w:ascii="宋体" w:hAnsi="宋体" w:eastAsia="宋体" w:cs="宋体"/>
                <w:bCs/>
                <w:color w:val="auto"/>
                <w:sz w:val="24"/>
                <w:szCs w:val="24"/>
                <w:highlight w:val="none"/>
              </w:rPr>
            </w:pPr>
          </w:p>
        </w:tc>
        <w:tc>
          <w:tcPr>
            <w:tcW w:w="2079" w:type="dxa"/>
            <w:noWrap w:val="0"/>
            <w:vAlign w:val="top"/>
          </w:tcPr>
          <w:p>
            <w:pPr>
              <w:spacing w:line="420" w:lineRule="exact"/>
              <w:jc w:val="center"/>
              <w:rPr>
                <w:rFonts w:hint="eastAsia" w:ascii="宋体" w:hAnsi="宋体" w:eastAsia="宋体" w:cs="宋体"/>
                <w:bCs/>
                <w:color w:val="auto"/>
                <w:sz w:val="24"/>
                <w:szCs w:val="24"/>
                <w:highlight w:val="none"/>
              </w:rPr>
            </w:pPr>
          </w:p>
        </w:tc>
      </w:tr>
    </w:tbl>
    <w:p>
      <w:pPr>
        <w:spacing w:line="400" w:lineRule="exact"/>
        <w:ind w:firstLine="480" w:firstLineChars="200"/>
        <w:rPr>
          <w:rStyle w:val="25"/>
          <w:rFonts w:hint="eastAsia" w:cs="宋体"/>
          <w:b w:val="0"/>
          <w:bCs/>
          <w:color w:val="auto"/>
          <w:sz w:val="24"/>
          <w:szCs w:val="24"/>
          <w:highlight w:val="none"/>
        </w:rPr>
      </w:pPr>
      <w:r>
        <w:rPr>
          <w:rStyle w:val="25"/>
          <w:rFonts w:hint="eastAsia" w:ascii="宋体" w:hAnsi="宋体" w:eastAsia="宋体" w:cs="宋体"/>
          <w:b w:val="0"/>
          <w:bCs/>
          <w:color w:val="auto"/>
          <w:sz w:val="24"/>
          <w:szCs w:val="24"/>
          <w:highlight w:val="none"/>
        </w:rPr>
        <w:t xml:space="preserve"> </w:t>
      </w:r>
      <w:r>
        <w:rPr>
          <w:rFonts w:hint="eastAsia" w:ascii="宋体" w:hAnsi="宋体" w:eastAsia="宋体" w:cs="宋体"/>
          <w:color w:val="auto"/>
          <w:sz w:val="24"/>
          <w:szCs w:val="24"/>
          <w:highlight w:val="none"/>
        </w:rPr>
        <w:t>说明：项目负责人应提供建造师注册证书复印件、安全考核合格证书（A类或B类）复印件均附于本表后，作为本表附件。</w:t>
      </w:r>
      <w:r>
        <w:rPr>
          <w:rFonts w:hint="eastAsia" w:ascii="宋体" w:hAnsi="宋体" w:eastAsia="宋体" w:cs="宋体"/>
          <w:b w:val="0"/>
          <w:bCs w:val="0"/>
          <w:color w:val="auto"/>
          <w:sz w:val="24"/>
          <w:szCs w:val="24"/>
          <w:highlight w:val="none"/>
        </w:rPr>
        <w:t>同时提供可以证明</w:t>
      </w:r>
      <w:r>
        <w:rPr>
          <w:rFonts w:hint="eastAsia" w:ascii="宋体" w:hAnsi="宋体" w:eastAsia="宋体" w:cs="宋体"/>
          <w:b w:val="0"/>
          <w:bCs w:val="0"/>
          <w:color w:val="auto"/>
          <w:sz w:val="24"/>
          <w:szCs w:val="24"/>
          <w:highlight w:val="none"/>
          <w:lang w:eastAsia="zh-CN"/>
        </w:rPr>
        <w:t>证件</w:t>
      </w:r>
      <w:r>
        <w:rPr>
          <w:rFonts w:hint="eastAsia" w:ascii="宋体" w:hAnsi="宋体" w:eastAsia="宋体" w:cs="宋体"/>
          <w:b w:val="0"/>
          <w:bCs w:val="0"/>
          <w:color w:val="auto"/>
          <w:sz w:val="24"/>
          <w:szCs w:val="24"/>
          <w:highlight w:val="none"/>
        </w:rPr>
        <w:t>在有效期内的相关资料附于本表后。</w:t>
      </w:r>
    </w:p>
    <w:p>
      <w:pPr>
        <w:pStyle w:val="18"/>
        <w:spacing w:before="75" w:beforeAutospacing="0" w:after="75" w:afterAutospacing="0" w:line="360" w:lineRule="auto"/>
        <w:rPr>
          <w:rStyle w:val="25"/>
          <w:rFonts w:hint="eastAsia" w:cs="宋体"/>
          <w:b w:val="0"/>
          <w:bCs/>
          <w:color w:val="auto"/>
          <w:sz w:val="24"/>
          <w:szCs w:val="24"/>
          <w:highlight w:val="none"/>
        </w:rPr>
      </w:pPr>
    </w:p>
    <w:p>
      <w:pPr>
        <w:pStyle w:val="18"/>
        <w:spacing w:before="75" w:beforeAutospacing="0" w:after="75" w:afterAutospacing="0" w:line="360" w:lineRule="auto"/>
        <w:rPr>
          <w:rStyle w:val="25"/>
          <w:rFonts w:hint="eastAsia" w:cs="宋体"/>
          <w:b w:val="0"/>
          <w:bCs/>
          <w:color w:val="auto"/>
          <w:sz w:val="24"/>
          <w:szCs w:val="24"/>
          <w:highlight w:val="none"/>
        </w:rPr>
      </w:pPr>
    </w:p>
    <w:p>
      <w:pPr>
        <w:pStyle w:val="18"/>
        <w:spacing w:before="75" w:beforeAutospacing="0" w:after="75" w:afterAutospacing="0" w:line="360" w:lineRule="auto"/>
        <w:rPr>
          <w:rStyle w:val="25"/>
          <w:rFonts w:hint="eastAsia" w:cs="宋体"/>
          <w:b w:val="0"/>
          <w:bCs/>
          <w:color w:val="auto"/>
          <w:sz w:val="24"/>
          <w:szCs w:val="24"/>
          <w:highlight w:val="none"/>
        </w:rPr>
      </w:pP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 xml:space="preserve">(盖章)： </w:t>
      </w:r>
    </w:p>
    <w:p>
      <w:pPr>
        <w:pStyle w:val="18"/>
        <w:spacing w:before="75" w:beforeAutospacing="0" w:after="75" w:afterAutospacing="0" w:line="360" w:lineRule="auto"/>
        <w:rPr>
          <w:rStyle w:val="25"/>
          <w:rFonts w:hint="eastAsia" w:cs="宋体"/>
          <w:b w:val="0"/>
          <w:bCs/>
          <w:color w:val="auto"/>
          <w:sz w:val="24"/>
          <w:szCs w:val="24"/>
          <w:highlight w:val="none"/>
        </w:rPr>
      </w:pPr>
      <w:r>
        <w:rPr>
          <w:rStyle w:val="25"/>
          <w:rFonts w:hint="eastAsia" w:cs="宋体"/>
          <w:b w:val="0"/>
          <w:bCs/>
          <w:color w:val="auto"/>
          <w:sz w:val="24"/>
          <w:szCs w:val="24"/>
          <w:highlight w:val="none"/>
        </w:rPr>
        <w:t>法定代表人或委托代理人（签字或盖章）：</w:t>
      </w:r>
    </w:p>
    <w:p>
      <w:pPr>
        <w:pStyle w:val="18"/>
        <w:spacing w:before="75" w:beforeAutospacing="0" w:after="75" w:afterAutospacing="0" w:line="360" w:lineRule="auto"/>
        <w:rPr>
          <w:rStyle w:val="25"/>
          <w:rFonts w:hint="eastAsia" w:cs="宋体"/>
          <w:b w:val="0"/>
          <w:bCs/>
          <w:color w:val="auto"/>
          <w:sz w:val="24"/>
          <w:szCs w:val="24"/>
          <w:highlight w:val="none"/>
        </w:rPr>
      </w:pPr>
      <w:r>
        <w:rPr>
          <w:rStyle w:val="25"/>
          <w:rFonts w:hint="eastAsia" w:cs="宋体"/>
          <w:b w:val="0"/>
          <w:bCs/>
          <w:color w:val="auto"/>
          <w:sz w:val="24"/>
          <w:szCs w:val="24"/>
          <w:highlight w:val="none"/>
        </w:rPr>
        <w:t>日期：   年  月   日</w:t>
      </w:r>
    </w:p>
    <w:p>
      <w:pPr>
        <w:pStyle w:val="18"/>
        <w:spacing w:before="75" w:beforeAutospacing="0" w:after="75" w:afterAutospacing="0" w:line="320" w:lineRule="exact"/>
        <w:jc w:val="center"/>
        <w:rPr>
          <w:rStyle w:val="25"/>
          <w:rFonts w:hint="eastAsia" w:cs="宋体"/>
          <w:b/>
          <w:bCs w:val="0"/>
          <w:color w:val="auto"/>
          <w:sz w:val="24"/>
          <w:szCs w:val="24"/>
          <w:highlight w:val="none"/>
        </w:rPr>
      </w:pPr>
    </w:p>
    <w:p>
      <w:pPr>
        <w:pStyle w:val="18"/>
        <w:spacing w:before="75" w:beforeAutospacing="0" w:after="75" w:afterAutospacing="0" w:line="320" w:lineRule="exact"/>
        <w:jc w:val="both"/>
        <w:rPr>
          <w:rStyle w:val="25"/>
          <w:rFonts w:hint="eastAsia" w:cs="宋体"/>
          <w:b/>
          <w:bCs w:val="0"/>
          <w:color w:val="auto"/>
          <w:sz w:val="24"/>
          <w:szCs w:val="24"/>
          <w:highlight w:val="none"/>
        </w:rPr>
      </w:pPr>
    </w:p>
    <w:p>
      <w:pPr>
        <w:pStyle w:val="18"/>
        <w:spacing w:before="75" w:beforeAutospacing="0" w:after="75" w:afterAutospacing="0" w:line="320" w:lineRule="exact"/>
        <w:jc w:val="center"/>
        <w:rPr>
          <w:rStyle w:val="25"/>
          <w:rFonts w:hint="eastAsia" w:cs="宋体"/>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7</w:t>
      </w:r>
      <w:r>
        <w:rPr>
          <w:rStyle w:val="25"/>
          <w:rFonts w:hint="eastAsia" w:cs="宋体"/>
          <w:b/>
          <w:bCs w:val="0"/>
          <w:color w:val="auto"/>
          <w:sz w:val="24"/>
          <w:szCs w:val="24"/>
          <w:highlight w:val="none"/>
        </w:rPr>
        <w:t xml:space="preserve">  主要施工管理人员汇总表</w:t>
      </w:r>
    </w:p>
    <w:tbl>
      <w:tblPr>
        <w:tblStyle w:val="22"/>
        <w:tblpPr w:leftFromText="180" w:rightFromText="180" w:vertAnchor="text" w:horzAnchor="margin" w:tblpXSpec="center"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727"/>
        <w:gridCol w:w="728"/>
        <w:gridCol w:w="728"/>
        <w:gridCol w:w="728"/>
        <w:gridCol w:w="3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28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bookmarkStart w:id="674" w:name="OLE_LINK18"/>
            <w:r>
              <w:rPr>
                <w:rFonts w:hint="eastAsia" w:ascii="宋体" w:hAnsi="宋体" w:eastAsia="宋体" w:cs="宋体"/>
                <w:color w:val="auto"/>
                <w:sz w:val="24"/>
                <w:szCs w:val="24"/>
                <w:highlight w:val="none"/>
              </w:rPr>
              <w:t>名    称</w:t>
            </w:r>
          </w:p>
        </w:tc>
        <w:tc>
          <w:tcPr>
            <w:tcW w:w="727"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w:t>
            </w:r>
          </w:p>
        </w:tc>
        <w:tc>
          <w:tcPr>
            <w:tcW w:w="384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28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w:t>
            </w:r>
          </w:p>
        </w:tc>
        <w:tc>
          <w:tcPr>
            <w:tcW w:w="727"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384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28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1、项目负责人</w:t>
            </w:r>
          </w:p>
        </w:tc>
        <w:tc>
          <w:tcPr>
            <w:tcW w:w="727"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384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28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2、项目技术负责人</w:t>
            </w:r>
          </w:p>
        </w:tc>
        <w:tc>
          <w:tcPr>
            <w:tcW w:w="727"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384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28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3、施工员</w:t>
            </w:r>
          </w:p>
        </w:tc>
        <w:tc>
          <w:tcPr>
            <w:tcW w:w="727"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384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28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劳务员</w:t>
            </w:r>
          </w:p>
        </w:tc>
        <w:tc>
          <w:tcPr>
            <w:tcW w:w="727"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384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28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5、质检员</w:t>
            </w:r>
          </w:p>
        </w:tc>
        <w:tc>
          <w:tcPr>
            <w:tcW w:w="727"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384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28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6、安全员</w:t>
            </w:r>
          </w:p>
        </w:tc>
        <w:tc>
          <w:tcPr>
            <w:tcW w:w="727"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384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28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7、材料员</w:t>
            </w:r>
          </w:p>
        </w:tc>
        <w:tc>
          <w:tcPr>
            <w:tcW w:w="727"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384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28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8、机械员</w:t>
            </w:r>
          </w:p>
        </w:tc>
        <w:tc>
          <w:tcPr>
            <w:tcW w:w="727"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384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28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9、资料员</w:t>
            </w:r>
          </w:p>
        </w:tc>
        <w:tc>
          <w:tcPr>
            <w:tcW w:w="727"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宋体" w:hAnsi="宋体" w:eastAsia="宋体" w:cs="宋体"/>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c>
          <w:tcPr>
            <w:tcW w:w="384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903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spacing w:line="240" w:lineRule="atLeas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注：1、须提供上述管理人员岗位证书复印件，技术负责人提供职称证书复印件，安全员提供安全生产考核合格证书复印件。</w:t>
            </w:r>
          </w:p>
          <w:p>
            <w:pPr>
              <w:tabs>
                <w:tab w:val="left" w:pos="360"/>
                <w:tab w:val="left" w:pos="1800"/>
              </w:tabs>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2、本工程安全员配置不少于1人。</w:t>
            </w:r>
          </w:p>
        </w:tc>
      </w:tr>
      <w:bookmarkEnd w:id="674"/>
    </w:tbl>
    <w:p>
      <w:pPr>
        <w:pStyle w:val="18"/>
        <w:spacing w:before="75" w:beforeAutospacing="0" w:after="75" w:afterAutospacing="0" w:line="320" w:lineRule="exact"/>
        <w:jc w:val="both"/>
        <w:rPr>
          <w:rStyle w:val="25"/>
          <w:rFonts w:hint="eastAsia" w:cs="宋体"/>
          <w:b w:val="0"/>
          <w:bCs/>
          <w:color w:val="auto"/>
          <w:sz w:val="24"/>
          <w:szCs w:val="24"/>
          <w:highlight w:val="none"/>
        </w:rPr>
      </w:pPr>
    </w:p>
    <w:p>
      <w:pPr>
        <w:pStyle w:val="18"/>
        <w:spacing w:before="75" w:beforeAutospacing="0" w:after="75" w:afterAutospacing="0" w:line="320" w:lineRule="exact"/>
        <w:jc w:val="center"/>
        <w:rPr>
          <w:rStyle w:val="25"/>
          <w:rFonts w:hint="eastAsia" w:cs="宋体"/>
          <w:b w:val="0"/>
          <w:bCs/>
          <w:color w:val="auto"/>
          <w:sz w:val="24"/>
          <w:szCs w:val="24"/>
          <w:highlight w:val="none"/>
        </w:rPr>
      </w:pPr>
    </w:p>
    <w:p>
      <w:pPr>
        <w:pStyle w:val="18"/>
        <w:spacing w:before="75" w:beforeAutospacing="0" w:after="75" w:afterAutospacing="0" w:line="320" w:lineRule="exact"/>
        <w:jc w:val="center"/>
        <w:rPr>
          <w:rStyle w:val="25"/>
          <w:rFonts w:hint="eastAsia" w:cs="宋体"/>
          <w:b w:val="0"/>
          <w:bCs/>
          <w:color w:val="auto"/>
          <w:sz w:val="24"/>
          <w:szCs w:val="24"/>
          <w:highlight w:val="none"/>
        </w:rPr>
      </w:pPr>
    </w:p>
    <w:p>
      <w:pPr>
        <w:pStyle w:val="18"/>
        <w:spacing w:before="75" w:beforeAutospacing="0" w:after="75" w:afterAutospacing="0" w:line="360" w:lineRule="auto"/>
        <w:rPr>
          <w:rStyle w:val="25"/>
          <w:rFonts w:hint="eastAsia" w:cs="宋体"/>
          <w:b w:val="0"/>
          <w:bCs/>
          <w:color w:val="auto"/>
          <w:sz w:val="24"/>
          <w:szCs w:val="24"/>
          <w:highlight w:val="none"/>
        </w:rPr>
      </w:pP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 xml:space="preserve">(盖章)： </w:t>
      </w:r>
    </w:p>
    <w:p>
      <w:pPr>
        <w:pStyle w:val="18"/>
        <w:spacing w:before="75" w:beforeAutospacing="0" w:after="75" w:afterAutospacing="0" w:line="360" w:lineRule="auto"/>
        <w:rPr>
          <w:rStyle w:val="25"/>
          <w:rFonts w:hint="eastAsia" w:cs="宋体"/>
          <w:b w:val="0"/>
          <w:bCs/>
          <w:color w:val="auto"/>
          <w:sz w:val="24"/>
          <w:szCs w:val="24"/>
          <w:highlight w:val="none"/>
        </w:rPr>
      </w:pPr>
      <w:r>
        <w:rPr>
          <w:rStyle w:val="25"/>
          <w:rFonts w:hint="eastAsia" w:cs="宋体"/>
          <w:b w:val="0"/>
          <w:bCs/>
          <w:color w:val="auto"/>
          <w:sz w:val="24"/>
          <w:szCs w:val="24"/>
          <w:highlight w:val="none"/>
        </w:rPr>
        <w:t>法定代表人或委托代理人（签字或盖章）：</w:t>
      </w:r>
    </w:p>
    <w:p>
      <w:pPr>
        <w:pStyle w:val="18"/>
        <w:spacing w:before="75" w:beforeAutospacing="0" w:after="75" w:afterAutospacing="0" w:line="360" w:lineRule="auto"/>
        <w:rPr>
          <w:rStyle w:val="25"/>
          <w:rFonts w:hint="eastAsia" w:cs="宋体"/>
          <w:b/>
          <w:bCs w:val="0"/>
          <w:color w:val="auto"/>
          <w:sz w:val="24"/>
          <w:szCs w:val="24"/>
          <w:highlight w:val="none"/>
        </w:rPr>
      </w:pPr>
      <w:r>
        <w:rPr>
          <w:rStyle w:val="25"/>
          <w:rFonts w:hint="eastAsia" w:cs="宋体"/>
          <w:b w:val="0"/>
          <w:bCs/>
          <w:color w:val="auto"/>
          <w:sz w:val="24"/>
          <w:szCs w:val="24"/>
          <w:highlight w:val="none"/>
        </w:rPr>
        <w:t>日期：   年  月   日</w:t>
      </w:r>
    </w:p>
    <w:p>
      <w:pPr>
        <w:pStyle w:val="18"/>
        <w:spacing w:before="75" w:beforeAutospacing="0" w:after="75" w:afterAutospacing="0" w:line="320" w:lineRule="exact"/>
        <w:jc w:val="center"/>
        <w:rPr>
          <w:rStyle w:val="25"/>
          <w:rFonts w:hint="eastAsia" w:cs="宋体"/>
          <w:b/>
          <w:bCs w:val="0"/>
          <w:color w:val="auto"/>
          <w:sz w:val="24"/>
          <w:szCs w:val="24"/>
          <w:highlight w:val="none"/>
          <w:lang w:val="en-US" w:eastAsia="zh-CN"/>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8</w:t>
      </w:r>
      <w:r>
        <w:rPr>
          <w:rStyle w:val="25"/>
          <w:rFonts w:hint="eastAsia" w:cs="宋体"/>
          <w:b/>
          <w:bCs w:val="0"/>
          <w:color w:val="auto"/>
          <w:sz w:val="24"/>
          <w:szCs w:val="24"/>
          <w:highlight w:val="none"/>
        </w:rPr>
        <w:t xml:space="preserve">  主要施工机械设备表</w:t>
      </w:r>
    </w:p>
    <w:tbl>
      <w:tblPr>
        <w:tblStyle w:val="22"/>
        <w:tblpPr w:leftFromText="180" w:rightFromText="180" w:vertAnchor="text" w:horzAnchor="page" w:tblpXSpec="center" w:tblpY="260"/>
        <w:tblOverlap w:val="never"/>
        <w:tblW w:w="0" w:type="auto"/>
        <w:jc w:val="center"/>
        <w:tblLayout w:type="fixed"/>
        <w:tblCellMar>
          <w:top w:w="0" w:type="dxa"/>
          <w:left w:w="0" w:type="dxa"/>
          <w:bottom w:w="0" w:type="dxa"/>
          <w:right w:w="0" w:type="dxa"/>
        </w:tblCellMar>
      </w:tblPr>
      <w:tblGrid>
        <w:gridCol w:w="461"/>
        <w:gridCol w:w="807"/>
        <w:gridCol w:w="812"/>
        <w:gridCol w:w="811"/>
        <w:gridCol w:w="811"/>
        <w:gridCol w:w="694"/>
        <w:gridCol w:w="695"/>
        <w:gridCol w:w="694"/>
        <w:gridCol w:w="698"/>
        <w:gridCol w:w="562"/>
        <w:gridCol w:w="1050"/>
        <w:gridCol w:w="885"/>
        <w:gridCol w:w="880"/>
      </w:tblGrid>
      <w:tr>
        <w:tblPrEx>
          <w:tblCellMar>
            <w:top w:w="0" w:type="dxa"/>
            <w:left w:w="0" w:type="dxa"/>
            <w:bottom w:w="0" w:type="dxa"/>
            <w:right w:w="0" w:type="dxa"/>
          </w:tblCellMar>
        </w:tblPrEx>
        <w:trPr>
          <w:trHeight w:val="475" w:hRule="exact"/>
          <w:jc w:val="center"/>
        </w:trPr>
        <w:tc>
          <w:tcPr>
            <w:tcW w:w="461" w:type="dxa"/>
            <w:vMerge w:val="restart"/>
            <w:tcBorders>
              <w:top w:val="single" w:color="000000" w:sz="4" w:space="0"/>
              <w:left w:val="single" w:color="000000" w:sz="4" w:space="0"/>
              <w:right w:val="single" w:color="000000" w:sz="4" w:space="0"/>
            </w:tcBorders>
            <w:noWrap w:val="0"/>
            <w:vAlign w:val="center"/>
          </w:tcPr>
          <w:p>
            <w:pPr>
              <w:ind w:left="109" w:right="35"/>
              <w:jc w:val="center"/>
              <w:rPr>
                <w:rFonts w:ascii="宋体" w:cs="宋体"/>
                <w:color w:val="auto"/>
                <w:sz w:val="24"/>
                <w:szCs w:val="24"/>
                <w:highlight w:val="none"/>
              </w:rPr>
            </w:pPr>
            <w:r>
              <w:rPr>
                <w:rFonts w:hint="eastAsia" w:ascii="宋体" w:hAnsi="宋体" w:cs="宋体"/>
                <w:color w:val="auto"/>
                <w:sz w:val="24"/>
                <w:szCs w:val="24"/>
                <w:highlight w:val="none"/>
              </w:rPr>
              <w:t>序号</w:t>
            </w:r>
          </w:p>
        </w:tc>
        <w:tc>
          <w:tcPr>
            <w:tcW w:w="807" w:type="dxa"/>
            <w:vMerge w:val="restart"/>
            <w:tcBorders>
              <w:top w:val="single" w:color="000000" w:sz="4" w:space="0"/>
              <w:left w:val="single" w:color="000000" w:sz="4" w:space="0"/>
              <w:right w:val="single" w:color="000000" w:sz="4" w:space="0"/>
            </w:tcBorders>
            <w:noWrap w:val="0"/>
            <w:vAlign w:val="center"/>
          </w:tcPr>
          <w:p>
            <w:pPr>
              <w:ind w:left="164" w:right="91"/>
              <w:jc w:val="center"/>
              <w:rPr>
                <w:rFonts w:ascii="宋体" w:cs="宋体"/>
                <w:color w:val="auto"/>
                <w:sz w:val="24"/>
                <w:szCs w:val="24"/>
                <w:highlight w:val="none"/>
              </w:rPr>
            </w:pPr>
            <w:r>
              <w:rPr>
                <w:rFonts w:hint="eastAsia" w:ascii="宋体" w:hAnsi="宋体" w:cs="宋体"/>
                <w:color w:val="auto"/>
                <w:sz w:val="24"/>
                <w:szCs w:val="24"/>
                <w:highlight w:val="none"/>
              </w:rPr>
              <w:t>设备名称</w:t>
            </w:r>
          </w:p>
        </w:tc>
        <w:tc>
          <w:tcPr>
            <w:tcW w:w="812" w:type="dxa"/>
            <w:vMerge w:val="restart"/>
            <w:tcBorders>
              <w:top w:val="single" w:color="000000" w:sz="4" w:space="0"/>
              <w:left w:val="single" w:color="000000" w:sz="4" w:space="0"/>
              <w:right w:val="single" w:color="000000" w:sz="4" w:space="0"/>
            </w:tcBorders>
            <w:noWrap w:val="0"/>
            <w:vAlign w:val="center"/>
          </w:tcPr>
          <w:p>
            <w:pPr>
              <w:ind w:left="166" w:right="93"/>
              <w:jc w:val="center"/>
              <w:rPr>
                <w:rFonts w:ascii="宋体" w:cs="宋体"/>
                <w:color w:val="auto"/>
                <w:sz w:val="24"/>
                <w:szCs w:val="24"/>
                <w:highlight w:val="none"/>
              </w:rPr>
            </w:pPr>
            <w:r>
              <w:rPr>
                <w:rFonts w:hint="eastAsia" w:ascii="宋体" w:hAnsi="宋体" w:cs="宋体"/>
                <w:color w:val="auto"/>
                <w:sz w:val="24"/>
                <w:szCs w:val="24"/>
                <w:highlight w:val="none"/>
              </w:rPr>
              <w:t>规格型号</w:t>
            </w:r>
          </w:p>
        </w:tc>
        <w:tc>
          <w:tcPr>
            <w:tcW w:w="811" w:type="dxa"/>
            <w:vMerge w:val="restart"/>
            <w:tcBorders>
              <w:top w:val="single" w:color="000000" w:sz="4" w:space="0"/>
              <w:left w:val="single" w:color="000000" w:sz="4" w:space="0"/>
              <w:right w:val="single" w:color="000000" w:sz="4" w:space="0"/>
            </w:tcBorders>
            <w:noWrap w:val="0"/>
            <w:vAlign w:val="center"/>
          </w:tcPr>
          <w:p>
            <w:pPr>
              <w:ind w:left="166" w:right="-20"/>
              <w:jc w:val="center"/>
              <w:rPr>
                <w:rFonts w:ascii="宋体" w:cs="宋体"/>
                <w:color w:val="auto"/>
                <w:sz w:val="24"/>
                <w:szCs w:val="24"/>
                <w:highlight w:val="none"/>
              </w:rPr>
            </w:pPr>
            <w:r>
              <w:rPr>
                <w:rFonts w:hint="eastAsia" w:ascii="宋体" w:hAnsi="宋体" w:cs="宋体"/>
                <w:color w:val="auto"/>
                <w:sz w:val="24"/>
                <w:szCs w:val="24"/>
                <w:highlight w:val="none"/>
              </w:rPr>
              <w:t>产地</w:t>
            </w:r>
          </w:p>
        </w:tc>
        <w:tc>
          <w:tcPr>
            <w:tcW w:w="811" w:type="dxa"/>
            <w:vMerge w:val="restart"/>
            <w:tcBorders>
              <w:top w:val="single" w:color="000000" w:sz="4" w:space="0"/>
              <w:left w:val="single" w:color="000000" w:sz="4" w:space="0"/>
              <w:right w:val="single" w:color="000000" w:sz="4" w:space="0"/>
            </w:tcBorders>
            <w:noWrap w:val="0"/>
            <w:vAlign w:val="center"/>
          </w:tcPr>
          <w:p>
            <w:pPr>
              <w:ind w:left="166" w:right="93"/>
              <w:jc w:val="center"/>
              <w:rPr>
                <w:rFonts w:ascii="宋体" w:cs="宋体"/>
                <w:color w:val="auto"/>
                <w:sz w:val="24"/>
                <w:szCs w:val="24"/>
                <w:highlight w:val="none"/>
              </w:rPr>
            </w:pPr>
            <w:r>
              <w:rPr>
                <w:rFonts w:hint="eastAsia" w:ascii="宋体" w:hAnsi="宋体" w:cs="宋体"/>
                <w:color w:val="auto"/>
                <w:sz w:val="24"/>
                <w:szCs w:val="24"/>
                <w:highlight w:val="none"/>
              </w:rPr>
              <w:t>出厂时间</w:t>
            </w:r>
          </w:p>
        </w:tc>
        <w:tc>
          <w:tcPr>
            <w:tcW w:w="3343" w:type="dxa"/>
            <w:gridSpan w:val="5"/>
            <w:tcBorders>
              <w:top w:val="single" w:color="000000" w:sz="4" w:space="0"/>
              <w:left w:val="single" w:color="000000" w:sz="4" w:space="0"/>
              <w:bottom w:val="single" w:color="000000" w:sz="4" w:space="0"/>
              <w:right w:val="single" w:color="000000" w:sz="4" w:space="0"/>
            </w:tcBorders>
            <w:noWrap w:val="0"/>
            <w:vAlign w:val="center"/>
          </w:tcPr>
          <w:p>
            <w:pPr>
              <w:spacing w:before="22"/>
              <w:ind w:right="-20"/>
              <w:jc w:val="center"/>
              <w:rPr>
                <w:rFonts w:ascii="宋体" w:cs="宋体"/>
                <w:color w:val="auto"/>
                <w:sz w:val="24"/>
                <w:szCs w:val="24"/>
                <w:highlight w:val="none"/>
              </w:rPr>
            </w:pPr>
            <w:r>
              <w:rPr>
                <w:rFonts w:hint="eastAsia" w:ascii="宋体" w:hAnsi="宋体" w:cs="宋体"/>
                <w:color w:val="auto"/>
                <w:sz w:val="24"/>
                <w:szCs w:val="24"/>
                <w:highlight w:val="none"/>
              </w:rPr>
              <w:t>数量（台</w:t>
            </w:r>
            <w:r>
              <w:rPr>
                <w:rFonts w:ascii="宋体" w:hAnsi="宋体" w:cs="宋体"/>
                <w:color w:val="auto"/>
                <w:sz w:val="24"/>
                <w:szCs w:val="24"/>
                <w:highlight w:val="none"/>
              </w:rPr>
              <w:t>/</w:t>
            </w:r>
            <w:r>
              <w:rPr>
                <w:rFonts w:hint="eastAsia" w:ascii="宋体" w:hAnsi="宋体" w:cs="宋体"/>
                <w:color w:val="auto"/>
                <w:sz w:val="24"/>
                <w:szCs w:val="24"/>
                <w:highlight w:val="none"/>
              </w:rPr>
              <w:t>套）</w:t>
            </w:r>
          </w:p>
        </w:tc>
        <w:tc>
          <w:tcPr>
            <w:tcW w:w="1050" w:type="dxa"/>
            <w:vMerge w:val="restart"/>
            <w:tcBorders>
              <w:top w:val="single" w:color="000000" w:sz="4" w:space="0"/>
              <w:left w:val="single" w:color="000000" w:sz="4" w:space="0"/>
              <w:right w:val="single" w:color="000000" w:sz="4" w:space="0"/>
            </w:tcBorders>
            <w:noWrap w:val="0"/>
            <w:vAlign w:val="center"/>
          </w:tcPr>
          <w:p>
            <w:pPr>
              <w:ind w:right="34"/>
              <w:jc w:val="center"/>
              <w:rPr>
                <w:rFonts w:ascii="宋体" w:cs="宋体"/>
                <w:color w:val="auto"/>
                <w:sz w:val="24"/>
                <w:szCs w:val="24"/>
                <w:highlight w:val="none"/>
              </w:rPr>
            </w:pPr>
            <w:r>
              <w:rPr>
                <w:rFonts w:hint="eastAsia" w:ascii="宋体" w:hAnsi="宋体" w:cs="宋体"/>
                <w:color w:val="auto"/>
                <w:sz w:val="24"/>
                <w:szCs w:val="24"/>
                <w:highlight w:val="none"/>
              </w:rPr>
              <w:t>进口</w:t>
            </w:r>
            <w:r>
              <w:rPr>
                <w:rFonts w:ascii="宋体" w:hAnsi="宋体" w:cs="宋体"/>
                <w:color w:val="auto"/>
                <w:sz w:val="24"/>
                <w:szCs w:val="24"/>
                <w:highlight w:val="none"/>
              </w:rPr>
              <w:t>/</w:t>
            </w:r>
            <w:r>
              <w:rPr>
                <w:rFonts w:hint="eastAsia" w:ascii="宋体" w:hAnsi="宋体" w:cs="宋体"/>
                <w:color w:val="auto"/>
                <w:sz w:val="24"/>
                <w:szCs w:val="24"/>
                <w:highlight w:val="none"/>
              </w:rPr>
              <w:t>国产</w:t>
            </w:r>
          </w:p>
        </w:tc>
        <w:tc>
          <w:tcPr>
            <w:tcW w:w="885" w:type="dxa"/>
            <w:vMerge w:val="restart"/>
            <w:tcBorders>
              <w:top w:val="single" w:color="000000" w:sz="4" w:space="0"/>
              <w:left w:val="single" w:color="000000" w:sz="4" w:space="0"/>
              <w:right w:val="single" w:color="000000" w:sz="4" w:space="0"/>
            </w:tcBorders>
            <w:noWrap w:val="0"/>
            <w:vAlign w:val="center"/>
          </w:tcPr>
          <w:p>
            <w:pPr>
              <w:ind w:right="-20"/>
              <w:jc w:val="center"/>
              <w:rPr>
                <w:rFonts w:ascii="宋体" w:cs="宋体"/>
                <w:color w:val="auto"/>
                <w:sz w:val="24"/>
                <w:szCs w:val="24"/>
                <w:highlight w:val="none"/>
              </w:rPr>
            </w:pPr>
            <w:r>
              <w:rPr>
                <w:rFonts w:hint="eastAsia" w:ascii="宋体" w:hAnsi="宋体" w:cs="宋体"/>
                <w:color w:val="auto"/>
                <w:sz w:val="24"/>
                <w:szCs w:val="24"/>
                <w:highlight w:val="none"/>
              </w:rPr>
              <w:t>现状</w:t>
            </w:r>
          </w:p>
        </w:tc>
        <w:tc>
          <w:tcPr>
            <w:tcW w:w="880" w:type="dxa"/>
            <w:vMerge w:val="restart"/>
            <w:tcBorders>
              <w:top w:val="single" w:color="000000" w:sz="4" w:space="0"/>
              <w:left w:val="single" w:color="000000" w:sz="4" w:space="0"/>
              <w:right w:val="single" w:color="000000" w:sz="4" w:space="0"/>
            </w:tcBorders>
            <w:noWrap w:val="0"/>
            <w:vAlign w:val="center"/>
          </w:tcPr>
          <w:p>
            <w:pPr>
              <w:ind w:right="-20"/>
              <w:jc w:val="center"/>
              <w:rPr>
                <w:rFonts w:ascii="宋体" w:cs="宋体"/>
                <w:color w:val="auto"/>
                <w:sz w:val="24"/>
                <w:szCs w:val="24"/>
                <w:highlight w:val="none"/>
              </w:rPr>
            </w:pPr>
            <w:r>
              <w:rPr>
                <w:rFonts w:hint="eastAsia" w:ascii="宋体" w:hAnsi="宋体" w:cs="宋体"/>
                <w:color w:val="auto"/>
                <w:sz w:val="24"/>
                <w:szCs w:val="24"/>
                <w:highlight w:val="none"/>
              </w:rPr>
              <w:t>备注</w:t>
            </w:r>
          </w:p>
        </w:tc>
      </w:tr>
      <w:tr>
        <w:tblPrEx>
          <w:tblCellMar>
            <w:top w:w="0" w:type="dxa"/>
            <w:left w:w="0" w:type="dxa"/>
            <w:bottom w:w="0" w:type="dxa"/>
            <w:right w:w="0" w:type="dxa"/>
          </w:tblCellMar>
        </w:tblPrEx>
        <w:trPr>
          <w:trHeight w:val="535" w:hRule="exact"/>
          <w:jc w:val="center"/>
        </w:trPr>
        <w:tc>
          <w:tcPr>
            <w:tcW w:w="461" w:type="dxa"/>
            <w:vMerge w:val="continue"/>
            <w:tcBorders>
              <w:left w:val="single" w:color="000000" w:sz="4" w:space="0"/>
              <w:right w:val="single" w:color="000000" w:sz="4" w:space="0"/>
            </w:tcBorders>
            <w:noWrap w:val="0"/>
            <w:vAlign w:val="top"/>
          </w:tcPr>
          <w:p>
            <w:pPr>
              <w:rPr>
                <w:rFonts w:ascii="宋体" w:cs="宋体"/>
                <w:color w:val="auto"/>
                <w:sz w:val="24"/>
                <w:szCs w:val="24"/>
                <w:highlight w:val="none"/>
              </w:rPr>
            </w:pPr>
          </w:p>
        </w:tc>
        <w:tc>
          <w:tcPr>
            <w:tcW w:w="807" w:type="dxa"/>
            <w:vMerge w:val="continue"/>
            <w:tcBorders>
              <w:left w:val="single" w:color="000000" w:sz="4" w:space="0"/>
              <w:right w:val="single" w:color="000000" w:sz="4" w:space="0"/>
            </w:tcBorders>
            <w:noWrap w:val="0"/>
            <w:vAlign w:val="top"/>
          </w:tcPr>
          <w:p>
            <w:pPr>
              <w:rPr>
                <w:rFonts w:ascii="宋体" w:cs="宋体"/>
                <w:color w:val="auto"/>
                <w:sz w:val="24"/>
                <w:szCs w:val="24"/>
                <w:highlight w:val="none"/>
              </w:rPr>
            </w:pPr>
          </w:p>
        </w:tc>
        <w:tc>
          <w:tcPr>
            <w:tcW w:w="812" w:type="dxa"/>
            <w:vMerge w:val="continue"/>
            <w:tcBorders>
              <w:left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vMerge w:val="continue"/>
            <w:tcBorders>
              <w:left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vMerge w:val="continue"/>
            <w:tcBorders>
              <w:left w:val="single" w:color="000000" w:sz="4" w:space="0"/>
              <w:right w:val="single" w:color="000000" w:sz="4" w:space="0"/>
            </w:tcBorders>
            <w:noWrap w:val="0"/>
            <w:vAlign w:val="top"/>
          </w:tcPr>
          <w:p>
            <w:pPr>
              <w:rPr>
                <w:rFonts w:ascii="宋体" w:cs="宋体"/>
                <w:color w:val="auto"/>
                <w:sz w:val="24"/>
                <w:szCs w:val="24"/>
                <w:highlight w:val="none"/>
              </w:rPr>
            </w:pPr>
          </w:p>
        </w:tc>
        <w:tc>
          <w:tcPr>
            <w:tcW w:w="2781" w:type="dxa"/>
            <w:gridSpan w:val="4"/>
            <w:tcBorders>
              <w:top w:val="single" w:color="000000" w:sz="4" w:space="0"/>
              <w:left w:val="single" w:color="000000" w:sz="4" w:space="0"/>
              <w:bottom w:val="single" w:color="000000" w:sz="4" w:space="0"/>
              <w:right w:val="single" w:color="000000" w:sz="4" w:space="0"/>
            </w:tcBorders>
            <w:noWrap w:val="0"/>
            <w:vAlign w:val="center"/>
          </w:tcPr>
          <w:p>
            <w:pPr>
              <w:spacing w:before="54"/>
              <w:ind w:left="1122" w:right="1102"/>
              <w:jc w:val="center"/>
              <w:rPr>
                <w:rFonts w:ascii="宋体" w:cs="宋体"/>
                <w:color w:val="auto"/>
                <w:sz w:val="24"/>
                <w:szCs w:val="24"/>
                <w:highlight w:val="none"/>
              </w:rPr>
            </w:pPr>
            <w:r>
              <w:rPr>
                <w:rFonts w:hint="eastAsia" w:ascii="宋体" w:hAnsi="宋体" w:cs="宋体"/>
                <w:color w:val="auto"/>
                <w:sz w:val="24"/>
                <w:szCs w:val="24"/>
                <w:highlight w:val="none"/>
              </w:rPr>
              <w:t>其中</w:t>
            </w:r>
          </w:p>
        </w:tc>
        <w:tc>
          <w:tcPr>
            <w:tcW w:w="562" w:type="dxa"/>
            <w:vMerge w:val="restart"/>
            <w:tcBorders>
              <w:top w:val="single" w:color="000000" w:sz="4" w:space="0"/>
              <w:left w:val="single" w:color="000000" w:sz="4" w:space="0"/>
              <w:right w:val="single" w:color="000000" w:sz="4" w:space="0"/>
            </w:tcBorders>
            <w:noWrap w:val="0"/>
            <w:vAlign w:val="center"/>
          </w:tcPr>
          <w:p>
            <w:pPr>
              <w:ind w:left="160" w:right="80"/>
              <w:jc w:val="center"/>
              <w:rPr>
                <w:rFonts w:ascii="宋体" w:cs="宋体"/>
                <w:color w:val="auto"/>
                <w:sz w:val="24"/>
                <w:szCs w:val="24"/>
                <w:highlight w:val="none"/>
              </w:rPr>
            </w:pPr>
            <w:r>
              <w:rPr>
                <w:rFonts w:hint="eastAsia" w:ascii="宋体" w:hAnsi="宋体" w:cs="宋体"/>
                <w:color w:val="auto"/>
                <w:sz w:val="24"/>
                <w:szCs w:val="24"/>
                <w:highlight w:val="none"/>
              </w:rPr>
              <w:t>小计</w:t>
            </w:r>
          </w:p>
        </w:tc>
        <w:tc>
          <w:tcPr>
            <w:tcW w:w="1050" w:type="dxa"/>
            <w:vMerge w:val="continue"/>
            <w:tcBorders>
              <w:left w:val="single" w:color="000000" w:sz="4" w:space="0"/>
              <w:right w:val="single" w:color="000000" w:sz="4" w:space="0"/>
            </w:tcBorders>
            <w:noWrap w:val="0"/>
            <w:vAlign w:val="top"/>
          </w:tcPr>
          <w:p>
            <w:pPr>
              <w:rPr>
                <w:rFonts w:ascii="宋体" w:cs="宋体"/>
                <w:color w:val="auto"/>
                <w:sz w:val="24"/>
                <w:szCs w:val="24"/>
                <w:highlight w:val="none"/>
              </w:rPr>
            </w:pPr>
          </w:p>
        </w:tc>
        <w:tc>
          <w:tcPr>
            <w:tcW w:w="885" w:type="dxa"/>
            <w:vMerge w:val="continue"/>
            <w:tcBorders>
              <w:left w:val="single" w:color="000000" w:sz="4" w:space="0"/>
              <w:right w:val="single" w:color="000000" w:sz="4" w:space="0"/>
            </w:tcBorders>
            <w:noWrap w:val="0"/>
            <w:vAlign w:val="top"/>
          </w:tcPr>
          <w:p>
            <w:pPr>
              <w:rPr>
                <w:rFonts w:ascii="宋体" w:cs="宋体"/>
                <w:color w:val="auto"/>
                <w:sz w:val="24"/>
                <w:szCs w:val="24"/>
                <w:highlight w:val="none"/>
              </w:rPr>
            </w:pPr>
          </w:p>
        </w:tc>
        <w:tc>
          <w:tcPr>
            <w:tcW w:w="880" w:type="dxa"/>
            <w:vMerge w:val="continue"/>
            <w:tcBorders>
              <w:left w:val="single" w:color="000000" w:sz="4" w:space="0"/>
              <w:right w:val="single" w:color="000000" w:sz="4" w:space="0"/>
            </w:tcBorders>
            <w:noWrap w:val="0"/>
            <w:vAlign w:val="top"/>
          </w:tcPr>
          <w:p>
            <w:pPr>
              <w:rPr>
                <w:rFonts w:ascii="宋体" w:cs="宋体"/>
                <w:color w:val="auto"/>
                <w:sz w:val="24"/>
                <w:szCs w:val="24"/>
                <w:highlight w:val="none"/>
              </w:rPr>
            </w:pPr>
          </w:p>
        </w:tc>
      </w:tr>
      <w:tr>
        <w:tblPrEx>
          <w:tblCellMar>
            <w:top w:w="0" w:type="dxa"/>
            <w:left w:w="0" w:type="dxa"/>
            <w:bottom w:w="0" w:type="dxa"/>
            <w:right w:w="0" w:type="dxa"/>
          </w:tblCellMar>
        </w:tblPrEx>
        <w:trPr>
          <w:trHeight w:val="662" w:hRule="exact"/>
          <w:jc w:val="center"/>
        </w:trPr>
        <w:tc>
          <w:tcPr>
            <w:tcW w:w="461" w:type="dxa"/>
            <w:vMerge w:val="continue"/>
            <w:tcBorders>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07" w:type="dxa"/>
            <w:vMerge w:val="continue"/>
            <w:tcBorders>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2" w:type="dxa"/>
            <w:vMerge w:val="continue"/>
            <w:tcBorders>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vMerge w:val="continue"/>
            <w:tcBorders>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vMerge w:val="continue"/>
            <w:tcBorders>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ascii="宋体" w:cs="宋体"/>
                <w:color w:val="auto"/>
                <w:sz w:val="24"/>
                <w:szCs w:val="24"/>
                <w:highlight w:val="none"/>
              </w:rPr>
            </w:pPr>
            <w:r>
              <w:rPr>
                <w:rFonts w:hint="eastAsia" w:ascii="宋体" w:hAnsi="宋体" w:cs="宋体"/>
                <w:color w:val="auto"/>
                <w:sz w:val="24"/>
                <w:szCs w:val="24"/>
                <w:highlight w:val="none"/>
              </w:rPr>
              <w:t>自有</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ascii="宋体" w:cs="宋体"/>
                <w:color w:val="auto"/>
                <w:sz w:val="24"/>
                <w:szCs w:val="24"/>
                <w:highlight w:val="none"/>
              </w:rPr>
            </w:pPr>
            <w:r>
              <w:rPr>
                <w:rFonts w:hint="eastAsia" w:ascii="宋体" w:hAnsi="宋体" w:cs="宋体"/>
                <w:color w:val="auto"/>
                <w:sz w:val="24"/>
                <w:szCs w:val="24"/>
                <w:highlight w:val="none"/>
              </w:rPr>
              <w:t>租赁</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ascii="宋体" w:cs="宋体"/>
                <w:color w:val="auto"/>
                <w:sz w:val="24"/>
                <w:szCs w:val="24"/>
                <w:highlight w:val="none"/>
              </w:rPr>
            </w:pPr>
            <w:r>
              <w:rPr>
                <w:rFonts w:hint="eastAsia" w:ascii="宋体" w:hAnsi="宋体" w:cs="宋体"/>
                <w:color w:val="auto"/>
                <w:sz w:val="24"/>
                <w:szCs w:val="24"/>
                <w:highlight w:val="none"/>
              </w:rPr>
              <w:t>新购</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spacing w:before="26"/>
              <w:ind w:left="109" w:right="36"/>
              <w:jc w:val="center"/>
              <w:rPr>
                <w:rFonts w:ascii="宋体" w:cs="宋体"/>
                <w:color w:val="auto"/>
                <w:sz w:val="24"/>
                <w:szCs w:val="24"/>
                <w:highlight w:val="none"/>
              </w:rPr>
            </w:pPr>
            <w:r>
              <w:rPr>
                <w:rFonts w:hint="eastAsia" w:ascii="宋体" w:hAnsi="宋体" w:cs="宋体"/>
                <w:color w:val="auto"/>
                <w:sz w:val="24"/>
                <w:szCs w:val="24"/>
                <w:highlight w:val="none"/>
              </w:rPr>
              <w:t>特别制造</w:t>
            </w:r>
          </w:p>
        </w:tc>
        <w:tc>
          <w:tcPr>
            <w:tcW w:w="562" w:type="dxa"/>
            <w:vMerge w:val="continue"/>
            <w:tcBorders>
              <w:left w:val="single" w:color="000000" w:sz="4" w:space="0"/>
              <w:bottom w:val="single" w:color="000000" w:sz="4" w:space="0"/>
              <w:right w:val="single" w:color="000000" w:sz="4" w:space="0"/>
            </w:tcBorders>
            <w:noWrap w:val="0"/>
            <w:vAlign w:val="center"/>
          </w:tcPr>
          <w:p>
            <w:pPr>
              <w:jc w:val="center"/>
              <w:rPr>
                <w:rFonts w:ascii="宋体" w:cs="宋体"/>
                <w:color w:val="auto"/>
                <w:sz w:val="24"/>
                <w:szCs w:val="24"/>
                <w:highlight w:val="none"/>
              </w:rPr>
            </w:pPr>
          </w:p>
        </w:tc>
        <w:tc>
          <w:tcPr>
            <w:tcW w:w="1050" w:type="dxa"/>
            <w:vMerge w:val="continue"/>
            <w:tcBorders>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85" w:type="dxa"/>
            <w:vMerge w:val="continue"/>
            <w:tcBorders>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80" w:type="dxa"/>
            <w:vMerge w:val="continue"/>
            <w:tcBorders>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blPrEx>
          <w:tblCellMar>
            <w:top w:w="0" w:type="dxa"/>
            <w:left w:w="0" w:type="dxa"/>
            <w:bottom w:w="0" w:type="dxa"/>
            <w:right w:w="0" w:type="dxa"/>
          </w:tblCellMar>
        </w:tblPrEx>
        <w:trPr>
          <w:trHeight w:val="698" w:hRule="exact"/>
          <w:jc w:val="center"/>
        </w:trPr>
        <w:tc>
          <w:tcPr>
            <w:tcW w:w="46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56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blPrEx>
          <w:tblCellMar>
            <w:top w:w="0" w:type="dxa"/>
            <w:left w:w="0" w:type="dxa"/>
            <w:bottom w:w="0" w:type="dxa"/>
            <w:right w:w="0" w:type="dxa"/>
          </w:tblCellMar>
        </w:tblPrEx>
        <w:trPr>
          <w:trHeight w:val="698" w:hRule="exact"/>
          <w:jc w:val="center"/>
        </w:trPr>
        <w:tc>
          <w:tcPr>
            <w:tcW w:w="46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56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blPrEx>
          <w:tblCellMar>
            <w:top w:w="0" w:type="dxa"/>
            <w:left w:w="0" w:type="dxa"/>
            <w:bottom w:w="0" w:type="dxa"/>
            <w:right w:w="0" w:type="dxa"/>
          </w:tblCellMar>
        </w:tblPrEx>
        <w:trPr>
          <w:trHeight w:val="694" w:hRule="exact"/>
          <w:jc w:val="center"/>
        </w:trPr>
        <w:tc>
          <w:tcPr>
            <w:tcW w:w="46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56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blPrEx>
          <w:tblCellMar>
            <w:top w:w="0" w:type="dxa"/>
            <w:left w:w="0" w:type="dxa"/>
            <w:bottom w:w="0" w:type="dxa"/>
            <w:right w:w="0" w:type="dxa"/>
          </w:tblCellMar>
        </w:tblPrEx>
        <w:trPr>
          <w:trHeight w:val="674" w:hRule="exact"/>
          <w:jc w:val="center"/>
        </w:trPr>
        <w:tc>
          <w:tcPr>
            <w:tcW w:w="46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56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blPrEx>
          <w:tblCellMar>
            <w:top w:w="0" w:type="dxa"/>
            <w:left w:w="0" w:type="dxa"/>
            <w:bottom w:w="0" w:type="dxa"/>
            <w:right w:w="0" w:type="dxa"/>
          </w:tblCellMar>
        </w:tblPrEx>
        <w:trPr>
          <w:trHeight w:val="674" w:hRule="exact"/>
          <w:jc w:val="center"/>
        </w:trPr>
        <w:tc>
          <w:tcPr>
            <w:tcW w:w="46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56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blPrEx>
          <w:tblCellMar>
            <w:top w:w="0" w:type="dxa"/>
            <w:left w:w="0" w:type="dxa"/>
            <w:bottom w:w="0" w:type="dxa"/>
            <w:right w:w="0" w:type="dxa"/>
          </w:tblCellMar>
        </w:tblPrEx>
        <w:trPr>
          <w:trHeight w:val="580" w:hRule="exact"/>
          <w:jc w:val="center"/>
        </w:trPr>
        <w:tc>
          <w:tcPr>
            <w:tcW w:w="46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07"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56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bl>
    <w:p>
      <w:pPr>
        <w:spacing w:line="420" w:lineRule="exact"/>
        <w:rPr>
          <w:rFonts w:asci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 xml:space="preserve">1. </w:t>
      </w:r>
      <w:r>
        <w:rPr>
          <w:rFonts w:hint="eastAsia" w:ascii="宋体" w:hAnsi="宋体"/>
          <w:color w:val="auto"/>
          <w:szCs w:val="21"/>
          <w:highlight w:val="none"/>
        </w:rPr>
        <w:t>施工机械设备按本工程施工需要的顺序填写；</w:t>
      </w:r>
    </w:p>
    <w:p>
      <w:pPr>
        <w:spacing w:line="420" w:lineRule="exact"/>
        <w:rPr>
          <w:rFonts w:ascii="宋体"/>
          <w:color w:val="auto"/>
          <w:szCs w:val="21"/>
          <w:highlight w:val="none"/>
        </w:rPr>
      </w:pPr>
      <w:r>
        <w:rPr>
          <w:rFonts w:ascii="宋体" w:hAnsi="宋体"/>
          <w:color w:val="auto"/>
          <w:szCs w:val="21"/>
          <w:highlight w:val="none"/>
        </w:rPr>
        <w:t xml:space="preserve">    2. </w:t>
      </w:r>
      <w:r>
        <w:rPr>
          <w:rFonts w:hint="eastAsia" w:ascii="宋体" w:hAnsi="宋体"/>
          <w:color w:val="auto"/>
          <w:szCs w:val="21"/>
          <w:highlight w:val="none"/>
        </w:rPr>
        <w:t>填写拟派于本工程的具体设备；</w:t>
      </w:r>
    </w:p>
    <w:p>
      <w:pPr>
        <w:spacing w:line="420" w:lineRule="exact"/>
        <w:rPr>
          <w:rFonts w:ascii="宋体"/>
          <w:color w:val="auto"/>
          <w:szCs w:val="21"/>
          <w:highlight w:val="none"/>
        </w:rPr>
      </w:pPr>
      <w:r>
        <w:rPr>
          <w:rFonts w:ascii="宋体" w:hAnsi="宋体"/>
          <w:color w:val="auto"/>
          <w:szCs w:val="21"/>
          <w:highlight w:val="none"/>
        </w:rPr>
        <w:t xml:space="preserve">    3. </w:t>
      </w:r>
      <w:r>
        <w:rPr>
          <w:rFonts w:hint="eastAsia" w:ascii="宋体" w:hAnsi="宋体"/>
          <w:color w:val="auto"/>
          <w:szCs w:val="21"/>
          <w:highlight w:val="none"/>
        </w:rPr>
        <w:t>注明机械设备出厂日期、目前存放地点、承担工作等内容。</w:t>
      </w:r>
    </w:p>
    <w:p>
      <w:pPr>
        <w:spacing w:line="400" w:lineRule="exact"/>
        <w:ind w:left="630" w:leftChars="300"/>
        <w:rPr>
          <w:rFonts w:ascii="宋体" w:hAnsi="宋体"/>
          <w:color w:val="auto"/>
          <w:szCs w:val="21"/>
          <w:highlight w:val="none"/>
        </w:rPr>
      </w:pPr>
    </w:p>
    <w:p>
      <w:pPr>
        <w:tabs>
          <w:tab w:val="left" w:pos="1875"/>
        </w:tabs>
        <w:rPr>
          <w:rFonts w:ascii="宋体"/>
          <w:color w:val="auto"/>
          <w:szCs w:val="21"/>
          <w:highlight w:val="none"/>
        </w:rPr>
      </w:pPr>
    </w:p>
    <w:p>
      <w:pPr>
        <w:tabs>
          <w:tab w:val="left" w:pos="1875"/>
        </w:tabs>
        <w:rPr>
          <w:rFonts w:hint="eastAsia" w:ascii="宋体" w:hAnsi="宋体"/>
          <w:color w:val="auto"/>
          <w:sz w:val="24"/>
          <w:szCs w:val="24"/>
          <w:highlight w:val="none"/>
        </w:rPr>
      </w:pPr>
    </w:p>
    <w:p>
      <w:pPr>
        <w:tabs>
          <w:tab w:val="left" w:pos="1875"/>
        </w:tabs>
        <w:rPr>
          <w:rFonts w:hint="eastAsia" w:ascii="宋体" w:hAnsi="宋体"/>
          <w:color w:val="auto"/>
          <w:sz w:val="24"/>
          <w:szCs w:val="24"/>
          <w:highlight w:val="none"/>
        </w:rPr>
      </w:pPr>
    </w:p>
    <w:p>
      <w:pPr>
        <w:tabs>
          <w:tab w:val="left" w:pos="1875"/>
        </w:tabs>
        <w:rPr>
          <w:rFonts w:asci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：（盖章）</w:t>
      </w:r>
    </w:p>
    <w:p>
      <w:pPr>
        <w:tabs>
          <w:tab w:val="left" w:pos="1875"/>
        </w:tabs>
        <w:rPr>
          <w:rFonts w:ascii="宋体"/>
          <w:color w:val="auto"/>
          <w:sz w:val="24"/>
          <w:szCs w:val="24"/>
          <w:highlight w:val="none"/>
        </w:rPr>
      </w:pPr>
    </w:p>
    <w:p>
      <w:pPr>
        <w:pStyle w:val="15"/>
        <w:rPr>
          <w:rFonts w:ascii="宋体" w:hAnsi="宋体"/>
          <w:color w:val="auto"/>
          <w:sz w:val="24"/>
          <w:szCs w:val="24"/>
          <w:highlight w:val="none"/>
        </w:rPr>
      </w:pPr>
      <w:r>
        <w:rPr>
          <w:rFonts w:hint="eastAsia" w:ascii="宋体" w:hAnsi="宋体"/>
          <w:color w:val="auto"/>
          <w:sz w:val="24"/>
          <w:szCs w:val="24"/>
          <w:highlight w:val="none"/>
        </w:rPr>
        <w:t>法定代表人或授权代理人：（签字或盖章）</w:t>
      </w:r>
    </w:p>
    <w:p>
      <w:pPr>
        <w:pStyle w:val="15"/>
        <w:rPr>
          <w:rFonts w:ascii="宋体"/>
          <w:bCs/>
          <w:color w:val="auto"/>
          <w:sz w:val="10"/>
          <w:szCs w:val="30"/>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pPr>
        <w:pStyle w:val="18"/>
        <w:spacing w:before="75" w:beforeAutospacing="0" w:after="75" w:afterAutospacing="0" w:line="320" w:lineRule="exact"/>
        <w:jc w:val="center"/>
        <w:rPr>
          <w:rStyle w:val="25"/>
          <w:rFonts w:hint="eastAsia" w:cs="宋体"/>
          <w:b/>
          <w:bCs w:val="0"/>
          <w:color w:val="auto"/>
          <w:sz w:val="24"/>
          <w:szCs w:val="24"/>
          <w:highlight w:val="none"/>
          <w:lang w:val="en-US" w:eastAsia="zh-CN"/>
        </w:rPr>
      </w:pPr>
    </w:p>
    <w:p>
      <w:pPr>
        <w:pStyle w:val="18"/>
        <w:spacing w:before="75" w:beforeAutospacing="0" w:after="75" w:afterAutospacing="0" w:line="320" w:lineRule="exact"/>
        <w:jc w:val="center"/>
        <w:rPr>
          <w:rStyle w:val="25"/>
          <w:rFonts w:hint="eastAsia" w:cs="宋体"/>
          <w:b/>
          <w:bCs w:val="0"/>
          <w:color w:val="auto"/>
          <w:sz w:val="24"/>
          <w:szCs w:val="24"/>
          <w:highlight w:val="none"/>
        </w:rPr>
      </w:pPr>
    </w:p>
    <w:p>
      <w:pPr>
        <w:pStyle w:val="18"/>
        <w:spacing w:before="75" w:beforeAutospacing="0" w:after="75" w:afterAutospacing="0" w:line="320" w:lineRule="exact"/>
        <w:jc w:val="center"/>
        <w:rPr>
          <w:rStyle w:val="25"/>
          <w:rFonts w:hint="eastAsia" w:cs="宋体"/>
          <w:b/>
          <w:bCs w:val="0"/>
          <w:color w:val="auto"/>
          <w:sz w:val="24"/>
          <w:szCs w:val="24"/>
          <w:highlight w:val="none"/>
        </w:rPr>
      </w:pPr>
    </w:p>
    <w:p>
      <w:pPr>
        <w:pStyle w:val="18"/>
        <w:spacing w:before="75" w:beforeAutospacing="0" w:after="75" w:afterAutospacing="0" w:line="320" w:lineRule="exact"/>
        <w:jc w:val="center"/>
        <w:rPr>
          <w:rStyle w:val="25"/>
          <w:rFonts w:hint="eastAsia" w:cs="宋体"/>
          <w:b/>
          <w:bCs w:val="0"/>
          <w:color w:val="auto"/>
          <w:sz w:val="24"/>
          <w:szCs w:val="24"/>
          <w:highlight w:val="none"/>
        </w:rPr>
      </w:pPr>
    </w:p>
    <w:p>
      <w:pPr>
        <w:pStyle w:val="18"/>
        <w:spacing w:before="75" w:beforeAutospacing="0" w:after="75" w:afterAutospacing="0" w:line="320" w:lineRule="exact"/>
        <w:jc w:val="center"/>
        <w:rPr>
          <w:rStyle w:val="25"/>
          <w:rFonts w:hint="eastAsia" w:cs="宋体"/>
          <w:b/>
          <w:bCs w:val="0"/>
          <w:color w:val="auto"/>
          <w:sz w:val="24"/>
          <w:szCs w:val="24"/>
          <w:highlight w:val="none"/>
        </w:rPr>
      </w:pPr>
    </w:p>
    <w:p>
      <w:pPr>
        <w:pStyle w:val="18"/>
        <w:spacing w:before="75" w:beforeAutospacing="0" w:after="75" w:afterAutospacing="0" w:line="320" w:lineRule="exact"/>
        <w:jc w:val="center"/>
        <w:rPr>
          <w:rStyle w:val="25"/>
          <w:rFonts w:hint="eastAsia" w:cs="宋体"/>
          <w:b/>
          <w:bCs w:val="0"/>
          <w:color w:val="auto"/>
          <w:sz w:val="24"/>
          <w:szCs w:val="24"/>
          <w:highlight w:val="none"/>
        </w:rPr>
      </w:pPr>
    </w:p>
    <w:p>
      <w:pPr>
        <w:pStyle w:val="18"/>
        <w:spacing w:before="75" w:beforeAutospacing="0" w:after="75" w:afterAutospacing="0" w:line="320" w:lineRule="exact"/>
        <w:jc w:val="center"/>
        <w:rPr>
          <w:rStyle w:val="25"/>
          <w:rFonts w:hint="eastAsia" w:cs="宋体"/>
          <w:b/>
          <w:bCs w:val="0"/>
          <w:color w:val="auto"/>
          <w:sz w:val="24"/>
          <w:szCs w:val="24"/>
          <w:highlight w:val="none"/>
          <w:lang w:val="en-US" w:eastAsia="zh-CN"/>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9</w:t>
      </w:r>
      <w:r>
        <w:rPr>
          <w:rStyle w:val="25"/>
          <w:rFonts w:hint="eastAsia" w:cs="宋体"/>
          <w:b/>
          <w:bCs w:val="0"/>
          <w:color w:val="auto"/>
          <w:sz w:val="24"/>
          <w:szCs w:val="24"/>
          <w:highlight w:val="none"/>
        </w:rPr>
        <w:t xml:space="preserve">  项目拟分包情况表</w:t>
      </w:r>
    </w:p>
    <w:p>
      <w:pPr>
        <w:spacing w:line="400" w:lineRule="exact"/>
        <w:ind w:left="945" w:hanging="945" w:hangingChars="450"/>
        <w:rPr>
          <w:rFonts w:hint="eastAsia" w:ascii="宋体" w:hAnsi="宋体"/>
          <w:color w:val="auto"/>
          <w:szCs w:val="21"/>
          <w:highlight w:val="none"/>
        </w:rPr>
      </w:pPr>
    </w:p>
    <w:tbl>
      <w:tblPr>
        <w:tblStyle w:val="22"/>
        <w:tblpPr w:leftFromText="180" w:rightFromText="180" w:vertAnchor="text" w:horzAnchor="margin" w:tblpX="108" w:tblpY="-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709"/>
        <w:gridCol w:w="1621"/>
        <w:gridCol w:w="2079"/>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1304" w:type="dxa"/>
            <w:noWrap w:val="0"/>
            <w:vAlign w:val="center"/>
          </w:tcPr>
          <w:p>
            <w:pPr>
              <w:spacing w:line="440" w:lineRule="exact"/>
              <w:jc w:val="center"/>
              <w:rPr>
                <w:color w:val="auto"/>
                <w:szCs w:val="21"/>
                <w:highlight w:val="none"/>
              </w:rPr>
            </w:pPr>
            <w:r>
              <w:rPr>
                <w:rFonts w:hint="eastAsia"/>
                <w:color w:val="auto"/>
                <w:szCs w:val="21"/>
                <w:highlight w:val="none"/>
              </w:rPr>
              <w:t>分包项目</w:t>
            </w:r>
          </w:p>
        </w:tc>
        <w:tc>
          <w:tcPr>
            <w:tcW w:w="1709" w:type="dxa"/>
            <w:noWrap w:val="0"/>
            <w:vAlign w:val="center"/>
          </w:tcPr>
          <w:p>
            <w:pPr>
              <w:spacing w:line="440" w:lineRule="exact"/>
              <w:jc w:val="center"/>
              <w:rPr>
                <w:color w:val="auto"/>
                <w:szCs w:val="21"/>
                <w:highlight w:val="none"/>
              </w:rPr>
            </w:pPr>
            <w:r>
              <w:rPr>
                <w:rFonts w:hint="eastAsia"/>
                <w:color w:val="auto"/>
                <w:szCs w:val="21"/>
                <w:highlight w:val="none"/>
              </w:rPr>
              <w:t>主要内容</w:t>
            </w:r>
          </w:p>
        </w:tc>
        <w:tc>
          <w:tcPr>
            <w:tcW w:w="1621" w:type="dxa"/>
            <w:noWrap w:val="0"/>
            <w:vAlign w:val="center"/>
          </w:tcPr>
          <w:p>
            <w:pPr>
              <w:spacing w:line="440" w:lineRule="exact"/>
              <w:jc w:val="center"/>
              <w:rPr>
                <w:color w:val="auto"/>
                <w:szCs w:val="21"/>
                <w:highlight w:val="none"/>
              </w:rPr>
            </w:pPr>
            <w:r>
              <w:rPr>
                <w:rFonts w:hint="eastAsia"/>
                <w:color w:val="auto"/>
                <w:szCs w:val="21"/>
                <w:highlight w:val="none"/>
              </w:rPr>
              <w:t>估算价格</w:t>
            </w:r>
          </w:p>
        </w:tc>
        <w:tc>
          <w:tcPr>
            <w:tcW w:w="2079" w:type="dxa"/>
            <w:noWrap w:val="0"/>
            <w:vAlign w:val="center"/>
          </w:tcPr>
          <w:p>
            <w:pPr>
              <w:spacing w:line="440" w:lineRule="exact"/>
              <w:jc w:val="center"/>
              <w:rPr>
                <w:color w:val="auto"/>
                <w:szCs w:val="21"/>
                <w:highlight w:val="none"/>
              </w:rPr>
            </w:pPr>
            <w:r>
              <w:rPr>
                <w:rFonts w:hint="eastAsia"/>
                <w:color w:val="auto"/>
                <w:szCs w:val="21"/>
                <w:highlight w:val="none"/>
              </w:rPr>
              <w:t>分包单位名称、地址</w:t>
            </w:r>
          </w:p>
        </w:tc>
        <w:tc>
          <w:tcPr>
            <w:tcW w:w="1614" w:type="dxa"/>
            <w:noWrap w:val="0"/>
            <w:vAlign w:val="center"/>
          </w:tcPr>
          <w:p>
            <w:pPr>
              <w:spacing w:line="440" w:lineRule="exact"/>
              <w:jc w:val="center"/>
              <w:rPr>
                <w:color w:val="auto"/>
                <w:szCs w:val="21"/>
                <w:highlight w:val="none"/>
              </w:rPr>
            </w:pPr>
            <w:r>
              <w:rPr>
                <w:rFonts w:hint="eastAsia"/>
                <w:color w:val="auto"/>
                <w:szCs w:val="21"/>
                <w:highlight w:val="none"/>
              </w:rPr>
              <w:t>做过的类似工程情况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5" w:hRule="atLeast"/>
        </w:trPr>
        <w:tc>
          <w:tcPr>
            <w:tcW w:w="1304" w:type="dxa"/>
            <w:noWrap w:val="0"/>
            <w:vAlign w:val="center"/>
          </w:tcPr>
          <w:p>
            <w:pPr>
              <w:spacing w:line="440" w:lineRule="exact"/>
              <w:jc w:val="center"/>
              <w:rPr>
                <w:color w:val="auto"/>
                <w:szCs w:val="21"/>
                <w:highlight w:val="none"/>
              </w:rPr>
            </w:pPr>
          </w:p>
        </w:tc>
        <w:tc>
          <w:tcPr>
            <w:tcW w:w="1709" w:type="dxa"/>
            <w:noWrap w:val="0"/>
            <w:vAlign w:val="center"/>
          </w:tcPr>
          <w:p>
            <w:pPr>
              <w:spacing w:line="440" w:lineRule="exact"/>
              <w:jc w:val="center"/>
              <w:rPr>
                <w:color w:val="auto"/>
                <w:szCs w:val="21"/>
                <w:highlight w:val="none"/>
              </w:rPr>
            </w:pPr>
          </w:p>
        </w:tc>
        <w:tc>
          <w:tcPr>
            <w:tcW w:w="1621" w:type="dxa"/>
            <w:noWrap w:val="0"/>
            <w:vAlign w:val="center"/>
          </w:tcPr>
          <w:p>
            <w:pPr>
              <w:spacing w:line="440" w:lineRule="exact"/>
              <w:jc w:val="center"/>
              <w:rPr>
                <w:color w:val="auto"/>
                <w:szCs w:val="21"/>
                <w:highlight w:val="none"/>
              </w:rPr>
            </w:pPr>
          </w:p>
        </w:tc>
        <w:tc>
          <w:tcPr>
            <w:tcW w:w="2079" w:type="dxa"/>
            <w:noWrap w:val="0"/>
            <w:vAlign w:val="center"/>
          </w:tcPr>
          <w:p>
            <w:pPr>
              <w:spacing w:line="440" w:lineRule="exact"/>
              <w:jc w:val="center"/>
              <w:rPr>
                <w:color w:val="auto"/>
                <w:szCs w:val="21"/>
                <w:highlight w:val="none"/>
              </w:rPr>
            </w:pPr>
          </w:p>
        </w:tc>
        <w:tc>
          <w:tcPr>
            <w:tcW w:w="1614" w:type="dxa"/>
            <w:noWrap w:val="0"/>
            <w:vAlign w:val="center"/>
          </w:tcPr>
          <w:p>
            <w:pPr>
              <w:spacing w:line="440" w:lineRule="exact"/>
              <w:jc w:val="center"/>
              <w:rPr>
                <w:color w:val="auto"/>
                <w:szCs w:val="21"/>
                <w:highlight w:val="none"/>
              </w:rPr>
            </w:pPr>
          </w:p>
        </w:tc>
      </w:tr>
    </w:tbl>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（盖章）：</w:t>
      </w: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r>
        <w:rPr>
          <w:rStyle w:val="25"/>
          <w:rFonts w:hint="eastAsia" w:cs="宋体"/>
          <w:b w:val="0"/>
          <w:bCs/>
          <w:color w:val="auto"/>
          <w:sz w:val="24"/>
          <w:szCs w:val="24"/>
          <w:highlight w:val="none"/>
        </w:rPr>
        <w:t>法人代表人或委托代理人签字或盖章：</w:t>
      </w: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r>
        <w:rPr>
          <w:rStyle w:val="25"/>
          <w:rFonts w:hint="eastAsia" w:cs="宋体"/>
          <w:b w:val="0"/>
          <w:bCs/>
          <w:color w:val="auto"/>
          <w:sz w:val="24"/>
          <w:szCs w:val="24"/>
          <w:highlight w:val="none"/>
        </w:rPr>
        <w:t xml:space="preserve">年  月  日    </w:t>
      </w:r>
    </w:p>
    <w:p>
      <w:pPr>
        <w:pStyle w:val="18"/>
        <w:spacing w:before="75" w:beforeAutospacing="0" w:after="75" w:afterAutospacing="0" w:line="320" w:lineRule="exact"/>
        <w:jc w:val="center"/>
        <w:rPr>
          <w:rStyle w:val="25"/>
          <w:rFonts w:hint="eastAsia" w:eastAsia="宋体" w:cs="宋体"/>
          <w:b/>
          <w:bCs w:val="0"/>
          <w:color w:val="auto"/>
          <w:sz w:val="24"/>
          <w:szCs w:val="24"/>
          <w:highlight w:val="none"/>
          <w:lang w:eastAsia="zh-CN"/>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10</w:t>
      </w:r>
      <w:r>
        <w:rPr>
          <w:rStyle w:val="25"/>
          <w:rFonts w:hint="eastAsia" w:cs="宋体"/>
          <w:b/>
          <w:bCs w:val="0"/>
          <w:color w:val="auto"/>
          <w:sz w:val="24"/>
          <w:szCs w:val="24"/>
          <w:highlight w:val="none"/>
        </w:rPr>
        <w:t xml:space="preserve"> </w:t>
      </w:r>
      <w:r>
        <w:rPr>
          <w:rStyle w:val="25"/>
          <w:rFonts w:hint="eastAsia" w:cs="宋体"/>
          <w:b/>
          <w:bCs w:val="0"/>
          <w:color w:val="auto"/>
          <w:sz w:val="24"/>
          <w:szCs w:val="24"/>
          <w:highlight w:val="none"/>
          <w:lang w:val="en-US" w:eastAsia="zh-CN"/>
        </w:rPr>
        <w:t xml:space="preserve"> 资格性/符合性自查表</w:t>
      </w:r>
    </w:p>
    <w:tbl>
      <w:tblPr>
        <w:tblStyle w:val="22"/>
        <w:tblW w:w="8175"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521"/>
        <w:gridCol w:w="2427"/>
        <w:gridCol w:w="2045"/>
        <w:gridCol w:w="2182"/>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42" w:hRule="atLeast"/>
          <w:jc w:val="center"/>
        </w:trPr>
        <w:tc>
          <w:tcPr>
            <w:tcW w:w="1521"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评审内容</w:t>
            </w:r>
          </w:p>
        </w:tc>
        <w:tc>
          <w:tcPr>
            <w:tcW w:w="2427"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b/>
                <w:bCs/>
                <w:color w:val="auto"/>
                <w:spacing w:val="10"/>
                <w:sz w:val="24"/>
                <w:szCs w:val="24"/>
                <w:highlight w:val="none"/>
                <w:lang w:eastAsia="zh-CN"/>
              </w:rPr>
              <w:t>竞争性磋商文件</w:t>
            </w:r>
            <w:r>
              <w:rPr>
                <w:rFonts w:hint="eastAsia" w:ascii="宋体" w:hAnsi="宋体" w:eastAsia="宋体" w:cs="宋体"/>
                <w:b/>
                <w:bCs/>
                <w:color w:val="auto"/>
                <w:spacing w:val="10"/>
                <w:sz w:val="24"/>
                <w:szCs w:val="24"/>
                <w:highlight w:val="none"/>
              </w:rPr>
              <w:t>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（详见《资格性和符合性审查表》各项）</w:t>
            </w:r>
          </w:p>
        </w:tc>
        <w:tc>
          <w:tcPr>
            <w:tcW w:w="204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自查结论</w:t>
            </w:r>
          </w:p>
        </w:tc>
        <w:tc>
          <w:tcPr>
            <w:tcW w:w="2182"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521" w:type="dxa"/>
            <w:vMerge w:val="restart"/>
            <w:tcBorders>
              <w:top w:val="outset" w:color="111111" w:sz="6" w:space="0"/>
              <w:left w:val="outset" w:color="111111" w:sz="6" w:space="0"/>
              <w:right w:val="outset" w:color="111111"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资格性审查</w:t>
            </w:r>
          </w:p>
        </w:tc>
        <w:tc>
          <w:tcPr>
            <w:tcW w:w="2427"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2"/>
                <w:szCs w:val="28"/>
                <w:highlight w:val="none"/>
              </w:rPr>
            </w:pPr>
          </w:p>
        </w:tc>
        <w:tc>
          <w:tcPr>
            <w:tcW w:w="204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□通过 □不通过</w:t>
            </w:r>
          </w:p>
        </w:tc>
        <w:tc>
          <w:tcPr>
            <w:tcW w:w="2182"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见</w:t>
            </w:r>
            <w:r>
              <w:rPr>
                <w:rFonts w:hint="eastAsia" w:ascii="宋体" w:hAnsi="宋体" w:cs="宋体"/>
                <w:color w:val="auto"/>
                <w:sz w:val="22"/>
                <w:szCs w:val="28"/>
                <w:highlight w:val="none"/>
                <w:lang w:eastAsia="zh-CN"/>
              </w:rPr>
              <w:t>响应文件</w:t>
            </w:r>
            <w:r>
              <w:rPr>
                <w:rFonts w:hint="eastAsia" w:ascii="宋体" w:hAnsi="宋体" w:eastAsia="宋体" w:cs="宋体"/>
                <w:color w:val="auto"/>
                <w:sz w:val="22"/>
                <w:szCs w:val="28"/>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521" w:type="dxa"/>
            <w:vMerge w:val="continue"/>
            <w:tcBorders>
              <w:left w:val="outset" w:color="111111" w:sz="6" w:space="0"/>
              <w:right w:val="outset" w:color="111111" w:sz="6"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2427"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p>
        </w:tc>
        <w:tc>
          <w:tcPr>
            <w:tcW w:w="204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cs="宋体"/>
                <w:color w:val="auto"/>
                <w:sz w:val="22"/>
                <w:szCs w:val="28"/>
                <w:highlight w:val="none"/>
                <w:lang w:eastAsia="zh-CN"/>
              </w:rPr>
              <w:t>☑</w:t>
            </w:r>
            <w:r>
              <w:rPr>
                <w:rFonts w:hint="eastAsia" w:ascii="宋体" w:hAnsi="宋体" w:eastAsia="宋体" w:cs="宋体"/>
                <w:color w:val="auto"/>
                <w:sz w:val="22"/>
                <w:szCs w:val="28"/>
                <w:highlight w:val="none"/>
              </w:rPr>
              <w:t>通过 □不通过</w:t>
            </w:r>
          </w:p>
        </w:tc>
        <w:tc>
          <w:tcPr>
            <w:tcW w:w="2182"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见</w:t>
            </w:r>
            <w:r>
              <w:rPr>
                <w:rFonts w:hint="eastAsia" w:ascii="宋体" w:hAnsi="宋体" w:cs="宋体"/>
                <w:color w:val="auto"/>
                <w:sz w:val="22"/>
                <w:szCs w:val="28"/>
                <w:highlight w:val="none"/>
                <w:lang w:eastAsia="zh-CN"/>
              </w:rPr>
              <w:t>响应文件</w:t>
            </w:r>
            <w:r>
              <w:rPr>
                <w:rFonts w:hint="eastAsia" w:ascii="宋体" w:hAnsi="宋体" w:eastAsia="宋体" w:cs="宋体"/>
                <w:color w:val="auto"/>
                <w:sz w:val="22"/>
                <w:szCs w:val="28"/>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521" w:type="dxa"/>
            <w:vMerge w:val="continue"/>
            <w:tcBorders>
              <w:left w:val="outset" w:color="111111" w:sz="6" w:space="0"/>
              <w:right w:val="outset" w:color="111111" w:sz="6"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2427"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p>
        </w:tc>
        <w:tc>
          <w:tcPr>
            <w:tcW w:w="204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□通过 □不通过</w:t>
            </w:r>
          </w:p>
        </w:tc>
        <w:tc>
          <w:tcPr>
            <w:tcW w:w="2182"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见</w:t>
            </w:r>
            <w:r>
              <w:rPr>
                <w:rFonts w:hint="eastAsia" w:ascii="宋体" w:hAnsi="宋体" w:cs="宋体"/>
                <w:color w:val="auto"/>
                <w:sz w:val="22"/>
                <w:szCs w:val="28"/>
                <w:highlight w:val="none"/>
                <w:lang w:eastAsia="zh-CN"/>
              </w:rPr>
              <w:t>响应文件</w:t>
            </w:r>
            <w:r>
              <w:rPr>
                <w:rFonts w:hint="eastAsia" w:ascii="宋体" w:hAnsi="宋体" w:eastAsia="宋体" w:cs="宋体"/>
                <w:color w:val="auto"/>
                <w:sz w:val="22"/>
                <w:szCs w:val="28"/>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521" w:type="dxa"/>
            <w:vMerge w:val="restart"/>
            <w:tcBorders>
              <w:top w:val="outset" w:color="111111" w:sz="6" w:space="0"/>
              <w:left w:val="outset" w:color="111111" w:sz="6" w:space="0"/>
              <w:right w:val="outset" w:color="111111"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符合性审查</w:t>
            </w:r>
          </w:p>
        </w:tc>
        <w:tc>
          <w:tcPr>
            <w:tcW w:w="2427"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p>
        </w:tc>
        <w:tc>
          <w:tcPr>
            <w:tcW w:w="204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w:t>
            </w:r>
            <w:r>
              <w:rPr>
                <w:rFonts w:hint="eastAsia" w:ascii="宋体" w:hAnsi="宋体" w:eastAsia="宋体" w:cs="宋体"/>
                <w:color w:val="auto"/>
                <w:sz w:val="22"/>
                <w:szCs w:val="28"/>
                <w:highlight w:val="none"/>
                <w:lang w:eastAsia="zh-CN"/>
              </w:rPr>
              <w:t>符合</w:t>
            </w:r>
            <w:r>
              <w:rPr>
                <w:rFonts w:hint="eastAsia" w:ascii="宋体" w:hAnsi="宋体" w:eastAsia="宋体" w:cs="宋体"/>
                <w:color w:val="auto"/>
                <w:sz w:val="22"/>
                <w:szCs w:val="28"/>
                <w:highlight w:val="none"/>
              </w:rPr>
              <w:t xml:space="preserve"> □不</w:t>
            </w:r>
            <w:r>
              <w:rPr>
                <w:rFonts w:hint="eastAsia" w:ascii="宋体" w:hAnsi="宋体" w:eastAsia="宋体" w:cs="宋体"/>
                <w:color w:val="auto"/>
                <w:sz w:val="22"/>
                <w:szCs w:val="28"/>
                <w:highlight w:val="none"/>
                <w:lang w:eastAsia="zh-CN"/>
              </w:rPr>
              <w:t>符合</w:t>
            </w:r>
          </w:p>
        </w:tc>
        <w:tc>
          <w:tcPr>
            <w:tcW w:w="2182"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见</w:t>
            </w:r>
            <w:r>
              <w:rPr>
                <w:rFonts w:hint="eastAsia" w:ascii="宋体" w:hAnsi="宋体" w:cs="宋体"/>
                <w:color w:val="auto"/>
                <w:sz w:val="22"/>
                <w:szCs w:val="28"/>
                <w:highlight w:val="none"/>
                <w:lang w:eastAsia="zh-CN"/>
              </w:rPr>
              <w:t>响应文件</w:t>
            </w:r>
            <w:r>
              <w:rPr>
                <w:rFonts w:hint="eastAsia" w:ascii="宋体" w:hAnsi="宋体" w:eastAsia="宋体" w:cs="宋体"/>
                <w:color w:val="auto"/>
                <w:sz w:val="22"/>
                <w:szCs w:val="28"/>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521" w:type="dxa"/>
            <w:vMerge w:val="continue"/>
            <w:tcBorders>
              <w:left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p>
        </w:tc>
        <w:tc>
          <w:tcPr>
            <w:tcW w:w="2427"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p>
        </w:tc>
        <w:tc>
          <w:tcPr>
            <w:tcW w:w="204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w:t>
            </w:r>
            <w:r>
              <w:rPr>
                <w:rFonts w:hint="eastAsia" w:ascii="宋体" w:hAnsi="宋体" w:eastAsia="宋体" w:cs="宋体"/>
                <w:color w:val="auto"/>
                <w:sz w:val="22"/>
                <w:szCs w:val="28"/>
                <w:highlight w:val="none"/>
                <w:lang w:eastAsia="zh-CN"/>
              </w:rPr>
              <w:t>符合</w:t>
            </w:r>
            <w:r>
              <w:rPr>
                <w:rFonts w:hint="eastAsia" w:ascii="宋体" w:hAnsi="宋体" w:eastAsia="宋体" w:cs="宋体"/>
                <w:color w:val="auto"/>
                <w:sz w:val="22"/>
                <w:szCs w:val="28"/>
                <w:highlight w:val="none"/>
              </w:rPr>
              <w:t xml:space="preserve"> □不</w:t>
            </w:r>
            <w:r>
              <w:rPr>
                <w:rFonts w:hint="eastAsia" w:ascii="宋体" w:hAnsi="宋体" w:eastAsia="宋体" w:cs="宋体"/>
                <w:color w:val="auto"/>
                <w:sz w:val="22"/>
                <w:szCs w:val="28"/>
                <w:highlight w:val="none"/>
                <w:lang w:eastAsia="zh-CN"/>
              </w:rPr>
              <w:t>符合</w:t>
            </w:r>
          </w:p>
        </w:tc>
        <w:tc>
          <w:tcPr>
            <w:tcW w:w="2182"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见</w:t>
            </w:r>
            <w:r>
              <w:rPr>
                <w:rFonts w:hint="eastAsia" w:ascii="宋体" w:hAnsi="宋体" w:cs="宋体"/>
                <w:color w:val="auto"/>
                <w:sz w:val="22"/>
                <w:szCs w:val="28"/>
                <w:highlight w:val="none"/>
                <w:lang w:eastAsia="zh-CN"/>
              </w:rPr>
              <w:t>响应文件</w:t>
            </w:r>
            <w:r>
              <w:rPr>
                <w:rFonts w:hint="eastAsia" w:ascii="宋体" w:hAnsi="宋体" w:eastAsia="宋体" w:cs="宋体"/>
                <w:color w:val="auto"/>
                <w:sz w:val="22"/>
                <w:szCs w:val="28"/>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521" w:type="dxa"/>
            <w:vMerge w:val="continue"/>
            <w:tcBorders>
              <w:left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p>
        </w:tc>
        <w:tc>
          <w:tcPr>
            <w:tcW w:w="2427"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p>
        </w:tc>
        <w:tc>
          <w:tcPr>
            <w:tcW w:w="204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w:t>
            </w:r>
            <w:r>
              <w:rPr>
                <w:rFonts w:hint="eastAsia" w:ascii="宋体" w:hAnsi="宋体" w:eastAsia="宋体" w:cs="宋体"/>
                <w:color w:val="auto"/>
                <w:sz w:val="22"/>
                <w:szCs w:val="28"/>
                <w:highlight w:val="none"/>
                <w:lang w:eastAsia="zh-CN"/>
              </w:rPr>
              <w:t>符合</w:t>
            </w:r>
            <w:r>
              <w:rPr>
                <w:rFonts w:hint="eastAsia" w:ascii="宋体" w:hAnsi="宋体" w:eastAsia="宋体" w:cs="宋体"/>
                <w:color w:val="auto"/>
                <w:sz w:val="22"/>
                <w:szCs w:val="28"/>
                <w:highlight w:val="none"/>
              </w:rPr>
              <w:t xml:space="preserve"> □不</w:t>
            </w:r>
            <w:r>
              <w:rPr>
                <w:rFonts w:hint="eastAsia" w:ascii="宋体" w:hAnsi="宋体" w:eastAsia="宋体" w:cs="宋体"/>
                <w:color w:val="auto"/>
                <w:sz w:val="22"/>
                <w:szCs w:val="28"/>
                <w:highlight w:val="none"/>
                <w:lang w:eastAsia="zh-CN"/>
              </w:rPr>
              <w:t>符合</w:t>
            </w:r>
          </w:p>
        </w:tc>
        <w:tc>
          <w:tcPr>
            <w:tcW w:w="2182"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见</w:t>
            </w:r>
            <w:r>
              <w:rPr>
                <w:rFonts w:hint="eastAsia" w:ascii="宋体" w:hAnsi="宋体" w:cs="宋体"/>
                <w:color w:val="auto"/>
                <w:sz w:val="22"/>
                <w:szCs w:val="28"/>
                <w:highlight w:val="none"/>
                <w:lang w:eastAsia="zh-CN"/>
              </w:rPr>
              <w:t>响应文件</w:t>
            </w:r>
            <w:r>
              <w:rPr>
                <w:rFonts w:hint="eastAsia" w:ascii="宋体" w:hAnsi="宋体" w:eastAsia="宋体" w:cs="宋体"/>
                <w:color w:val="auto"/>
                <w:sz w:val="22"/>
                <w:szCs w:val="28"/>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521" w:type="dxa"/>
            <w:vMerge w:val="continue"/>
            <w:tcBorders>
              <w:left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p>
        </w:tc>
        <w:tc>
          <w:tcPr>
            <w:tcW w:w="2427"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p>
        </w:tc>
        <w:tc>
          <w:tcPr>
            <w:tcW w:w="204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w:t>
            </w:r>
            <w:r>
              <w:rPr>
                <w:rFonts w:hint="eastAsia" w:ascii="宋体" w:hAnsi="宋体" w:eastAsia="宋体" w:cs="宋体"/>
                <w:color w:val="auto"/>
                <w:sz w:val="22"/>
                <w:szCs w:val="28"/>
                <w:highlight w:val="none"/>
                <w:lang w:eastAsia="zh-CN"/>
              </w:rPr>
              <w:t>符合</w:t>
            </w:r>
            <w:r>
              <w:rPr>
                <w:rFonts w:hint="eastAsia" w:ascii="宋体" w:hAnsi="宋体" w:eastAsia="宋体" w:cs="宋体"/>
                <w:color w:val="auto"/>
                <w:sz w:val="22"/>
                <w:szCs w:val="28"/>
                <w:highlight w:val="none"/>
              </w:rPr>
              <w:t xml:space="preserve"> □不</w:t>
            </w:r>
            <w:r>
              <w:rPr>
                <w:rFonts w:hint="eastAsia" w:ascii="宋体" w:hAnsi="宋体" w:eastAsia="宋体" w:cs="宋体"/>
                <w:color w:val="auto"/>
                <w:sz w:val="22"/>
                <w:szCs w:val="28"/>
                <w:highlight w:val="none"/>
                <w:lang w:eastAsia="zh-CN"/>
              </w:rPr>
              <w:t>符合</w:t>
            </w:r>
          </w:p>
        </w:tc>
        <w:tc>
          <w:tcPr>
            <w:tcW w:w="2182"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见</w:t>
            </w:r>
            <w:r>
              <w:rPr>
                <w:rFonts w:hint="eastAsia" w:ascii="宋体" w:hAnsi="宋体" w:cs="宋体"/>
                <w:color w:val="auto"/>
                <w:sz w:val="22"/>
                <w:szCs w:val="28"/>
                <w:highlight w:val="none"/>
                <w:lang w:eastAsia="zh-CN"/>
              </w:rPr>
              <w:t>响应文件</w:t>
            </w:r>
            <w:r>
              <w:rPr>
                <w:rFonts w:hint="eastAsia" w:ascii="宋体" w:hAnsi="宋体" w:eastAsia="宋体" w:cs="宋体"/>
                <w:color w:val="auto"/>
                <w:sz w:val="22"/>
                <w:szCs w:val="28"/>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521" w:type="dxa"/>
            <w:vMerge w:val="continue"/>
            <w:tcBorders>
              <w:left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p>
        </w:tc>
        <w:tc>
          <w:tcPr>
            <w:tcW w:w="2427"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p>
        </w:tc>
        <w:tc>
          <w:tcPr>
            <w:tcW w:w="204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w:t>
            </w:r>
            <w:r>
              <w:rPr>
                <w:rFonts w:hint="eastAsia" w:ascii="宋体" w:hAnsi="宋体" w:eastAsia="宋体" w:cs="宋体"/>
                <w:color w:val="auto"/>
                <w:sz w:val="22"/>
                <w:szCs w:val="28"/>
                <w:highlight w:val="none"/>
                <w:lang w:eastAsia="zh-CN"/>
              </w:rPr>
              <w:t>符合</w:t>
            </w:r>
            <w:r>
              <w:rPr>
                <w:rFonts w:hint="eastAsia" w:ascii="宋体" w:hAnsi="宋体" w:eastAsia="宋体" w:cs="宋体"/>
                <w:color w:val="auto"/>
                <w:sz w:val="22"/>
                <w:szCs w:val="28"/>
                <w:highlight w:val="none"/>
              </w:rPr>
              <w:t xml:space="preserve"> □不</w:t>
            </w:r>
            <w:r>
              <w:rPr>
                <w:rFonts w:hint="eastAsia" w:ascii="宋体" w:hAnsi="宋体" w:eastAsia="宋体" w:cs="宋体"/>
                <w:color w:val="auto"/>
                <w:sz w:val="22"/>
                <w:szCs w:val="28"/>
                <w:highlight w:val="none"/>
                <w:lang w:eastAsia="zh-CN"/>
              </w:rPr>
              <w:t>符合</w:t>
            </w:r>
          </w:p>
        </w:tc>
        <w:tc>
          <w:tcPr>
            <w:tcW w:w="2182"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见</w:t>
            </w:r>
            <w:r>
              <w:rPr>
                <w:rFonts w:hint="eastAsia" w:ascii="宋体" w:hAnsi="宋体" w:cs="宋体"/>
                <w:color w:val="auto"/>
                <w:sz w:val="22"/>
                <w:szCs w:val="28"/>
                <w:highlight w:val="none"/>
                <w:lang w:eastAsia="zh-CN"/>
              </w:rPr>
              <w:t>响应文件</w:t>
            </w:r>
            <w:r>
              <w:rPr>
                <w:rFonts w:hint="eastAsia" w:ascii="宋体" w:hAnsi="宋体" w:eastAsia="宋体" w:cs="宋体"/>
                <w:color w:val="auto"/>
                <w:sz w:val="22"/>
                <w:szCs w:val="28"/>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521" w:type="dxa"/>
            <w:vMerge w:val="continue"/>
            <w:tcBorders>
              <w:left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p>
        </w:tc>
        <w:tc>
          <w:tcPr>
            <w:tcW w:w="2427"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p>
        </w:tc>
        <w:tc>
          <w:tcPr>
            <w:tcW w:w="204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w:t>
            </w:r>
            <w:r>
              <w:rPr>
                <w:rFonts w:hint="eastAsia" w:ascii="宋体" w:hAnsi="宋体" w:eastAsia="宋体" w:cs="宋体"/>
                <w:color w:val="auto"/>
                <w:sz w:val="22"/>
                <w:szCs w:val="28"/>
                <w:highlight w:val="none"/>
                <w:lang w:eastAsia="zh-CN"/>
              </w:rPr>
              <w:t>符合</w:t>
            </w:r>
            <w:r>
              <w:rPr>
                <w:rFonts w:hint="eastAsia" w:ascii="宋体" w:hAnsi="宋体" w:eastAsia="宋体" w:cs="宋体"/>
                <w:color w:val="auto"/>
                <w:sz w:val="22"/>
                <w:szCs w:val="28"/>
                <w:highlight w:val="none"/>
              </w:rPr>
              <w:t xml:space="preserve"> □不</w:t>
            </w:r>
            <w:r>
              <w:rPr>
                <w:rFonts w:hint="eastAsia" w:ascii="宋体" w:hAnsi="宋体" w:eastAsia="宋体" w:cs="宋体"/>
                <w:color w:val="auto"/>
                <w:sz w:val="22"/>
                <w:szCs w:val="28"/>
                <w:highlight w:val="none"/>
                <w:lang w:eastAsia="zh-CN"/>
              </w:rPr>
              <w:t>符合</w:t>
            </w:r>
          </w:p>
        </w:tc>
        <w:tc>
          <w:tcPr>
            <w:tcW w:w="2182"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rPr>
              <w:t>见</w:t>
            </w:r>
            <w:r>
              <w:rPr>
                <w:rFonts w:hint="eastAsia" w:ascii="宋体" w:hAnsi="宋体" w:cs="宋体"/>
                <w:color w:val="auto"/>
                <w:sz w:val="22"/>
                <w:szCs w:val="28"/>
                <w:highlight w:val="none"/>
                <w:lang w:eastAsia="zh-CN"/>
              </w:rPr>
              <w:t>响应文件</w:t>
            </w:r>
            <w:r>
              <w:rPr>
                <w:rFonts w:hint="eastAsia" w:ascii="宋体" w:hAnsi="宋体" w:eastAsia="宋体" w:cs="宋体"/>
                <w:color w:val="auto"/>
                <w:sz w:val="22"/>
                <w:szCs w:val="28"/>
                <w:highlight w:val="none"/>
              </w:rPr>
              <w:t>第（）页</w:t>
            </w:r>
          </w:p>
        </w:tc>
      </w:tr>
    </w:tbl>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注：1、以上材料将作为</w:t>
      </w:r>
      <w:r>
        <w:rPr>
          <w:rFonts w:hint="eastAsia" w:ascii="宋体" w:hAnsi="宋体" w:cs="宋体"/>
          <w:b/>
          <w:color w:val="auto"/>
          <w:sz w:val="24"/>
          <w:highlight w:val="none"/>
          <w:lang w:eastAsia="zh-CN"/>
        </w:rPr>
        <w:t>供应商</w:t>
      </w:r>
      <w:r>
        <w:rPr>
          <w:rFonts w:hint="eastAsia" w:ascii="宋体" w:hAnsi="宋体" w:eastAsia="宋体" w:cs="宋体"/>
          <w:b/>
          <w:color w:val="auto"/>
          <w:sz w:val="24"/>
          <w:highlight w:val="none"/>
        </w:rPr>
        <w:t>有效性审核的重要内容之一，</w:t>
      </w:r>
      <w:r>
        <w:rPr>
          <w:rFonts w:hint="eastAsia" w:ascii="宋体" w:hAnsi="宋体" w:cs="宋体"/>
          <w:b/>
          <w:color w:val="auto"/>
          <w:sz w:val="24"/>
          <w:highlight w:val="none"/>
          <w:lang w:eastAsia="zh-CN"/>
        </w:rPr>
        <w:t>供应商</w:t>
      </w:r>
      <w:r>
        <w:rPr>
          <w:rFonts w:hint="eastAsia" w:ascii="宋体" w:hAnsi="宋体" w:eastAsia="宋体" w:cs="宋体"/>
          <w:b/>
          <w:color w:val="auto"/>
          <w:sz w:val="24"/>
          <w:highlight w:val="none"/>
        </w:rPr>
        <w:t>必须严格按照其内容及序列要求在</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中对应如实提供，对资格性和符合性证明文件的任何缺漏和不符合项将会直接导致</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无效！</w:t>
      </w:r>
      <w:r>
        <w:rPr>
          <w:rFonts w:hint="eastAsia" w:ascii="宋体" w:hAnsi="宋体" w:cs="宋体"/>
          <w:b/>
          <w:color w:val="auto"/>
          <w:sz w:val="24"/>
          <w:highlight w:val="none"/>
          <w:lang w:eastAsia="zh-CN"/>
        </w:rPr>
        <w:t>供应商</w:t>
      </w:r>
      <w:r>
        <w:rPr>
          <w:rFonts w:hint="eastAsia" w:ascii="宋体" w:hAnsi="宋体" w:eastAsia="宋体" w:cs="宋体"/>
          <w:b/>
          <w:color w:val="auto"/>
          <w:sz w:val="24"/>
          <w:highlight w:val="none"/>
        </w:rPr>
        <w:t>根据自查结论在对应的□打“√”。</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各</w:t>
      </w:r>
      <w:r>
        <w:rPr>
          <w:rFonts w:hint="eastAsia" w:ascii="宋体" w:hAnsi="宋体" w:cs="宋体"/>
          <w:b/>
          <w:color w:val="auto"/>
          <w:sz w:val="24"/>
          <w:highlight w:val="none"/>
          <w:lang w:eastAsia="zh-CN"/>
        </w:rPr>
        <w:t>供应商</w:t>
      </w:r>
      <w:r>
        <w:rPr>
          <w:rFonts w:hint="eastAsia" w:ascii="宋体" w:hAnsi="宋体" w:eastAsia="宋体" w:cs="宋体"/>
          <w:b/>
          <w:color w:val="auto"/>
          <w:sz w:val="24"/>
          <w:highlight w:val="none"/>
        </w:rPr>
        <w:t>按此表格式填写，表格不够时可自行添加。</w:t>
      </w:r>
    </w:p>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rPr>
          <w:rStyle w:val="25"/>
          <w:rFonts w:hint="eastAsia" w:cs="宋体"/>
          <w:b w:val="0"/>
          <w:bCs/>
          <w:color w:val="auto"/>
          <w:sz w:val="24"/>
          <w:szCs w:val="24"/>
          <w:highlight w:val="none"/>
          <w:lang w:val="en-US" w:eastAsia="zh-CN"/>
        </w:rPr>
      </w:pPr>
      <w:r>
        <w:rPr>
          <w:rStyle w:val="25"/>
          <w:rFonts w:hint="eastAsia" w:cs="宋体"/>
          <w:b w:val="0"/>
          <w:bCs/>
          <w:color w:val="auto"/>
          <w:sz w:val="24"/>
          <w:szCs w:val="24"/>
          <w:highlight w:val="none"/>
          <w:lang w:val="en-US" w:eastAsia="zh-CN"/>
        </w:rPr>
        <w:t xml:space="preserve"> </w:t>
      </w:r>
      <w:bookmarkStart w:id="675" w:name="_Toc243905166"/>
      <w:bookmarkStart w:id="676" w:name="_Toc246216439"/>
      <w:bookmarkStart w:id="677" w:name="_Toc246216304"/>
      <w:bookmarkStart w:id="678" w:name="_Toc243906411"/>
      <w:bookmarkStart w:id="679" w:name="_Toc243907641"/>
      <w:bookmarkStart w:id="680" w:name="_Toc245369914"/>
      <w:bookmarkStart w:id="681" w:name="_Toc246216281"/>
    </w:p>
    <w:bookmarkEnd w:id="675"/>
    <w:bookmarkEnd w:id="676"/>
    <w:bookmarkEnd w:id="677"/>
    <w:bookmarkEnd w:id="678"/>
    <w:bookmarkEnd w:id="679"/>
    <w:bookmarkEnd w:id="680"/>
    <w:bookmarkEnd w:id="681"/>
    <w:p>
      <w:pPr>
        <w:pStyle w:val="18"/>
        <w:spacing w:before="75" w:beforeAutospacing="0" w:after="75" w:afterAutospacing="0" w:line="320" w:lineRule="exact"/>
        <w:rPr>
          <w:rStyle w:val="25"/>
          <w:rFonts w:hint="eastAsia" w:cs="宋体"/>
          <w:b w:val="0"/>
          <w:bCs/>
          <w:color w:val="auto"/>
          <w:sz w:val="24"/>
          <w:szCs w:val="24"/>
          <w:highlight w:val="none"/>
        </w:rPr>
      </w:pPr>
    </w:p>
    <w:p>
      <w:pPr>
        <w:pStyle w:val="18"/>
        <w:spacing w:before="75" w:beforeAutospacing="0" w:after="75" w:afterAutospacing="0" w:line="320" w:lineRule="exact"/>
        <w:jc w:val="center"/>
        <w:rPr>
          <w:rStyle w:val="25"/>
          <w:rFonts w:hint="eastAsia" w:eastAsia="宋体" w:cs="宋体"/>
          <w:b/>
          <w:bCs w:val="0"/>
          <w:color w:val="auto"/>
          <w:sz w:val="24"/>
          <w:szCs w:val="24"/>
          <w:highlight w:val="none"/>
          <w:lang w:eastAsia="zh-CN"/>
        </w:rPr>
      </w:pPr>
      <w:r>
        <w:rPr>
          <w:rStyle w:val="25"/>
          <w:rFonts w:hint="eastAsia" w:cs="宋体"/>
          <w:b/>
          <w:bCs w:val="0"/>
          <w:color w:val="auto"/>
          <w:sz w:val="24"/>
          <w:szCs w:val="24"/>
          <w:highlight w:val="none"/>
        </w:rPr>
        <w:t>格式1</w:t>
      </w:r>
      <w:r>
        <w:rPr>
          <w:rStyle w:val="25"/>
          <w:rFonts w:hint="eastAsia" w:cs="宋体"/>
          <w:b/>
          <w:bCs w:val="0"/>
          <w:color w:val="auto"/>
          <w:sz w:val="24"/>
          <w:szCs w:val="24"/>
          <w:highlight w:val="none"/>
          <w:lang w:val="en-US" w:eastAsia="zh-CN"/>
        </w:rPr>
        <w:t>1</w:t>
      </w:r>
      <w:r>
        <w:rPr>
          <w:rStyle w:val="25"/>
          <w:rFonts w:hint="eastAsia" w:cs="宋体"/>
          <w:b/>
          <w:bCs w:val="0"/>
          <w:color w:val="auto"/>
          <w:sz w:val="24"/>
          <w:szCs w:val="24"/>
          <w:highlight w:val="none"/>
        </w:rPr>
        <w:t xml:space="preserve">  投标总价封面</w:t>
      </w:r>
    </w:p>
    <w:p>
      <w:pPr>
        <w:pStyle w:val="2"/>
        <w:jc w:val="center"/>
        <w:rPr>
          <w:rFonts w:hint="eastAsia" w:ascii="宋体" w:hAnsi="宋体" w:eastAsia="宋体" w:cs="宋体"/>
          <w:color w:val="auto"/>
          <w:kern w:val="2"/>
          <w:sz w:val="32"/>
          <w:szCs w:val="32"/>
          <w:highlight w:val="none"/>
          <w:lang w:val="en-US" w:eastAsia="zh-CN" w:bidi="ar-SA"/>
        </w:rPr>
      </w:pPr>
    </w:p>
    <w:p>
      <w:pPr>
        <w:pStyle w:val="2"/>
        <w:jc w:val="center"/>
        <w:rPr>
          <w:rFonts w:hint="eastAsia" w:ascii="宋体" w:hAnsi="宋体" w:eastAsia="宋体" w:cs="宋体"/>
          <w:color w:val="auto"/>
          <w:kern w:val="2"/>
          <w:sz w:val="32"/>
          <w:szCs w:val="32"/>
          <w:highlight w:val="none"/>
          <w:lang w:val="en-US" w:eastAsia="zh-CN" w:bidi="ar-SA"/>
        </w:rPr>
      </w:pPr>
    </w:p>
    <w:p>
      <w:pPr>
        <w:pStyle w:val="2"/>
        <w:jc w:val="center"/>
        <w:rPr>
          <w:rFonts w:hint="eastAsia" w:ascii="宋体" w:hAnsi="宋体" w:eastAsia="宋体" w:cs="宋体"/>
          <w:color w:val="auto"/>
          <w:kern w:val="2"/>
          <w:sz w:val="32"/>
          <w:szCs w:val="32"/>
          <w:highlight w:val="none"/>
          <w:lang w:val="en-US" w:eastAsia="zh-CN" w:bidi="ar-SA"/>
        </w:rPr>
      </w:pPr>
    </w:p>
    <w:p>
      <w:pPr>
        <w:pStyle w:val="2"/>
        <w:jc w:val="center"/>
        <w:rPr>
          <w:rFonts w:hint="eastAsia" w:ascii="宋体" w:hAnsi="宋体" w:eastAsia="宋体" w:cs="宋体"/>
          <w:color w:val="auto"/>
          <w:kern w:val="2"/>
          <w:sz w:val="32"/>
          <w:szCs w:val="32"/>
          <w:highlight w:val="none"/>
          <w:lang w:val="en-US" w:eastAsia="zh-CN" w:bidi="ar-SA"/>
        </w:rPr>
      </w:pPr>
    </w:p>
    <w:p>
      <w:pPr>
        <w:pStyle w:val="2"/>
        <w:jc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克拉玛依市纤维检验所—老旧实验室维修改造</w:t>
      </w:r>
    </w:p>
    <w:p>
      <w:pPr>
        <w:spacing w:before="3" w:line="460" w:lineRule="atLeast"/>
        <w:jc w:val="center"/>
        <w:rPr>
          <w:rFonts w:hint="eastAsia" w:ascii="宋体" w:hAnsi="宋体" w:cs="宋体"/>
          <w:color w:val="auto"/>
          <w:sz w:val="32"/>
          <w:szCs w:val="32"/>
          <w:highlight w:val="none"/>
        </w:rPr>
      </w:pPr>
    </w:p>
    <w:p>
      <w:pPr>
        <w:spacing w:before="3" w:line="460" w:lineRule="atLeast"/>
        <w:jc w:val="center"/>
        <w:rPr>
          <w:rFonts w:ascii="仿宋_GB2312" w:hAnsi="仿宋_GB2312" w:eastAsia="仿宋_GB2312" w:cs="仿宋_GB2312"/>
          <w:color w:val="auto"/>
          <w:sz w:val="32"/>
          <w:szCs w:val="32"/>
          <w:highlight w:val="none"/>
        </w:rPr>
      </w:pPr>
      <w:r>
        <w:rPr>
          <w:rFonts w:hint="eastAsia" w:ascii="宋体" w:hAnsi="宋体" w:cs="宋体"/>
          <w:color w:val="auto"/>
          <w:sz w:val="32"/>
          <w:szCs w:val="32"/>
          <w:highlight w:val="none"/>
        </w:rPr>
        <w:t>投标总价</w:t>
      </w:r>
    </w:p>
    <w:p>
      <w:pPr>
        <w:spacing w:before="3" w:line="460" w:lineRule="atLeast"/>
        <w:jc w:val="left"/>
        <w:rPr>
          <w:rFonts w:ascii="仿宋_GB2312" w:hAnsi="仿宋_GB2312" w:eastAsia="仿宋_GB2312" w:cs="仿宋_GB2312"/>
          <w:color w:val="auto"/>
          <w:sz w:val="24"/>
          <w:szCs w:val="24"/>
          <w:highlight w:val="none"/>
        </w:rPr>
      </w:pPr>
    </w:p>
    <w:p>
      <w:pPr>
        <w:tabs>
          <w:tab w:val="left" w:pos="7780"/>
        </w:tabs>
        <w:spacing w:line="460" w:lineRule="atLeast"/>
        <w:ind w:left="114" w:right="-20"/>
        <w:jc w:val="left"/>
        <w:rPr>
          <w:rFonts w:ascii="宋体" w:cs="宋体"/>
          <w:color w:val="auto"/>
          <w:sz w:val="24"/>
          <w:szCs w:val="24"/>
          <w:highlight w:val="none"/>
        </w:rPr>
      </w:pPr>
    </w:p>
    <w:p>
      <w:pPr>
        <w:pStyle w:val="2"/>
        <w:rPr>
          <w:rFonts w:ascii="宋体" w:cs="宋体"/>
          <w:color w:val="auto"/>
          <w:sz w:val="24"/>
          <w:szCs w:val="24"/>
          <w:highlight w:val="none"/>
        </w:rPr>
      </w:pPr>
    </w:p>
    <w:p>
      <w:pPr>
        <w:pStyle w:val="2"/>
        <w:rPr>
          <w:rFonts w:ascii="宋体" w:cs="宋体"/>
          <w:color w:val="auto"/>
          <w:sz w:val="24"/>
          <w:szCs w:val="24"/>
          <w:highlight w:val="none"/>
        </w:rPr>
      </w:pPr>
    </w:p>
    <w:p>
      <w:pPr>
        <w:tabs>
          <w:tab w:val="left" w:pos="7780"/>
        </w:tabs>
        <w:spacing w:line="460" w:lineRule="atLeast"/>
        <w:ind w:left="114" w:right="-20"/>
        <w:jc w:val="left"/>
        <w:rPr>
          <w:rFonts w:ascii="宋体" w:cs="宋体"/>
          <w:color w:val="auto"/>
          <w:sz w:val="24"/>
          <w:szCs w:val="24"/>
          <w:highlight w:val="none"/>
        </w:rPr>
      </w:pPr>
    </w:p>
    <w:p>
      <w:pPr>
        <w:tabs>
          <w:tab w:val="left" w:pos="7780"/>
        </w:tabs>
        <w:spacing w:line="460" w:lineRule="atLeast"/>
        <w:ind w:left="114" w:right="-20"/>
        <w:jc w:val="center"/>
        <w:rPr>
          <w:rFonts w:asci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u w:val="single"/>
          <w:lang w:val="en-US" w:eastAsia="zh-CN"/>
        </w:rPr>
        <w:t xml:space="preserve">    </w:t>
      </w:r>
    </w:p>
    <w:p>
      <w:pPr>
        <w:spacing w:line="460" w:lineRule="atLeast"/>
        <w:jc w:val="center"/>
        <w:rPr>
          <w:rFonts w:asci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（单位盖章）</w:t>
      </w:r>
    </w:p>
    <w:p>
      <w:pPr>
        <w:spacing w:before="14" w:line="460" w:lineRule="atLeast"/>
        <w:jc w:val="left"/>
        <w:rPr>
          <w:rFonts w:ascii="仿宋_GB2312" w:hAnsi="仿宋_GB2312" w:eastAsia="仿宋_GB2312" w:cs="仿宋_GB2312"/>
          <w:color w:val="auto"/>
          <w:sz w:val="24"/>
          <w:szCs w:val="24"/>
          <w:highlight w:val="none"/>
        </w:rPr>
      </w:pPr>
    </w:p>
    <w:p>
      <w:pPr>
        <w:spacing w:before="14" w:line="460" w:lineRule="atLeast"/>
        <w:jc w:val="left"/>
        <w:rPr>
          <w:rFonts w:ascii="仿宋_GB2312" w:hAnsi="仿宋_GB2312" w:eastAsia="仿宋_GB2312" w:cs="仿宋_GB2312"/>
          <w:color w:val="auto"/>
          <w:sz w:val="24"/>
          <w:szCs w:val="24"/>
          <w:highlight w:val="none"/>
        </w:rPr>
      </w:pPr>
    </w:p>
    <w:p>
      <w:pPr>
        <w:pStyle w:val="2"/>
        <w:rPr>
          <w:color w:val="auto"/>
          <w:highlight w:val="none"/>
        </w:rPr>
      </w:pPr>
    </w:p>
    <w:p>
      <w:pPr>
        <w:spacing w:before="14" w:line="460" w:lineRule="atLeast"/>
        <w:jc w:val="left"/>
        <w:rPr>
          <w:rFonts w:ascii="仿宋_GB2312" w:hAnsi="仿宋_GB2312" w:eastAsia="仿宋_GB2312" w:cs="仿宋_GB2312"/>
          <w:color w:val="auto"/>
          <w:sz w:val="24"/>
          <w:szCs w:val="24"/>
          <w:highlight w:val="none"/>
        </w:rPr>
      </w:pPr>
    </w:p>
    <w:p>
      <w:pPr>
        <w:tabs>
          <w:tab w:val="left" w:pos="7780"/>
        </w:tabs>
        <w:spacing w:line="460" w:lineRule="atLeast"/>
        <w:ind w:left="114" w:right="-20"/>
        <w:jc w:val="center"/>
        <w:rPr>
          <w:rFonts w:ascii="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p>
    <w:p>
      <w:pPr>
        <w:spacing w:line="360" w:lineRule="auto"/>
        <w:jc w:val="center"/>
        <w:rPr>
          <w:rFonts w:ascii="宋体"/>
          <w:bCs/>
          <w:color w:val="auto"/>
          <w:sz w:val="30"/>
          <w:szCs w:val="30"/>
          <w:highlight w:val="none"/>
        </w:rPr>
      </w:pPr>
    </w:p>
    <w:p>
      <w:pPr>
        <w:spacing w:line="360" w:lineRule="auto"/>
        <w:jc w:val="center"/>
        <w:rPr>
          <w:rFonts w:ascii="宋体"/>
          <w:bCs/>
          <w:color w:val="auto"/>
          <w:sz w:val="30"/>
          <w:szCs w:val="30"/>
          <w:highlight w:val="none"/>
        </w:rPr>
      </w:pPr>
    </w:p>
    <w:p>
      <w:pPr>
        <w:spacing w:line="360" w:lineRule="auto"/>
        <w:jc w:val="both"/>
        <w:rPr>
          <w:rFonts w:ascii="宋体" w:hAnsi="宋体"/>
          <w:bCs/>
          <w:color w:val="auto"/>
          <w:sz w:val="30"/>
          <w:szCs w:val="30"/>
          <w:highlight w:val="none"/>
        </w:rPr>
      </w:pPr>
    </w:p>
    <w:p>
      <w:pPr>
        <w:numPr>
          <w:ilvl w:val="0"/>
          <w:numId w:val="0"/>
        </w:numPr>
        <w:spacing w:line="360" w:lineRule="auto"/>
        <w:jc w:val="both"/>
        <w:rPr>
          <w:rFonts w:hint="eastAsia" w:eastAsia="宋体" w:cs="Times New Roman"/>
          <w:color w:val="auto"/>
          <w:highlight w:val="none"/>
        </w:rPr>
      </w:pPr>
    </w:p>
    <w:p>
      <w:pPr>
        <w:pStyle w:val="18"/>
        <w:spacing w:before="75" w:beforeAutospacing="0" w:after="75" w:afterAutospacing="0" w:line="320" w:lineRule="exact"/>
        <w:rPr>
          <w:rStyle w:val="25"/>
          <w:rFonts w:hint="eastAsia" w:cs="宋体"/>
          <w:b w:val="0"/>
          <w:bCs/>
          <w:color w:val="auto"/>
          <w:sz w:val="24"/>
          <w:szCs w:val="24"/>
          <w:highlight w:val="none"/>
        </w:rPr>
      </w:pPr>
      <w:r>
        <w:rPr>
          <w:rStyle w:val="25"/>
          <w:rFonts w:hint="eastAsia" w:cs="宋体"/>
          <w:b w:val="0"/>
          <w:bCs/>
          <w:color w:val="auto"/>
          <w:sz w:val="24"/>
          <w:szCs w:val="24"/>
          <w:highlight w:val="none"/>
        </w:rPr>
        <w:br w:type="page"/>
      </w: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格式1</w:t>
      </w:r>
      <w:r>
        <w:rPr>
          <w:rStyle w:val="25"/>
          <w:rFonts w:hint="eastAsia" w:cs="宋体"/>
          <w:b/>
          <w:bCs w:val="0"/>
          <w:color w:val="auto"/>
          <w:sz w:val="24"/>
          <w:szCs w:val="24"/>
          <w:highlight w:val="none"/>
          <w:lang w:val="en-US" w:eastAsia="zh-CN"/>
        </w:rPr>
        <w:t>2</w:t>
      </w:r>
      <w:r>
        <w:rPr>
          <w:rStyle w:val="25"/>
          <w:rFonts w:hint="eastAsia" w:cs="宋体"/>
          <w:b/>
          <w:bCs w:val="0"/>
          <w:color w:val="auto"/>
          <w:sz w:val="24"/>
          <w:szCs w:val="24"/>
          <w:highlight w:val="none"/>
        </w:rPr>
        <w:t xml:space="preserve">  投标总价</w:t>
      </w:r>
    </w:p>
    <w:p>
      <w:pPr>
        <w:spacing w:line="640" w:lineRule="exact"/>
        <w:ind w:firstLine="210" w:firstLineChars="100"/>
        <w:rPr>
          <w:rFonts w:ascii="宋体"/>
          <w:bCs/>
          <w:color w:val="auto"/>
          <w:szCs w:val="30"/>
          <w:highlight w:val="none"/>
        </w:rPr>
      </w:pPr>
      <w:r>
        <w:rPr>
          <w:rFonts w:hint="eastAsia" w:ascii="宋体" w:hAnsi="宋体"/>
          <w:bCs/>
          <w:color w:val="auto"/>
          <w:szCs w:val="30"/>
          <w:highlight w:val="none"/>
          <w:lang w:eastAsia="zh-CN"/>
        </w:rPr>
        <w:t>采购人</w:t>
      </w:r>
      <w:r>
        <w:rPr>
          <w:rFonts w:hint="eastAsia" w:ascii="宋体" w:hAnsi="宋体"/>
          <w:bCs/>
          <w:color w:val="auto"/>
          <w:szCs w:val="30"/>
          <w:highlight w:val="none"/>
        </w:rPr>
        <w:t>：</w:t>
      </w:r>
      <w:r>
        <w:rPr>
          <w:rFonts w:ascii="宋体" w:hAnsi="宋体"/>
          <w:bCs/>
          <w:color w:val="auto"/>
          <w:szCs w:val="30"/>
          <w:highlight w:val="none"/>
          <w:u w:val="single"/>
        </w:rPr>
        <w:t xml:space="preserve">                                         </w:t>
      </w:r>
      <w:r>
        <w:rPr>
          <w:rFonts w:ascii="宋体" w:hAnsi="宋体"/>
          <w:bCs/>
          <w:color w:val="auto"/>
          <w:szCs w:val="30"/>
          <w:highlight w:val="none"/>
        </w:rPr>
        <w:t xml:space="preserve">        </w:t>
      </w:r>
    </w:p>
    <w:p>
      <w:pPr>
        <w:spacing w:line="640" w:lineRule="exact"/>
        <w:ind w:firstLine="210" w:firstLineChars="100"/>
        <w:rPr>
          <w:rFonts w:ascii="宋体"/>
          <w:bCs/>
          <w:color w:val="auto"/>
          <w:szCs w:val="30"/>
          <w:highlight w:val="none"/>
        </w:rPr>
      </w:pPr>
      <w:r>
        <w:rPr>
          <w:rFonts w:hint="eastAsia" w:ascii="宋体" w:hAnsi="宋体"/>
          <w:bCs/>
          <w:color w:val="auto"/>
          <w:szCs w:val="30"/>
          <w:highlight w:val="none"/>
        </w:rPr>
        <w:t>工程名称：</w:t>
      </w:r>
      <w:r>
        <w:rPr>
          <w:rFonts w:ascii="宋体" w:hAnsi="宋体"/>
          <w:bCs/>
          <w:color w:val="auto"/>
          <w:szCs w:val="30"/>
          <w:highlight w:val="none"/>
          <w:u w:val="single"/>
        </w:rPr>
        <w:t xml:space="preserve">                                       </w:t>
      </w:r>
    </w:p>
    <w:p>
      <w:pPr>
        <w:spacing w:line="640" w:lineRule="exact"/>
        <w:ind w:firstLine="210" w:firstLineChars="100"/>
        <w:rPr>
          <w:rFonts w:ascii="宋体"/>
          <w:bCs/>
          <w:color w:val="auto"/>
          <w:szCs w:val="30"/>
          <w:highlight w:val="none"/>
        </w:rPr>
      </w:pPr>
      <w:r>
        <w:rPr>
          <w:rFonts w:hint="eastAsia" w:ascii="宋体" w:hAnsi="宋体"/>
          <w:bCs/>
          <w:color w:val="auto"/>
          <w:szCs w:val="30"/>
          <w:highlight w:val="none"/>
        </w:rPr>
        <w:t>投标总价：（小写）</w:t>
      </w:r>
      <w:r>
        <w:rPr>
          <w:rFonts w:ascii="宋体" w:hAnsi="宋体"/>
          <w:bCs/>
          <w:color w:val="auto"/>
          <w:szCs w:val="30"/>
          <w:highlight w:val="none"/>
          <w:u w:val="single"/>
        </w:rPr>
        <w:t xml:space="preserve">                                                          </w:t>
      </w:r>
      <w:r>
        <w:rPr>
          <w:rFonts w:ascii="宋体" w:hAnsi="宋体"/>
          <w:bCs/>
          <w:color w:val="auto"/>
          <w:szCs w:val="30"/>
          <w:highlight w:val="none"/>
        </w:rPr>
        <w:t xml:space="preserve">      </w:t>
      </w:r>
    </w:p>
    <w:p>
      <w:pPr>
        <w:spacing w:line="640" w:lineRule="exact"/>
        <w:rPr>
          <w:rFonts w:ascii="宋体"/>
          <w:bCs/>
          <w:color w:val="auto"/>
          <w:szCs w:val="30"/>
          <w:highlight w:val="none"/>
        </w:rPr>
      </w:pPr>
      <w:r>
        <w:rPr>
          <w:rFonts w:ascii="宋体" w:hAnsi="宋体"/>
          <w:bCs/>
          <w:color w:val="auto"/>
          <w:szCs w:val="30"/>
          <w:highlight w:val="none"/>
        </w:rPr>
        <w:t xml:space="preserve">           </w:t>
      </w:r>
      <w:r>
        <w:rPr>
          <w:rFonts w:hint="eastAsia" w:ascii="宋体" w:hAnsi="宋体"/>
          <w:bCs/>
          <w:color w:val="auto"/>
          <w:szCs w:val="30"/>
          <w:highlight w:val="none"/>
        </w:rPr>
        <w:t xml:space="preserve"> （大写）</w:t>
      </w:r>
      <w:r>
        <w:rPr>
          <w:rFonts w:ascii="宋体" w:hAnsi="宋体"/>
          <w:bCs/>
          <w:color w:val="auto"/>
          <w:szCs w:val="30"/>
          <w:highlight w:val="none"/>
          <w:u w:val="single"/>
        </w:rPr>
        <w:t xml:space="preserve">                                                          </w:t>
      </w:r>
      <w:r>
        <w:rPr>
          <w:rFonts w:ascii="宋体" w:hAnsi="宋体"/>
          <w:bCs/>
          <w:color w:val="auto"/>
          <w:szCs w:val="30"/>
          <w:highlight w:val="none"/>
        </w:rPr>
        <w:t xml:space="preserve"> </w:t>
      </w:r>
    </w:p>
    <w:p>
      <w:pPr>
        <w:spacing w:line="640" w:lineRule="exact"/>
        <w:ind w:firstLine="210" w:firstLineChars="100"/>
        <w:rPr>
          <w:rFonts w:ascii="仿宋_GB2312" w:hAnsi="仿宋_GB2312" w:eastAsia="仿宋_GB2312" w:cs="仿宋_GB2312"/>
          <w:color w:val="auto"/>
          <w:sz w:val="24"/>
          <w:szCs w:val="24"/>
          <w:highlight w:val="none"/>
          <w:u w:val="single" w:color="000000"/>
        </w:rPr>
      </w:pPr>
      <w:r>
        <w:rPr>
          <w:rFonts w:hint="eastAsia" w:ascii="宋体" w:hAnsi="宋体"/>
          <w:bCs/>
          <w:color w:val="auto"/>
          <w:szCs w:val="30"/>
          <w:highlight w:val="none"/>
        </w:rPr>
        <w:t>投标总价</w:t>
      </w:r>
      <w:r>
        <w:rPr>
          <w:rFonts w:ascii="宋体" w:hAnsi="宋体"/>
          <w:bCs/>
          <w:color w:val="auto"/>
          <w:szCs w:val="30"/>
          <w:highlight w:val="none"/>
        </w:rPr>
        <w:t>=</w:t>
      </w:r>
      <w:r>
        <w:rPr>
          <w:rFonts w:hint="eastAsia" w:ascii="宋体" w:hAnsi="宋体"/>
          <w:bCs/>
          <w:color w:val="auto"/>
          <w:szCs w:val="30"/>
          <w:highlight w:val="none"/>
          <w:u w:val="single"/>
        </w:rPr>
        <w:t>投标报价</w:t>
      </w:r>
      <w:r>
        <w:rPr>
          <w:rFonts w:ascii="宋体" w:hAnsi="宋体"/>
          <w:bCs/>
          <w:color w:val="auto"/>
          <w:szCs w:val="30"/>
          <w:highlight w:val="none"/>
          <w:u w:val="single"/>
        </w:rPr>
        <w:t>+</w:t>
      </w:r>
      <w:r>
        <w:rPr>
          <w:rFonts w:hint="eastAsia" w:ascii="宋体" w:hAnsi="宋体"/>
          <w:bCs/>
          <w:color w:val="auto"/>
          <w:szCs w:val="30"/>
          <w:highlight w:val="none"/>
          <w:u w:val="single"/>
        </w:rPr>
        <w:t>安全文明施工费</w:t>
      </w:r>
    </w:p>
    <w:p>
      <w:pPr>
        <w:spacing w:line="640" w:lineRule="exact"/>
        <w:ind w:firstLine="210" w:firstLineChars="100"/>
        <w:rPr>
          <w:rFonts w:ascii="宋体"/>
          <w:bCs/>
          <w:color w:val="auto"/>
          <w:szCs w:val="30"/>
          <w:highlight w:val="none"/>
        </w:rPr>
      </w:pPr>
      <w:r>
        <w:rPr>
          <w:rFonts w:hint="eastAsia" w:ascii="宋体" w:hAnsi="宋体"/>
          <w:bCs/>
          <w:color w:val="auto"/>
          <w:szCs w:val="30"/>
          <w:highlight w:val="none"/>
        </w:rPr>
        <w:t>投标报价：（小写）</w:t>
      </w:r>
      <w:r>
        <w:rPr>
          <w:rFonts w:ascii="宋体" w:hAnsi="宋体"/>
          <w:bCs/>
          <w:color w:val="auto"/>
          <w:szCs w:val="30"/>
          <w:highlight w:val="none"/>
          <w:u w:val="single"/>
        </w:rPr>
        <w:t xml:space="preserve">                                                           </w:t>
      </w:r>
      <w:r>
        <w:rPr>
          <w:rFonts w:ascii="宋体" w:hAnsi="宋体"/>
          <w:bCs/>
          <w:color w:val="auto"/>
          <w:szCs w:val="30"/>
          <w:highlight w:val="none"/>
        </w:rPr>
        <w:t xml:space="preserve">     </w:t>
      </w:r>
    </w:p>
    <w:p>
      <w:pPr>
        <w:spacing w:line="640" w:lineRule="exact"/>
        <w:rPr>
          <w:rFonts w:ascii="宋体"/>
          <w:bCs/>
          <w:color w:val="auto"/>
          <w:szCs w:val="30"/>
          <w:highlight w:val="none"/>
        </w:rPr>
      </w:pPr>
      <w:r>
        <w:rPr>
          <w:rFonts w:ascii="宋体" w:hAnsi="宋体"/>
          <w:bCs/>
          <w:color w:val="auto"/>
          <w:szCs w:val="30"/>
          <w:highlight w:val="none"/>
        </w:rPr>
        <w:t xml:space="preserve">           </w:t>
      </w:r>
      <w:r>
        <w:rPr>
          <w:rFonts w:hint="eastAsia" w:ascii="宋体" w:hAnsi="宋体"/>
          <w:bCs/>
          <w:color w:val="auto"/>
          <w:szCs w:val="30"/>
          <w:highlight w:val="none"/>
        </w:rPr>
        <w:t xml:space="preserve"> （大写）</w:t>
      </w:r>
      <w:r>
        <w:rPr>
          <w:rFonts w:ascii="宋体" w:hAnsi="宋体"/>
          <w:bCs/>
          <w:color w:val="auto"/>
          <w:szCs w:val="30"/>
          <w:highlight w:val="none"/>
          <w:u w:val="single"/>
        </w:rPr>
        <w:t xml:space="preserve">                                                          </w:t>
      </w:r>
    </w:p>
    <w:p>
      <w:pPr>
        <w:spacing w:line="640" w:lineRule="exact"/>
        <w:rPr>
          <w:rFonts w:ascii="仿宋_GB2312" w:hAnsi="仿宋_GB2312" w:eastAsia="仿宋_GB2312" w:cs="仿宋_GB2312"/>
          <w:color w:val="auto"/>
          <w:sz w:val="24"/>
          <w:szCs w:val="24"/>
          <w:highlight w:val="none"/>
        </w:rPr>
      </w:pPr>
      <w:r>
        <w:rPr>
          <w:rFonts w:hint="eastAsia" w:ascii="宋体" w:hAnsi="宋体"/>
          <w:bCs/>
          <w:color w:val="auto"/>
          <w:szCs w:val="30"/>
          <w:highlight w:val="none"/>
        </w:rPr>
        <w:t>投标报价中：分部分项工程费用报价</w:t>
      </w:r>
      <w:r>
        <w:rPr>
          <w:rFonts w:ascii="宋体" w:hAnsi="宋体"/>
          <w:bCs/>
          <w:color w:val="auto"/>
          <w:szCs w:val="30"/>
          <w:highlight w:val="none"/>
        </w:rPr>
        <w:t>+</w:t>
      </w:r>
      <w:r>
        <w:rPr>
          <w:rFonts w:hint="eastAsia" w:ascii="宋体" w:hAnsi="宋体"/>
          <w:bCs/>
          <w:color w:val="auto"/>
          <w:szCs w:val="30"/>
          <w:highlight w:val="none"/>
        </w:rPr>
        <w:t>措施项目费用报价（不含安全文明施工费）</w:t>
      </w:r>
      <w:r>
        <w:rPr>
          <w:rFonts w:ascii="宋体" w:hAnsi="宋体"/>
          <w:bCs/>
          <w:color w:val="auto"/>
          <w:szCs w:val="30"/>
          <w:highlight w:val="none"/>
        </w:rPr>
        <w:t>+</w:t>
      </w:r>
      <w:r>
        <w:rPr>
          <w:rFonts w:hint="eastAsia" w:ascii="宋体" w:hAnsi="宋体"/>
          <w:bCs/>
          <w:color w:val="auto"/>
          <w:szCs w:val="30"/>
          <w:highlight w:val="none"/>
        </w:rPr>
        <w:t>其他项目费用（含暂列金额）</w:t>
      </w:r>
      <w:r>
        <w:rPr>
          <w:rFonts w:ascii="宋体" w:hAnsi="宋体"/>
          <w:bCs/>
          <w:color w:val="auto"/>
          <w:szCs w:val="30"/>
          <w:highlight w:val="none"/>
        </w:rPr>
        <w:t xml:space="preserve">= </w:t>
      </w:r>
      <w:r>
        <w:rPr>
          <w:rFonts w:ascii="宋体" w:hAnsi="宋体"/>
          <w:bCs/>
          <w:color w:val="auto"/>
          <w:szCs w:val="30"/>
          <w:highlight w:val="none"/>
          <w:u w:val="single"/>
        </w:rPr>
        <w:t xml:space="preserve">          </w:t>
      </w:r>
      <w:r>
        <w:rPr>
          <w:rFonts w:ascii="宋体" w:hAnsi="宋体"/>
          <w:bCs/>
          <w:color w:val="auto"/>
          <w:szCs w:val="30"/>
          <w:highlight w:val="none"/>
        </w:rPr>
        <w:t xml:space="preserve"> </w:t>
      </w:r>
      <w:r>
        <w:rPr>
          <w:rFonts w:hint="eastAsia" w:ascii="宋体" w:hAnsi="宋体"/>
          <w:bCs/>
          <w:color w:val="auto"/>
          <w:szCs w:val="30"/>
          <w:highlight w:val="none"/>
        </w:rPr>
        <w:t>万元</w:t>
      </w:r>
    </w:p>
    <w:p>
      <w:pPr>
        <w:spacing w:line="480" w:lineRule="auto"/>
        <w:rPr>
          <w:rFonts w:hint="eastAsia" w:ascii="宋体" w:hAnsi="宋体"/>
          <w:color w:val="auto"/>
          <w:sz w:val="21"/>
          <w:szCs w:val="21"/>
          <w:highlight w:val="none"/>
        </w:rPr>
      </w:pPr>
      <w:r>
        <w:rPr>
          <w:rFonts w:hint="eastAsia" w:ascii="宋体" w:hAnsi="宋体"/>
          <w:bCs/>
          <w:color w:val="auto"/>
          <w:szCs w:val="30"/>
          <w:highlight w:val="none"/>
        </w:rPr>
        <w:t>工期：</w:t>
      </w:r>
      <w:r>
        <w:rPr>
          <w:rFonts w:hint="eastAsia" w:ascii="宋体" w:hAnsi="宋体"/>
          <w:color w:val="auto"/>
          <w:szCs w:val="21"/>
          <w:highlight w:val="none"/>
        </w:rPr>
        <w:t>计划</w:t>
      </w:r>
      <w:r>
        <w:rPr>
          <w:rFonts w:ascii="宋体" w:hAnsi="宋体"/>
          <w:color w:val="auto"/>
          <w:szCs w:val="21"/>
          <w:highlight w:val="none"/>
          <w:u w:val="single"/>
        </w:rPr>
        <w:t xml:space="preserve">   </w:t>
      </w:r>
      <w:r>
        <w:rPr>
          <w:rFonts w:hint="eastAsia" w:ascii="宋体" w:hAnsi="宋体"/>
          <w:color w:val="auto"/>
          <w:szCs w:val="21"/>
          <w:highlight w:val="none"/>
          <w:u w:val="singl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日</w:t>
      </w:r>
      <w:r>
        <w:rPr>
          <w:rFonts w:hint="eastAsia" w:ascii="宋体" w:hAnsi="宋体"/>
          <w:color w:val="auto"/>
          <w:szCs w:val="21"/>
          <w:highlight w:val="none"/>
        </w:rPr>
        <w:t>进场，</w:t>
      </w:r>
      <w:r>
        <w:rPr>
          <w:rFonts w:ascii="宋体" w:hAnsi="宋体"/>
          <w:color w:val="auto"/>
          <w:szCs w:val="21"/>
          <w:highlight w:val="none"/>
          <w:u w:val="single"/>
        </w:rPr>
        <w:t xml:space="preserve">     </w:t>
      </w:r>
      <w:r>
        <w:rPr>
          <w:rFonts w:hint="eastAsia" w:ascii="宋体" w:hAnsi="宋体"/>
          <w:color w:val="auto"/>
          <w:szCs w:val="21"/>
          <w:highlight w:val="none"/>
          <w:u w:val="singl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日</w:t>
      </w:r>
      <w:r>
        <w:rPr>
          <w:rFonts w:hint="eastAsia" w:ascii="宋体" w:hAnsi="宋体"/>
          <w:color w:val="auto"/>
          <w:szCs w:val="21"/>
          <w:highlight w:val="none"/>
        </w:rPr>
        <w:t>工程竣工验收合格，计划总工期</w:t>
      </w:r>
      <w:r>
        <w:rPr>
          <w:rFonts w:ascii="宋体" w:hAnsi="宋体"/>
          <w:color w:val="auto"/>
          <w:szCs w:val="21"/>
          <w:highlight w:val="none"/>
          <w:u w:val="single"/>
        </w:rPr>
        <w:t xml:space="preserve">    </w:t>
      </w:r>
      <w:r>
        <w:rPr>
          <w:rFonts w:hint="eastAsia" w:ascii="宋体" w:hAnsi="宋体"/>
          <w:color w:val="auto"/>
          <w:szCs w:val="21"/>
          <w:highlight w:val="none"/>
        </w:rPr>
        <w:t>天</w:t>
      </w:r>
      <w:r>
        <w:rPr>
          <w:rFonts w:hint="eastAsia" w:ascii="宋体" w:hAnsi="宋体" w:cs="宋体"/>
          <w:color w:val="auto"/>
          <w:sz w:val="21"/>
          <w:szCs w:val="21"/>
          <w:highlight w:val="none"/>
        </w:rPr>
        <w:t>（日历日）</w:t>
      </w:r>
      <w:r>
        <w:rPr>
          <w:rFonts w:hint="eastAsia" w:ascii="宋体" w:hAnsi="宋体"/>
          <w:color w:val="auto"/>
          <w:sz w:val="21"/>
          <w:szCs w:val="21"/>
          <w:highlight w:val="none"/>
        </w:rPr>
        <w:t>。</w:t>
      </w:r>
    </w:p>
    <w:p>
      <w:pPr>
        <w:spacing w:line="480" w:lineRule="auto"/>
        <w:rPr>
          <w:rFonts w:hint="eastAsia" w:ascii="宋体" w:hAnsi="宋体"/>
          <w:color w:val="auto"/>
          <w:highlight w:val="none"/>
          <w:u w:val="single"/>
        </w:rPr>
      </w:pPr>
      <w:r>
        <w:rPr>
          <w:rFonts w:hint="eastAsia" w:ascii="宋体" w:hAnsi="宋体"/>
          <w:bCs/>
          <w:color w:val="auto"/>
          <w:szCs w:val="30"/>
          <w:highlight w:val="none"/>
        </w:rPr>
        <w:t>质量承诺：</w:t>
      </w:r>
      <w:r>
        <w:rPr>
          <w:rFonts w:ascii="宋体" w:hAnsi="宋体"/>
          <w:color w:val="auto"/>
          <w:highlight w:val="none"/>
          <w:u w:val="single"/>
        </w:rPr>
        <w:t xml:space="preserve">                 </w:t>
      </w:r>
      <w:r>
        <w:rPr>
          <w:rFonts w:hint="eastAsia" w:ascii="宋体" w:hAnsi="宋体"/>
          <w:color w:val="auto"/>
          <w:highlight w:val="none"/>
          <w:u w:val="single"/>
        </w:rPr>
        <w:t xml:space="preserve"> </w:t>
      </w:r>
    </w:p>
    <w:p>
      <w:pPr>
        <w:spacing w:line="640" w:lineRule="exact"/>
        <w:rPr>
          <w:rFonts w:ascii="宋体"/>
          <w:color w:val="auto"/>
          <w:highlight w:val="none"/>
        </w:rPr>
      </w:pPr>
      <w:r>
        <w:rPr>
          <w:rFonts w:hint="eastAsia" w:ascii="宋体" w:hAnsi="宋体"/>
          <w:bCs/>
          <w:color w:val="auto"/>
          <w:szCs w:val="30"/>
          <w:highlight w:val="none"/>
        </w:rPr>
        <w:t>项目</w:t>
      </w:r>
      <w:r>
        <w:rPr>
          <w:rFonts w:hint="eastAsia" w:ascii="宋体" w:hAnsi="宋体"/>
          <w:bCs/>
          <w:color w:val="auto"/>
          <w:szCs w:val="30"/>
          <w:highlight w:val="none"/>
          <w:lang w:eastAsia="zh-CN"/>
        </w:rPr>
        <w:t>负责人</w:t>
      </w:r>
      <w:r>
        <w:rPr>
          <w:rFonts w:hint="eastAsia" w:ascii="宋体" w:hAnsi="宋体"/>
          <w:bCs/>
          <w:color w:val="auto"/>
          <w:szCs w:val="30"/>
          <w:highlight w:val="none"/>
        </w:rPr>
        <w:t>：</w:t>
      </w:r>
      <w:r>
        <w:rPr>
          <w:rFonts w:ascii="宋体" w:hAnsi="宋体"/>
          <w:color w:val="auto"/>
          <w:highlight w:val="non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rPr>
        <w:t xml:space="preserve">  </w:t>
      </w:r>
    </w:p>
    <w:p>
      <w:pPr>
        <w:spacing w:line="640" w:lineRule="exact"/>
        <w:rPr>
          <w:rFonts w:ascii="宋体"/>
          <w:bCs/>
          <w:color w:val="auto"/>
          <w:szCs w:val="30"/>
          <w:highlight w:val="none"/>
        </w:rPr>
      </w:pPr>
      <w:r>
        <w:rPr>
          <w:rFonts w:hint="eastAsia" w:ascii="宋体" w:hAnsi="宋体"/>
          <w:bCs/>
          <w:color w:val="auto"/>
          <w:szCs w:val="30"/>
          <w:highlight w:val="none"/>
        </w:rPr>
        <w:t>投</w:t>
      </w:r>
      <w:r>
        <w:rPr>
          <w:rFonts w:ascii="宋体" w:hAnsi="宋体"/>
          <w:bCs/>
          <w:color w:val="auto"/>
          <w:szCs w:val="30"/>
          <w:highlight w:val="none"/>
        </w:rPr>
        <w:t xml:space="preserve"> </w:t>
      </w:r>
      <w:r>
        <w:rPr>
          <w:rFonts w:hint="eastAsia" w:ascii="宋体" w:hAnsi="宋体"/>
          <w:bCs/>
          <w:color w:val="auto"/>
          <w:szCs w:val="30"/>
          <w:highlight w:val="none"/>
        </w:rPr>
        <w:t>标</w:t>
      </w:r>
      <w:r>
        <w:rPr>
          <w:rFonts w:ascii="宋体" w:hAnsi="宋体"/>
          <w:bCs/>
          <w:color w:val="auto"/>
          <w:szCs w:val="30"/>
          <w:highlight w:val="none"/>
        </w:rPr>
        <w:t xml:space="preserve"> </w:t>
      </w:r>
      <w:r>
        <w:rPr>
          <w:rFonts w:hint="eastAsia" w:ascii="宋体" w:hAnsi="宋体"/>
          <w:bCs/>
          <w:color w:val="auto"/>
          <w:szCs w:val="30"/>
          <w:highlight w:val="none"/>
        </w:rPr>
        <w:t>人：</w:t>
      </w:r>
      <w:r>
        <w:rPr>
          <w:rFonts w:ascii="宋体" w:hAnsi="宋体"/>
          <w:color w:val="auto"/>
          <w:highlight w:val="none"/>
          <w:u w:val="single"/>
        </w:rPr>
        <w:t xml:space="preserve">                </w:t>
      </w:r>
      <w:r>
        <w:rPr>
          <w:rFonts w:hint="eastAsia" w:ascii="宋体" w:hAnsi="宋体"/>
          <w:bCs/>
          <w:color w:val="auto"/>
          <w:szCs w:val="30"/>
          <w:highlight w:val="none"/>
        </w:rPr>
        <w:t>（单位盖章）</w:t>
      </w:r>
    </w:p>
    <w:p>
      <w:pPr>
        <w:spacing w:line="640" w:lineRule="exact"/>
        <w:rPr>
          <w:rFonts w:ascii="宋体"/>
          <w:bCs/>
          <w:color w:val="auto"/>
          <w:szCs w:val="30"/>
          <w:highlight w:val="none"/>
        </w:rPr>
      </w:pPr>
      <w:r>
        <w:rPr>
          <w:rFonts w:hint="eastAsia" w:ascii="宋体" w:hAnsi="宋体"/>
          <w:bCs/>
          <w:color w:val="auto"/>
          <w:szCs w:val="30"/>
          <w:highlight w:val="none"/>
        </w:rPr>
        <w:t>法定代表人或其授权代理人：</w:t>
      </w:r>
      <w:r>
        <w:rPr>
          <w:rFonts w:ascii="宋体" w:hAnsi="宋体"/>
          <w:bCs/>
          <w:color w:val="auto"/>
          <w:szCs w:val="30"/>
          <w:highlight w:val="none"/>
          <w:u w:val="single"/>
        </w:rPr>
        <w:t xml:space="preserve">                                   </w:t>
      </w:r>
      <w:r>
        <w:rPr>
          <w:rFonts w:hint="eastAsia" w:ascii="宋体" w:hAnsi="宋体"/>
          <w:bCs/>
          <w:color w:val="auto"/>
          <w:szCs w:val="30"/>
          <w:highlight w:val="none"/>
        </w:rPr>
        <w:t>（签字或盖章）</w:t>
      </w:r>
    </w:p>
    <w:p>
      <w:pPr>
        <w:spacing w:line="640" w:lineRule="exact"/>
        <w:rPr>
          <w:rFonts w:ascii="宋体"/>
          <w:bCs/>
          <w:color w:val="auto"/>
          <w:szCs w:val="30"/>
          <w:highlight w:val="none"/>
        </w:rPr>
      </w:pPr>
      <w:r>
        <w:rPr>
          <w:rFonts w:hint="eastAsia" w:ascii="宋体" w:hAnsi="宋体"/>
          <w:bCs/>
          <w:color w:val="auto"/>
          <w:szCs w:val="30"/>
          <w:highlight w:val="none"/>
        </w:rPr>
        <w:t>编</w:t>
      </w:r>
      <w:r>
        <w:rPr>
          <w:rFonts w:ascii="宋体" w:hAnsi="宋体"/>
          <w:bCs/>
          <w:color w:val="auto"/>
          <w:szCs w:val="30"/>
          <w:highlight w:val="none"/>
        </w:rPr>
        <w:t xml:space="preserve">  </w:t>
      </w:r>
      <w:r>
        <w:rPr>
          <w:rFonts w:hint="eastAsia" w:ascii="宋体" w:hAnsi="宋体"/>
          <w:bCs/>
          <w:color w:val="auto"/>
          <w:szCs w:val="30"/>
          <w:highlight w:val="none"/>
        </w:rPr>
        <w:t>制</w:t>
      </w:r>
      <w:r>
        <w:rPr>
          <w:rFonts w:ascii="宋体" w:hAnsi="宋体"/>
          <w:bCs/>
          <w:color w:val="auto"/>
          <w:szCs w:val="30"/>
          <w:highlight w:val="none"/>
        </w:rPr>
        <w:t xml:space="preserve">  </w:t>
      </w:r>
      <w:r>
        <w:rPr>
          <w:rFonts w:hint="eastAsia" w:ascii="宋体" w:hAnsi="宋体"/>
          <w:bCs/>
          <w:color w:val="auto"/>
          <w:szCs w:val="30"/>
          <w:highlight w:val="none"/>
        </w:rPr>
        <w:t>人：</w:t>
      </w:r>
      <w:r>
        <w:rPr>
          <w:rFonts w:ascii="宋体" w:hAnsi="宋体"/>
          <w:bCs/>
          <w:color w:val="auto"/>
          <w:szCs w:val="30"/>
          <w:highlight w:val="none"/>
          <w:u w:val="single"/>
        </w:rPr>
        <w:t xml:space="preserve">                                           </w:t>
      </w:r>
      <w:r>
        <w:rPr>
          <w:rFonts w:hint="eastAsia" w:ascii="宋体" w:hAnsi="宋体"/>
          <w:bCs/>
          <w:color w:val="auto"/>
          <w:szCs w:val="30"/>
          <w:highlight w:val="none"/>
        </w:rPr>
        <w:t>（造价人员签字并盖专用章）</w:t>
      </w:r>
    </w:p>
    <w:p>
      <w:pPr>
        <w:spacing w:line="640" w:lineRule="exact"/>
        <w:rPr>
          <w:rFonts w:hint="eastAsia" w:ascii="宋体" w:hAnsi="宋体"/>
          <w:bCs/>
          <w:color w:val="auto"/>
          <w:szCs w:val="30"/>
          <w:highlight w:val="none"/>
        </w:rPr>
      </w:pPr>
      <w:r>
        <w:rPr>
          <w:rFonts w:hint="eastAsia" w:ascii="宋体" w:hAnsi="宋体"/>
          <w:bCs/>
          <w:color w:val="auto"/>
          <w:szCs w:val="30"/>
          <w:highlight w:val="none"/>
        </w:rPr>
        <w:t>编制时间：</w:t>
      </w:r>
      <w:r>
        <w:rPr>
          <w:rFonts w:ascii="宋体" w:hAnsi="宋体"/>
          <w:bCs/>
          <w:color w:val="auto"/>
          <w:szCs w:val="30"/>
          <w:highlight w:val="none"/>
        </w:rPr>
        <w:t xml:space="preserve">   </w:t>
      </w:r>
      <w:r>
        <w:rPr>
          <w:rFonts w:hint="eastAsia" w:ascii="宋体" w:hAnsi="宋体"/>
          <w:bCs/>
          <w:color w:val="auto"/>
          <w:szCs w:val="30"/>
          <w:highlight w:val="none"/>
        </w:rPr>
        <w:t>年</w:t>
      </w:r>
      <w:r>
        <w:rPr>
          <w:rFonts w:ascii="宋体" w:hAnsi="宋体"/>
          <w:bCs/>
          <w:color w:val="auto"/>
          <w:szCs w:val="30"/>
          <w:highlight w:val="none"/>
        </w:rPr>
        <w:t xml:space="preserve">   </w:t>
      </w:r>
      <w:r>
        <w:rPr>
          <w:rFonts w:hint="eastAsia" w:ascii="宋体" w:hAnsi="宋体"/>
          <w:bCs/>
          <w:color w:val="auto"/>
          <w:szCs w:val="30"/>
          <w:highlight w:val="none"/>
        </w:rPr>
        <w:t>月</w:t>
      </w:r>
      <w:r>
        <w:rPr>
          <w:rFonts w:ascii="宋体" w:hAnsi="宋体"/>
          <w:bCs/>
          <w:color w:val="auto"/>
          <w:szCs w:val="30"/>
          <w:highlight w:val="none"/>
        </w:rPr>
        <w:t xml:space="preserve">   </w:t>
      </w:r>
      <w:r>
        <w:rPr>
          <w:rFonts w:hint="eastAsia" w:ascii="宋体" w:hAnsi="宋体"/>
          <w:bCs/>
          <w:color w:val="auto"/>
          <w:szCs w:val="30"/>
          <w:highlight w:val="none"/>
        </w:rPr>
        <w:t>日</w:t>
      </w:r>
    </w:p>
    <w:p>
      <w:pPr>
        <w:pStyle w:val="2"/>
        <w:rPr>
          <w:rFonts w:hint="eastAsia" w:ascii="宋体" w:hAnsi="宋体"/>
          <w:bCs/>
          <w:color w:val="auto"/>
          <w:szCs w:val="30"/>
          <w:highlight w:val="none"/>
        </w:rPr>
      </w:pPr>
    </w:p>
    <w:p>
      <w:pPr>
        <w:rPr>
          <w:rFonts w:hint="eastAsia" w:ascii="宋体" w:hAnsi="宋体"/>
          <w:bCs/>
          <w:color w:val="auto"/>
          <w:szCs w:val="30"/>
          <w:highlight w:val="none"/>
        </w:rPr>
      </w:pPr>
    </w:p>
    <w:p>
      <w:pPr>
        <w:pStyle w:val="2"/>
        <w:rPr>
          <w:rFonts w:hint="eastAsia" w:ascii="宋体" w:hAnsi="宋体"/>
          <w:bCs/>
          <w:color w:val="auto"/>
          <w:szCs w:val="30"/>
          <w:highlight w:val="none"/>
        </w:rPr>
      </w:pPr>
    </w:p>
    <w:p>
      <w:pPr>
        <w:rPr>
          <w:rFonts w:hint="eastAsia" w:ascii="宋体" w:hAnsi="宋体"/>
          <w:bCs/>
          <w:color w:val="auto"/>
          <w:szCs w:val="30"/>
          <w:highlight w:val="none"/>
        </w:rPr>
      </w:pPr>
    </w:p>
    <w:p>
      <w:pPr>
        <w:pStyle w:val="2"/>
        <w:rPr>
          <w:rFonts w:hint="eastAsia" w:ascii="宋体" w:hAnsi="宋体"/>
          <w:b/>
          <w:bCs w:val="0"/>
          <w:color w:val="auto"/>
          <w:szCs w:val="30"/>
          <w:highlight w:val="none"/>
          <w:lang w:val="en-US" w:eastAsia="zh-CN"/>
        </w:rPr>
      </w:pPr>
      <w:r>
        <w:rPr>
          <w:rFonts w:hint="eastAsia" w:ascii="宋体" w:hAnsi="宋体"/>
          <w:b/>
          <w:bCs w:val="0"/>
          <w:color w:val="auto"/>
          <w:szCs w:val="30"/>
          <w:highlight w:val="none"/>
          <w:lang w:eastAsia="zh-CN"/>
        </w:rPr>
        <w:t>备注：</w:t>
      </w:r>
      <w:r>
        <w:rPr>
          <w:rFonts w:hint="eastAsia" w:ascii="宋体" w:hAnsi="宋体"/>
          <w:b/>
          <w:bCs w:val="0"/>
          <w:color w:val="auto"/>
          <w:szCs w:val="30"/>
          <w:highlight w:val="none"/>
          <w:lang w:val="en-US" w:eastAsia="zh-CN"/>
        </w:rPr>
        <w:t>本项目施工设计图纸和工程量清单供投标参考。本项目以总价进行结算，增加或减少的工程量，结算时总价不予调整。</w:t>
      </w:r>
    </w:p>
    <w:p>
      <w:pPr>
        <w:pStyle w:val="18"/>
        <w:spacing w:before="75" w:beforeAutospacing="0" w:after="75" w:afterAutospacing="0" w:line="240" w:lineRule="auto"/>
        <w:jc w:val="both"/>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格式1</w:t>
      </w:r>
      <w:r>
        <w:rPr>
          <w:rStyle w:val="25"/>
          <w:rFonts w:hint="eastAsia" w:cs="宋体"/>
          <w:b/>
          <w:bCs w:val="0"/>
          <w:color w:val="auto"/>
          <w:sz w:val="24"/>
          <w:szCs w:val="24"/>
          <w:highlight w:val="none"/>
          <w:lang w:val="en-US" w:eastAsia="zh-CN"/>
        </w:rPr>
        <w:t>2-1</w:t>
      </w:r>
      <w:r>
        <w:rPr>
          <w:rStyle w:val="25"/>
          <w:rFonts w:hint="eastAsia" w:cs="宋体"/>
          <w:b/>
          <w:bCs w:val="0"/>
          <w:color w:val="auto"/>
          <w:sz w:val="24"/>
          <w:szCs w:val="24"/>
          <w:highlight w:val="none"/>
        </w:rPr>
        <w:t xml:space="preserve">  安全文明施工费用明细表</w:t>
      </w:r>
    </w:p>
    <w:p>
      <w:pPr>
        <w:pStyle w:val="18"/>
        <w:spacing w:before="75" w:beforeAutospacing="0" w:after="75" w:afterAutospacing="0" w:line="240" w:lineRule="auto"/>
        <w:jc w:val="righ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金额单位：万元</w:t>
      </w:r>
    </w:p>
    <w:tbl>
      <w:tblPr>
        <w:tblStyle w:val="22"/>
        <w:tblpPr w:leftFromText="180" w:rightFromText="180" w:vertAnchor="text" w:horzAnchor="page" w:tblpX="1814" w:tblpY="5"/>
        <w:tblOverlap w:val="never"/>
        <w:tblW w:w="8280" w:type="dxa"/>
        <w:tblInd w:w="0" w:type="dxa"/>
        <w:tblLayout w:type="fixed"/>
        <w:tblCellMar>
          <w:top w:w="0" w:type="dxa"/>
          <w:left w:w="0" w:type="dxa"/>
          <w:bottom w:w="0" w:type="dxa"/>
          <w:right w:w="0" w:type="dxa"/>
        </w:tblCellMar>
      </w:tblPr>
      <w:tblGrid>
        <w:gridCol w:w="1110"/>
        <w:gridCol w:w="1080"/>
        <w:gridCol w:w="2100"/>
        <w:gridCol w:w="2353"/>
        <w:gridCol w:w="1637"/>
      </w:tblGrid>
      <w:tr>
        <w:trPr>
          <w:trHeight w:val="927" w:hRule="exact"/>
        </w:trPr>
        <w:tc>
          <w:tcPr>
            <w:tcW w:w="1110" w:type="dxa"/>
            <w:tcBorders>
              <w:top w:val="single" w:color="000000" w:sz="4" w:space="0"/>
              <w:left w:val="single" w:color="000000" w:sz="4" w:space="0"/>
              <w:bottom w:val="single" w:color="000000" w:sz="4" w:space="0"/>
              <w:right w:val="single" w:color="000000" w:sz="4" w:space="0"/>
            </w:tcBorders>
            <w:noWrap w:val="0"/>
            <w:vAlign w:val="top"/>
          </w:tcPr>
          <w:p>
            <w:pPr>
              <w:spacing w:before="7"/>
              <w:jc w:val="center"/>
              <w:rPr>
                <w:rFonts w:ascii="宋体" w:cs="宋体"/>
                <w:color w:val="auto"/>
                <w:sz w:val="24"/>
                <w:highlight w:val="none"/>
              </w:rPr>
            </w:pPr>
          </w:p>
          <w:p>
            <w:pPr>
              <w:ind w:left="163" w:right="-20"/>
              <w:jc w:val="center"/>
              <w:rPr>
                <w:rFonts w:ascii="宋体" w:cs="宋体"/>
                <w:color w:val="auto"/>
                <w:sz w:val="24"/>
                <w:highlight w:val="none"/>
              </w:rPr>
            </w:pPr>
            <w:r>
              <w:rPr>
                <w:rFonts w:hint="eastAsia" w:ascii="宋体" w:hAnsi="宋体" w:cs="宋体"/>
                <w:color w:val="auto"/>
                <w:sz w:val="24"/>
                <w:highlight w:val="none"/>
              </w:rPr>
              <w:t>序号</w:t>
            </w:r>
          </w:p>
        </w:tc>
        <w:tc>
          <w:tcPr>
            <w:tcW w:w="71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before="8"/>
              <w:ind w:left="4115" w:right="82" w:hanging="3960"/>
              <w:jc w:val="center"/>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计价内容</w:t>
            </w:r>
          </w:p>
        </w:tc>
      </w:tr>
      <w:tr>
        <w:tblPrEx>
          <w:tblCellMar>
            <w:top w:w="0" w:type="dxa"/>
            <w:left w:w="0" w:type="dxa"/>
            <w:bottom w:w="0" w:type="dxa"/>
            <w:right w:w="0" w:type="dxa"/>
          </w:tblCellMar>
        </w:tblPrEx>
        <w:trPr>
          <w:trHeight w:val="865" w:hRule="exact"/>
        </w:trPr>
        <w:tc>
          <w:tcPr>
            <w:tcW w:w="1110" w:type="dxa"/>
            <w:tcBorders>
              <w:top w:val="single" w:color="000000" w:sz="4" w:space="0"/>
              <w:left w:val="single" w:color="000000" w:sz="4" w:space="0"/>
              <w:bottom w:val="single" w:color="000000" w:sz="4" w:space="0"/>
              <w:right w:val="single" w:color="000000" w:sz="4" w:space="0"/>
            </w:tcBorders>
            <w:noWrap w:val="0"/>
            <w:vAlign w:val="top"/>
          </w:tcPr>
          <w:p>
            <w:pPr>
              <w:spacing w:before="2"/>
              <w:jc w:val="center"/>
              <w:rPr>
                <w:rFonts w:ascii="宋体" w:cs="宋体"/>
                <w:color w:val="auto"/>
                <w:sz w:val="24"/>
                <w:highlight w:val="none"/>
              </w:rPr>
            </w:pPr>
          </w:p>
          <w:p>
            <w:pPr>
              <w:ind w:right="225"/>
              <w:jc w:val="center"/>
              <w:rPr>
                <w:rFonts w:ascii="宋体" w:cs="宋体"/>
                <w:color w:val="auto"/>
                <w:sz w:val="24"/>
                <w:highlight w:val="none"/>
              </w:rPr>
            </w:pPr>
            <w:r>
              <w:rPr>
                <w:rFonts w:hint="eastAsia" w:ascii="宋体" w:hAnsi="宋体" w:cs="宋体"/>
                <w:color w:val="auto"/>
                <w:sz w:val="24"/>
                <w:highlight w:val="none"/>
              </w:rPr>
              <w:t>一</w:t>
            </w:r>
          </w:p>
        </w:tc>
        <w:tc>
          <w:tcPr>
            <w:tcW w:w="71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before="8"/>
              <w:ind w:left="4115" w:right="82" w:hanging="3960"/>
              <w:jc w:val="center"/>
              <w:rPr>
                <w:rFonts w:hint="eastAsia" w:ascii="宋体" w:hAnsi="宋体" w:cs="宋体"/>
                <w:color w:val="auto"/>
                <w:sz w:val="24"/>
                <w:szCs w:val="22"/>
                <w:highlight w:val="none"/>
              </w:rPr>
            </w:pPr>
            <w:r>
              <w:rPr>
                <w:rFonts w:hint="eastAsia" w:ascii="宋体" w:hAnsi="宋体" w:cs="宋体"/>
                <w:color w:val="auto"/>
                <w:sz w:val="24"/>
                <w:szCs w:val="22"/>
                <w:highlight w:val="none"/>
              </w:rPr>
              <w:t>临时设施费、环境保护费、文明施工费、安全防护费</w:t>
            </w:r>
          </w:p>
          <w:p>
            <w:pPr>
              <w:spacing w:before="8"/>
              <w:ind w:left="4115" w:right="82" w:hanging="3960"/>
              <w:jc w:val="center"/>
              <w:rPr>
                <w:rFonts w:hint="eastAsia" w:ascii="宋体" w:hAnsi="宋体" w:cs="宋体"/>
                <w:color w:val="auto"/>
                <w:sz w:val="24"/>
                <w:szCs w:val="22"/>
                <w:highlight w:val="none"/>
              </w:rPr>
            </w:pPr>
            <w:r>
              <w:rPr>
                <w:rFonts w:hint="eastAsia" w:ascii="宋体" w:hAnsi="宋体" w:cs="宋体"/>
                <w:color w:val="auto"/>
                <w:sz w:val="24"/>
                <w:szCs w:val="22"/>
                <w:highlight w:val="none"/>
              </w:rPr>
              <w:t>（不进入投标报价，进入投标总价）</w:t>
            </w:r>
          </w:p>
        </w:tc>
      </w:tr>
      <w:tr>
        <w:tblPrEx>
          <w:tblCellMar>
            <w:top w:w="0" w:type="dxa"/>
            <w:left w:w="0" w:type="dxa"/>
            <w:bottom w:w="0" w:type="dxa"/>
            <w:right w:w="0" w:type="dxa"/>
          </w:tblCellMar>
        </w:tblPrEx>
        <w:trPr>
          <w:trHeight w:val="607" w:hRule="exact"/>
        </w:trPr>
        <w:tc>
          <w:tcPr>
            <w:tcW w:w="2190" w:type="dxa"/>
            <w:gridSpan w:val="2"/>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ascii="宋体" w:cs="宋体"/>
                <w:color w:val="auto"/>
                <w:sz w:val="24"/>
                <w:highlight w:val="none"/>
              </w:rPr>
            </w:pPr>
            <w:r>
              <w:rPr>
                <w:rFonts w:hint="eastAsia" w:ascii="宋体" w:hAnsi="宋体" w:cs="宋体"/>
                <w:color w:val="auto"/>
                <w:sz w:val="24"/>
                <w:highlight w:val="none"/>
              </w:rPr>
              <w:t>计取基数</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ind w:right="921"/>
              <w:jc w:val="center"/>
              <w:rPr>
                <w:rFonts w:asci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费率</w:t>
            </w:r>
          </w:p>
        </w:tc>
        <w:tc>
          <w:tcPr>
            <w:tcW w:w="2353" w:type="dxa"/>
            <w:tcBorders>
              <w:top w:val="single" w:color="000000" w:sz="4" w:space="0"/>
              <w:left w:val="single" w:color="000000" w:sz="4" w:space="0"/>
              <w:bottom w:val="single" w:color="000000" w:sz="4" w:space="0"/>
              <w:right w:val="single" w:color="000000" w:sz="4" w:space="0"/>
            </w:tcBorders>
            <w:noWrap w:val="0"/>
            <w:vAlign w:val="center"/>
          </w:tcPr>
          <w:p>
            <w:pPr>
              <w:ind w:right="920"/>
              <w:jc w:val="center"/>
              <w:rPr>
                <w:rFonts w:asci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金额</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ind w:right="951"/>
              <w:jc w:val="center"/>
              <w:rPr>
                <w:rFonts w:asci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备注</w:t>
            </w:r>
          </w:p>
        </w:tc>
      </w:tr>
      <w:tr>
        <w:tblPrEx>
          <w:tblCellMar>
            <w:top w:w="0" w:type="dxa"/>
            <w:left w:w="0" w:type="dxa"/>
            <w:bottom w:w="0" w:type="dxa"/>
            <w:right w:w="0" w:type="dxa"/>
          </w:tblCellMar>
        </w:tblPrEx>
        <w:trPr>
          <w:trHeight w:val="798" w:hRule="exact"/>
        </w:trPr>
        <w:tc>
          <w:tcPr>
            <w:tcW w:w="219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c>
          <w:tcPr>
            <w:tcW w:w="2353"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c>
          <w:tcPr>
            <w:tcW w:w="163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r>
      <w:tr>
        <w:trPr>
          <w:trHeight w:val="798" w:hRule="exact"/>
        </w:trPr>
        <w:tc>
          <w:tcPr>
            <w:tcW w:w="219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c>
          <w:tcPr>
            <w:tcW w:w="2353"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c>
          <w:tcPr>
            <w:tcW w:w="163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r>
      <w:tr>
        <w:trPr>
          <w:trHeight w:val="798" w:hRule="exact"/>
        </w:trPr>
        <w:tc>
          <w:tcPr>
            <w:tcW w:w="219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c>
          <w:tcPr>
            <w:tcW w:w="2353"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c>
          <w:tcPr>
            <w:tcW w:w="163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r>
      <w:tr>
        <w:trPr>
          <w:trHeight w:val="798" w:hRule="exact"/>
        </w:trPr>
        <w:tc>
          <w:tcPr>
            <w:tcW w:w="2190"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c>
          <w:tcPr>
            <w:tcW w:w="2353"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c>
          <w:tcPr>
            <w:tcW w:w="163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cs="宋体"/>
                <w:color w:val="auto"/>
                <w:sz w:val="24"/>
                <w:highlight w:val="none"/>
              </w:rPr>
            </w:pPr>
          </w:p>
        </w:tc>
      </w:tr>
      <w:tr>
        <w:trPr>
          <w:trHeight w:val="1095" w:hRule="exact"/>
        </w:trPr>
        <w:tc>
          <w:tcPr>
            <w:tcW w:w="4290" w:type="dxa"/>
            <w:gridSpan w:val="3"/>
            <w:tcBorders>
              <w:top w:val="single" w:color="auto" w:sz="4" w:space="0"/>
              <w:left w:val="single" w:color="000000" w:sz="4" w:space="0"/>
              <w:bottom w:val="single" w:color="auto" w:sz="4" w:space="0"/>
              <w:right w:val="single" w:color="000000" w:sz="4" w:space="0"/>
            </w:tcBorders>
            <w:noWrap w:val="0"/>
            <w:vAlign w:val="center"/>
          </w:tcPr>
          <w:p>
            <w:pPr>
              <w:ind w:right="13"/>
              <w:jc w:val="center"/>
              <w:rPr>
                <w:rFonts w:ascii="宋体" w:cs="宋体"/>
                <w:color w:val="auto"/>
                <w:sz w:val="24"/>
                <w:highlight w:val="none"/>
              </w:rPr>
            </w:pPr>
            <w:r>
              <w:rPr>
                <w:rFonts w:hint="eastAsia" w:ascii="宋体" w:hAnsi="宋体" w:cs="宋体"/>
                <w:color w:val="auto"/>
                <w:sz w:val="24"/>
                <w:highlight w:val="none"/>
              </w:rPr>
              <w:t>合计</w:t>
            </w:r>
          </w:p>
        </w:tc>
        <w:tc>
          <w:tcPr>
            <w:tcW w:w="3990" w:type="dxa"/>
            <w:gridSpan w:val="2"/>
            <w:tcBorders>
              <w:top w:val="single" w:color="auto" w:sz="4" w:space="0"/>
              <w:left w:val="single" w:color="000000" w:sz="4" w:space="0"/>
              <w:bottom w:val="single" w:color="auto" w:sz="4" w:space="0"/>
              <w:right w:val="single" w:color="000000" w:sz="4" w:space="0"/>
            </w:tcBorders>
            <w:noWrap w:val="0"/>
            <w:vAlign w:val="center"/>
          </w:tcPr>
          <w:p>
            <w:pPr>
              <w:tabs>
                <w:tab w:val="left" w:pos="2780"/>
                <w:tab w:val="left" w:pos="7320"/>
              </w:tabs>
              <w:spacing w:line="460" w:lineRule="atLeast"/>
              <w:ind w:right="-20" w:firstLine="2160" w:firstLineChars="900"/>
              <w:jc w:val="both"/>
              <w:rPr>
                <w:rFonts w:ascii="宋体" w:cs="宋体"/>
                <w:color w:val="auto"/>
                <w:sz w:val="24"/>
                <w:highlight w:val="none"/>
              </w:rPr>
            </w:pPr>
            <w:r>
              <w:rPr>
                <w:rFonts w:hint="eastAsia" w:ascii="宋体" w:hAnsi="宋体" w:cs="宋体"/>
                <w:color w:val="auto"/>
                <w:position w:val="-2"/>
                <w:sz w:val="24"/>
                <w:highlight w:val="none"/>
              </w:rPr>
              <w:t>万元</w:t>
            </w:r>
          </w:p>
          <w:p>
            <w:pPr>
              <w:ind w:left="2306" w:right="2286"/>
              <w:jc w:val="center"/>
              <w:rPr>
                <w:rFonts w:ascii="宋体" w:cs="宋体"/>
                <w:color w:val="auto"/>
                <w:sz w:val="24"/>
                <w:highlight w:val="none"/>
              </w:rPr>
            </w:pPr>
          </w:p>
        </w:tc>
      </w:tr>
    </w:tbl>
    <w:p>
      <w:pPr>
        <w:pStyle w:val="18"/>
        <w:spacing w:before="75" w:beforeAutospacing="0" w:after="75" w:afterAutospacing="0" w:line="240" w:lineRule="auto"/>
        <w:jc w:val="left"/>
        <w:rPr>
          <w:rFonts w:hint="eastAsia" w:ascii="宋体" w:hAnsi="宋体" w:cs="宋体"/>
          <w:b w:val="0"/>
          <w:bCs w:val="0"/>
          <w:color w:val="auto"/>
          <w:sz w:val="24"/>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13</w:t>
      </w:r>
      <w:r>
        <w:rPr>
          <w:rStyle w:val="25"/>
          <w:rFonts w:hint="eastAsia" w:cs="宋体"/>
          <w:b/>
          <w:bCs w:val="0"/>
          <w:color w:val="auto"/>
          <w:sz w:val="24"/>
          <w:szCs w:val="24"/>
          <w:highlight w:val="none"/>
        </w:rPr>
        <w:t xml:space="preserve">  投标总价总说明</w:t>
      </w:r>
    </w:p>
    <w:p>
      <w:pPr>
        <w:tabs>
          <w:tab w:val="left" w:pos="7720"/>
          <w:tab w:val="left" w:pos="8200"/>
          <w:tab w:val="left" w:pos="8800"/>
          <w:tab w:val="left" w:pos="9280"/>
        </w:tabs>
        <w:spacing w:line="460" w:lineRule="atLeast"/>
        <w:ind w:left="17" w:right="-120" w:hanging="16" w:hangingChars="7"/>
        <w:rPr>
          <w:rFonts w:ascii="宋体" w:cs="宋体"/>
          <w:color w:val="auto"/>
          <w:sz w:val="24"/>
          <w:szCs w:val="24"/>
          <w:highlight w:val="none"/>
        </w:rPr>
      </w:pPr>
      <w:r>
        <w:rPr>
          <w:rFonts w:hint="eastAsia" w:ascii="宋体" w:hAnsi="宋体" w:cs="宋体"/>
          <w:color w:val="auto"/>
          <w:sz w:val="24"/>
          <w:szCs w:val="24"/>
          <w:highlight w:val="none"/>
        </w:rPr>
        <w:t>工程名称：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共</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p>
    <w:tbl>
      <w:tblPr>
        <w:tblStyle w:val="22"/>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3" w:hRule="atLeast"/>
          <w:jc w:val="center"/>
        </w:trPr>
        <w:tc>
          <w:tcPr>
            <w:tcW w:w="8419" w:type="dxa"/>
            <w:noWrap w:val="0"/>
            <w:vAlign w:val="top"/>
          </w:tcPr>
          <w:p>
            <w:pPr>
              <w:spacing w:line="600" w:lineRule="exact"/>
              <w:rPr>
                <w:rFonts w:ascii="宋体"/>
                <w:bCs/>
                <w:color w:val="auto"/>
                <w:szCs w:val="30"/>
                <w:highlight w:val="none"/>
              </w:rPr>
            </w:pPr>
            <w:r>
              <w:rPr>
                <w:rFonts w:hint="eastAsia" w:ascii="宋体" w:hAnsi="宋体"/>
                <w:bCs/>
                <w:color w:val="auto"/>
                <w:szCs w:val="30"/>
                <w:highlight w:val="none"/>
              </w:rPr>
              <w:t>工程概况</w:t>
            </w:r>
          </w:p>
          <w:p>
            <w:pPr>
              <w:spacing w:line="600" w:lineRule="exact"/>
              <w:rPr>
                <w:rFonts w:ascii="宋体"/>
                <w:bCs/>
                <w:color w:val="auto"/>
                <w:szCs w:val="30"/>
                <w:highlight w:val="none"/>
              </w:rPr>
            </w:pPr>
            <w:r>
              <w:rPr>
                <w:rFonts w:hint="eastAsia" w:ascii="宋体" w:hAnsi="宋体"/>
                <w:bCs/>
                <w:color w:val="auto"/>
                <w:szCs w:val="30"/>
                <w:highlight w:val="none"/>
              </w:rPr>
              <w:t>投标报价包括范围</w:t>
            </w:r>
          </w:p>
          <w:p>
            <w:pPr>
              <w:spacing w:line="600" w:lineRule="exact"/>
              <w:rPr>
                <w:rFonts w:ascii="宋体"/>
                <w:bCs/>
                <w:color w:val="auto"/>
                <w:szCs w:val="30"/>
                <w:highlight w:val="none"/>
              </w:rPr>
            </w:pPr>
            <w:r>
              <w:rPr>
                <w:rFonts w:hint="eastAsia" w:ascii="宋体" w:hAnsi="宋体"/>
                <w:bCs/>
                <w:color w:val="auto"/>
                <w:szCs w:val="30"/>
                <w:highlight w:val="none"/>
              </w:rPr>
              <w:t>投标报价编制依据</w:t>
            </w:r>
          </w:p>
          <w:p>
            <w:pPr>
              <w:spacing w:line="600" w:lineRule="exact"/>
              <w:rPr>
                <w:rFonts w:ascii="宋体"/>
                <w:bCs/>
                <w:color w:val="auto"/>
                <w:sz w:val="30"/>
                <w:szCs w:val="30"/>
                <w:highlight w:val="none"/>
              </w:rPr>
            </w:pPr>
            <w:r>
              <w:rPr>
                <w:rFonts w:hint="eastAsia" w:ascii="宋体" w:hAnsi="宋体"/>
                <w:bCs/>
                <w:color w:val="auto"/>
                <w:szCs w:val="30"/>
                <w:highlight w:val="none"/>
              </w:rPr>
              <w:t>其他需要说明的内容</w:t>
            </w:r>
          </w:p>
        </w:tc>
      </w:tr>
    </w:tbl>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14</w:t>
      </w:r>
      <w:r>
        <w:rPr>
          <w:rStyle w:val="25"/>
          <w:rFonts w:hint="eastAsia" w:cs="宋体"/>
          <w:b/>
          <w:bCs w:val="0"/>
          <w:color w:val="auto"/>
          <w:sz w:val="24"/>
          <w:szCs w:val="24"/>
          <w:highlight w:val="none"/>
        </w:rPr>
        <w:t xml:space="preserve">  建设项目投标报价汇总表</w:t>
      </w:r>
    </w:p>
    <w:p>
      <w:pPr>
        <w:spacing w:line="360" w:lineRule="auto"/>
        <w:rPr>
          <w:rFonts w:ascii="宋体"/>
          <w:bCs/>
          <w:color w:val="auto"/>
          <w:sz w:val="30"/>
          <w:szCs w:val="30"/>
          <w:highlight w:val="none"/>
        </w:rPr>
      </w:pPr>
      <w:r>
        <w:rPr>
          <w:rFonts w:hint="eastAsia" w:ascii="宋体" w:hAnsi="宋体" w:cs="宋体"/>
          <w:color w:val="auto"/>
          <w:sz w:val="24"/>
          <w:szCs w:val="24"/>
          <w:highlight w:val="none"/>
        </w:rPr>
        <w:t>工程名称：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共</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p>
    <w:tbl>
      <w:tblPr>
        <w:tblStyle w:val="22"/>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63"/>
        <w:gridCol w:w="1202"/>
        <w:gridCol w:w="1280"/>
        <w:gridCol w:w="240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647" w:type="dxa"/>
            <w:vMerge w:val="restart"/>
            <w:noWrap w:val="0"/>
            <w:vAlign w:val="top"/>
          </w:tcPr>
          <w:p>
            <w:pPr>
              <w:spacing w:line="360" w:lineRule="auto"/>
              <w:rPr>
                <w:rFonts w:ascii="宋体"/>
                <w:color w:val="auto"/>
                <w:highlight w:val="none"/>
              </w:rPr>
            </w:pPr>
          </w:p>
          <w:p>
            <w:pPr>
              <w:spacing w:line="360" w:lineRule="auto"/>
              <w:rPr>
                <w:rFonts w:ascii="宋体"/>
                <w:color w:val="auto"/>
                <w:highlight w:val="none"/>
              </w:rPr>
            </w:pPr>
            <w:r>
              <w:rPr>
                <w:rFonts w:hint="eastAsia" w:ascii="宋体" w:hAnsi="宋体"/>
                <w:color w:val="auto"/>
                <w:highlight w:val="none"/>
              </w:rPr>
              <w:t>序号</w:t>
            </w:r>
          </w:p>
        </w:tc>
        <w:tc>
          <w:tcPr>
            <w:tcW w:w="1963" w:type="dxa"/>
            <w:vMerge w:val="restart"/>
            <w:noWrap w:val="0"/>
            <w:vAlign w:val="top"/>
          </w:tcPr>
          <w:p>
            <w:pPr>
              <w:spacing w:line="360" w:lineRule="auto"/>
              <w:jc w:val="center"/>
              <w:rPr>
                <w:rFonts w:ascii="宋体"/>
                <w:color w:val="auto"/>
                <w:highlight w:val="none"/>
              </w:rPr>
            </w:pPr>
          </w:p>
          <w:p>
            <w:pPr>
              <w:spacing w:line="360" w:lineRule="auto"/>
              <w:jc w:val="center"/>
              <w:rPr>
                <w:rFonts w:ascii="宋体"/>
                <w:color w:val="auto"/>
                <w:highlight w:val="none"/>
              </w:rPr>
            </w:pPr>
            <w:r>
              <w:rPr>
                <w:rFonts w:hint="eastAsia" w:ascii="宋体" w:hAnsi="宋体"/>
                <w:color w:val="auto"/>
                <w:highlight w:val="none"/>
              </w:rPr>
              <w:t>单项工程名称</w:t>
            </w:r>
          </w:p>
        </w:tc>
        <w:tc>
          <w:tcPr>
            <w:tcW w:w="1202" w:type="dxa"/>
            <w:vMerge w:val="restart"/>
            <w:noWrap w:val="0"/>
            <w:vAlign w:val="top"/>
          </w:tcPr>
          <w:p>
            <w:pPr>
              <w:spacing w:line="360" w:lineRule="auto"/>
              <w:jc w:val="center"/>
              <w:rPr>
                <w:rFonts w:ascii="宋体"/>
                <w:color w:val="auto"/>
                <w:highlight w:val="none"/>
              </w:rPr>
            </w:pPr>
          </w:p>
          <w:p>
            <w:pPr>
              <w:spacing w:line="360" w:lineRule="auto"/>
              <w:jc w:val="center"/>
              <w:rPr>
                <w:rFonts w:ascii="宋体"/>
                <w:color w:val="auto"/>
                <w:highlight w:val="none"/>
              </w:rPr>
            </w:pPr>
            <w:r>
              <w:rPr>
                <w:rFonts w:hint="eastAsia" w:ascii="宋体" w:hAnsi="宋体"/>
                <w:color w:val="auto"/>
                <w:highlight w:val="none"/>
              </w:rPr>
              <w:t>金额（元）</w:t>
            </w:r>
          </w:p>
        </w:tc>
        <w:tc>
          <w:tcPr>
            <w:tcW w:w="4840" w:type="dxa"/>
            <w:gridSpan w:val="3"/>
            <w:noWrap w:val="0"/>
            <w:vAlign w:val="top"/>
          </w:tcPr>
          <w:p>
            <w:pPr>
              <w:spacing w:line="360" w:lineRule="auto"/>
              <w:jc w:val="center"/>
              <w:rPr>
                <w:rFonts w:ascii="宋体"/>
                <w:color w:val="auto"/>
                <w:highlight w:val="none"/>
              </w:rPr>
            </w:pPr>
            <w:r>
              <w:rPr>
                <w:rFonts w:hint="eastAsia" w:ascii="宋体" w:hAnsi="宋体"/>
                <w:color w:val="auto"/>
                <w:highlight w:val="none"/>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647" w:type="dxa"/>
            <w:vMerge w:val="continue"/>
            <w:noWrap w:val="0"/>
            <w:vAlign w:val="top"/>
          </w:tcPr>
          <w:p>
            <w:pPr>
              <w:spacing w:line="360" w:lineRule="auto"/>
              <w:jc w:val="center"/>
              <w:rPr>
                <w:rFonts w:ascii="宋体"/>
                <w:color w:val="auto"/>
                <w:highlight w:val="none"/>
              </w:rPr>
            </w:pPr>
          </w:p>
        </w:tc>
        <w:tc>
          <w:tcPr>
            <w:tcW w:w="1963" w:type="dxa"/>
            <w:vMerge w:val="continue"/>
            <w:noWrap w:val="0"/>
            <w:vAlign w:val="top"/>
          </w:tcPr>
          <w:p>
            <w:pPr>
              <w:spacing w:line="360" w:lineRule="auto"/>
              <w:jc w:val="center"/>
              <w:rPr>
                <w:rFonts w:ascii="宋体"/>
                <w:color w:val="auto"/>
                <w:highlight w:val="none"/>
              </w:rPr>
            </w:pPr>
          </w:p>
        </w:tc>
        <w:tc>
          <w:tcPr>
            <w:tcW w:w="1202" w:type="dxa"/>
            <w:vMerge w:val="continue"/>
            <w:noWrap w:val="0"/>
            <w:vAlign w:val="top"/>
          </w:tcPr>
          <w:p>
            <w:pPr>
              <w:spacing w:line="360" w:lineRule="auto"/>
              <w:jc w:val="center"/>
              <w:rPr>
                <w:rFonts w:ascii="宋体"/>
                <w:color w:val="auto"/>
                <w:highlight w:val="none"/>
              </w:rPr>
            </w:pPr>
          </w:p>
        </w:tc>
        <w:tc>
          <w:tcPr>
            <w:tcW w:w="1280" w:type="dxa"/>
            <w:noWrap w:val="0"/>
            <w:vAlign w:val="top"/>
          </w:tcPr>
          <w:p>
            <w:pPr>
              <w:spacing w:line="360" w:lineRule="auto"/>
              <w:jc w:val="center"/>
              <w:rPr>
                <w:rFonts w:ascii="宋体"/>
                <w:color w:val="auto"/>
                <w:highlight w:val="none"/>
              </w:rPr>
            </w:pPr>
            <w:r>
              <w:rPr>
                <w:rFonts w:hint="eastAsia" w:ascii="宋体" w:hAnsi="宋体"/>
                <w:color w:val="auto"/>
                <w:highlight w:val="none"/>
              </w:rPr>
              <w:t>暂估价（元）</w:t>
            </w:r>
          </w:p>
        </w:tc>
        <w:tc>
          <w:tcPr>
            <w:tcW w:w="2405" w:type="dxa"/>
            <w:noWrap w:val="0"/>
            <w:vAlign w:val="top"/>
          </w:tcPr>
          <w:p>
            <w:pPr>
              <w:spacing w:line="360" w:lineRule="auto"/>
              <w:jc w:val="center"/>
              <w:rPr>
                <w:rFonts w:ascii="宋体"/>
                <w:color w:val="auto"/>
                <w:highlight w:val="none"/>
              </w:rPr>
            </w:pPr>
            <w:r>
              <w:rPr>
                <w:rFonts w:hint="eastAsia" w:ascii="宋体" w:hAnsi="宋体"/>
                <w:color w:val="auto"/>
                <w:highlight w:val="none"/>
              </w:rPr>
              <w:t>安全文明施工费（元）</w:t>
            </w:r>
          </w:p>
        </w:tc>
        <w:tc>
          <w:tcPr>
            <w:tcW w:w="1155" w:type="dxa"/>
            <w:noWrap w:val="0"/>
            <w:vAlign w:val="top"/>
          </w:tcPr>
          <w:p>
            <w:pPr>
              <w:spacing w:line="360" w:lineRule="auto"/>
              <w:jc w:val="center"/>
              <w:rPr>
                <w:rFonts w:ascii="宋体"/>
                <w:color w:val="auto"/>
                <w:highlight w:val="none"/>
              </w:rPr>
            </w:pPr>
            <w:r>
              <w:rPr>
                <w:rFonts w:hint="eastAsia" w:ascii="宋体" w:hAnsi="宋体"/>
                <w:color w:val="auto"/>
                <w:highlight w:val="none"/>
              </w:rPr>
              <w:t>规费（元）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0" w:hRule="atLeast"/>
          <w:jc w:val="center"/>
        </w:trPr>
        <w:tc>
          <w:tcPr>
            <w:tcW w:w="647" w:type="dxa"/>
            <w:noWrap w:val="0"/>
            <w:vAlign w:val="top"/>
          </w:tcPr>
          <w:p>
            <w:pPr>
              <w:spacing w:line="360" w:lineRule="auto"/>
              <w:rPr>
                <w:rFonts w:ascii="宋体"/>
                <w:color w:val="auto"/>
                <w:sz w:val="24"/>
                <w:highlight w:val="none"/>
              </w:rPr>
            </w:pPr>
          </w:p>
        </w:tc>
        <w:tc>
          <w:tcPr>
            <w:tcW w:w="1963" w:type="dxa"/>
            <w:noWrap w:val="0"/>
            <w:vAlign w:val="top"/>
          </w:tcPr>
          <w:p>
            <w:pPr>
              <w:spacing w:line="360" w:lineRule="auto"/>
              <w:rPr>
                <w:rFonts w:ascii="宋体"/>
                <w:color w:val="auto"/>
                <w:sz w:val="24"/>
                <w:highlight w:val="none"/>
              </w:rPr>
            </w:pPr>
          </w:p>
        </w:tc>
        <w:tc>
          <w:tcPr>
            <w:tcW w:w="1202" w:type="dxa"/>
            <w:noWrap w:val="0"/>
            <w:vAlign w:val="top"/>
          </w:tcPr>
          <w:p>
            <w:pPr>
              <w:spacing w:line="360" w:lineRule="auto"/>
              <w:rPr>
                <w:rFonts w:ascii="宋体"/>
                <w:color w:val="auto"/>
                <w:sz w:val="24"/>
                <w:highlight w:val="none"/>
              </w:rPr>
            </w:pPr>
          </w:p>
        </w:tc>
        <w:tc>
          <w:tcPr>
            <w:tcW w:w="1280" w:type="dxa"/>
            <w:noWrap w:val="0"/>
            <w:vAlign w:val="top"/>
          </w:tcPr>
          <w:p>
            <w:pPr>
              <w:spacing w:line="360" w:lineRule="auto"/>
              <w:rPr>
                <w:rFonts w:ascii="宋体"/>
                <w:color w:val="auto"/>
                <w:sz w:val="24"/>
                <w:highlight w:val="none"/>
              </w:rPr>
            </w:pPr>
          </w:p>
        </w:tc>
        <w:tc>
          <w:tcPr>
            <w:tcW w:w="2405" w:type="dxa"/>
            <w:noWrap w:val="0"/>
            <w:vAlign w:val="top"/>
          </w:tcPr>
          <w:p>
            <w:pPr>
              <w:spacing w:line="360" w:lineRule="auto"/>
              <w:rPr>
                <w:rFonts w:ascii="宋体"/>
                <w:color w:val="auto"/>
                <w:sz w:val="24"/>
                <w:highlight w:val="none"/>
              </w:rPr>
            </w:pPr>
          </w:p>
        </w:tc>
        <w:tc>
          <w:tcPr>
            <w:tcW w:w="1155" w:type="dxa"/>
            <w:noWrap w:val="0"/>
            <w:vAlign w:val="top"/>
          </w:tcPr>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610" w:type="dxa"/>
            <w:gridSpan w:val="2"/>
            <w:noWrap w:val="0"/>
            <w:vAlign w:val="top"/>
          </w:tcPr>
          <w:p>
            <w:pPr>
              <w:spacing w:line="360" w:lineRule="auto"/>
              <w:jc w:val="center"/>
              <w:rPr>
                <w:rFonts w:ascii="宋体"/>
                <w:color w:val="auto"/>
                <w:sz w:val="24"/>
                <w:highlight w:val="none"/>
              </w:rPr>
            </w:pPr>
            <w:r>
              <w:rPr>
                <w:rFonts w:hint="eastAsia" w:ascii="宋体" w:hAnsi="宋体"/>
                <w:color w:val="auto"/>
                <w:sz w:val="24"/>
                <w:highlight w:val="none"/>
              </w:rPr>
              <w:t>合计</w:t>
            </w:r>
          </w:p>
        </w:tc>
        <w:tc>
          <w:tcPr>
            <w:tcW w:w="1202" w:type="dxa"/>
            <w:noWrap w:val="0"/>
            <w:vAlign w:val="top"/>
          </w:tcPr>
          <w:p>
            <w:pPr>
              <w:spacing w:line="360" w:lineRule="auto"/>
              <w:rPr>
                <w:rFonts w:ascii="宋体"/>
                <w:color w:val="auto"/>
                <w:sz w:val="24"/>
                <w:highlight w:val="none"/>
              </w:rPr>
            </w:pPr>
          </w:p>
        </w:tc>
        <w:tc>
          <w:tcPr>
            <w:tcW w:w="1280" w:type="dxa"/>
            <w:noWrap w:val="0"/>
            <w:vAlign w:val="top"/>
          </w:tcPr>
          <w:p>
            <w:pPr>
              <w:spacing w:line="360" w:lineRule="auto"/>
              <w:rPr>
                <w:rFonts w:ascii="宋体"/>
                <w:color w:val="auto"/>
                <w:sz w:val="24"/>
                <w:highlight w:val="none"/>
              </w:rPr>
            </w:pPr>
          </w:p>
        </w:tc>
        <w:tc>
          <w:tcPr>
            <w:tcW w:w="2405" w:type="dxa"/>
            <w:noWrap w:val="0"/>
            <w:vAlign w:val="top"/>
          </w:tcPr>
          <w:p>
            <w:pPr>
              <w:spacing w:line="360" w:lineRule="auto"/>
              <w:rPr>
                <w:rFonts w:ascii="宋体"/>
                <w:color w:val="auto"/>
                <w:sz w:val="24"/>
                <w:highlight w:val="none"/>
              </w:rPr>
            </w:pPr>
          </w:p>
        </w:tc>
        <w:tc>
          <w:tcPr>
            <w:tcW w:w="1155" w:type="dxa"/>
            <w:noWrap w:val="0"/>
            <w:vAlign w:val="top"/>
          </w:tcPr>
          <w:p>
            <w:pPr>
              <w:spacing w:line="360" w:lineRule="auto"/>
              <w:rPr>
                <w:rFonts w:ascii="宋体"/>
                <w:color w:val="auto"/>
                <w:sz w:val="24"/>
                <w:highlight w:val="none"/>
              </w:rPr>
            </w:pPr>
          </w:p>
        </w:tc>
      </w:tr>
    </w:tbl>
    <w:p>
      <w:pPr>
        <w:spacing w:line="360" w:lineRule="auto"/>
        <w:rPr>
          <w:rFonts w:ascii="宋体"/>
          <w:color w:val="auto"/>
          <w:sz w:val="24"/>
          <w:highlight w:val="none"/>
        </w:rPr>
      </w:pPr>
      <w:r>
        <w:rPr>
          <w:rFonts w:hint="eastAsia" w:ascii="宋体" w:hAnsi="宋体"/>
          <w:color w:val="auto"/>
          <w:sz w:val="24"/>
          <w:highlight w:val="none"/>
        </w:rPr>
        <w:t>注：本表使用于工程项目投标报价的汇总。</w:t>
      </w:r>
    </w:p>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15</w:t>
      </w:r>
      <w:r>
        <w:rPr>
          <w:rStyle w:val="25"/>
          <w:rFonts w:hint="eastAsia" w:cs="宋体"/>
          <w:b/>
          <w:bCs w:val="0"/>
          <w:color w:val="auto"/>
          <w:sz w:val="24"/>
          <w:szCs w:val="24"/>
          <w:highlight w:val="none"/>
        </w:rPr>
        <w:t xml:space="preserve">  单项工程投标报价汇总表</w:t>
      </w:r>
    </w:p>
    <w:p>
      <w:pPr>
        <w:spacing w:line="360" w:lineRule="auto"/>
        <w:rPr>
          <w:rFonts w:ascii="宋体"/>
          <w:bCs/>
          <w:color w:val="auto"/>
          <w:sz w:val="30"/>
          <w:szCs w:val="30"/>
          <w:highlight w:val="none"/>
        </w:rPr>
      </w:pPr>
      <w:r>
        <w:rPr>
          <w:rFonts w:hint="eastAsia" w:ascii="宋体" w:hAnsi="宋体" w:cs="宋体"/>
          <w:color w:val="auto"/>
          <w:sz w:val="24"/>
          <w:szCs w:val="24"/>
          <w:highlight w:val="none"/>
        </w:rPr>
        <w:t>工程名称：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共</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p>
    <w:tbl>
      <w:tblPr>
        <w:tblStyle w:val="22"/>
        <w:tblW w:w="8700"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308"/>
        <w:gridCol w:w="1111"/>
        <w:gridCol w:w="1355"/>
        <w:gridCol w:w="215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661" w:type="dxa"/>
            <w:vMerge w:val="restart"/>
            <w:noWrap w:val="0"/>
            <w:vAlign w:val="top"/>
          </w:tcPr>
          <w:p>
            <w:pPr>
              <w:spacing w:line="360" w:lineRule="auto"/>
              <w:jc w:val="center"/>
              <w:rPr>
                <w:rFonts w:ascii="宋体"/>
                <w:color w:val="auto"/>
                <w:highlight w:val="none"/>
              </w:rPr>
            </w:pPr>
          </w:p>
          <w:p>
            <w:pPr>
              <w:spacing w:line="360" w:lineRule="auto"/>
              <w:jc w:val="center"/>
              <w:rPr>
                <w:rFonts w:ascii="宋体"/>
                <w:color w:val="auto"/>
                <w:highlight w:val="none"/>
              </w:rPr>
            </w:pPr>
            <w:r>
              <w:rPr>
                <w:rFonts w:hint="eastAsia" w:ascii="宋体" w:hAnsi="宋体"/>
                <w:color w:val="auto"/>
                <w:highlight w:val="none"/>
              </w:rPr>
              <w:t>序号</w:t>
            </w:r>
          </w:p>
        </w:tc>
        <w:tc>
          <w:tcPr>
            <w:tcW w:w="2308" w:type="dxa"/>
            <w:vMerge w:val="restart"/>
            <w:noWrap w:val="0"/>
            <w:vAlign w:val="top"/>
          </w:tcPr>
          <w:p>
            <w:pPr>
              <w:spacing w:line="360" w:lineRule="auto"/>
              <w:jc w:val="center"/>
              <w:rPr>
                <w:rFonts w:ascii="宋体"/>
                <w:color w:val="auto"/>
                <w:highlight w:val="none"/>
              </w:rPr>
            </w:pPr>
          </w:p>
          <w:p>
            <w:pPr>
              <w:spacing w:line="360" w:lineRule="auto"/>
              <w:jc w:val="center"/>
              <w:rPr>
                <w:rFonts w:ascii="宋体"/>
                <w:color w:val="auto"/>
                <w:highlight w:val="none"/>
              </w:rPr>
            </w:pPr>
            <w:r>
              <w:rPr>
                <w:rFonts w:hint="eastAsia" w:ascii="宋体" w:hAnsi="宋体"/>
                <w:color w:val="auto"/>
                <w:highlight w:val="none"/>
              </w:rPr>
              <w:t>单位工程名称</w:t>
            </w:r>
          </w:p>
        </w:tc>
        <w:tc>
          <w:tcPr>
            <w:tcW w:w="1111" w:type="dxa"/>
            <w:vMerge w:val="restart"/>
            <w:noWrap w:val="0"/>
            <w:vAlign w:val="top"/>
          </w:tcPr>
          <w:p>
            <w:pPr>
              <w:spacing w:line="360" w:lineRule="auto"/>
              <w:jc w:val="center"/>
              <w:rPr>
                <w:rFonts w:ascii="宋体"/>
                <w:color w:val="auto"/>
                <w:highlight w:val="none"/>
              </w:rPr>
            </w:pPr>
          </w:p>
          <w:p>
            <w:pPr>
              <w:spacing w:line="360" w:lineRule="auto"/>
              <w:jc w:val="center"/>
              <w:rPr>
                <w:rFonts w:ascii="宋体"/>
                <w:color w:val="auto"/>
                <w:highlight w:val="none"/>
              </w:rPr>
            </w:pPr>
            <w:r>
              <w:rPr>
                <w:rFonts w:hint="eastAsia" w:ascii="宋体" w:hAnsi="宋体"/>
                <w:color w:val="auto"/>
                <w:highlight w:val="none"/>
              </w:rPr>
              <w:t>金额（元）</w:t>
            </w:r>
          </w:p>
        </w:tc>
        <w:tc>
          <w:tcPr>
            <w:tcW w:w="4620" w:type="dxa"/>
            <w:gridSpan w:val="3"/>
            <w:noWrap w:val="0"/>
            <w:vAlign w:val="top"/>
          </w:tcPr>
          <w:p>
            <w:pPr>
              <w:spacing w:line="360" w:lineRule="auto"/>
              <w:jc w:val="center"/>
              <w:rPr>
                <w:rFonts w:ascii="宋体"/>
                <w:color w:val="auto"/>
                <w:highlight w:val="none"/>
              </w:rPr>
            </w:pPr>
            <w:r>
              <w:rPr>
                <w:rFonts w:hint="eastAsia" w:ascii="宋体" w:hAnsi="宋体"/>
                <w:color w:val="auto"/>
                <w:highlight w:val="none"/>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61" w:type="dxa"/>
            <w:vMerge w:val="continue"/>
            <w:noWrap w:val="0"/>
            <w:vAlign w:val="top"/>
          </w:tcPr>
          <w:p>
            <w:pPr>
              <w:spacing w:line="360" w:lineRule="auto"/>
              <w:jc w:val="center"/>
              <w:rPr>
                <w:rFonts w:ascii="宋体"/>
                <w:color w:val="auto"/>
                <w:highlight w:val="none"/>
              </w:rPr>
            </w:pPr>
          </w:p>
        </w:tc>
        <w:tc>
          <w:tcPr>
            <w:tcW w:w="2308" w:type="dxa"/>
            <w:vMerge w:val="continue"/>
            <w:noWrap w:val="0"/>
            <w:vAlign w:val="top"/>
          </w:tcPr>
          <w:p>
            <w:pPr>
              <w:spacing w:line="360" w:lineRule="auto"/>
              <w:jc w:val="center"/>
              <w:rPr>
                <w:rFonts w:ascii="宋体"/>
                <w:color w:val="auto"/>
                <w:highlight w:val="none"/>
              </w:rPr>
            </w:pPr>
          </w:p>
        </w:tc>
        <w:tc>
          <w:tcPr>
            <w:tcW w:w="1111" w:type="dxa"/>
            <w:vMerge w:val="continue"/>
            <w:noWrap w:val="0"/>
            <w:vAlign w:val="top"/>
          </w:tcPr>
          <w:p>
            <w:pPr>
              <w:spacing w:line="360" w:lineRule="auto"/>
              <w:jc w:val="center"/>
              <w:rPr>
                <w:rFonts w:ascii="宋体"/>
                <w:color w:val="auto"/>
                <w:highlight w:val="none"/>
              </w:rPr>
            </w:pPr>
          </w:p>
        </w:tc>
        <w:tc>
          <w:tcPr>
            <w:tcW w:w="1355" w:type="dxa"/>
            <w:noWrap w:val="0"/>
            <w:vAlign w:val="top"/>
          </w:tcPr>
          <w:p>
            <w:pPr>
              <w:spacing w:line="360" w:lineRule="auto"/>
              <w:jc w:val="center"/>
              <w:rPr>
                <w:rFonts w:ascii="宋体"/>
                <w:color w:val="auto"/>
                <w:highlight w:val="none"/>
              </w:rPr>
            </w:pPr>
            <w:r>
              <w:rPr>
                <w:rFonts w:hint="eastAsia" w:ascii="宋体" w:hAnsi="宋体"/>
                <w:color w:val="auto"/>
                <w:highlight w:val="none"/>
              </w:rPr>
              <w:t>暂估价（元）</w:t>
            </w:r>
          </w:p>
        </w:tc>
        <w:tc>
          <w:tcPr>
            <w:tcW w:w="2155" w:type="dxa"/>
            <w:noWrap w:val="0"/>
            <w:vAlign w:val="top"/>
          </w:tcPr>
          <w:p>
            <w:pPr>
              <w:spacing w:line="360" w:lineRule="auto"/>
              <w:jc w:val="center"/>
              <w:rPr>
                <w:rFonts w:ascii="宋体"/>
                <w:color w:val="auto"/>
                <w:highlight w:val="none"/>
              </w:rPr>
            </w:pPr>
            <w:r>
              <w:rPr>
                <w:rFonts w:hint="eastAsia" w:ascii="宋体" w:hAnsi="宋体"/>
                <w:color w:val="auto"/>
                <w:highlight w:val="none"/>
              </w:rPr>
              <w:t>安全文明施工费（元）</w:t>
            </w:r>
          </w:p>
        </w:tc>
        <w:tc>
          <w:tcPr>
            <w:tcW w:w="1110" w:type="dxa"/>
            <w:noWrap w:val="0"/>
            <w:vAlign w:val="top"/>
          </w:tcPr>
          <w:p>
            <w:pPr>
              <w:spacing w:line="360" w:lineRule="auto"/>
              <w:jc w:val="center"/>
              <w:rPr>
                <w:rFonts w:ascii="宋体"/>
                <w:color w:val="auto"/>
                <w:highlight w:val="none"/>
              </w:rPr>
            </w:pPr>
            <w:r>
              <w:rPr>
                <w:rFonts w:hint="eastAsia" w:ascii="宋体" w:hAnsi="宋体"/>
                <w:color w:val="auto"/>
                <w:highlight w:val="none"/>
              </w:rPr>
              <w:t>规费（元）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7" w:hRule="atLeast"/>
        </w:trPr>
        <w:tc>
          <w:tcPr>
            <w:tcW w:w="661" w:type="dxa"/>
            <w:noWrap w:val="0"/>
            <w:vAlign w:val="top"/>
          </w:tcPr>
          <w:p>
            <w:pPr>
              <w:spacing w:line="360" w:lineRule="auto"/>
              <w:rPr>
                <w:rFonts w:ascii="宋体"/>
                <w:color w:val="auto"/>
                <w:sz w:val="24"/>
                <w:highlight w:val="none"/>
              </w:rPr>
            </w:pPr>
          </w:p>
        </w:tc>
        <w:tc>
          <w:tcPr>
            <w:tcW w:w="2308" w:type="dxa"/>
            <w:noWrap w:val="0"/>
            <w:vAlign w:val="top"/>
          </w:tcPr>
          <w:p>
            <w:pPr>
              <w:spacing w:line="360" w:lineRule="auto"/>
              <w:rPr>
                <w:rFonts w:ascii="宋体"/>
                <w:color w:val="auto"/>
                <w:sz w:val="24"/>
                <w:highlight w:val="none"/>
              </w:rPr>
            </w:pPr>
          </w:p>
        </w:tc>
        <w:tc>
          <w:tcPr>
            <w:tcW w:w="1111" w:type="dxa"/>
            <w:noWrap w:val="0"/>
            <w:vAlign w:val="top"/>
          </w:tcPr>
          <w:p>
            <w:pPr>
              <w:spacing w:line="360" w:lineRule="auto"/>
              <w:rPr>
                <w:rFonts w:ascii="宋体"/>
                <w:color w:val="auto"/>
                <w:sz w:val="24"/>
                <w:highlight w:val="none"/>
              </w:rPr>
            </w:pPr>
          </w:p>
        </w:tc>
        <w:tc>
          <w:tcPr>
            <w:tcW w:w="1355" w:type="dxa"/>
            <w:noWrap w:val="0"/>
            <w:vAlign w:val="top"/>
          </w:tcPr>
          <w:p>
            <w:pPr>
              <w:spacing w:line="360" w:lineRule="auto"/>
              <w:rPr>
                <w:rFonts w:ascii="宋体"/>
                <w:color w:val="auto"/>
                <w:sz w:val="24"/>
                <w:highlight w:val="none"/>
              </w:rPr>
            </w:pPr>
          </w:p>
        </w:tc>
        <w:tc>
          <w:tcPr>
            <w:tcW w:w="2155" w:type="dxa"/>
            <w:noWrap w:val="0"/>
            <w:vAlign w:val="top"/>
          </w:tcPr>
          <w:p>
            <w:pPr>
              <w:spacing w:line="360" w:lineRule="auto"/>
              <w:rPr>
                <w:rFonts w:ascii="宋体"/>
                <w:color w:val="auto"/>
                <w:sz w:val="24"/>
                <w:highlight w:val="none"/>
              </w:rPr>
            </w:pPr>
          </w:p>
        </w:tc>
        <w:tc>
          <w:tcPr>
            <w:tcW w:w="1110" w:type="dxa"/>
            <w:noWrap w:val="0"/>
            <w:vAlign w:val="top"/>
          </w:tcPr>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69" w:type="dxa"/>
            <w:gridSpan w:val="2"/>
            <w:noWrap w:val="0"/>
            <w:vAlign w:val="top"/>
          </w:tcPr>
          <w:p>
            <w:pPr>
              <w:spacing w:line="360" w:lineRule="auto"/>
              <w:jc w:val="center"/>
              <w:rPr>
                <w:rFonts w:ascii="宋体"/>
                <w:color w:val="auto"/>
                <w:sz w:val="24"/>
                <w:highlight w:val="none"/>
              </w:rPr>
            </w:pPr>
            <w:r>
              <w:rPr>
                <w:rFonts w:hint="eastAsia" w:ascii="宋体" w:hAnsi="宋体"/>
                <w:color w:val="auto"/>
                <w:sz w:val="24"/>
                <w:highlight w:val="none"/>
              </w:rPr>
              <w:t>合计</w:t>
            </w:r>
          </w:p>
        </w:tc>
        <w:tc>
          <w:tcPr>
            <w:tcW w:w="1111" w:type="dxa"/>
            <w:noWrap w:val="0"/>
            <w:vAlign w:val="top"/>
          </w:tcPr>
          <w:p>
            <w:pPr>
              <w:spacing w:line="360" w:lineRule="auto"/>
              <w:rPr>
                <w:rFonts w:ascii="宋体"/>
                <w:color w:val="auto"/>
                <w:sz w:val="24"/>
                <w:highlight w:val="none"/>
              </w:rPr>
            </w:pPr>
          </w:p>
        </w:tc>
        <w:tc>
          <w:tcPr>
            <w:tcW w:w="1355" w:type="dxa"/>
            <w:noWrap w:val="0"/>
            <w:vAlign w:val="top"/>
          </w:tcPr>
          <w:p>
            <w:pPr>
              <w:spacing w:line="360" w:lineRule="auto"/>
              <w:rPr>
                <w:rFonts w:ascii="宋体"/>
                <w:color w:val="auto"/>
                <w:sz w:val="24"/>
                <w:highlight w:val="none"/>
              </w:rPr>
            </w:pPr>
          </w:p>
        </w:tc>
        <w:tc>
          <w:tcPr>
            <w:tcW w:w="2155" w:type="dxa"/>
            <w:noWrap w:val="0"/>
            <w:vAlign w:val="top"/>
          </w:tcPr>
          <w:p>
            <w:pPr>
              <w:spacing w:line="360" w:lineRule="auto"/>
              <w:rPr>
                <w:rFonts w:ascii="宋体"/>
                <w:color w:val="auto"/>
                <w:sz w:val="24"/>
                <w:highlight w:val="none"/>
              </w:rPr>
            </w:pPr>
          </w:p>
        </w:tc>
        <w:tc>
          <w:tcPr>
            <w:tcW w:w="1110" w:type="dxa"/>
            <w:noWrap w:val="0"/>
            <w:vAlign w:val="top"/>
          </w:tcPr>
          <w:p>
            <w:pPr>
              <w:spacing w:line="360" w:lineRule="auto"/>
              <w:rPr>
                <w:rFonts w:ascii="宋体"/>
                <w:color w:val="auto"/>
                <w:sz w:val="24"/>
                <w:highlight w:val="none"/>
              </w:rPr>
            </w:pPr>
          </w:p>
        </w:tc>
      </w:tr>
    </w:tbl>
    <w:p>
      <w:pPr>
        <w:spacing w:before="16" w:line="460" w:lineRule="atLeast"/>
        <w:ind w:left="114" w:right="-20"/>
        <w:jc w:val="left"/>
        <w:rPr>
          <w:rFonts w:ascii="宋体"/>
          <w:color w:val="auto"/>
          <w:sz w:val="24"/>
          <w:highlight w:val="none"/>
        </w:rPr>
      </w:pPr>
      <w:r>
        <w:rPr>
          <w:rFonts w:hint="eastAsia" w:ascii="宋体" w:hAnsi="宋体"/>
          <w:color w:val="auto"/>
          <w:sz w:val="24"/>
          <w:highlight w:val="none"/>
        </w:rPr>
        <w:t>注：本表适用于单项工程投标报价的汇总，暂估价包括分部分项工程中的暂估价和专业工程暂估价。</w:t>
      </w:r>
    </w:p>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16</w:t>
      </w:r>
      <w:r>
        <w:rPr>
          <w:rStyle w:val="25"/>
          <w:rFonts w:hint="eastAsia" w:cs="宋体"/>
          <w:b/>
          <w:bCs w:val="0"/>
          <w:color w:val="auto"/>
          <w:sz w:val="24"/>
          <w:szCs w:val="24"/>
          <w:highlight w:val="none"/>
        </w:rPr>
        <w:t xml:space="preserve">  单位工程投标报价汇总表</w:t>
      </w:r>
    </w:p>
    <w:p>
      <w:pPr>
        <w:spacing w:line="360" w:lineRule="auto"/>
        <w:jc w:val="left"/>
        <w:rPr>
          <w:rFonts w:ascii="宋体"/>
          <w:bCs/>
          <w:color w:val="auto"/>
          <w:sz w:val="30"/>
          <w:szCs w:val="30"/>
          <w:highlight w:val="none"/>
        </w:rPr>
      </w:pPr>
      <w:r>
        <w:rPr>
          <w:rFonts w:hint="eastAsia" w:ascii="宋体" w:hAnsi="宋体" w:cs="宋体"/>
          <w:color w:val="auto"/>
          <w:sz w:val="24"/>
          <w:szCs w:val="24"/>
          <w:highlight w:val="none"/>
        </w:rPr>
        <w:t>工程名称：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共</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p>
    <w:tbl>
      <w:tblPr>
        <w:tblStyle w:val="22"/>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034"/>
        <w:gridCol w:w="2020"/>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jc w:val="center"/>
              <w:rPr>
                <w:rFonts w:ascii="宋体"/>
                <w:color w:val="auto"/>
                <w:highlight w:val="none"/>
              </w:rPr>
            </w:pPr>
            <w:r>
              <w:rPr>
                <w:rFonts w:hint="eastAsia" w:ascii="宋体" w:hAnsi="宋体"/>
                <w:color w:val="auto"/>
                <w:highlight w:val="none"/>
              </w:rPr>
              <w:t>序号</w:t>
            </w:r>
          </w:p>
        </w:tc>
        <w:tc>
          <w:tcPr>
            <w:tcW w:w="3034" w:type="dxa"/>
            <w:noWrap w:val="0"/>
            <w:vAlign w:val="top"/>
          </w:tcPr>
          <w:p>
            <w:pPr>
              <w:spacing w:line="360" w:lineRule="auto"/>
              <w:jc w:val="center"/>
              <w:rPr>
                <w:rFonts w:ascii="宋体"/>
                <w:color w:val="auto"/>
                <w:highlight w:val="none"/>
              </w:rPr>
            </w:pPr>
            <w:r>
              <w:rPr>
                <w:rFonts w:hint="eastAsia" w:ascii="宋体" w:hAnsi="宋体"/>
                <w:color w:val="auto"/>
                <w:highlight w:val="none"/>
              </w:rPr>
              <w:t>汇总内容</w:t>
            </w:r>
          </w:p>
        </w:tc>
        <w:tc>
          <w:tcPr>
            <w:tcW w:w="2020" w:type="dxa"/>
            <w:noWrap w:val="0"/>
            <w:vAlign w:val="top"/>
          </w:tcPr>
          <w:p>
            <w:pPr>
              <w:spacing w:line="360" w:lineRule="auto"/>
              <w:jc w:val="center"/>
              <w:rPr>
                <w:rFonts w:ascii="宋体"/>
                <w:color w:val="auto"/>
                <w:highlight w:val="none"/>
              </w:rPr>
            </w:pPr>
            <w:r>
              <w:rPr>
                <w:rFonts w:hint="eastAsia" w:ascii="宋体" w:hAnsi="宋体"/>
                <w:color w:val="auto"/>
                <w:highlight w:val="none"/>
              </w:rPr>
              <w:t>金额（元）</w:t>
            </w:r>
          </w:p>
        </w:tc>
        <w:tc>
          <w:tcPr>
            <w:tcW w:w="2670" w:type="dxa"/>
            <w:noWrap w:val="0"/>
            <w:vAlign w:val="top"/>
          </w:tcPr>
          <w:p>
            <w:pPr>
              <w:spacing w:line="360" w:lineRule="auto"/>
              <w:jc w:val="center"/>
              <w:rPr>
                <w:rFonts w:ascii="宋体"/>
                <w:color w:val="auto"/>
                <w:highlight w:val="none"/>
              </w:rPr>
            </w:pPr>
            <w:r>
              <w:rPr>
                <w:rFonts w:hint="eastAsia" w:ascii="宋体" w:hAnsi="宋体"/>
                <w:color w:val="auto"/>
                <w:highlight w:val="none"/>
              </w:rPr>
              <w:t>其中：暂估价（元）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r>
              <w:rPr>
                <w:rFonts w:ascii="宋体" w:hAnsi="宋体"/>
                <w:color w:val="auto"/>
                <w:highlight w:val="none"/>
              </w:rPr>
              <w:t>1</w:t>
            </w:r>
          </w:p>
        </w:tc>
        <w:tc>
          <w:tcPr>
            <w:tcW w:w="3034" w:type="dxa"/>
            <w:noWrap w:val="0"/>
            <w:vAlign w:val="top"/>
          </w:tcPr>
          <w:p>
            <w:pPr>
              <w:spacing w:line="360" w:lineRule="auto"/>
              <w:rPr>
                <w:rFonts w:ascii="宋体"/>
                <w:color w:val="auto"/>
                <w:highlight w:val="none"/>
              </w:rPr>
            </w:pPr>
            <w:r>
              <w:rPr>
                <w:rFonts w:hint="eastAsia" w:ascii="宋体" w:hAnsi="宋体"/>
                <w:color w:val="auto"/>
                <w:highlight w:val="none"/>
              </w:rPr>
              <w:t>分部分项工程</w:t>
            </w: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r>
              <w:rPr>
                <w:rFonts w:ascii="宋体" w:hAnsi="宋体"/>
                <w:color w:val="auto"/>
                <w:highlight w:val="none"/>
              </w:rPr>
              <w:t>1.1</w:t>
            </w:r>
          </w:p>
        </w:tc>
        <w:tc>
          <w:tcPr>
            <w:tcW w:w="3034" w:type="dxa"/>
            <w:noWrap w:val="0"/>
            <w:vAlign w:val="top"/>
          </w:tcPr>
          <w:p>
            <w:pPr>
              <w:spacing w:line="360" w:lineRule="auto"/>
              <w:rPr>
                <w:rFonts w:ascii="宋体"/>
                <w:color w:val="auto"/>
                <w:highlight w:val="none"/>
              </w:rPr>
            </w:pP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r>
              <w:rPr>
                <w:rFonts w:ascii="宋体" w:hAnsi="宋体"/>
                <w:color w:val="auto"/>
                <w:highlight w:val="none"/>
              </w:rPr>
              <w:t>1.2</w:t>
            </w:r>
          </w:p>
        </w:tc>
        <w:tc>
          <w:tcPr>
            <w:tcW w:w="3034" w:type="dxa"/>
            <w:noWrap w:val="0"/>
            <w:vAlign w:val="top"/>
          </w:tcPr>
          <w:p>
            <w:pPr>
              <w:spacing w:line="360" w:lineRule="auto"/>
              <w:rPr>
                <w:rFonts w:ascii="宋体"/>
                <w:color w:val="auto"/>
                <w:highlight w:val="none"/>
              </w:rPr>
            </w:pP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r>
              <w:rPr>
                <w:rFonts w:ascii="宋体" w:hAnsi="宋体"/>
                <w:color w:val="auto"/>
                <w:highlight w:val="none"/>
              </w:rPr>
              <w:t>1.3</w:t>
            </w:r>
          </w:p>
        </w:tc>
        <w:tc>
          <w:tcPr>
            <w:tcW w:w="3034" w:type="dxa"/>
            <w:noWrap w:val="0"/>
            <w:vAlign w:val="top"/>
          </w:tcPr>
          <w:p>
            <w:pPr>
              <w:spacing w:line="360" w:lineRule="auto"/>
              <w:rPr>
                <w:rFonts w:ascii="宋体"/>
                <w:color w:val="auto"/>
                <w:highlight w:val="none"/>
              </w:rPr>
            </w:pP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r>
              <w:rPr>
                <w:rFonts w:ascii="宋体" w:hAnsi="宋体"/>
                <w:color w:val="auto"/>
                <w:highlight w:val="none"/>
              </w:rPr>
              <w:t>1.4</w:t>
            </w:r>
          </w:p>
        </w:tc>
        <w:tc>
          <w:tcPr>
            <w:tcW w:w="3034" w:type="dxa"/>
            <w:noWrap w:val="0"/>
            <w:vAlign w:val="top"/>
          </w:tcPr>
          <w:p>
            <w:pPr>
              <w:spacing w:line="360" w:lineRule="auto"/>
              <w:rPr>
                <w:rFonts w:ascii="宋体"/>
                <w:color w:val="auto"/>
                <w:highlight w:val="none"/>
              </w:rPr>
            </w:pP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r>
              <w:rPr>
                <w:rFonts w:ascii="宋体" w:hAnsi="宋体"/>
                <w:color w:val="auto"/>
                <w:highlight w:val="none"/>
              </w:rPr>
              <w:t>1.5</w:t>
            </w:r>
          </w:p>
        </w:tc>
        <w:tc>
          <w:tcPr>
            <w:tcW w:w="3034" w:type="dxa"/>
            <w:noWrap w:val="0"/>
            <w:vAlign w:val="top"/>
          </w:tcPr>
          <w:p>
            <w:pPr>
              <w:spacing w:line="360" w:lineRule="auto"/>
              <w:rPr>
                <w:rFonts w:ascii="宋体"/>
                <w:color w:val="auto"/>
                <w:highlight w:val="none"/>
              </w:rPr>
            </w:pP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p>
        </w:tc>
        <w:tc>
          <w:tcPr>
            <w:tcW w:w="3034" w:type="dxa"/>
            <w:noWrap w:val="0"/>
            <w:vAlign w:val="top"/>
          </w:tcPr>
          <w:p>
            <w:pPr>
              <w:spacing w:line="360" w:lineRule="auto"/>
              <w:rPr>
                <w:rFonts w:ascii="宋体"/>
                <w:color w:val="auto"/>
                <w:highlight w:val="none"/>
              </w:rPr>
            </w:pP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p>
        </w:tc>
        <w:tc>
          <w:tcPr>
            <w:tcW w:w="3034" w:type="dxa"/>
            <w:noWrap w:val="0"/>
            <w:vAlign w:val="top"/>
          </w:tcPr>
          <w:p>
            <w:pPr>
              <w:spacing w:line="360" w:lineRule="auto"/>
              <w:rPr>
                <w:rFonts w:ascii="宋体"/>
                <w:color w:val="auto"/>
                <w:highlight w:val="none"/>
              </w:rPr>
            </w:pP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r>
              <w:rPr>
                <w:rFonts w:ascii="宋体" w:hAnsi="宋体"/>
                <w:color w:val="auto"/>
                <w:highlight w:val="none"/>
              </w:rPr>
              <w:t>2</w:t>
            </w:r>
          </w:p>
        </w:tc>
        <w:tc>
          <w:tcPr>
            <w:tcW w:w="3034" w:type="dxa"/>
            <w:noWrap w:val="0"/>
            <w:vAlign w:val="top"/>
          </w:tcPr>
          <w:p>
            <w:pPr>
              <w:spacing w:line="360" w:lineRule="auto"/>
              <w:rPr>
                <w:rFonts w:ascii="宋体"/>
                <w:color w:val="auto"/>
                <w:highlight w:val="none"/>
              </w:rPr>
            </w:pPr>
            <w:r>
              <w:rPr>
                <w:rFonts w:hint="eastAsia" w:ascii="宋体" w:hAnsi="宋体"/>
                <w:color w:val="auto"/>
                <w:highlight w:val="none"/>
              </w:rPr>
              <w:t>措施项目</w:t>
            </w: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r>
              <w:rPr>
                <w:rFonts w:ascii="宋体" w:hAnsi="宋体"/>
                <w:color w:val="auto"/>
                <w:highlight w:val="none"/>
              </w:rPr>
              <w:t>2.1</w:t>
            </w:r>
          </w:p>
        </w:tc>
        <w:tc>
          <w:tcPr>
            <w:tcW w:w="3034" w:type="dxa"/>
            <w:noWrap w:val="0"/>
            <w:vAlign w:val="top"/>
          </w:tcPr>
          <w:p>
            <w:pPr>
              <w:spacing w:line="360" w:lineRule="auto"/>
              <w:rPr>
                <w:rFonts w:ascii="宋体"/>
                <w:color w:val="auto"/>
                <w:highlight w:val="none"/>
              </w:rPr>
            </w:pPr>
            <w:r>
              <w:rPr>
                <w:rFonts w:hint="eastAsia" w:ascii="宋体" w:hAnsi="宋体"/>
                <w:color w:val="auto"/>
                <w:highlight w:val="none"/>
              </w:rPr>
              <w:t>其中：安全文明施工费</w:t>
            </w: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r>
              <w:rPr>
                <w:rFonts w:ascii="宋体" w:hAnsi="宋体"/>
                <w:color w:val="auto"/>
                <w:highlight w:val="none"/>
              </w:rPr>
              <w:t>3</w:t>
            </w:r>
          </w:p>
        </w:tc>
        <w:tc>
          <w:tcPr>
            <w:tcW w:w="3034" w:type="dxa"/>
            <w:noWrap w:val="0"/>
            <w:vAlign w:val="top"/>
          </w:tcPr>
          <w:p>
            <w:pPr>
              <w:spacing w:line="360" w:lineRule="auto"/>
              <w:rPr>
                <w:rFonts w:ascii="宋体"/>
                <w:color w:val="auto"/>
                <w:highlight w:val="none"/>
              </w:rPr>
            </w:pPr>
            <w:r>
              <w:rPr>
                <w:rFonts w:hint="eastAsia" w:ascii="宋体" w:hAnsi="宋体"/>
                <w:color w:val="auto"/>
                <w:highlight w:val="none"/>
              </w:rPr>
              <w:t>其他项目</w:t>
            </w: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r>
              <w:rPr>
                <w:rFonts w:ascii="宋体" w:hAnsi="宋体"/>
                <w:color w:val="auto"/>
                <w:highlight w:val="none"/>
              </w:rPr>
              <w:t>3.1</w:t>
            </w:r>
          </w:p>
        </w:tc>
        <w:tc>
          <w:tcPr>
            <w:tcW w:w="3034" w:type="dxa"/>
            <w:noWrap w:val="0"/>
            <w:vAlign w:val="top"/>
          </w:tcPr>
          <w:p>
            <w:pPr>
              <w:spacing w:line="360" w:lineRule="auto"/>
              <w:rPr>
                <w:rFonts w:hint="eastAsia" w:ascii="宋体" w:eastAsia="宋体"/>
                <w:color w:val="auto"/>
                <w:highlight w:val="none"/>
                <w:lang w:eastAsia="zh-CN"/>
              </w:rPr>
            </w:pPr>
            <w:r>
              <w:rPr>
                <w:rFonts w:hint="eastAsia" w:ascii="宋体" w:hAnsi="宋体"/>
                <w:color w:val="auto"/>
                <w:highlight w:val="none"/>
              </w:rPr>
              <w:t>其中：</w:t>
            </w:r>
            <w:r>
              <w:rPr>
                <w:rFonts w:hint="eastAsia" w:ascii="宋体" w:hAnsi="宋体"/>
                <w:color w:val="auto"/>
                <w:highlight w:val="none"/>
                <w:lang w:val="en-US" w:eastAsia="zh-CN"/>
              </w:rPr>
              <w:t>暂列金额</w:t>
            </w:r>
          </w:p>
        </w:tc>
        <w:tc>
          <w:tcPr>
            <w:tcW w:w="2020" w:type="dxa"/>
            <w:noWrap w:val="0"/>
            <w:vAlign w:val="top"/>
          </w:tcPr>
          <w:p>
            <w:pPr>
              <w:spacing w:line="360" w:lineRule="auto"/>
              <w:jc w:val="center"/>
              <w:rPr>
                <w:rFonts w:hint="default"/>
                <w:color w:val="auto"/>
                <w:highlight w:val="none"/>
                <w:lang w:val="en-US" w:eastAsia="zh-CN"/>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r>
              <w:rPr>
                <w:rFonts w:ascii="宋体" w:hAnsi="宋体"/>
                <w:color w:val="auto"/>
                <w:highlight w:val="none"/>
              </w:rPr>
              <w:t>3.2</w:t>
            </w:r>
          </w:p>
        </w:tc>
        <w:tc>
          <w:tcPr>
            <w:tcW w:w="3034" w:type="dxa"/>
            <w:noWrap w:val="0"/>
            <w:vAlign w:val="top"/>
          </w:tcPr>
          <w:p>
            <w:pPr>
              <w:spacing w:line="360" w:lineRule="auto"/>
              <w:rPr>
                <w:rFonts w:ascii="宋体"/>
                <w:color w:val="auto"/>
                <w:highlight w:val="none"/>
              </w:rPr>
            </w:pPr>
            <w:r>
              <w:rPr>
                <w:rFonts w:hint="eastAsia" w:ascii="宋体" w:hAnsi="宋体"/>
                <w:color w:val="auto"/>
                <w:highlight w:val="none"/>
              </w:rPr>
              <w:t>其中：专业工程暂估价</w:t>
            </w: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r>
              <w:rPr>
                <w:rFonts w:ascii="宋体" w:hAnsi="宋体"/>
                <w:color w:val="auto"/>
                <w:highlight w:val="none"/>
              </w:rPr>
              <w:t>3.3</w:t>
            </w:r>
          </w:p>
        </w:tc>
        <w:tc>
          <w:tcPr>
            <w:tcW w:w="3034" w:type="dxa"/>
            <w:noWrap w:val="0"/>
            <w:vAlign w:val="top"/>
          </w:tcPr>
          <w:p>
            <w:pPr>
              <w:spacing w:line="360" w:lineRule="auto"/>
              <w:rPr>
                <w:rFonts w:ascii="宋体"/>
                <w:color w:val="auto"/>
                <w:highlight w:val="none"/>
              </w:rPr>
            </w:pPr>
            <w:r>
              <w:rPr>
                <w:rFonts w:hint="eastAsia" w:ascii="宋体" w:hAnsi="宋体"/>
                <w:color w:val="auto"/>
                <w:highlight w:val="none"/>
              </w:rPr>
              <w:t>其中：计日工</w:t>
            </w: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r>
              <w:rPr>
                <w:rFonts w:ascii="宋体" w:hAnsi="宋体"/>
                <w:color w:val="auto"/>
                <w:highlight w:val="none"/>
              </w:rPr>
              <w:t>3.4</w:t>
            </w:r>
          </w:p>
        </w:tc>
        <w:tc>
          <w:tcPr>
            <w:tcW w:w="3034" w:type="dxa"/>
            <w:noWrap w:val="0"/>
            <w:vAlign w:val="top"/>
          </w:tcPr>
          <w:p>
            <w:pPr>
              <w:spacing w:line="360" w:lineRule="auto"/>
              <w:rPr>
                <w:rFonts w:ascii="宋体"/>
                <w:color w:val="auto"/>
                <w:highlight w:val="none"/>
              </w:rPr>
            </w:pPr>
            <w:r>
              <w:rPr>
                <w:rFonts w:hint="eastAsia" w:ascii="宋体" w:hAnsi="宋体"/>
                <w:color w:val="auto"/>
                <w:highlight w:val="none"/>
              </w:rPr>
              <w:t>其中：总承包服务费</w:t>
            </w: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r>
              <w:rPr>
                <w:rFonts w:ascii="宋体" w:hAnsi="宋体"/>
                <w:color w:val="auto"/>
                <w:highlight w:val="none"/>
              </w:rPr>
              <w:t>4</w:t>
            </w:r>
          </w:p>
        </w:tc>
        <w:tc>
          <w:tcPr>
            <w:tcW w:w="3034" w:type="dxa"/>
            <w:noWrap w:val="0"/>
            <w:vAlign w:val="top"/>
          </w:tcPr>
          <w:p>
            <w:pPr>
              <w:spacing w:line="360" w:lineRule="auto"/>
              <w:rPr>
                <w:rFonts w:ascii="宋体"/>
                <w:color w:val="auto"/>
                <w:highlight w:val="none"/>
              </w:rPr>
            </w:pPr>
            <w:r>
              <w:rPr>
                <w:rFonts w:hint="eastAsia" w:ascii="宋体" w:hAnsi="宋体"/>
                <w:color w:val="auto"/>
                <w:highlight w:val="none"/>
              </w:rPr>
              <w:t>规费</w:t>
            </w: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11" w:type="dxa"/>
            <w:noWrap w:val="0"/>
            <w:vAlign w:val="top"/>
          </w:tcPr>
          <w:p>
            <w:pPr>
              <w:spacing w:line="360" w:lineRule="auto"/>
              <w:rPr>
                <w:rFonts w:ascii="宋体"/>
                <w:color w:val="auto"/>
                <w:highlight w:val="none"/>
              </w:rPr>
            </w:pPr>
            <w:r>
              <w:rPr>
                <w:rFonts w:ascii="宋体" w:hAnsi="宋体"/>
                <w:color w:val="auto"/>
                <w:highlight w:val="none"/>
              </w:rPr>
              <w:t>5</w:t>
            </w:r>
          </w:p>
        </w:tc>
        <w:tc>
          <w:tcPr>
            <w:tcW w:w="3034" w:type="dxa"/>
            <w:noWrap w:val="0"/>
            <w:vAlign w:val="top"/>
          </w:tcPr>
          <w:p>
            <w:pPr>
              <w:spacing w:line="360" w:lineRule="auto"/>
              <w:rPr>
                <w:rFonts w:ascii="宋体"/>
                <w:color w:val="auto"/>
                <w:highlight w:val="none"/>
              </w:rPr>
            </w:pPr>
            <w:r>
              <w:rPr>
                <w:rFonts w:hint="eastAsia" w:ascii="宋体"/>
                <w:color w:val="auto"/>
                <w:highlight w:val="none"/>
                <w:lang w:val="en-US" w:eastAsia="zh-CN"/>
              </w:rPr>
              <w:t>增值税销项税额</w:t>
            </w:r>
          </w:p>
        </w:tc>
        <w:tc>
          <w:tcPr>
            <w:tcW w:w="2020" w:type="dxa"/>
            <w:noWrap w:val="0"/>
            <w:vAlign w:val="top"/>
          </w:tcPr>
          <w:p>
            <w:pPr>
              <w:spacing w:line="360" w:lineRule="auto"/>
              <w:rPr>
                <w:rFonts w:ascii="宋体"/>
                <w:color w:val="auto"/>
                <w:highlight w:val="none"/>
              </w:rPr>
            </w:pPr>
          </w:p>
        </w:tc>
        <w:tc>
          <w:tcPr>
            <w:tcW w:w="2670" w:type="dxa"/>
            <w:noWrap w:val="0"/>
            <w:vAlign w:val="top"/>
          </w:tcPr>
          <w:p>
            <w:pPr>
              <w:spacing w:line="360" w:lineRule="auto"/>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045" w:type="dxa"/>
            <w:gridSpan w:val="2"/>
            <w:noWrap w:val="0"/>
            <w:vAlign w:val="top"/>
          </w:tcPr>
          <w:p>
            <w:pPr>
              <w:spacing w:line="360" w:lineRule="auto"/>
              <w:rPr>
                <w:rFonts w:ascii="宋体"/>
                <w:color w:val="auto"/>
                <w:highlight w:val="none"/>
              </w:rPr>
            </w:pPr>
            <w:r>
              <w:rPr>
                <w:rFonts w:hint="eastAsia" w:ascii="宋体" w:hAnsi="宋体"/>
                <w:color w:val="auto"/>
                <w:highlight w:val="none"/>
              </w:rPr>
              <w:t>合计：</w:t>
            </w:r>
            <w:r>
              <w:rPr>
                <w:rFonts w:ascii="宋体" w:hAnsi="宋体"/>
                <w:color w:val="auto"/>
                <w:highlight w:val="none"/>
              </w:rPr>
              <w:t>1+2+3+4+5</w:t>
            </w:r>
          </w:p>
        </w:tc>
        <w:tc>
          <w:tcPr>
            <w:tcW w:w="2020" w:type="dxa"/>
            <w:noWrap w:val="0"/>
            <w:vAlign w:val="top"/>
          </w:tcPr>
          <w:p>
            <w:pPr>
              <w:spacing w:line="360" w:lineRule="auto"/>
              <w:jc w:val="center"/>
              <w:rPr>
                <w:rFonts w:ascii="宋体"/>
                <w:color w:val="auto"/>
                <w:highlight w:val="none"/>
              </w:rPr>
            </w:pPr>
          </w:p>
        </w:tc>
        <w:tc>
          <w:tcPr>
            <w:tcW w:w="2670" w:type="dxa"/>
            <w:noWrap w:val="0"/>
            <w:vAlign w:val="top"/>
          </w:tcPr>
          <w:p>
            <w:pPr>
              <w:spacing w:line="360" w:lineRule="auto"/>
              <w:rPr>
                <w:rFonts w:ascii="宋体"/>
                <w:color w:val="auto"/>
                <w:highlight w:val="none"/>
              </w:rPr>
            </w:pPr>
          </w:p>
        </w:tc>
      </w:tr>
    </w:tbl>
    <w:p>
      <w:pPr>
        <w:spacing w:line="360" w:lineRule="auto"/>
        <w:rPr>
          <w:rFonts w:ascii="宋体"/>
          <w:color w:val="auto"/>
          <w:sz w:val="24"/>
          <w:highlight w:val="none"/>
        </w:rPr>
      </w:pPr>
      <w:r>
        <w:rPr>
          <w:rFonts w:hint="eastAsia" w:ascii="宋体" w:hAnsi="宋体"/>
          <w:color w:val="auto"/>
          <w:sz w:val="24"/>
          <w:highlight w:val="none"/>
        </w:rPr>
        <w:t>注：本表适用于单位工程投标报价汇总。如无单位工程划分，单项工程也使用本表汇总。</w:t>
      </w:r>
    </w:p>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17 </w:t>
      </w:r>
      <w:r>
        <w:rPr>
          <w:rStyle w:val="25"/>
          <w:rFonts w:hint="eastAsia" w:cs="宋体"/>
          <w:b/>
          <w:bCs w:val="0"/>
          <w:color w:val="auto"/>
          <w:sz w:val="24"/>
          <w:szCs w:val="24"/>
          <w:highlight w:val="none"/>
        </w:rPr>
        <w:t xml:space="preserve"> 分部分项工程和单价措施项目清单与计价表</w:t>
      </w:r>
    </w:p>
    <w:p>
      <w:pPr>
        <w:spacing w:before="2" w:line="460" w:lineRule="atLeast"/>
        <w:jc w:val="left"/>
        <w:rPr>
          <w:rFonts w:ascii="宋体"/>
          <w:bCs/>
          <w:color w:val="auto"/>
          <w:sz w:val="30"/>
          <w:szCs w:val="30"/>
          <w:highlight w:val="none"/>
        </w:rPr>
      </w:pPr>
      <w:r>
        <w:rPr>
          <w:rFonts w:hint="eastAsia" w:ascii="宋体" w:hAnsi="宋体" w:cs="宋体"/>
          <w:color w:val="auto"/>
          <w:sz w:val="24"/>
          <w:szCs w:val="24"/>
          <w:highlight w:val="none"/>
        </w:rPr>
        <w:t>工程名称：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共</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30"/>
        <w:gridCol w:w="1125"/>
        <w:gridCol w:w="1595"/>
        <w:gridCol w:w="1060"/>
        <w:gridCol w:w="870"/>
        <w:gridCol w:w="1110"/>
        <w:gridCol w:w="64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735" w:type="dxa"/>
            <w:vMerge w:val="restart"/>
            <w:noWrap w:val="0"/>
            <w:vAlign w:val="top"/>
          </w:tcPr>
          <w:p>
            <w:pPr>
              <w:spacing w:line="360" w:lineRule="auto"/>
              <w:jc w:val="center"/>
              <w:rPr>
                <w:rFonts w:ascii="宋体"/>
                <w:color w:val="auto"/>
                <w:highlight w:val="none"/>
              </w:rPr>
            </w:pPr>
          </w:p>
          <w:p>
            <w:pPr>
              <w:spacing w:line="360" w:lineRule="auto"/>
              <w:jc w:val="center"/>
              <w:rPr>
                <w:rFonts w:ascii="宋体"/>
                <w:color w:val="auto"/>
                <w:highlight w:val="none"/>
              </w:rPr>
            </w:pPr>
            <w:r>
              <w:rPr>
                <w:rFonts w:hint="eastAsia" w:ascii="宋体" w:hAnsi="宋体"/>
                <w:color w:val="auto"/>
                <w:highlight w:val="none"/>
              </w:rPr>
              <w:t>序号</w:t>
            </w:r>
          </w:p>
        </w:tc>
        <w:tc>
          <w:tcPr>
            <w:tcW w:w="1230" w:type="dxa"/>
            <w:vMerge w:val="restart"/>
            <w:noWrap w:val="0"/>
            <w:vAlign w:val="top"/>
          </w:tcPr>
          <w:p>
            <w:pPr>
              <w:spacing w:line="360" w:lineRule="auto"/>
              <w:jc w:val="center"/>
              <w:rPr>
                <w:rFonts w:ascii="宋体"/>
                <w:color w:val="auto"/>
                <w:highlight w:val="none"/>
              </w:rPr>
            </w:pPr>
          </w:p>
          <w:p>
            <w:pPr>
              <w:spacing w:line="360" w:lineRule="auto"/>
              <w:jc w:val="center"/>
              <w:rPr>
                <w:rFonts w:ascii="宋体"/>
                <w:color w:val="auto"/>
                <w:highlight w:val="none"/>
              </w:rPr>
            </w:pPr>
            <w:r>
              <w:rPr>
                <w:rFonts w:hint="eastAsia" w:ascii="宋体" w:hAnsi="宋体"/>
                <w:color w:val="auto"/>
                <w:highlight w:val="none"/>
              </w:rPr>
              <w:t>项目编号</w:t>
            </w:r>
          </w:p>
        </w:tc>
        <w:tc>
          <w:tcPr>
            <w:tcW w:w="1125" w:type="dxa"/>
            <w:vMerge w:val="restart"/>
            <w:noWrap w:val="0"/>
            <w:vAlign w:val="top"/>
          </w:tcPr>
          <w:p>
            <w:pPr>
              <w:spacing w:line="360" w:lineRule="auto"/>
              <w:jc w:val="center"/>
              <w:rPr>
                <w:rFonts w:ascii="宋体"/>
                <w:color w:val="auto"/>
                <w:highlight w:val="none"/>
              </w:rPr>
            </w:pPr>
          </w:p>
          <w:p>
            <w:pPr>
              <w:spacing w:line="360" w:lineRule="auto"/>
              <w:jc w:val="center"/>
              <w:rPr>
                <w:rFonts w:ascii="宋体"/>
                <w:color w:val="auto"/>
                <w:highlight w:val="none"/>
              </w:rPr>
            </w:pPr>
            <w:r>
              <w:rPr>
                <w:rFonts w:hint="eastAsia" w:ascii="宋体" w:hAnsi="宋体"/>
                <w:color w:val="auto"/>
                <w:highlight w:val="none"/>
              </w:rPr>
              <w:t>项目名称</w:t>
            </w:r>
          </w:p>
        </w:tc>
        <w:tc>
          <w:tcPr>
            <w:tcW w:w="1595" w:type="dxa"/>
            <w:vMerge w:val="restart"/>
            <w:noWrap w:val="0"/>
            <w:vAlign w:val="top"/>
          </w:tcPr>
          <w:p>
            <w:pPr>
              <w:spacing w:line="360" w:lineRule="auto"/>
              <w:jc w:val="center"/>
              <w:rPr>
                <w:rFonts w:ascii="宋体"/>
                <w:color w:val="auto"/>
                <w:highlight w:val="none"/>
              </w:rPr>
            </w:pPr>
          </w:p>
          <w:p>
            <w:pPr>
              <w:spacing w:line="360" w:lineRule="auto"/>
              <w:jc w:val="center"/>
              <w:rPr>
                <w:rFonts w:ascii="宋体"/>
                <w:color w:val="auto"/>
                <w:highlight w:val="none"/>
              </w:rPr>
            </w:pPr>
            <w:r>
              <w:rPr>
                <w:rFonts w:hint="eastAsia" w:ascii="宋体" w:hAnsi="宋体"/>
                <w:color w:val="auto"/>
                <w:highlight w:val="none"/>
              </w:rPr>
              <w:t>项目特征描述</w:t>
            </w:r>
          </w:p>
        </w:tc>
        <w:tc>
          <w:tcPr>
            <w:tcW w:w="1060" w:type="dxa"/>
            <w:vMerge w:val="restart"/>
            <w:noWrap w:val="0"/>
            <w:vAlign w:val="top"/>
          </w:tcPr>
          <w:p>
            <w:pPr>
              <w:spacing w:line="360" w:lineRule="auto"/>
              <w:jc w:val="center"/>
              <w:rPr>
                <w:rFonts w:ascii="宋体"/>
                <w:color w:val="auto"/>
                <w:highlight w:val="none"/>
              </w:rPr>
            </w:pPr>
          </w:p>
          <w:p>
            <w:pPr>
              <w:spacing w:line="360" w:lineRule="auto"/>
              <w:jc w:val="center"/>
              <w:rPr>
                <w:rFonts w:ascii="宋体"/>
                <w:color w:val="auto"/>
                <w:highlight w:val="none"/>
              </w:rPr>
            </w:pPr>
            <w:r>
              <w:rPr>
                <w:rFonts w:hint="eastAsia" w:ascii="宋体" w:hAnsi="宋体"/>
                <w:color w:val="auto"/>
                <w:highlight w:val="none"/>
              </w:rPr>
              <w:t>计量单位</w:t>
            </w:r>
          </w:p>
        </w:tc>
        <w:tc>
          <w:tcPr>
            <w:tcW w:w="870" w:type="dxa"/>
            <w:vMerge w:val="restart"/>
            <w:noWrap w:val="0"/>
            <w:vAlign w:val="top"/>
          </w:tcPr>
          <w:p>
            <w:pPr>
              <w:spacing w:line="360" w:lineRule="auto"/>
              <w:jc w:val="center"/>
              <w:rPr>
                <w:rFonts w:ascii="宋体"/>
                <w:color w:val="auto"/>
                <w:highlight w:val="none"/>
              </w:rPr>
            </w:pPr>
          </w:p>
          <w:p>
            <w:pPr>
              <w:spacing w:line="360" w:lineRule="auto"/>
              <w:jc w:val="center"/>
              <w:rPr>
                <w:rFonts w:ascii="宋体"/>
                <w:color w:val="auto"/>
                <w:highlight w:val="none"/>
              </w:rPr>
            </w:pPr>
            <w:r>
              <w:rPr>
                <w:rFonts w:hint="eastAsia" w:ascii="宋体" w:hAnsi="宋体"/>
                <w:color w:val="auto"/>
                <w:highlight w:val="none"/>
              </w:rPr>
              <w:t>工程量</w:t>
            </w:r>
          </w:p>
        </w:tc>
        <w:tc>
          <w:tcPr>
            <w:tcW w:w="2845" w:type="dxa"/>
            <w:gridSpan w:val="3"/>
            <w:noWrap w:val="0"/>
            <w:vAlign w:val="top"/>
          </w:tcPr>
          <w:p>
            <w:pPr>
              <w:spacing w:line="360" w:lineRule="auto"/>
              <w:jc w:val="center"/>
              <w:rPr>
                <w:rFonts w:ascii="宋体"/>
                <w:color w:val="auto"/>
                <w:highlight w:val="none"/>
              </w:rPr>
            </w:pPr>
            <w:r>
              <w:rPr>
                <w:rFonts w:hint="eastAsia" w:ascii="宋体" w:hAnsi="宋体"/>
                <w:color w:val="auto"/>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735" w:type="dxa"/>
            <w:vMerge w:val="continue"/>
            <w:noWrap w:val="0"/>
            <w:vAlign w:val="top"/>
          </w:tcPr>
          <w:p>
            <w:pPr>
              <w:spacing w:line="360" w:lineRule="auto"/>
              <w:jc w:val="center"/>
              <w:rPr>
                <w:rFonts w:ascii="宋体"/>
                <w:color w:val="auto"/>
                <w:highlight w:val="none"/>
              </w:rPr>
            </w:pPr>
          </w:p>
        </w:tc>
        <w:tc>
          <w:tcPr>
            <w:tcW w:w="1230" w:type="dxa"/>
            <w:vMerge w:val="continue"/>
            <w:noWrap w:val="0"/>
            <w:vAlign w:val="top"/>
          </w:tcPr>
          <w:p>
            <w:pPr>
              <w:spacing w:line="360" w:lineRule="auto"/>
              <w:jc w:val="center"/>
              <w:rPr>
                <w:rFonts w:ascii="宋体"/>
                <w:color w:val="auto"/>
                <w:highlight w:val="none"/>
              </w:rPr>
            </w:pPr>
          </w:p>
        </w:tc>
        <w:tc>
          <w:tcPr>
            <w:tcW w:w="1125" w:type="dxa"/>
            <w:vMerge w:val="continue"/>
            <w:noWrap w:val="0"/>
            <w:vAlign w:val="top"/>
          </w:tcPr>
          <w:p>
            <w:pPr>
              <w:spacing w:line="360" w:lineRule="auto"/>
              <w:jc w:val="center"/>
              <w:rPr>
                <w:rFonts w:ascii="宋体"/>
                <w:color w:val="auto"/>
                <w:highlight w:val="none"/>
              </w:rPr>
            </w:pPr>
          </w:p>
        </w:tc>
        <w:tc>
          <w:tcPr>
            <w:tcW w:w="1595" w:type="dxa"/>
            <w:vMerge w:val="continue"/>
            <w:noWrap w:val="0"/>
            <w:vAlign w:val="top"/>
          </w:tcPr>
          <w:p>
            <w:pPr>
              <w:spacing w:line="360" w:lineRule="auto"/>
              <w:jc w:val="center"/>
              <w:rPr>
                <w:rFonts w:ascii="宋体"/>
                <w:color w:val="auto"/>
                <w:highlight w:val="none"/>
              </w:rPr>
            </w:pPr>
          </w:p>
        </w:tc>
        <w:tc>
          <w:tcPr>
            <w:tcW w:w="1060" w:type="dxa"/>
            <w:vMerge w:val="continue"/>
            <w:noWrap w:val="0"/>
            <w:vAlign w:val="top"/>
          </w:tcPr>
          <w:p>
            <w:pPr>
              <w:spacing w:line="360" w:lineRule="auto"/>
              <w:jc w:val="center"/>
              <w:rPr>
                <w:rFonts w:ascii="宋体"/>
                <w:color w:val="auto"/>
                <w:highlight w:val="none"/>
              </w:rPr>
            </w:pPr>
          </w:p>
        </w:tc>
        <w:tc>
          <w:tcPr>
            <w:tcW w:w="870" w:type="dxa"/>
            <w:vMerge w:val="continue"/>
            <w:noWrap w:val="0"/>
            <w:vAlign w:val="top"/>
          </w:tcPr>
          <w:p>
            <w:pPr>
              <w:spacing w:line="360" w:lineRule="auto"/>
              <w:jc w:val="center"/>
              <w:rPr>
                <w:rFonts w:ascii="宋体"/>
                <w:color w:val="auto"/>
                <w:highlight w:val="none"/>
              </w:rPr>
            </w:pPr>
          </w:p>
        </w:tc>
        <w:tc>
          <w:tcPr>
            <w:tcW w:w="1110" w:type="dxa"/>
            <w:noWrap w:val="0"/>
            <w:vAlign w:val="top"/>
          </w:tcPr>
          <w:p>
            <w:pPr>
              <w:spacing w:line="360" w:lineRule="auto"/>
              <w:jc w:val="center"/>
              <w:rPr>
                <w:rFonts w:ascii="宋体"/>
                <w:color w:val="auto"/>
                <w:highlight w:val="none"/>
              </w:rPr>
            </w:pPr>
            <w:r>
              <w:rPr>
                <w:rFonts w:hint="eastAsia" w:ascii="宋体" w:hAnsi="宋体"/>
                <w:color w:val="auto"/>
                <w:highlight w:val="none"/>
              </w:rPr>
              <w:t>综合单价</w:t>
            </w:r>
          </w:p>
        </w:tc>
        <w:tc>
          <w:tcPr>
            <w:tcW w:w="645" w:type="dxa"/>
            <w:noWrap w:val="0"/>
            <w:vAlign w:val="top"/>
          </w:tcPr>
          <w:p>
            <w:pPr>
              <w:spacing w:line="360" w:lineRule="auto"/>
              <w:jc w:val="center"/>
              <w:rPr>
                <w:rFonts w:ascii="宋体"/>
                <w:color w:val="auto"/>
                <w:highlight w:val="none"/>
              </w:rPr>
            </w:pPr>
            <w:r>
              <w:rPr>
                <w:rFonts w:hint="eastAsia" w:ascii="宋体" w:hAnsi="宋体"/>
                <w:color w:val="auto"/>
                <w:highlight w:val="none"/>
              </w:rPr>
              <w:t>合价</w:t>
            </w:r>
          </w:p>
        </w:tc>
        <w:tc>
          <w:tcPr>
            <w:tcW w:w="1090" w:type="dxa"/>
            <w:noWrap w:val="0"/>
            <w:vAlign w:val="top"/>
          </w:tcPr>
          <w:p>
            <w:pPr>
              <w:spacing w:line="360" w:lineRule="auto"/>
              <w:jc w:val="center"/>
              <w:rPr>
                <w:rFonts w:ascii="宋体"/>
                <w:color w:val="auto"/>
                <w:highlight w:val="none"/>
              </w:rPr>
            </w:pPr>
            <w:r>
              <w:rPr>
                <w:rFonts w:hint="eastAsia" w:ascii="宋体" w:hAnsi="宋体"/>
                <w:color w:val="auto"/>
                <w:highlight w:val="none"/>
              </w:rPr>
              <w:t>其中：</w:t>
            </w:r>
          </w:p>
          <w:p>
            <w:pPr>
              <w:spacing w:line="360" w:lineRule="auto"/>
              <w:jc w:val="center"/>
              <w:rPr>
                <w:rFonts w:ascii="宋体"/>
                <w:color w:val="auto"/>
                <w:highlight w:val="none"/>
              </w:rPr>
            </w:pPr>
            <w:r>
              <w:rPr>
                <w:rFonts w:hint="eastAsia" w:ascii="宋体" w:hAnsi="宋体"/>
                <w:color w:val="auto"/>
                <w:highlight w:val="none"/>
              </w:rPr>
              <w:t>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5" w:hRule="atLeast"/>
          <w:jc w:val="center"/>
        </w:trPr>
        <w:tc>
          <w:tcPr>
            <w:tcW w:w="735" w:type="dxa"/>
            <w:noWrap w:val="0"/>
            <w:vAlign w:val="top"/>
          </w:tcPr>
          <w:p>
            <w:pPr>
              <w:spacing w:line="360" w:lineRule="auto"/>
              <w:rPr>
                <w:rFonts w:ascii="宋体"/>
                <w:color w:val="auto"/>
                <w:sz w:val="24"/>
                <w:highlight w:val="none"/>
              </w:rPr>
            </w:pPr>
          </w:p>
        </w:tc>
        <w:tc>
          <w:tcPr>
            <w:tcW w:w="1230" w:type="dxa"/>
            <w:noWrap w:val="0"/>
            <w:vAlign w:val="top"/>
          </w:tcPr>
          <w:p>
            <w:pPr>
              <w:spacing w:line="360" w:lineRule="auto"/>
              <w:rPr>
                <w:rFonts w:ascii="宋体"/>
                <w:color w:val="auto"/>
                <w:sz w:val="24"/>
                <w:highlight w:val="none"/>
              </w:rPr>
            </w:pPr>
          </w:p>
        </w:tc>
        <w:tc>
          <w:tcPr>
            <w:tcW w:w="1125" w:type="dxa"/>
            <w:noWrap w:val="0"/>
            <w:vAlign w:val="top"/>
          </w:tcPr>
          <w:p>
            <w:pPr>
              <w:spacing w:line="360" w:lineRule="auto"/>
              <w:rPr>
                <w:rFonts w:ascii="宋体"/>
                <w:color w:val="auto"/>
                <w:sz w:val="24"/>
                <w:highlight w:val="none"/>
              </w:rPr>
            </w:pPr>
          </w:p>
        </w:tc>
        <w:tc>
          <w:tcPr>
            <w:tcW w:w="1595" w:type="dxa"/>
            <w:noWrap w:val="0"/>
            <w:vAlign w:val="top"/>
          </w:tcPr>
          <w:p>
            <w:pPr>
              <w:spacing w:line="360" w:lineRule="auto"/>
              <w:rPr>
                <w:rFonts w:ascii="宋体"/>
                <w:color w:val="auto"/>
                <w:sz w:val="24"/>
                <w:highlight w:val="none"/>
              </w:rPr>
            </w:pPr>
          </w:p>
        </w:tc>
        <w:tc>
          <w:tcPr>
            <w:tcW w:w="1060" w:type="dxa"/>
            <w:noWrap w:val="0"/>
            <w:vAlign w:val="top"/>
          </w:tcPr>
          <w:p>
            <w:pPr>
              <w:spacing w:line="360" w:lineRule="auto"/>
              <w:rPr>
                <w:rFonts w:ascii="宋体"/>
                <w:color w:val="auto"/>
                <w:sz w:val="24"/>
                <w:highlight w:val="none"/>
              </w:rPr>
            </w:pPr>
          </w:p>
        </w:tc>
        <w:tc>
          <w:tcPr>
            <w:tcW w:w="870" w:type="dxa"/>
            <w:noWrap w:val="0"/>
            <w:vAlign w:val="top"/>
          </w:tcPr>
          <w:p>
            <w:pPr>
              <w:spacing w:line="360" w:lineRule="auto"/>
              <w:rPr>
                <w:rFonts w:ascii="宋体"/>
                <w:color w:val="auto"/>
                <w:sz w:val="24"/>
                <w:highlight w:val="none"/>
              </w:rPr>
            </w:pPr>
          </w:p>
        </w:tc>
        <w:tc>
          <w:tcPr>
            <w:tcW w:w="1110" w:type="dxa"/>
            <w:noWrap w:val="0"/>
            <w:vAlign w:val="top"/>
          </w:tcPr>
          <w:p>
            <w:pPr>
              <w:spacing w:line="360" w:lineRule="auto"/>
              <w:rPr>
                <w:rFonts w:ascii="宋体"/>
                <w:color w:val="auto"/>
                <w:sz w:val="24"/>
                <w:highlight w:val="none"/>
              </w:rPr>
            </w:pPr>
          </w:p>
        </w:tc>
        <w:tc>
          <w:tcPr>
            <w:tcW w:w="645" w:type="dxa"/>
            <w:noWrap w:val="0"/>
            <w:vAlign w:val="top"/>
          </w:tcPr>
          <w:p>
            <w:pPr>
              <w:spacing w:line="360" w:lineRule="auto"/>
              <w:rPr>
                <w:rFonts w:ascii="宋体"/>
                <w:color w:val="auto"/>
                <w:sz w:val="24"/>
                <w:highlight w:val="none"/>
              </w:rPr>
            </w:pPr>
          </w:p>
        </w:tc>
        <w:tc>
          <w:tcPr>
            <w:tcW w:w="1090" w:type="dxa"/>
            <w:noWrap w:val="0"/>
            <w:vAlign w:val="top"/>
          </w:tcPr>
          <w:p>
            <w:pPr>
              <w:spacing w:line="360" w:lineRule="auto"/>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615" w:type="dxa"/>
            <w:gridSpan w:val="6"/>
            <w:noWrap w:val="0"/>
            <w:vAlign w:val="top"/>
          </w:tcPr>
          <w:p>
            <w:pPr>
              <w:spacing w:line="360" w:lineRule="auto"/>
              <w:rPr>
                <w:rFonts w:ascii="宋体"/>
                <w:color w:val="auto"/>
                <w:highlight w:val="none"/>
              </w:rPr>
            </w:pPr>
            <w:r>
              <w:rPr>
                <w:rFonts w:hint="eastAsia" w:ascii="宋体" w:hAnsi="宋体"/>
                <w:color w:val="auto"/>
                <w:highlight w:val="none"/>
              </w:rPr>
              <w:t>本页小计</w:t>
            </w:r>
          </w:p>
        </w:tc>
        <w:tc>
          <w:tcPr>
            <w:tcW w:w="1110" w:type="dxa"/>
            <w:noWrap w:val="0"/>
            <w:vAlign w:val="top"/>
          </w:tcPr>
          <w:p>
            <w:pPr>
              <w:spacing w:line="360" w:lineRule="auto"/>
              <w:rPr>
                <w:rFonts w:ascii="宋体"/>
                <w:color w:val="auto"/>
                <w:sz w:val="24"/>
                <w:highlight w:val="none"/>
              </w:rPr>
            </w:pPr>
          </w:p>
        </w:tc>
        <w:tc>
          <w:tcPr>
            <w:tcW w:w="645" w:type="dxa"/>
            <w:noWrap w:val="0"/>
            <w:vAlign w:val="top"/>
          </w:tcPr>
          <w:p>
            <w:pPr>
              <w:spacing w:line="360" w:lineRule="auto"/>
              <w:rPr>
                <w:rFonts w:ascii="宋体"/>
                <w:color w:val="auto"/>
                <w:sz w:val="24"/>
                <w:highlight w:val="none"/>
              </w:rPr>
            </w:pPr>
          </w:p>
        </w:tc>
        <w:tc>
          <w:tcPr>
            <w:tcW w:w="1090" w:type="dxa"/>
            <w:noWrap w:val="0"/>
            <w:vAlign w:val="top"/>
          </w:tcPr>
          <w:p>
            <w:pPr>
              <w:spacing w:line="360" w:lineRule="auto"/>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15" w:type="dxa"/>
            <w:gridSpan w:val="6"/>
            <w:noWrap w:val="0"/>
            <w:vAlign w:val="top"/>
          </w:tcPr>
          <w:p>
            <w:pPr>
              <w:spacing w:line="360" w:lineRule="auto"/>
              <w:rPr>
                <w:rFonts w:ascii="宋体"/>
                <w:color w:val="auto"/>
                <w:highlight w:val="none"/>
              </w:rPr>
            </w:pPr>
            <w:r>
              <w:rPr>
                <w:rFonts w:hint="eastAsia" w:ascii="宋体" w:hAnsi="宋体"/>
                <w:color w:val="auto"/>
                <w:highlight w:val="none"/>
              </w:rPr>
              <w:t>合价</w:t>
            </w:r>
          </w:p>
        </w:tc>
        <w:tc>
          <w:tcPr>
            <w:tcW w:w="1110" w:type="dxa"/>
            <w:noWrap w:val="0"/>
            <w:vAlign w:val="top"/>
          </w:tcPr>
          <w:p>
            <w:pPr>
              <w:spacing w:line="360" w:lineRule="auto"/>
              <w:rPr>
                <w:rFonts w:ascii="宋体"/>
                <w:color w:val="auto"/>
                <w:sz w:val="24"/>
                <w:highlight w:val="none"/>
              </w:rPr>
            </w:pPr>
          </w:p>
        </w:tc>
        <w:tc>
          <w:tcPr>
            <w:tcW w:w="645" w:type="dxa"/>
            <w:noWrap w:val="0"/>
            <w:vAlign w:val="top"/>
          </w:tcPr>
          <w:p>
            <w:pPr>
              <w:spacing w:line="360" w:lineRule="auto"/>
              <w:rPr>
                <w:rFonts w:ascii="宋体"/>
                <w:color w:val="auto"/>
                <w:sz w:val="24"/>
                <w:highlight w:val="none"/>
              </w:rPr>
            </w:pPr>
          </w:p>
        </w:tc>
        <w:tc>
          <w:tcPr>
            <w:tcW w:w="1090" w:type="dxa"/>
            <w:noWrap w:val="0"/>
            <w:vAlign w:val="top"/>
          </w:tcPr>
          <w:p>
            <w:pPr>
              <w:spacing w:line="360" w:lineRule="auto"/>
              <w:rPr>
                <w:rFonts w:ascii="宋体"/>
                <w:color w:val="auto"/>
                <w:sz w:val="24"/>
                <w:highlight w:val="none"/>
              </w:rPr>
            </w:pPr>
          </w:p>
        </w:tc>
      </w:tr>
    </w:tbl>
    <w:p>
      <w:pPr>
        <w:spacing w:line="360" w:lineRule="auto"/>
        <w:jc w:val="left"/>
        <w:rPr>
          <w:rFonts w:ascii="宋体"/>
          <w:color w:val="auto"/>
          <w:highlight w:val="none"/>
        </w:rPr>
      </w:pPr>
      <w:r>
        <w:rPr>
          <w:rFonts w:hint="eastAsia" w:ascii="宋体" w:hAnsi="宋体"/>
          <w:color w:val="auto"/>
          <w:highlight w:val="none"/>
        </w:rPr>
        <w:t>注：为计取规费等的使用，可在表中增设其中：“定额人工费”。</w:t>
      </w:r>
    </w:p>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18 </w:t>
      </w:r>
      <w:r>
        <w:rPr>
          <w:rStyle w:val="25"/>
          <w:rFonts w:hint="eastAsia" w:cs="宋体"/>
          <w:b/>
          <w:bCs w:val="0"/>
          <w:color w:val="auto"/>
          <w:sz w:val="24"/>
          <w:szCs w:val="24"/>
          <w:highlight w:val="none"/>
        </w:rPr>
        <w:t xml:space="preserve"> 综合单价分析表</w:t>
      </w:r>
    </w:p>
    <w:p>
      <w:pPr>
        <w:spacing w:before="2" w:line="460" w:lineRule="atLeast"/>
        <w:jc w:val="left"/>
        <w:rPr>
          <w:rFonts w:ascii="宋体"/>
          <w:bCs/>
          <w:color w:val="auto"/>
          <w:sz w:val="30"/>
          <w:szCs w:val="30"/>
          <w:highlight w:val="none"/>
        </w:rPr>
      </w:pPr>
      <w:r>
        <w:rPr>
          <w:rFonts w:hint="eastAsia" w:ascii="宋体" w:hAnsi="宋体" w:cs="宋体"/>
          <w:color w:val="auto"/>
          <w:sz w:val="24"/>
          <w:szCs w:val="24"/>
          <w:highlight w:val="none"/>
        </w:rPr>
        <w:t>工程名称：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共</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205"/>
        <w:gridCol w:w="642"/>
        <w:gridCol w:w="91"/>
        <w:gridCol w:w="569"/>
        <w:gridCol w:w="380"/>
        <w:gridCol w:w="396"/>
        <w:gridCol w:w="46"/>
        <w:gridCol w:w="336"/>
        <w:gridCol w:w="91"/>
        <w:gridCol w:w="305"/>
        <w:gridCol w:w="380"/>
        <w:gridCol w:w="148"/>
        <w:gridCol w:w="568"/>
        <w:gridCol w:w="184"/>
        <w:gridCol w:w="568"/>
        <w:gridCol w:w="208"/>
        <w:gridCol w:w="166"/>
        <w:gridCol w:w="201"/>
        <w:gridCol w:w="8"/>
        <w:gridCol w:w="647"/>
        <w:gridCol w:w="179"/>
        <w:gridCol w:w="105"/>
        <w:gridCol w:w="659"/>
        <w:gridCol w:w="137"/>
        <w:gridCol w:w="317"/>
        <w:gridCol w:w="365"/>
        <w:gridCol w:w="133"/>
        <w:gridCol w:w="205"/>
        <w:gridCol w:w="27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451" w:type="dxa"/>
            <w:gridSpan w:val="4"/>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项目编号</w:t>
            </w:r>
          </w:p>
        </w:tc>
        <w:tc>
          <w:tcPr>
            <w:tcW w:w="1391" w:type="dxa"/>
            <w:gridSpan w:val="4"/>
            <w:noWrap w:val="0"/>
            <w:vAlign w:val="top"/>
          </w:tcPr>
          <w:p>
            <w:pPr>
              <w:spacing w:line="360" w:lineRule="auto"/>
              <w:rPr>
                <w:rFonts w:ascii="宋体"/>
                <w:bCs/>
                <w:color w:val="auto"/>
                <w:szCs w:val="30"/>
                <w:highlight w:val="none"/>
              </w:rPr>
            </w:pPr>
          </w:p>
        </w:tc>
        <w:tc>
          <w:tcPr>
            <w:tcW w:w="1260" w:type="dxa"/>
            <w:gridSpan w:val="5"/>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项目名称</w:t>
            </w:r>
          </w:p>
        </w:tc>
        <w:tc>
          <w:tcPr>
            <w:tcW w:w="1320" w:type="dxa"/>
            <w:gridSpan w:val="3"/>
            <w:noWrap w:val="0"/>
            <w:vAlign w:val="top"/>
          </w:tcPr>
          <w:p>
            <w:pPr>
              <w:spacing w:line="360" w:lineRule="auto"/>
              <w:rPr>
                <w:rFonts w:ascii="宋体"/>
                <w:bCs/>
                <w:color w:val="auto"/>
                <w:szCs w:val="30"/>
                <w:highlight w:val="none"/>
              </w:rPr>
            </w:pPr>
          </w:p>
        </w:tc>
        <w:tc>
          <w:tcPr>
            <w:tcW w:w="1230" w:type="dxa"/>
            <w:gridSpan w:val="5"/>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计量单位</w:t>
            </w:r>
          </w:p>
        </w:tc>
        <w:tc>
          <w:tcPr>
            <w:tcW w:w="1080" w:type="dxa"/>
            <w:gridSpan w:val="4"/>
            <w:noWrap w:val="0"/>
            <w:vAlign w:val="top"/>
          </w:tcPr>
          <w:p>
            <w:pPr>
              <w:spacing w:line="360" w:lineRule="auto"/>
              <w:rPr>
                <w:rFonts w:ascii="宋体"/>
                <w:bCs/>
                <w:color w:val="auto"/>
                <w:szCs w:val="30"/>
                <w:highlight w:val="none"/>
              </w:rPr>
            </w:pPr>
          </w:p>
        </w:tc>
        <w:tc>
          <w:tcPr>
            <w:tcW w:w="1020" w:type="dxa"/>
            <w:gridSpan w:val="4"/>
            <w:noWrap w:val="0"/>
            <w:vAlign w:val="top"/>
          </w:tcPr>
          <w:p>
            <w:pPr>
              <w:spacing w:line="360" w:lineRule="auto"/>
              <w:rPr>
                <w:rFonts w:ascii="宋体"/>
                <w:bCs/>
                <w:color w:val="auto"/>
                <w:szCs w:val="30"/>
                <w:highlight w:val="none"/>
              </w:rPr>
            </w:pPr>
            <w:r>
              <w:rPr>
                <w:rFonts w:hint="eastAsia" w:ascii="宋体"/>
                <w:bCs/>
                <w:color w:val="auto"/>
                <w:szCs w:val="30"/>
                <w:highlight w:val="none"/>
              </w:rPr>
              <w:t>工程量</w:t>
            </w:r>
          </w:p>
        </w:tc>
        <w:tc>
          <w:tcPr>
            <w:tcW w:w="1188" w:type="dxa"/>
            <w:gridSpan w:val="2"/>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940" w:type="dxa"/>
            <w:gridSpan w:val="31"/>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清单综合单价组成明细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18" w:type="dxa"/>
            <w:gridSpan w:val="2"/>
            <w:vMerge w:val="restart"/>
            <w:noWrap w:val="0"/>
            <w:vAlign w:val="top"/>
          </w:tcPr>
          <w:p>
            <w:pPr>
              <w:spacing w:line="360" w:lineRule="auto"/>
              <w:jc w:val="center"/>
              <w:rPr>
                <w:rFonts w:ascii="宋体"/>
                <w:bCs/>
                <w:color w:val="auto"/>
                <w:szCs w:val="30"/>
                <w:highlight w:val="none"/>
              </w:rPr>
            </w:pPr>
          </w:p>
          <w:p>
            <w:pPr>
              <w:spacing w:line="360" w:lineRule="auto"/>
              <w:jc w:val="center"/>
              <w:rPr>
                <w:rFonts w:ascii="宋体"/>
                <w:bCs/>
                <w:color w:val="auto"/>
                <w:szCs w:val="30"/>
                <w:highlight w:val="none"/>
              </w:rPr>
            </w:pPr>
            <w:r>
              <w:rPr>
                <w:rFonts w:hint="eastAsia" w:ascii="宋体" w:hAnsi="宋体"/>
                <w:bCs/>
                <w:color w:val="auto"/>
                <w:szCs w:val="30"/>
                <w:highlight w:val="none"/>
              </w:rPr>
              <w:t>定额编号</w:t>
            </w:r>
          </w:p>
        </w:tc>
        <w:tc>
          <w:tcPr>
            <w:tcW w:w="642" w:type="dxa"/>
            <w:vMerge w:val="restart"/>
            <w:noWrap w:val="0"/>
            <w:vAlign w:val="top"/>
          </w:tcPr>
          <w:p>
            <w:pPr>
              <w:spacing w:line="360" w:lineRule="auto"/>
              <w:jc w:val="center"/>
              <w:rPr>
                <w:rFonts w:ascii="宋体"/>
                <w:bCs/>
                <w:color w:val="auto"/>
                <w:szCs w:val="30"/>
                <w:highlight w:val="none"/>
              </w:rPr>
            </w:pPr>
          </w:p>
          <w:p>
            <w:pPr>
              <w:spacing w:line="360" w:lineRule="auto"/>
              <w:jc w:val="center"/>
              <w:rPr>
                <w:rFonts w:ascii="宋体"/>
                <w:bCs/>
                <w:color w:val="auto"/>
                <w:szCs w:val="30"/>
                <w:highlight w:val="none"/>
              </w:rPr>
            </w:pPr>
            <w:r>
              <w:rPr>
                <w:rFonts w:hint="eastAsia" w:ascii="宋体" w:hAnsi="宋体"/>
                <w:bCs/>
                <w:color w:val="auto"/>
                <w:szCs w:val="30"/>
                <w:highlight w:val="none"/>
              </w:rPr>
              <w:t>定额名称</w:t>
            </w:r>
          </w:p>
        </w:tc>
        <w:tc>
          <w:tcPr>
            <w:tcW w:w="660" w:type="dxa"/>
            <w:gridSpan w:val="2"/>
            <w:vMerge w:val="restart"/>
            <w:noWrap w:val="0"/>
            <w:vAlign w:val="top"/>
          </w:tcPr>
          <w:p>
            <w:pPr>
              <w:spacing w:line="360" w:lineRule="auto"/>
              <w:jc w:val="center"/>
              <w:rPr>
                <w:rFonts w:ascii="宋体"/>
                <w:bCs/>
                <w:color w:val="auto"/>
                <w:szCs w:val="30"/>
                <w:highlight w:val="none"/>
              </w:rPr>
            </w:pPr>
          </w:p>
          <w:p>
            <w:pPr>
              <w:spacing w:line="360" w:lineRule="auto"/>
              <w:jc w:val="center"/>
              <w:rPr>
                <w:rFonts w:ascii="宋体"/>
                <w:bCs/>
                <w:color w:val="auto"/>
                <w:szCs w:val="30"/>
                <w:highlight w:val="none"/>
              </w:rPr>
            </w:pPr>
            <w:r>
              <w:rPr>
                <w:rFonts w:hint="eastAsia" w:ascii="宋体" w:hAnsi="宋体"/>
                <w:bCs/>
                <w:color w:val="auto"/>
                <w:szCs w:val="30"/>
                <w:highlight w:val="none"/>
              </w:rPr>
              <w:t>定额单位</w:t>
            </w:r>
          </w:p>
        </w:tc>
        <w:tc>
          <w:tcPr>
            <w:tcW w:w="380" w:type="dxa"/>
            <w:vMerge w:val="restart"/>
            <w:noWrap w:val="0"/>
            <w:vAlign w:val="top"/>
          </w:tcPr>
          <w:p>
            <w:pPr>
              <w:spacing w:line="360" w:lineRule="auto"/>
              <w:rPr>
                <w:rFonts w:ascii="宋体"/>
                <w:bCs/>
                <w:color w:val="auto"/>
                <w:szCs w:val="30"/>
                <w:highlight w:val="none"/>
              </w:rPr>
            </w:pPr>
          </w:p>
          <w:p>
            <w:pPr>
              <w:spacing w:line="360" w:lineRule="auto"/>
              <w:rPr>
                <w:rFonts w:ascii="宋体"/>
                <w:bCs/>
                <w:color w:val="auto"/>
                <w:szCs w:val="30"/>
                <w:highlight w:val="none"/>
              </w:rPr>
            </w:pPr>
            <w:r>
              <w:rPr>
                <w:rFonts w:hint="eastAsia" w:ascii="宋体" w:hAnsi="宋体"/>
                <w:bCs/>
                <w:color w:val="auto"/>
                <w:szCs w:val="30"/>
                <w:highlight w:val="none"/>
              </w:rPr>
              <w:t>数</w:t>
            </w:r>
          </w:p>
          <w:p>
            <w:pPr>
              <w:spacing w:line="360" w:lineRule="auto"/>
              <w:rPr>
                <w:rFonts w:ascii="宋体"/>
                <w:bCs/>
                <w:color w:val="auto"/>
                <w:szCs w:val="30"/>
                <w:highlight w:val="none"/>
              </w:rPr>
            </w:pPr>
            <w:r>
              <w:rPr>
                <w:rFonts w:hint="eastAsia" w:ascii="宋体" w:hAnsi="宋体"/>
                <w:bCs/>
                <w:color w:val="auto"/>
                <w:szCs w:val="30"/>
                <w:highlight w:val="none"/>
              </w:rPr>
              <w:t>量</w:t>
            </w:r>
          </w:p>
        </w:tc>
        <w:tc>
          <w:tcPr>
            <w:tcW w:w="5195" w:type="dxa"/>
            <w:gridSpan w:val="18"/>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单价</w:t>
            </w:r>
          </w:p>
        </w:tc>
        <w:tc>
          <w:tcPr>
            <w:tcW w:w="2345" w:type="dxa"/>
            <w:gridSpan w:val="7"/>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8" w:type="dxa"/>
            <w:gridSpan w:val="2"/>
            <w:vMerge w:val="continue"/>
            <w:noWrap w:val="0"/>
            <w:vAlign w:val="top"/>
          </w:tcPr>
          <w:p>
            <w:pPr>
              <w:spacing w:line="360" w:lineRule="auto"/>
              <w:rPr>
                <w:rFonts w:ascii="宋体"/>
                <w:bCs/>
                <w:color w:val="auto"/>
                <w:szCs w:val="30"/>
                <w:highlight w:val="none"/>
              </w:rPr>
            </w:pPr>
          </w:p>
        </w:tc>
        <w:tc>
          <w:tcPr>
            <w:tcW w:w="642" w:type="dxa"/>
            <w:vMerge w:val="continue"/>
            <w:noWrap w:val="0"/>
            <w:vAlign w:val="top"/>
          </w:tcPr>
          <w:p>
            <w:pPr>
              <w:spacing w:line="360" w:lineRule="auto"/>
              <w:rPr>
                <w:rFonts w:ascii="宋体"/>
                <w:bCs/>
                <w:color w:val="auto"/>
                <w:szCs w:val="30"/>
                <w:highlight w:val="none"/>
              </w:rPr>
            </w:pPr>
          </w:p>
        </w:tc>
        <w:tc>
          <w:tcPr>
            <w:tcW w:w="660" w:type="dxa"/>
            <w:gridSpan w:val="2"/>
            <w:vMerge w:val="continue"/>
            <w:noWrap w:val="0"/>
            <w:vAlign w:val="top"/>
          </w:tcPr>
          <w:p>
            <w:pPr>
              <w:spacing w:line="360" w:lineRule="auto"/>
              <w:rPr>
                <w:rFonts w:ascii="宋体"/>
                <w:bCs/>
                <w:color w:val="auto"/>
                <w:szCs w:val="30"/>
                <w:highlight w:val="none"/>
              </w:rPr>
            </w:pPr>
          </w:p>
        </w:tc>
        <w:tc>
          <w:tcPr>
            <w:tcW w:w="380" w:type="dxa"/>
            <w:vMerge w:val="continue"/>
            <w:noWrap w:val="0"/>
            <w:vAlign w:val="top"/>
          </w:tcPr>
          <w:p>
            <w:pPr>
              <w:spacing w:line="360" w:lineRule="auto"/>
              <w:rPr>
                <w:rFonts w:ascii="宋体"/>
                <w:bCs/>
                <w:color w:val="auto"/>
                <w:szCs w:val="30"/>
                <w:highlight w:val="none"/>
              </w:rPr>
            </w:pPr>
          </w:p>
        </w:tc>
        <w:tc>
          <w:tcPr>
            <w:tcW w:w="396" w:type="dxa"/>
            <w:vMerge w:val="restart"/>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人工费</w:t>
            </w:r>
          </w:p>
        </w:tc>
        <w:tc>
          <w:tcPr>
            <w:tcW w:w="382" w:type="dxa"/>
            <w:gridSpan w:val="2"/>
            <w:vMerge w:val="restart"/>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材料费</w:t>
            </w:r>
          </w:p>
        </w:tc>
        <w:tc>
          <w:tcPr>
            <w:tcW w:w="396" w:type="dxa"/>
            <w:gridSpan w:val="2"/>
            <w:vMerge w:val="restart"/>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机械费</w:t>
            </w:r>
          </w:p>
        </w:tc>
        <w:tc>
          <w:tcPr>
            <w:tcW w:w="380" w:type="dxa"/>
            <w:vMerge w:val="restart"/>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管理费</w:t>
            </w:r>
          </w:p>
        </w:tc>
        <w:tc>
          <w:tcPr>
            <w:tcW w:w="1676" w:type="dxa"/>
            <w:gridSpan w:val="5"/>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管理费分析</w:t>
            </w:r>
          </w:p>
        </w:tc>
        <w:tc>
          <w:tcPr>
            <w:tcW w:w="367" w:type="dxa"/>
            <w:gridSpan w:val="2"/>
            <w:vMerge w:val="restart"/>
            <w:noWrap w:val="0"/>
            <w:vAlign w:val="top"/>
          </w:tcPr>
          <w:p>
            <w:pPr>
              <w:spacing w:line="360" w:lineRule="auto"/>
              <w:rPr>
                <w:rFonts w:ascii="宋体"/>
                <w:bCs/>
                <w:color w:val="auto"/>
                <w:szCs w:val="30"/>
                <w:highlight w:val="none"/>
              </w:rPr>
            </w:pPr>
          </w:p>
          <w:p>
            <w:pPr>
              <w:spacing w:line="360" w:lineRule="auto"/>
              <w:rPr>
                <w:rFonts w:ascii="宋体"/>
                <w:bCs/>
                <w:color w:val="auto"/>
                <w:szCs w:val="30"/>
                <w:highlight w:val="none"/>
              </w:rPr>
            </w:pPr>
            <w:r>
              <w:rPr>
                <w:rFonts w:hint="eastAsia" w:ascii="宋体" w:hAnsi="宋体"/>
                <w:bCs/>
                <w:color w:val="auto"/>
                <w:szCs w:val="30"/>
                <w:highlight w:val="none"/>
              </w:rPr>
              <w:t>利润</w:t>
            </w:r>
          </w:p>
        </w:tc>
        <w:tc>
          <w:tcPr>
            <w:tcW w:w="1598" w:type="dxa"/>
            <w:gridSpan w:val="5"/>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利润分析</w:t>
            </w:r>
          </w:p>
        </w:tc>
        <w:tc>
          <w:tcPr>
            <w:tcW w:w="454" w:type="dxa"/>
            <w:gridSpan w:val="2"/>
            <w:vMerge w:val="restart"/>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人工费</w:t>
            </w:r>
          </w:p>
        </w:tc>
        <w:tc>
          <w:tcPr>
            <w:tcW w:w="498" w:type="dxa"/>
            <w:gridSpan w:val="2"/>
            <w:vMerge w:val="restart"/>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材料费</w:t>
            </w:r>
          </w:p>
        </w:tc>
        <w:tc>
          <w:tcPr>
            <w:tcW w:w="484" w:type="dxa"/>
            <w:gridSpan w:val="2"/>
            <w:vMerge w:val="restart"/>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机械费</w:t>
            </w:r>
          </w:p>
        </w:tc>
        <w:tc>
          <w:tcPr>
            <w:tcW w:w="909" w:type="dxa"/>
            <w:vMerge w:val="restart"/>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管理费和利润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718" w:type="dxa"/>
            <w:gridSpan w:val="2"/>
            <w:vMerge w:val="continue"/>
            <w:noWrap w:val="0"/>
            <w:vAlign w:val="top"/>
          </w:tcPr>
          <w:p>
            <w:pPr>
              <w:spacing w:line="360" w:lineRule="auto"/>
              <w:rPr>
                <w:rFonts w:ascii="宋体"/>
                <w:bCs/>
                <w:color w:val="auto"/>
                <w:szCs w:val="30"/>
                <w:highlight w:val="none"/>
              </w:rPr>
            </w:pPr>
          </w:p>
        </w:tc>
        <w:tc>
          <w:tcPr>
            <w:tcW w:w="642" w:type="dxa"/>
            <w:vMerge w:val="continue"/>
            <w:noWrap w:val="0"/>
            <w:vAlign w:val="top"/>
          </w:tcPr>
          <w:p>
            <w:pPr>
              <w:spacing w:line="360" w:lineRule="auto"/>
              <w:rPr>
                <w:rFonts w:ascii="宋体"/>
                <w:bCs/>
                <w:color w:val="auto"/>
                <w:szCs w:val="30"/>
                <w:highlight w:val="none"/>
              </w:rPr>
            </w:pPr>
          </w:p>
        </w:tc>
        <w:tc>
          <w:tcPr>
            <w:tcW w:w="660" w:type="dxa"/>
            <w:gridSpan w:val="2"/>
            <w:vMerge w:val="continue"/>
            <w:noWrap w:val="0"/>
            <w:vAlign w:val="top"/>
          </w:tcPr>
          <w:p>
            <w:pPr>
              <w:spacing w:line="360" w:lineRule="auto"/>
              <w:rPr>
                <w:rFonts w:ascii="宋体"/>
                <w:bCs/>
                <w:color w:val="auto"/>
                <w:szCs w:val="30"/>
                <w:highlight w:val="none"/>
              </w:rPr>
            </w:pPr>
          </w:p>
        </w:tc>
        <w:tc>
          <w:tcPr>
            <w:tcW w:w="380" w:type="dxa"/>
            <w:vMerge w:val="continue"/>
            <w:noWrap w:val="0"/>
            <w:vAlign w:val="top"/>
          </w:tcPr>
          <w:p>
            <w:pPr>
              <w:spacing w:line="360" w:lineRule="auto"/>
              <w:rPr>
                <w:rFonts w:ascii="宋体"/>
                <w:bCs/>
                <w:color w:val="auto"/>
                <w:szCs w:val="30"/>
                <w:highlight w:val="none"/>
              </w:rPr>
            </w:pPr>
          </w:p>
        </w:tc>
        <w:tc>
          <w:tcPr>
            <w:tcW w:w="396" w:type="dxa"/>
            <w:vMerge w:val="continue"/>
            <w:noWrap w:val="0"/>
            <w:vAlign w:val="top"/>
          </w:tcPr>
          <w:p>
            <w:pPr>
              <w:spacing w:line="360" w:lineRule="auto"/>
              <w:rPr>
                <w:rFonts w:ascii="宋体"/>
                <w:bCs/>
                <w:color w:val="auto"/>
                <w:szCs w:val="30"/>
                <w:highlight w:val="none"/>
              </w:rPr>
            </w:pPr>
          </w:p>
        </w:tc>
        <w:tc>
          <w:tcPr>
            <w:tcW w:w="382" w:type="dxa"/>
            <w:gridSpan w:val="2"/>
            <w:vMerge w:val="continue"/>
            <w:noWrap w:val="0"/>
            <w:vAlign w:val="top"/>
          </w:tcPr>
          <w:p>
            <w:pPr>
              <w:spacing w:line="360" w:lineRule="auto"/>
              <w:rPr>
                <w:rFonts w:ascii="宋体"/>
                <w:bCs/>
                <w:color w:val="auto"/>
                <w:szCs w:val="30"/>
                <w:highlight w:val="none"/>
              </w:rPr>
            </w:pPr>
          </w:p>
        </w:tc>
        <w:tc>
          <w:tcPr>
            <w:tcW w:w="396" w:type="dxa"/>
            <w:gridSpan w:val="2"/>
            <w:vMerge w:val="continue"/>
            <w:noWrap w:val="0"/>
            <w:vAlign w:val="top"/>
          </w:tcPr>
          <w:p>
            <w:pPr>
              <w:spacing w:line="360" w:lineRule="auto"/>
              <w:rPr>
                <w:rFonts w:ascii="宋体"/>
                <w:bCs/>
                <w:color w:val="auto"/>
                <w:szCs w:val="30"/>
                <w:highlight w:val="none"/>
              </w:rPr>
            </w:pPr>
          </w:p>
        </w:tc>
        <w:tc>
          <w:tcPr>
            <w:tcW w:w="380" w:type="dxa"/>
            <w:vMerge w:val="continue"/>
            <w:noWrap w:val="0"/>
            <w:vAlign w:val="top"/>
          </w:tcPr>
          <w:p>
            <w:pPr>
              <w:spacing w:line="360" w:lineRule="auto"/>
              <w:rPr>
                <w:rFonts w:ascii="宋体"/>
                <w:bCs/>
                <w:color w:val="auto"/>
                <w:szCs w:val="30"/>
                <w:highlight w:val="none"/>
              </w:rPr>
            </w:pPr>
          </w:p>
        </w:tc>
        <w:tc>
          <w:tcPr>
            <w:tcW w:w="900" w:type="dxa"/>
            <w:gridSpan w:val="3"/>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管理费计算基数</w:t>
            </w:r>
          </w:p>
        </w:tc>
        <w:tc>
          <w:tcPr>
            <w:tcW w:w="776" w:type="dxa"/>
            <w:gridSpan w:val="2"/>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管理费费率（</w:t>
            </w:r>
            <w:r>
              <w:rPr>
                <w:rFonts w:ascii="宋体" w:hAnsi="宋体"/>
                <w:bCs/>
                <w:color w:val="auto"/>
                <w:szCs w:val="30"/>
                <w:highlight w:val="none"/>
              </w:rPr>
              <w:t>%</w:t>
            </w:r>
            <w:r>
              <w:rPr>
                <w:rFonts w:hint="eastAsia" w:ascii="宋体" w:hAnsi="宋体"/>
                <w:bCs/>
                <w:color w:val="auto"/>
                <w:szCs w:val="30"/>
                <w:highlight w:val="none"/>
              </w:rPr>
              <w:t>）</w:t>
            </w:r>
          </w:p>
        </w:tc>
        <w:tc>
          <w:tcPr>
            <w:tcW w:w="367" w:type="dxa"/>
            <w:gridSpan w:val="2"/>
            <w:vMerge w:val="continue"/>
            <w:noWrap w:val="0"/>
            <w:vAlign w:val="top"/>
          </w:tcPr>
          <w:p>
            <w:pPr>
              <w:spacing w:line="360" w:lineRule="auto"/>
              <w:rPr>
                <w:rFonts w:ascii="宋体"/>
                <w:bCs/>
                <w:color w:val="auto"/>
                <w:szCs w:val="30"/>
                <w:highlight w:val="none"/>
              </w:rPr>
            </w:pPr>
          </w:p>
        </w:tc>
        <w:tc>
          <w:tcPr>
            <w:tcW w:w="834" w:type="dxa"/>
            <w:gridSpan w:val="3"/>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利润计算基数</w:t>
            </w:r>
          </w:p>
        </w:tc>
        <w:tc>
          <w:tcPr>
            <w:tcW w:w="764" w:type="dxa"/>
            <w:gridSpan w:val="2"/>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利润费率（</w:t>
            </w:r>
            <w:r>
              <w:rPr>
                <w:rFonts w:ascii="宋体" w:hAnsi="宋体"/>
                <w:bCs/>
                <w:color w:val="auto"/>
                <w:szCs w:val="30"/>
                <w:highlight w:val="none"/>
              </w:rPr>
              <w:t>%</w:t>
            </w:r>
            <w:r>
              <w:rPr>
                <w:rFonts w:hint="eastAsia" w:ascii="宋体" w:hAnsi="宋体"/>
                <w:bCs/>
                <w:color w:val="auto"/>
                <w:szCs w:val="30"/>
                <w:highlight w:val="none"/>
              </w:rPr>
              <w:t>）</w:t>
            </w:r>
          </w:p>
        </w:tc>
        <w:tc>
          <w:tcPr>
            <w:tcW w:w="454" w:type="dxa"/>
            <w:gridSpan w:val="2"/>
            <w:vMerge w:val="continue"/>
            <w:noWrap w:val="0"/>
            <w:vAlign w:val="top"/>
          </w:tcPr>
          <w:p>
            <w:pPr>
              <w:spacing w:line="360" w:lineRule="auto"/>
              <w:rPr>
                <w:rFonts w:ascii="宋体"/>
                <w:bCs/>
                <w:color w:val="auto"/>
                <w:szCs w:val="30"/>
                <w:highlight w:val="none"/>
              </w:rPr>
            </w:pPr>
          </w:p>
        </w:tc>
        <w:tc>
          <w:tcPr>
            <w:tcW w:w="498" w:type="dxa"/>
            <w:gridSpan w:val="2"/>
            <w:vMerge w:val="continue"/>
            <w:noWrap w:val="0"/>
            <w:vAlign w:val="top"/>
          </w:tcPr>
          <w:p>
            <w:pPr>
              <w:spacing w:line="360" w:lineRule="auto"/>
              <w:rPr>
                <w:rFonts w:ascii="宋体"/>
                <w:bCs/>
                <w:color w:val="auto"/>
                <w:szCs w:val="30"/>
                <w:highlight w:val="none"/>
              </w:rPr>
            </w:pPr>
          </w:p>
        </w:tc>
        <w:tc>
          <w:tcPr>
            <w:tcW w:w="484" w:type="dxa"/>
            <w:gridSpan w:val="2"/>
            <w:vMerge w:val="continue"/>
            <w:noWrap w:val="0"/>
            <w:vAlign w:val="top"/>
          </w:tcPr>
          <w:p>
            <w:pPr>
              <w:spacing w:line="360" w:lineRule="auto"/>
              <w:rPr>
                <w:rFonts w:ascii="宋体"/>
                <w:bCs/>
                <w:color w:val="auto"/>
                <w:szCs w:val="30"/>
                <w:highlight w:val="none"/>
              </w:rPr>
            </w:pPr>
          </w:p>
        </w:tc>
        <w:tc>
          <w:tcPr>
            <w:tcW w:w="909" w:type="dxa"/>
            <w:vMerge w:val="continue"/>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8" w:type="dxa"/>
            <w:gridSpan w:val="2"/>
            <w:noWrap w:val="0"/>
            <w:vAlign w:val="top"/>
          </w:tcPr>
          <w:p>
            <w:pPr>
              <w:spacing w:line="360" w:lineRule="auto"/>
              <w:rPr>
                <w:rFonts w:ascii="宋体"/>
                <w:bCs/>
                <w:color w:val="auto"/>
                <w:szCs w:val="30"/>
                <w:highlight w:val="none"/>
              </w:rPr>
            </w:pPr>
          </w:p>
        </w:tc>
        <w:tc>
          <w:tcPr>
            <w:tcW w:w="642" w:type="dxa"/>
            <w:noWrap w:val="0"/>
            <w:vAlign w:val="top"/>
          </w:tcPr>
          <w:p>
            <w:pPr>
              <w:spacing w:line="360" w:lineRule="auto"/>
              <w:rPr>
                <w:rFonts w:ascii="宋体"/>
                <w:bCs/>
                <w:color w:val="auto"/>
                <w:szCs w:val="30"/>
                <w:highlight w:val="none"/>
              </w:rPr>
            </w:pPr>
          </w:p>
        </w:tc>
        <w:tc>
          <w:tcPr>
            <w:tcW w:w="660" w:type="dxa"/>
            <w:gridSpan w:val="2"/>
            <w:noWrap w:val="0"/>
            <w:vAlign w:val="top"/>
          </w:tcPr>
          <w:p>
            <w:pPr>
              <w:spacing w:line="360" w:lineRule="auto"/>
              <w:rPr>
                <w:rFonts w:ascii="宋体"/>
                <w:bCs/>
                <w:color w:val="auto"/>
                <w:szCs w:val="30"/>
                <w:highlight w:val="none"/>
              </w:rPr>
            </w:pPr>
          </w:p>
        </w:tc>
        <w:tc>
          <w:tcPr>
            <w:tcW w:w="380" w:type="dxa"/>
            <w:noWrap w:val="0"/>
            <w:vAlign w:val="top"/>
          </w:tcPr>
          <w:p>
            <w:pPr>
              <w:spacing w:line="360" w:lineRule="auto"/>
              <w:rPr>
                <w:rFonts w:ascii="宋体"/>
                <w:bCs/>
                <w:color w:val="auto"/>
                <w:szCs w:val="30"/>
                <w:highlight w:val="none"/>
              </w:rPr>
            </w:pPr>
          </w:p>
        </w:tc>
        <w:tc>
          <w:tcPr>
            <w:tcW w:w="396" w:type="dxa"/>
            <w:noWrap w:val="0"/>
            <w:vAlign w:val="top"/>
          </w:tcPr>
          <w:p>
            <w:pPr>
              <w:spacing w:line="360" w:lineRule="auto"/>
              <w:rPr>
                <w:rFonts w:ascii="宋体"/>
                <w:bCs/>
                <w:color w:val="auto"/>
                <w:szCs w:val="30"/>
                <w:highlight w:val="none"/>
              </w:rPr>
            </w:pPr>
          </w:p>
        </w:tc>
        <w:tc>
          <w:tcPr>
            <w:tcW w:w="382" w:type="dxa"/>
            <w:gridSpan w:val="2"/>
            <w:noWrap w:val="0"/>
            <w:vAlign w:val="top"/>
          </w:tcPr>
          <w:p>
            <w:pPr>
              <w:spacing w:line="360" w:lineRule="auto"/>
              <w:rPr>
                <w:rFonts w:ascii="宋体"/>
                <w:bCs/>
                <w:color w:val="auto"/>
                <w:szCs w:val="30"/>
                <w:highlight w:val="none"/>
              </w:rPr>
            </w:pPr>
          </w:p>
        </w:tc>
        <w:tc>
          <w:tcPr>
            <w:tcW w:w="396" w:type="dxa"/>
            <w:gridSpan w:val="2"/>
            <w:noWrap w:val="0"/>
            <w:vAlign w:val="top"/>
          </w:tcPr>
          <w:p>
            <w:pPr>
              <w:spacing w:line="360" w:lineRule="auto"/>
              <w:rPr>
                <w:rFonts w:ascii="宋体"/>
                <w:bCs/>
                <w:color w:val="auto"/>
                <w:szCs w:val="30"/>
                <w:highlight w:val="none"/>
              </w:rPr>
            </w:pPr>
          </w:p>
        </w:tc>
        <w:tc>
          <w:tcPr>
            <w:tcW w:w="380" w:type="dxa"/>
            <w:noWrap w:val="0"/>
            <w:vAlign w:val="top"/>
          </w:tcPr>
          <w:p>
            <w:pPr>
              <w:spacing w:line="360" w:lineRule="auto"/>
              <w:rPr>
                <w:rFonts w:ascii="宋体"/>
                <w:bCs/>
                <w:color w:val="auto"/>
                <w:szCs w:val="30"/>
                <w:highlight w:val="none"/>
              </w:rPr>
            </w:pPr>
          </w:p>
        </w:tc>
        <w:tc>
          <w:tcPr>
            <w:tcW w:w="900" w:type="dxa"/>
            <w:gridSpan w:val="3"/>
            <w:noWrap w:val="0"/>
            <w:vAlign w:val="top"/>
          </w:tcPr>
          <w:p>
            <w:pPr>
              <w:spacing w:line="360" w:lineRule="auto"/>
              <w:rPr>
                <w:rFonts w:ascii="宋体"/>
                <w:bCs/>
                <w:color w:val="auto"/>
                <w:szCs w:val="30"/>
                <w:highlight w:val="none"/>
              </w:rPr>
            </w:pPr>
          </w:p>
        </w:tc>
        <w:tc>
          <w:tcPr>
            <w:tcW w:w="776" w:type="dxa"/>
            <w:gridSpan w:val="2"/>
            <w:noWrap w:val="0"/>
            <w:vAlign w:val="top"/>
          </w:tcPr>
          <w:p>
            <w:pPr>
              <w:spacing w:line="360" w:lineRule="auto"/>
              <w:rPr>
                <w:rFonts w:ascii="宋体"/>
                <w:bCs/>
                <w:color w:val="auto"/>
                <w:szCs w:val="30"/>
                <w:highlight w:val="none"/>
              </w:rPr>
            </w:pPr>
          </w:p>
        </w:tc>
        <w:tc>
          <w:tcPr>
            <w:tcW w:w="375" w:type="dxa"/>
            <w:gridSpan w:val="3"/>
            <w:noWrap w:val="0"/>
            <w:vAlign w:val="top"/>
          </w:tcPr>
          <w:p>
            <w:pPr>
              <w:spacing w:line="360" w:lineRule="auto"/>
              <w:rPr>
                <w:rFonts w:ascii="宋体"/>
                <w:bCs/>
                <w:color w:val="auto"/>
                <w:szCs w:val="30"/>
                <w:highlight w:val="none"/>
              </w:rPr>
            </w:pPr>
          </w:p>
        </w:tc>
        <w:tc>
          <w:tcPr>
            <w:tcW w:w="826" w:type="dxa"/>
            <w:gridSpan w:val="2"/>
            <w:noWrap w:val="0"/>
            <w:vAlign w:val="top"/>
          </w:tcPr>
          <w:p>
            <w:pPr>
              <w:spacing w:line="360" w:lineRule="auto"/>
              <w:rPr>
                <w:rFonts w:ascii="宋体"/>
                <w:bCs/>
                <w:color w:val="auto"/>
                <w:szCs w:val="30"/>
                <w:highlight w:val="none"/>
              </w:rPr>
            </w:pPr>
          </w:p>
        </w:tc>
        <w:tc>
          <w:tcPr>
            <w:tcW w:w="764" w:type="dxa"/>
            <w:gridSpan w:val="2"/>
            <w:noWrap w:val="0"/>
            <w:vAlign w:val="top"/>
          </w:tcPr>
          <w:p>
            <w:pPr>
              <w:spacing w:line="360" w:lineRule="auto"/>
              <w:rPr>
                <w:rFonts w:ascii="宋体"/>
                <w:bCs/>
                <w:color w:val="auto"/>
                <w:szCs w:val="30"/>
                <w:highlight w:val="none"/>
              </w:rPr>
            </w:pPr>
          </w:p>
        </w:tc>
        <w:tc>
          <w:tcPr>
            <w:tcW w:w="454" w:type="dxa"/>
            <w:gridSpan w:val="2"/>
            <w:noWrap w:val="0"/>
            <w:vAlign w:val="top"/>
          </w:tcPr>
          <w:p>
            <w:pPr>
              <w:spacing w:line="360" w:lineRule="auto"/>
              <w:rPr>
                <w:rFonts w:ascii="宋体"/>
                <w:bCs/>
                <w:color w:val="auto"/>
                <w:szCs w:val="30"/>
                <w:highlight w:val="none"/>
              </w:rPr>
            </w:pPr>
          </w:p>
        </w:tc>
        <w:tc>
          <w:tcPr>
            <w:tcW w:w="498" w:type="dxa"/>
            <w:gridSpan w:val="2"/>
            <w:noWrap w:val="0"/>
            <w:vAlign w:val="top"/>
          </w:tcPr>
          <w:p>
            <w:pPr>
              <w:spacing w:line="360" w:lineRule="auto"/>
              <w:rPr>
                <w:rFonts w:ascii="宋体"/>
                <w:bCs/>
                <w:color w:val="auto"/>
                <w:szCs w:val="30"/>
                <w:highlight w:val="none"/>
              </w:rPr>
            </w:pPr>
          </w:p>
        </w:tc>
        <w:tc>
          <w:tcPr>
            <w:tcW w:w="484" w:type="dxa"/>
            <w:gridSpan w:val="2"/>
            <w:noWrap w:val="0"/>
            <w:vAlign w:val="top"/>
          </w:tcPr>
          <w:p>
            <w:pPr>
              <w:spacing w:line="360" w:lineRule="auto"/>
              <w:rPr>
                <w:rFonts w:ascii="宋体"/>
                <w:bCs/>
                <w:color w:val="auto"/>
                <w:szCs w:val="30"/>
                <w:highlight w:val="none"/>
              </w:rPr>
            </w:pPr>
          </w:p>
        </w:tc>
        <w:tc>
          <w:tcPr>
            <w:tcW w:w="909"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18" w:type="dxa"/>
            <w:gridSpan w:val="2"/>
            <w:noWrap w:val="0"/>
            <w:vAlign w:val="top"/>
          </w:tcPr>
          <w:p>
            <w:pPr>
              <w:spacing w:line="360" w:lineRule="auto"/>
              <w:rPr>
                <w:rFonts w:ascii="宋体"/>
                <w:bCs/>
                <w:color w:val="auto"/>
                <w:szCs w:val="30"/>
                <w:highlight w:val="none"/>
              </w:rPr>
            </w:pPr>
          </w:p>
        </w:tc>
        <w:tc>
          <w:tcPr>
            <w:tcW w:w="642" w:type="dxa"/>
            <w:noWrap w:val="0"/>
            <w:vAlign w:val="top"/>
          </w:tcPr>
          <w:p>
            <w:pPr>
              <w:spacing w:line="360" w:lineRule="auto"/>
              <w:rPr>
                <w:rFonts w:ascii="宋体"/>
                <w:bCs/>
                <w:color w:val="auto"/>
                <w:szCs w:val="30"/>
                <w:highlight w:val="none"/>
              </w:rPr>
            </w:pPr>
          </w:p>
        </w:tc>
        <w:tc>
          <w:tcPr>
            <w:tcW w:w="660" w:type="dxa"/>
            <w:gridSpan w:val="2"/>
            <w:noWrap w:val="0"/>
            <w:vAlign w:val="top"/>
          </w:tcPr>
          <w:p>
            <w:pPr>
              <w:spacing w:line="360" w:lineRule="auto"/>
              <w:rPr>
                <w:rFonts w:ascii="宋体"/>
                <w:bCs/>
                <w:color w:val="auto"/>
                <w:szCs w:val="30"/>
                <w:highlight w:val="none"/>
              </w:rPr>
            </w:pPr>
          </w:p>
        </w:tc>
        <w:tc>
          <w:tcPr>
            <w:tcW w:w="380" w:type="dxa"/>
            <w:noWrap w:val="0"/>
            <w:vAlign w:val="top"/>
          </w:tcPr>
          <w:p>
            <w:pPr>
              <w:spacing w:line="360" w:lineRule="auto"/>
              <w:rPr>
                <w:rFonts w:ascii="宋体"/>
                <w:bCs/>
                <w:color w:val="auto"/>
                <w:szCs w:val="30"/>
                <w:highlight w:val="none"/>
              </w:rPr>
            </w:pPr>
          </w:p>
        </w:tc>
        <w:tc>
          <w:tcPr>
            <w:tcW w:w="396" w:type="dxa"/>
            <w:noWrap w:val="0"/>
            <w:vAlign w:val="top"/>
          </w:tcPr>
          <w:p>
            <w:pPr>
              <w:spacing w:line="360" w:lineRule="auto"/>
              <w:rPr>
                <w:rFonts w:ascii="宋体"/>
                <w:bCs/>
                <w:color w:val="auto"/>
                <w:szCs w:val="30"/>
                <w:highlight w:val="none"/>
              </w:rPr>
            </w:pPr>
          </w:p>
        </w:tc>
        <w:tc>
          <w:tcPr>
            <w:tcW w:w="382" w:type="dxa"/>
            <w:gridSpan w:val="2"/>
            <w:noWrap w:val="0"/>
            <w:vAlign w:val="top"/>
          </w:tcPr>
          <w:p>
            <w:pPr>
              <w:spacing w:line="360" w:lineRule="auto"/>
              <w:rPr>
                <w:rFonts w:ascii="宋体"/>
                <w:bCs/>
                <w:color w:val="auto"/>
                <w:szCs w:val="30"/>
                <w:highlight w:val="none"/>
              </w:rPr>
            </w:pPr>
          </w:p>
        </w:tc>
        <w:tc>
          <w:tcPr>
            <w:tcW w:w="396" w:type="dxa"/>
            <w:gridSpan w:val="2"/>
            <w:noWrap w:val="0"/>
            <w:vAlign w:val="top"/>
          </w:tcPr>
          <w:p>
            <w:pPr>
              <w:spacing w:line="360" w:lineRule="auto"/>
              <w:rPr>
                <w:rFonts w:ascii="宋体"/>
                <w:bCs/>
                <w:color w:val="auto"/>
                <w:szCs w:val="30"/>
                <w:highlight w:val="none"/>
              </w:rPr>
            </w:pPr>
          </w:p>
        </w:tc>
        <w:tc>
          <w:tcPr>
            <w:tcW w:w="380" w:type="dxa"/>
            <w:noWrap w:val="0"/>
            <w:vAlign w:val="top"/>
          </w:tcPr>
          <w:p>
            <w:pPr>
              <w:spacing w:line="360" w:lineRule="auto"/>
              <w:rPr>
                <w:rFonts w:ascii="宋体"/>
                <w:bCs/>
                <w:color w:val="auto"/>
                <w:szCs w:val="30"/>
                <w:highlight w:val="none"/>
              </w:rPr>
            </w:pPr>
          </w:p>
        </w:tc>
        <w:tc>
          <w:tcPr>
            <w:tcW w:w="900" w:type="dxa"/>
            <w:gridSpan w:val="3"/>
            <w:noWrap w:val="0"/>
            <w:vAlign w:val="top"/>
          </w:tcPr>
          <w:p>
            <w:pPr>
              <w:spacing w:line="360" w:lineRule="auto"/>
              <w:rPr>
                <w:rFonts w:ascii="宋体"/>
                <w:bCs/>
                <w:color w:val="auto"/>
                <w:szCs w:val="30"/>
                <w:highlight w:val="none"/>
              </w:rPr>
            </w:pPr>
          </w:p>
        </w:tc>
        <w:tc>
          <w:tcPr>
            <w:tcW w:w="776" w:type="dxa"/>
            <w:gridSpan w:val="2"/>
            <w:noWrap w:val="0"/>
            <w:vAlign w:val="top"/>
          </w:tcPr>
          <w:p>
            <w:pPr>
              <w:spacing w:line="360" w:lineRule="auto"/>
              <w:rPr>
                <w:rFonts w:ascii="宋体"/>
                <w:bCs/>
                <w:color w:val="auto"/>
                <w:szCs w:val="30"/>
                <w:highlight w:val="none"/>
              </w:rPr>
            </w:pPr>
          </w:p>
        </w:tc>
        <w:tc>
          <w:tcPr>
            <w:tcW w:w="375" w:type="dxa"/>
            <w:gridSpan w:val="3"/>
            <w:noWrap w:val="0"/>
            <w:vAlign w:val="top"/>
          </w:tcPr>
          <w:p>
            <w:pPr>
              <w:spacing w:line="360" w:lineRule="auto"/>
              <w:rPr>
                <w:rFonts w:ascii="宋体"/>
                <w:bCs/>
                <w:color w:val="auto"/>
                <w:szCs w:val="30"/>
                <w:highlight w:val="none"/>
              </w:rPr>
            </w:pPr>
          </w:p>
        </w:tc>
        <w:tc>
          <w:tcPr>
            <w:tcW w:w="826" w:type="dxa"/>
            <w:gridSpan w:val="2"/>
            <w:noWrap w:val="0"/>
            <w:vAlign w:val="top"/>
          </w:tcPr>
          <w:p>
            <w:pPr>
              <w:spacing w:line="360" w:lineRule="auto"/>
              <w:rPr>
                <w:rFonts w:ascii="宋体"/>
                <w:bCs/>
                <w:color w:val="auto"/>
                <w:szCs w:val="30"/>
                <w:highlight w:val="none"/>
              </w:rPr>
            </w:pPr>
          </w:p>
        </w:tc>
        <w:tc>
          <w:tcPr>
            <w:tcW w:w="764" w:type="dxa"/>
            <w:gridSpan w:val="2"/>
            <w:noWrap w:val="0"/>
            <w:vAlign w:val="top"/>
          </w:tcPr>
          <w:p>
            <w:pPr>
              <w:spacing w:line="360" w:lineRule="auto"/>
              <w:rPr>
                <w:rFonts w:ascii="宋体"/>
                <w:bCs/>
                <w:color w:val="auto"/>
                <w:szCs w:val="30"/>
                <w:highlight w:val="none"/>
              </w:rPr>
            </w:pPr>
          </w:p>
        </w:tc>
        <w:tc>
          <w:tcPr>
            <w:tcW w:w="454" w:type="dxa"/>
            <w:gridSpan w:val="2"/>
            <w:noWrap w:val="0"/>
            <w:vAlign w:val="top"/>
          </w:tcPr>
          <w:p>
            <w:pPr>
              <w:spacing w:line="360" w:lineRule="auto"/>
              <w:rPr>
                <w:rFonts w:ascii="宋体"/>
                <w:bCs/>
                <w:color w:val="auto"/>
                <w:szCs w:val="30"/>
                <w:highlight w:val="none"/>
              </w:rPr>
            </w:pPr>
          </w:p>
        </w:tc>
        <w:tc>
          <w:tcPr>
            <w:tcW w:w="498" w:type="dxa"/>
            <w:gridSpan w:val="2"/>
            <w:noWrap w:val="0"/>
            <w:vAlign w:val="top"/>
          </w:tcPr>
          <w:p>
            <w:pPr>
              <w:spacing w:line="360" w:lineRule="auto"/>
              <w:rPr>
                <w:rFonts w:ascii="宋体"/>
                <w:bCs/>
                <w:color w:val="auto"/>
                <w:szCs w:val="30"/>
                <w:highlight w:val="none"/>
              </w:rPr>
            </w:pPr>
          </w:p>
        </w:tc>
        <w:tc>
          <w:tcPr>
            <w:tcW w:w="484" w:type="dxa"/>
            <w:gridSpan w:val="2"/>
            <w:noWrap w:val="0"/>
            <w:vAlign w:val="top"/>
          </w:tcPr>
          <w:p>
            <w:pPr>
              <w:spacing w:line="360" w:lineRule="auto"/>
              <w:rPr>
                <w:rFonts w:ascii="宋体"/>
                <w:bCs/>
                <w:color w:val="auto"/>
                <w:szCs w:val="30"/>
                <w:highlight w:val="none"/>
              </w:rPr>
            </w:pPr>
          </w:p>
        </w:tc>
        <w:tc>
          <w:tcPr>
            <w:tcW w:w="909"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18" w:type="dxa"/>
            <w:gridSpan w:val="2"/>
            <w:noWrap w:val="0"/>
            <w:vAlign w:val="top"/>
          </w:tcPr>
          <w:p>
            <w:pPr>
              <w:spacing w:line="360" w:lineRule="auto"/>
              <w:rPr>
                <w:rFonts w:ascii="宋体"/>
                <w:bCs/>
                <w:color w:val="auto"/>
                <w:szCs w:val="30"/>
                <w:highlight w:val="none"/>
              </w:rPr>
            </w:pPr>
          </w:p>
        </w:tc>
        <w:tc>
          <w:tcPr>
            <w:tcW w:w="642" w:type="dxa"/>
            <w:noWrap w:val="0"/>
            <w:vAlign w:val="top"/>
          </w:tcPr>
          <w:p>
            <w:pPr>
              <w:spacing w:line="360" w:lineRule="auto"/>
              <w:rPr>
                <w:rFonts w:ascii="宋体"/>
                <w:bCs/>
                <w:color w:val="auto"/>
                <w:szCs w:val="30"/>
                <w:highlight w:val="none"/>
              </w:rPr>
            </w:pPr>
          </w:p>
        </w:tc>
        <w:tc>
          <w:tcPr>
            <w:tcW w:w="660" w:type="dxa"/>
            <w:gridSpan w:val="2"/>
            <w:noWrap w:val="0"/>
            <w:vAlign w:val="top"/>
          </w:tcPr>
          <w:p>
            <w:pPr>
              <w:spacing w:line="360" w:lineRule="auto"/>
              <w:rPr>
                <w:rFonts w:ascii="宋体"/>
                <w:bCs/>
                <w:color w:val="auto"/>
                <w:szCs w:val="30"/>
                <w:highlight w:val="none"/>
              </w:rPr>
            </w:pPr>
          </w:p>
        </w:tc>
        <w:tc>
          <w:tcPr>
            <w:tcW w:w="380" w:type="dxa"/>
            <w:noWrap w:val="0"/>
            <w:vAlign w:val="top"/>
          </w:tcPr>
          <w:p>
            <w:pPr>
              <w:spacing w:line="360" w:lineRule="auto"/>
              <w:rPr>
                <w:rFonts w:ascii="宋体"/>
                <w:bCs/>
                <w:color w:val="auto"/>
                <w:szCs w:val="30"/>
                <w:highlight w:val="none"/>
              </w:rPr>
            </w:pPr>
          </w:p>
        </w:tc>
        <w:tc>
          <w:tcPr>
            <w:tcW w:w="396" w:type="dxa"/>
            <w:noWrap w:val="0"/>
            <w:vAlign w:val="top"/>
          </w:tcPr>
          <w:p>
            <w:pPr>
              <w:spacing w:line="360" w:lineRule="auto"/>
              <w:rPr>
                <w:rFonts w:ascii="宋体"/>
                <w:bCs/>
                <w:color w:val="auto"/>
                <w:szCs w:val="30"/>
                <w:highlight w:val="none"/>
              </w:rPr>
            </w:pPr>
          </w:p>
        </w:tc>
        <w:tc>
          <w:tcPr>
            <w:tcW w:w="382" w:type="dxa"/>
            <w:gridSpan w:val="2"/>
            <w:noWrap w:val="0"/>
            <w:vAlign w:val="top"/>
          </w:tcPr>
          <w:p>
            <w:pPr>
              <w:spacing w:line="360" w:lineRule="auto"/>
              <w:rPr>
                <w:rFonts w:ascii="宋体"/>
                <w:bCs/>
                <w:color w:val="auto"/>
                <w:szCs w:val="30"/>
                <w:highlight w:val="none"/>
              </w:rPr>
            </w:pPr>
          </w:p>
        </w:tc>
        <w:tc>
          <w:tcPr>
            <w:tcW w:w="396" w:type="dxa"/>
            <w:gridSpan w:val="2"/>
            <w:noWrap w:val="0"/>
            <w:vAlign w:val="top"/>
          </w:tcPr>
          <w:p>
            <w:pPr>
              <w:spacing w:line="360" w:lineRule="auto"/>
              <w:rPr>
                <w:rFonts w:ascii="宋体"/>
                <w:bCs/>
                <w:color w:val="auto"/>
                <w:szCs w:val="30"/>
                <w:highlight w:val="none"/>
              </w:rPr>
            </w:pPr>
          </w:p>
        </w:tc>
        <w:tc>
          <w:tcPr>
            <w:tcW w:w="380" w:type="dxa"/>
            <w:noWrap w:val="0"/>
            <w:vAlign w:val="top"/>
          </w:tcPr>
          <w:p>
            <w:pPr>
              <w:spacing w:line="360" w:lineRule="auto"/>
              <w:rPr>
                <w:rFonts w:ascii="宋体"/>
                <w:bCs/>
                <w:color w:val="auto"/>
                <w:szCs w:val="30"/>
                <w:highlight w:val="none"/>
              </w:rPr>
            </w:pPr>
          </w:p>
        </w:tc>
        <w:tc>
          <w:tcPr>
            <w:tcW w:w="900" w:type="dxa"/>
            <w:gridSpan w:val="3"/>
            <w:noWrap w:val="0"/>
            <w:vAlign w:val="top"/>
          </w:tcPr>
          <w:p>
            <w:pPr>
              <w:spacing w:line="360" w:lineRule="auto"/>
              <w:rPr>
                <w:rFonts w:ascii="宋体"/>
                <w:bCs/>
                <w:color w:val="auto"/>
                <w:szCs w:val="30"/>
                <w:highlight w:val="none"/>
              </w:rPr>
            </w:pPr>
          </w:p>
        </w:tc>
        <w:tc>
          <w:tcPr>
            <w:tcW w:w="776" w:type="dxa"/>
            <w:gridSpan w:val="2"/>
            <w:noWrap w:val="0"/>
            <w:vAlign w:val="top"/>
          </w:tcPr>
          <w:p>
            <w:pPr>
              <w:spacing w:line="360" w:lineRule="auto"/>
              <w:rPr>
                <w:rFonts w:ascii="宋体"/>
                <w:bCs/>
                <w:color w:val="auto"/>
                <w:szCs w:val="30"/>
                <w:highlight w:val="none"/>
              </w:rPr>
            </w:pPr>
          </w:p>
        </w:tc>
        <w:tc>
          <w:tcPr>
            <w:tcW w:w="375" w:type="dxa"/>
            <w:gridSpan w:val="3"/>
            <w:noWrap w:val="0"/>
            <w:vAlign w:val="top"/>
          </w:tcPr>
          <w:p>
            <w:pPr>
              <w:spacing w:line="360" w:lineRule="auto"/>
              <w:rPr>
                <w:rFonts w:ascii="宋体"/>
                <w:bCs/>
                <w:color w:val="auto"/>
                <w:szCs w:val="30"/>
                <w:highlight w:val="none"/>
              </w:rPr>
            </w:pPr>
          </w:p>
        </w:tc>
        <w:tc>
          <w:tcPr>
            <w:tcW w:w="826" w:type="dxa"/>
            <w:gridSpan w:val="2"/>
            <w:noWrap w:val="0"/>
            <w:vAlign w:val="top"/>
          </w:tcPr>
          <w:p>
            <w:pPr>
              <w:spacing w:line="360" w:lineRule="auto"/>
              <w:rPr>
                <w:rFonts w:ascii="宋体"/>
                <w:bCs/>
                <w:color w:val="auto"/>
                <w:szCs w:val="30"/>
                <w:highlight w:val="none"/>
              </w:rPr>
            </w:pPr>
          </w:p>
        </w:tc>
        <w:tc>
          <w:tcPr>
            <w:tcW w:w="764" w:type="dxa"/>
            <w:gridSpan w:val="2"/>
            <w:noWrap w:val="0"/>
            <w:vAlign w:val="top"/>
          </w:tcPr>
          <w:p>
            <w:pPr>
              <w:spacing w:line="360" w:lineRule="auto"/>
              <w:rPr>
                <w:rFonts w:ascii="宋体"/>
                <w:bCs/>
                <w:color w:val="auto"/>
                <w:szCs w:val="30"/>
                <w:highlight w:val="none"/>
              </w:rPr>
            </w:pPr>
          </w:p>
        </w:tc>
        <w:tc>
          <w:tcPr>
            <w:tcW w:w="454" w:type="dxa"/>
            <w:gridSpan w:val="2"/>
            <w:noWrap w:val="0"/>
            <w:vAlign w:val="top"/>
          </w:tcPr>
          <w:p>
            <w:pPr>
              <w:spacing w:line="360" w:lineRule="auto"/>
              <w:rPr>
                <w:rFonts w:ascii="宋体"/>
                <w:bCs/>
                <w:color w:val="auto"/>
                <w:szCs w:val="30"/>
                <w:highlight w:val="none"/>
              </w:rPr>
            </w:pPr>
          </w:p>
        </w:tc>
        <w:tc>
          <w:tcPr>
            <w:tcW w:w="498" w:type="dxa"/>
            <w:gridSpan w:val="2"/>
            <w:noWrap w:val="0"/>
            <w:vAlign w:val="top"/>
          </w:tcPr>
          <w:p>
            <w:pPr>
              <w:spacing w:line="360" w:lineRule="auto"/>
              <w:rPr>
                <w:rFonts w:ascii="宋体"/>
                <w:bCs/>
                <w:color w:val="auto"/>
                <w:szCs w:val="30"/>
                <w:highlight w:val="none"/>
              </w:rPr>
            </w:pPr>
          </w:p>
        </w:tc>
        <w:tc>
          <w:tcPr>
            <w:tcW w:w="484" w:type="dxa"/>
            <w:gridSpan w:val="2"/>
            <w:noWrap w:val="0"/>
            <w:vAlign w:val="top"/>
          </w:tcPr>
          <w:p>
            <w:pPr>
              <w:spacing w:line="360" w:lineRule="auto"/>
              <w:rPr>
                <w:rFonts w:ascii="宋体"/>
                <w:bCs/>
                <w:color w:val="auto"/>
                <w:szCs w:val="30"/>
                <w:highlight w:val="none"/>
              </w:rPr>
            </w:pPr>
          </w:p>
        </w:tc>
        <w:tc>
          <w:tcPr>
            <w:tcW w:w="909"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60" w:type="dxa"/>
            <w:gridSpan w:val="3"/>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人工单价</w:t>
            </w:r>
          </w:p>
        </w:tc>
        <w:tc>
          <w:tcPr>
            <w:tcW w:w="6235" w:type="dxa"/>
            <w:gridSpan w:val="21"/>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小计</w:t>
            </w:r>
          </w:p>
        </w:tc>
        <w:tc>
          <w:tcPr>
            <w:tcW w:w="454" w:type="dxa"/>
            <w:gridSpan w:val="2"/>
            <w:noWrap w:val="0"/>
            <w:vAlign w:val="top"/>
          </w:tcPr>
          <w:p>
            <w:pPr>
              <w:spacing w:line="360" w:lineRule="auto"/>
              <w:jc w:val="center"/>
              <w:rPr>
                <w:rFonts w:ascii="宋体"/>
                <w:bCs/>
                <w:color w:val="auto"/>
                <w:szCs w:val="30"/>
                <w:highlight w:val="none"/>
              </w:rPr>
            </w:pPr>
          </w:p>
        </w:tc>
        <w:tc>
          <w:tcPr>
            <w:tcW w:w="498" w:type="dxa"/>
            <w:gridSpan w:val="2"/>
            <w:noWrap w:val="0"/>
            <w:vAlign w:val="top"/>
          </w:tcPr>
          <w:p>
            <w:pPr>
              <w:spacing w:line="360" w:lineRule="auto"/>
              <w:jc w:val="center"/>
              <w:rPr>
                <w:rFonts w:ascii="宋体"/>
                <w:bCs/>
                <w:color w:val="auto"/>
                <w:szCs w:val="30"/>
                <w:highlight w:val="none"/>
              </w:rPr>
            </w:pPr>
          </w:p>
        </w:tc>
        <w:tc>
          <w:tcPr>
            <w:tcW w:w="484" w:type="dxa"/>
            <w:gridSpan w:val="2"/>
            <w:noWrap w:val="0"/>
            <w:vAlign w:val="top"/>
          </w:tcPr>
          <w:p>
            <w:pPr>
              <w:spacing w:line="360" w:lineRule="auto"/>
              <w:rPr>
                <w:rFonts w:ascii="宋体"/>
                <w:bCs/>
                <w:color w:val="auto"/>
                <w:szCs w:val="30"/>
                <w:highlight w:val="none"/>
              </w:rPr>
            </w:pPr>
          </w:p>
        </w:tc>
        <w:tc>
          <w:tcPr>
            <w:tcW w:w="909"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60" w:type="dxa"/>
            <w:gridSpan w:val="3"/>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元</w:t>
            </w:r>
            <w:r>
              <w:rPr>
                <w:rFonts w:ascii="宋体" w:hAnsi="宋体"/>
                <w:bCs/>
                <w:color w:val="auto"/>
                <w:szCs w:val="30"/>
                <w:highlight w:val="none"/>
              </w:rPr>
              <w:t>/</w:t>
            </w:r>
            <w:r>
              <w:rPr>
                <w:rFonts w:hint="eastAsia" w:ascii="宋体" w:hAnsi="宋体"/>
                <w:bCs/>
                <w:color w:val="auto"/>
                <w:szCs w:val="30"/>
                <w:highlight w:val="none"/>
              </w:rPr>
              <w:t>工日</w:t>
            </w:r>
          </w:p>
        </w:tc>
        <w:tc>
          <w:tcPr>
            <w:tcW w:w="6235" w:type="dxa"/>
            <w:gridSpan w:val="21"/>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未计价材料费</w:t>
            </w:r>
          </w:p>
        </w:tc>
        <w:tc>
          <w:tcPr>
            <w:tcW w:w="2345" w:type="dxa"/>
            <w:gridSpan w:val="7"/>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595" w:type="dxa"/>
            <w:gridSpan w:val="24"/>
            <w:noWrap w:val="0"/>
            <w:vAlign w:val="center"/>
          </w:tcPr>
          <w:p>
            <w:pPr>
              <w:spacing w:line="360" w:lineRule="auto"/>
              <w:jc w:val="center"/>
              <w:rPr>
                <w:rFonts w:ascii="宋体"/>
                <w:bCs/>
                <w:color w:val="auto"/>
                <w:szCs w:val="30"/>
                <w:highlight w:val="none"/>
              </w:rPr>
            </w:pPr>
            <w:r>
              <w:rPr>
                <w:rFonts w:hint="eastAsia" w:ascii="宋体" w:hAnsi="宋体"/>
                <w:bCs/>
                <w:color w:val="auto"/>
                <w:szCs w:val="30"/>
                <w:highlight w:val="none"/>
              </w:rPr>
              <w:t>清单项目综合单价</w:t>
            </w:r>
          </w:p>
        </w:tc>
        <w:tc>
          <w:tcPr>
            <w:tcW w:w="2345" w:type="dxa"/>
            <w:gridSpan w:val="7"/>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jc w:val="center"/>
        </w:trPr>
        <w:tc>
          <w:tcPr>
            <w:tcW w:w="513" w:type="dxa"/>
            <w:vMerge w:val="restart"/>
            <w:noWrap w:val="0"/>
            <w:vAlign w:val="top"/>
          </w:tcPr>
          <w:p>
            <w:pPr>
              <w:spacing w:line="360" w:lineRule="auto"/>
              <w:jc w:val="center"/>
              <w:rPr>
                <w:rFonts w:ascii="宋体"/>
                <w:bCs/>
                <w:color w:val="auto"/>
                <w:szCs w:val="30"/>
                <w:highlight w:val="none"/>
              </w:rPr>
            </w:pPr>
          </w:p>
          <w:p>
            <w:pPr>
              <w:spacing w:line="360" w:lineRule="auto"/>
              <w:rPr>
                <w:rFonts w:ascii="宋体"/>
                <w:bCs/>
                <w:color w:val="auto"/>
                <w:szCs w:val="30"/>
                <w:highlight w:val="none"/>
              </w:rPr>
            </w:pPr>
          </w:p>
          <w:p>
            <w:pPr>
              <w:spacing w:line="360" w:lineRule="auto"/>
              <w:rPr>
                <w:rFonts w:ascii="宋体"/>
                <w:bCs/>
                <w:color w:val="auto"/>
                <w:szCs w:val="30"/>
                <w:highlight w:val="none"/>
              </w:rPr>
            </w:pPr>
            <w:r>
              <w:rPr>
                <w:rFonts w:hint="eastAsia" w:ascii="宋体" w:hAnsi="宋体"/>
                <w:bCs/>
                <w:color w:val="auto"/>
                <w:szCs w:val="30"/>
                <w:highlight w:val="none"/>
              </w:rPr>
              <w:t>材料明细表</w:t>
            </w:r>
          </w:p>
        </w:tc>
        <w:tc>
          <w:tcPr>
            <w:tcW w:w="2756" w:type="dxa"/>
            <w:gridSpan w:val="9"/>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主要材料名称、规格、型号</w:t>
            </w:r>
          </w:p>
        </w:tc>
        <w:tc>
          <w:tcPr>
            <w:tcW w:w="685" w:type="dxa"/>
            <w:gridSpan w:val="2"/>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单位</w:t>
            </w:r>
          </w:p>
        </w:tc>
        <w:tc>
          <w:tcPr>
            <w:tcW w:w="716" w:type="dxa"/>
            <w:gridSpan w:val="2"/>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数量</w:t>
            </w:r>
          </w:p>
        </w:tc>
        <w:tc>
          <w:tcPr>
            <w:tcW w:w="1126" w:type="dxa"/>
            <w:gridSpan w:val="4"/>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单价（元）</w:t>
            </w:r>
          </w:p>
        </w:tc>
        <w:tc>
          <w:tcPr>
            <w:tcW w:w="1140" w:type="dxa"/>
            <w:gridSpan w:val="5"/>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合价（元）</w:t>
            </w:r>
          </w:p>
        </w:tc>
        <w:tc>
          <w:tcPr>
            <w:tcW w:w="1478" w:type="dxa"/>
            <w:gridSpan w:val="4"/>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暂估单价（元）</w:t>
            </w:r>
          </w:p>
        </w:tc>
        <w:tc>
          <w:tcPr>
            <w:tcW w:w="1526" w:type="dxa"/>
            <w:gridSpan w:val="4"/>
            <w:noWrap w:val="0"/>
            <w:vAlign w:val="top"/>
          </w:tcPr>
          <w:p>
            <w:pPr>
              <w:spacing w:line="360" w:lineRule="auto"/>
              <w:jc w:val="center"/>
              <w:rPr>
                <w:rFonts w:ascii="宋体"/>
                <w:bCs/>
                <w:color w:val="auto"/>
                <w:szCs w:val="30"/>
                <w:highlight w:val="none"/>
              </w:rPr>
            </w:pPr>
            <w:r>
              <w:rPr>
                <w:rFonts w:hint="eastAsia" w:ascii="宋体" w:hAnsi="宋体"/>
                <w:bCs/>
                <w:color w:val="auto"/>
                <w:szCs w:val="30"/>
                <w:highlight w:val="none"/>
              </w:rPr>
              <w:t>暂估合价（元）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513" w:type="dxa"/>
            <w:vMerge w:val="continue"/>
            <w:noWrap w:val="0"/>
            <w:vAlign w:val="top"/>
          </w:tcPr>
          <w:p>
            <w:pPr>
              <w:spacing w:line="360" w:lineRule="auto"/>
              <w:rPr>
                <w:rFonts w:ascii="宋体"/>
                <w:bCs/>
                <w:color w:val="auto"/>
                <w:szCs w:val="30"/>
                <w:highlight w:val="none"/>
              </w:rPr>
            </w:pPr>
          </w:p>
        </w:tc>
        <w:tc>
          <w:tcPr>
            <w:tcW w:w="2756" w:type="dxa"/>
            <w:gridSpan w:val="9"/>
            <w:noWrap w:val="0"/>
            <w:vAlign w:val="top"/>
          </w:tcPr>
          <w:p>
            <w:pPr>
              <w:spacing w:line="360" w:lineRule="auto"/>
              <w:rPr>
                <w:rFonts w:ascii="宋体"/>
                <w:bCs/>
                <w:color w:val="auto"/>
                <w:szCs w:val="30"/>
                <w:highlight w:val="none"/>
              </w:rPr>
            </w:pPr>
          </w:p>
        </w:tc>
        <w:tc>
          <w:tcPr>
            <w:tcW w:w="685" w:type="dxa"/>
            <w:gridSpan w:val="2"/>
            <w:noWrap w:val="0"/>
            <w:vAlign w:val="top"/>
          </w:tcPr>
          <w:p>
            <w:pPr>
              <w:spacing w:line="360" w:lineRule="auto"/>
              <w:rPr>
                <w:rFonts w:ascii="宋体"/>
                <w:bCs/>
                <w:color w:val="auto"/>
                <w:szCs w:val="30"/>
                <w:highlight w:val="none"/>
              </w:rPr>
            </w:pPr>
          </w:p>
        </w:tc>
        <w:tc>
          <w:tcPr>
            <w:tcW w:w="716" w:type="dxa"/>
            <w:gridSpan w:val="2"/>
            <w:noWrap w:val="0"/>
            <w:vAlign w:val="top"/>
          </w:tcPr>
          <w:p>
            <w:pPr>
              <w:spacing w:line="360" w:lineRule="auto"/>
              <w:rPr>
                <w:rFonts w:ascii="宋体"/>
                <w:bCs/>
                <w:color w:val="auto"/>
                <w:szCs w:val="30"/>
                <w:highlight w:val="none"/>
              </w:rPr>
            </w:pPr>
          </w:p>
        </w:tc>
        <w:tc>
          <w:tcPr>
            <w:tcW w:w="1126" w:type="dxa"/>
            <w:gridSpan w:val="4"/>
            <w:noWrap w:val="0"/>
            <w:vAlign w:val="top"/>
          </w:tcPr>
          <w:p>
            <w:pPr>
              <w:spacing w:line="360" w:lineRule="auto"/>
              <w:rPr>
                <w:rFonts w:ascii="宋体"/>
                <w:bCs/>
                <w:color w:val="auto"/>
                <w:szCs w:val="30"/>
                <w:highlight w:val="none"/>
              </w:rPr>
            </w:pPr>
          </w:p>
        </w:tc>
        <w:tc>
          <w:tcPr>
            <w:tcW w:w="1140" w:type="dxa"/>
            <w:gridSpan w:val="5"/>
            <w:noWrap w:val="0"/>
            <w:vAlign w:val="top"/>
          </w:tcPr>
          <w:p>
            <w:pPr>
              <w:spacing w:line="360" w:lineRule="auto"/>
              <w:rPr>
                <w:rFonts w:ascii="宋体"/>
                <w:bCs/>
                <w:color w:val="auto"/>
                <w:szCs w:val="30"/>
                <w:highlight w:val="none"/>
              </w:rPr>
            </w:pPr>
          </w:p>
        </w:tc>
        <w:tc>
          <w:tcPr>
            <w:tcW w:w="1478" w:type="dxa"/>
            <w:gridSpan w:val="4"/>
            <w:noWrap w:val="0"/>
            <w:vAlign w:val="top"/>
          </w:tcPr>
          <w:p>
            <w:pPr>
              <w:spacing w:line="360" w:lineRule="auto"/>
              <w:rPr>
                <w:rFonts w:ascii="宋体"/>
                <w:bCs/>
                <w:color w:val="auto"/>
                <w:szCs w:val="30"/>
                <w:highlight w:val="none"/>
              </w:rPr>
            </w:pPr>
          </w:p>
        </w:tc>
        <w:tc>
          <w:tcPr>
            <w:tcW w:w="1526" w:type="dxa"/>
            <w:gridSpan w:val="4"/>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513" w:type="dxa"/>
            <w:vMerge w:val="continue"/>
            <w:noWrap w:val="0"/>
            <w:vAlign w:val="top"/>
          </w:tcPr>
          <w:p>
            <w:pPr>
              <w:spacing w:line="360" w:lineRule="auto"/>
              <w:rPr>
                <w:rFonts w:ascii="宋体"/>
                <w:bCs/>
                <w:color w:val="auto"/>
                <w:szCs w:val="30"/>
                <w:highlight w:val="none"/>
              </w:rPr>
            </w:pPr>
          </w:p>
        </w:tc>
        <w:tc>
          <w:tcPr>
            <w:tcW w:w="2756" w:type="dxa"/>
            <w:gridSpan w:val="9"/>
            <w:noWrap w:val="0"/>
            <w:vAlign w:val="top"/>
          </w:tcPr>
          <w:p>
            <w:pPr>
              <w:spacing w:line="360" w:lineRule="auto"/>
              <w:rPr>
                <w:rFonts w:ascii="宋体"/>
                <w:bCs/>
                <w:color w:val="auto"/>
                <w:szCs w:val="30"/>
                <w:highlight w:val="none"/>
              </w:rPr>
            </w:pPr>
          </w:p>
        </w:tc>
        <w:tc>
          <w:tcPr>
            <w:tcW w:w="685" w:type="dxa"/>
            <w:gridSpan w:val="2"/>
            <w:noWrap w:val="0"/>
            <w:vAlign w:val="top"/>
          </w:tcPr>
          <w:p>
            <w:pPr>
              <w:spacing w:line="360" w:lineRule="auto"/>
              <w:rPr>
                <w:rFonts w:ascii="宋体"/>
                <w:bCs/>
                <w:color w:val="auto"/>
                <w:szCs w:val="30"/>
                <w:highlight w:val="none"/>
              </w:rPr>
            </w:pPr>
          </w:p>
        </w:tc>
        <w:tc>
          <w:tcPr>
            <w:tcW w:w="716" w:type="dxa"/>
            <w:gridSpan w:val="2"/>
            <w:noWrap w:val="0"/>
            <w:vAlign w:val="top"/>
          </w:tcPr>
          <w:p>
            <w:pPr>
              <w:spacing w:line="360" w:lineRule="auto"/>
              <w:rPr>
                <w:rFonts w:ascii="宋体"/>
                <w:bCs/>
                <w:color w:val="auto"/>
                <w:szCs w:val="30"/>
                <w:highlight w:val="none"/>
              </w:rPr>
            </w:pPr>
          </w:p>
        </w:tc>
        <w:tc>
          <w:tcPr>
            <w:tcW w:w="1126" w:type="dxa"/>
            <w:gridSpan w:val="4"/>
            <w:noWrap w:val="0"/>
            <w:vAlign w:val="top"/>
          </w:tcPr>
          <w:p>
            <w:pPr>
              <w:spacing w:line="360" w:lineRule="auto"/>
              <w:rPr>
                <w:rFonts w:ascii="宋体"/>
                <w:bCs/>
                <w:color w:val="auto"/>
                <w:szCs w:val="30"/>
                <w:highlight w:val="none"/>
              </w:rPr>
            </w:pPr>
          </w:p>
        </w:tc>
        <w:tc>
          <w:tcPr>
            <w:tcW w:w="1140" w:type="dxa"/>
            <w:gridSpan w:val="5"/>
            <w:noWrap w:val="0"/>
            <w:vAlign w:val="top"/>
          </w:tcPr>
          <w:p>
            <w:pPr>
              <w:spacing w:line="360" w:lineRule="auto"/>
              <w:rPr>
                <w:rFonts w:ascii="宋体"/>
                <w:bCs/>
                <w:color w:val="auto"/>
                <w:szCs w:val="30"/>
                <w:highlight w:val="none"/>
              </w:rPr>
            </w:pPr>
          </w:p>
        </w:tc>
        <w:tc>
          <w:tcPr>
            <w:tcW w:w="1478" w:type="dxa"/>
            <w:gridSpan w:val="4"/>
            <w:noWrap w:val="0"/>
            <w:vAlign w:val="top"/>
          </w:tcPr>
          <w:p>
            <w:pPr>
              <w:spacing w:line="360" w:lineRule="auto"/>
              <w:rPr>
                <w:rFonts w:ascii="宋体"/>
                <w:bCs/>
                <w:color w:val="auto"/>
                <w:szCs w:val="30"/>
                <w:highlight w:val="none"/>
              </w:rPr>
            </w:pPr>
          </w:p>
        </w:tc>
        <w:tc>
          <w:tcPr>
            <w:tcW w:w="1526" w:type="dxa"/>
            <w:gridSpan w:val="4"/>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513" w:type="dxa"/>
            <w:vMerge w:val="continue"/>
            <w:noWrap w:val="0"/>
            <w:vAlign w:val="top"/>
          </w:tcPr>
          <w:p>
            <w:pPr>
              <w:spacing w:line="360" w:lineRule="auto"/>
              <w:rPr>
                <w:rFonts w:ascii="宋体"/>
                <w:bCs/>
                <w:color w:val="auto"/>
                <w:szCs w:val="30"/>
                <w:highlight w:val="none"/>
              </w:rPr>
            </w:pPr>
          </w:p>
        </w:tc>
        <w:tc>
          <w:tcPr>
            <w:tcW w:w="2756" w:type="dxa"/>
            <w:gridSpan w:val="9"/>
            <w:noWrap w:val="0"/>
            <w:vAlign w:val="top"/>
          </w:tcPr>
          <w:p>
            <w:pPr>
              <w:spacing w:line="360" w:lineRule="auto"/>
              <w:rPr>
                <w:rFonts w:ascii="宋体"/>
                <w:bCs/>
                <w:color w:val="auto"/>
                <w:szCs w:val="30"/>
                <w:highlight w:val="none"/>
              </w:rPr>
            </w:pPr>
          </w:p>
        </w:tc>
        <w:tc>
          <w:tcPr>
            <w:tcW w:w="685" w:type="dxa"/>
            <w:gridSpan w:val="2"/>
            <w:noWrap w:val="0"/>
            <w:vAlign w:val="top"/>
          </w:tcPr>
          <w:p>
            <w:pPr>
              <w:spacing w:line="360" w:lineRule="auto"/>
              <w:rPr>
                <w:rFonts w:ascii="宋体"/>
                <w:bCs/>
                <w:color w:val="auto"/>
                <w:szCs w:val="30"/>
                <w:highlight w:val="none"/>
              </w:rPr>
            </w:pPr>
          </w:p>
        </w:tc>
        <w:tc>
          <w:tcPr>
            <w:tcW w:w="716" w:type="dxa"/>
            <w:gridSpan w:val="2"/>
            <w:noWrap w:val="0"/>
            <w:vAlign w:val="top"/>
          </w:tcPr>
          <w:p>
            <w:pPr>
              <w:spacing w:line="360" w:lineRule="auto"/>
              <w:rPr>
                <w:rFonts w:ascii="宋体"/>
                <w:bCs/>
                <w:color w:val="auto"/>
                <w:szCs w:val="30"/>
                <w:highlight w:val="none"/>
              </w:rPr>
            </w:pPr>
          </w:p>
        </w:tc>
        <w:tc>
          <w:tcPr>
            <w:tcW w:w="1126" w:type="dxa"/>
            <w:gridSpan w:val="4"/>
            <w:noWrap w:val="0"/>
            <w:vAlign w:val="top"/>
          </w:tcPr>
          <w:p>
            <w:pPr>
              <w:spacing w:line="360" w:lineRule="auto"/>
              <w:rPr>
                <w:rFonts w:ascii="宋体"/>
                <w:bCs/>
                <w:color w:val="auto"/>
                <w:szCs w:val="30"/>
                <w:highlight w:val="none"/>
              </w:rPr>
            </w:pPr>
          </w:p>
        </w:tc>
        <w:tc>
          <w:tcPr>
            <w:tcW w:w="1140" w:type="dxa"/>
            <w:gridSpan w:val="5"/>
            <w:noWrap w:val="0"/>
            <w:vAlign w:val="top"/>
          </w:tcPr>
          <w:p>
            <w:pPr>
              <w:spacing w:line="360" w:lineRule="auto"/>
              <w:rPr>
                <w:rFonts w:ascii="宋体"/>
                <w:bCs/>
                <w:color w:val="auto"/>
                <w:szCs w:val="30"/>
                <w:highlight w:val="none"/>
              </w:rPr>
            </w:pPr>
          </w:p>
        </w:tc>
        <w:tc>
          <w:tcPr>
            <w:tcW w:w="1478" w:type="dxa"/>
            <w:gridSpan w:val="4"/>
            <w:noWrap w:val="0"/>
            <w:vAlign w:val="top"/>
          </w:tcPr>
          <w:p>
            <w:pPr>
              <w:spacing w:line="360" w:lineRule="auto"/>
              <w:rPr>
                <w:rFonts w:ascii="宋体"/>
                <w:bCs/>
                <w:color w:val="auto"/>
                <w:szCs w:val="30"/>
                <w:highlight w:val="none"/>
              </w:rPr>
            </w:pPr>
          </w:p>
        </w:tc>
        <w:tc>
          <w:tcPr>
            <w:tcW w:w="1526" w:type="dxa"/>
            <w:gridSpan w:val="4"/>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513" w:type="dxa"/>
            <w:vMerge w:val="continue"/>
            <w:noWrap w:val="0"/>
            <w:vAlign w:val="top"/>
          </w:tcPr>
          <w:p>
            <w:pPr>
              <w:spacing w:line="360" w:lineRule="auto"/>
              <w:rPr>
                <w:rFonts w:ascii="宋体"/>
                <w:bCs/>
                <w:color w:val="auto"/>
                <w:szCs w:val="30"/>
                <w:highlight w:val="none"/>
              </w:rPr>
            </w:pPr>
          </w:p>
        </w:tc>
        <w:tc>
          <w:tcPr>
            <w:tcW w:w="2756" w:type="dxa"/>
            <w:gridSpan w:val="9"/>
            <w:noWrap w:val="0"/>
            <w:vAlign w:val="top"/>
          </w:tcPr>
          <w:p>
            <w:pPr>
              <w:spacing w:line="360" w:lineRule="auto"/>
              <w:rPr>
                <w:rFonts w:ascii="宋体"/>
                <w:bCs/>
                <w:color w:val="auto"/>
                <w:szCs w:val="30"/>
                <w:highlight w:val="none"/>
              </w:rPr>
            </w:pPr>
          </w:p>
        </w:tc>
        <w:tc>
          <w:tcPr>
            <w:tcW w:w="685" w:type="dxa"/>
            <w:gridSpan w:val="2"/>
            <w:noWrap w:val="0"/>
            <w:vAlign w:val="top"/>
          </w:tcPr>
          <w:p>
            <w:pPr>
              <w:spacing w:line="360" w:lineRule="auto"/>
              <w:rPr>
                <w:rFonts w:ascii="宋体"/>
                <w:bCs/>
                <w:color w:val="auto"/>
                <w:szCs w:val="30"/>
                <w:highlight w:val="none"/>
              </w:rPr>
            </w:pPr>
          </w:p>
        </w:tc>
        <w:tc>
          <w:tcPr>
            <w:tcW w:w="716" w:type="dxa"/>
            <w:gridSpan w:val="2"/>
            <w:noWrap w:val="0"/>
            <w:vAlign w:val="top"/>
          </w:tcPr>
          <w:p>
            <w:pPr>
              <w:spacing w:line="360" w:lineRule="auto"/>
              <w:rPr>
                <w:rFonts w:ascii="宋体"/>
                <w:bCs/>
                <w:color w:val="auto"/>
                <w:szCs w:val="30"/>
                <w:highlight w:val="none"/>
              </w:rPr>
            </w:pPr>
          </w:p>
        </w:tc>
        <w:tc>
          <w:tcPr>
            <w:tcW w:w="1126" w:type="dxa"/>
            <w:gridSpan w:val="4"/>
            <w:noWrap w:val="0"/>
            <w:vAlign w:val="top"/>
          </w:tcPr>
          <w:p>
            <w:pPr>
              <w:spacing w:line="360" w:lineRule="auto"/>
              <w:rPr>
                <w:rFonts w:ascii="宋体"/>
                <w:bCs/>
                <w:color w:val="auto"/>
                <w:szCs w:val="30"/>
                <w:highlight w:val="none"/>
              </w:rPr>
            </w:pPr>
          </w:p>
        </w:tc>
        <w:tc>
          <w:tcPr>
            <w:tcW w:w="1140" w:type="dxa"/>
            <w:gridSpan w:val="5"/>
            <w:noWrap w:val="0"/>
            <w:vAlign w:val="top"/>
          </w:tcPr>
          <w:p>
            <w:pPr>
              <w:spacing w:line="360" w:lineRule="auto"/>
              <w:rPr>
                <w:rFonts w:ascii="宋体"/>
                <w:bCs/>
                <w:color w:val="auto"/>
                <w:szCs w:val="30"/>
                <w:highlight w:val="none"/>
              </w:rPr>
            </w:pPr>
          </w:p>
        </w:tc>
        <w:tc>
          <w:tcPr>
            <w:tcW w:w="1478" w:type="dxa"/>
            <w:gridSpan w:val="4"/>
            <w:noWrap w:val="0"/>
            <w:vAlign w:val="top"/>
          </w:tcPr>
          <w:p>
            <w:pPr>
              <w:spacing w:line="360" w:lineRule="auto"/>
              <w:rPr>
                <w:rFonts w:ascii="宋体"/>
                <w:bCs/>
                <w:color w:val="auto"/>
                <w:szCs w:val="30"/>
                <w:highlight w:val="none"/>
              </w:rPr>
            </w:pPr>
          </w:p>
        </w:tc>
        <w:tc>
          <w:tcPr>
            <w:tcW w:w="1526" w:type="dxa"/>
            <w:gridSpan w:val="4"/>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513" w:type="dxa"/>
            <w:vMerge w:val="continue"/>
            <w:noWrap w:val="0"/>
            <w:vAlign w:val="top"/>
          </w:tcPr>
          <w:p>
            <w:pPr>
              <w:spacing w:line="360" w:lineRule="auto"/>
              <w:rPr>
                <w:rFonts w:ascii="宋体"/>
                <w:bCs/>
                <w:color w:val="auto"/>
                <w:szCs w:val="30"/>
                <w:highlight w:val="none"/>
              </w:rPr>
            </w:pPr>
          </w:p>
        </w:tc>
        <w:tc>
          <w:tcPr>
            <w:tcW w:w="2756" w:type="dxa"/>
            <w:gridSpan w:val="9"/>
            <w:noWrap w:val="0"/>
            <w:vAlign w:val="top"/>
          </w:tcPr>
          <w:p>
            <w:pPr>
              <w:spacing w:line="360" w:lineRule="auto"/>
              <w:rPr>
                <w:rFonts w:ascii="宋体"/>
                <w:bCs/>
                <w:color w:val="auto"/>
                <w:szCs w:val="30"/>
                <w:highlight w:val="none"/>
              </w:rPr>
            </w:pPr>
          </w:p>
        </w:tc>
        <w:tc>
          <w:tcPr>
            <w:tcW w:w="685" w:type="dxa"/>
            <w:gridSpan w:val="2"/>
            <w:noWrap w:val="0"/>
            <w:vAlign w:val="top"/>
          </w:tcPr>
          <w:p>
            <w:pPr>
              <w:spacing w:line="360" w:lineRule="auto"/>
              <w:rPr>
                <w:rFonts w:ascii="宋体"/>
                <w:bCs/>
                <w:color w:val="auto"/>
                <w:szCs w:val="30"/>
                <w:highlight w:val="none"/>
              </w:rPr>
            </w:pPr>
          </w:p>
        </w:tc>
        <w:tc>
          <w:tcPr>
            <w:tcW w:w="716" w:type="dxa"/>
            <w:gridSpan w:val="2"/>
            <w:noWrap w:val="0"/>
            <w:vAlign w:val="top"/>
          </w:tcPr>
          <w:p>
            <w:pPr>
              <w:spacing w:line="360" w:lineRule="auto"/>
              <w:rPr>
                <w:rFonts w:ascii="宋体"/>
                <w:bCs/>
                <w:color w:val="auto"/>
                <w:szCs w:val="30"/>
                <w:highlight w:val="none"/>
              </w:rPr>
            </w:pPr>
          </w:p>
        </w:tc>
        <w:tc>
          <w:tcPr>
            <w:tcW w:w="1126" w:type="dxa"/>
            <w:gridSpan w:val="4"/>
            <w:noWrap w:val="0"/>
            <w:vAlign w:val="top"/>
          </w:tcPr>
          <w:p>
            <w:pPr>
              <w:spacing w:line="360" w:lineRule="auto"/>
              <w:rPr>
                <w:rFonts w:ascii="宋体"/>
                <w:bCs/>
                <w:color w:val="auto"/>
                <w:szCs w:val="30"/>
                <w:highlight w:val="none"/>
              </w:rPr>
            </w:pPr>
          </w:p>
        </w:tc>
        <w:tc>
          <w:tcPr>
            <w:tcW w:w="1140" w:type="dxa"/>
            <w:gridSpan w:val="5"/>
            <w:noWrap w:val="0"/>
            <w:vAlign w:val="top"/>
          </w:tcPr>
          <w:p>
            <w:pPr>
              <w:spacing w:line="360" w:lineRule="auto"/>
              <w:rPr>
                <w:rFonts w:ascii="宋体"/>
                <w:bCs/>
                <w:color w:val="auto"/>
                <w:szCs w:val="30"/>
                <w:highlight w:val="none"/>
              </w:rPr>
            </w:pPr>
          </w:p>
        </w:tc>
        <w:tc>
          <w:tcPr>
            <w:tcW w:w="1478" w:type="dxa"/>
            <w:gridSpan w:val="4"/>
            <w:noWrap w:val="0"/>
            <w:vAlign w:val="top"/>
          </w:tcPr>
          <w:p>
            <w:pPr>
              <w:spacing w:line="360" w:lineRule="auto"/>
              <w:rPr>
                <w:rFonts w:ascii="宋体"/>
                <w:bCs/>
                <w:color w:val="auto"/>
                <w:szCs w:val="30"/>
                <w:highlight w:val="none"/>
              </w:rPr>
            </w:pPr>
          </w:p>
        </w:tc>
        <w:tc>
          <w:tcPr>
            <w:tcW w:w="1526" w:type="dxa"/>
            <w:gridSpan w:val="4"/>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513" w:type="dxa"/>
            <w:vMerge w:val="continue"/>
            <w:noWrap w:val="0"/>
            <w:vAlign w:val="top"/>
          </w:tcPr>
          <w:p>
            <w:pPr>
              <w:spacing w:line="360" w:lineRule="auto"/>
              <w:rPr>
                <w:rFonts w:ascii="宋体"/>
                <w:bCs/>
                <w:color w:val="auto"/>
                <w:szCs w:val="30"/>
                <w:highlight w:val="none"/>
              </w:rPr>
            </w:pPr>
          </w:p>
        </w:tc>
        <w:tc>
          <w:tcPr>
            <w:tcW w:w="4157" w:type="dxa"/>
            <w:gridSpan w:val="13"/>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其他材料费</w:t>
            </w:r>
          </w:p>
        </w:tc>
        <w:tc>
          <w:tcPr>
            <w:tcW w:w="1126" w:type="dxa"/>
            <w:gridSpan w:val="4"/>
            <w:noWrap w:val="0"/>
            <w:vAlign w:val="top"/>
          </w:tcPr>
          <w:p>
            <w:pPr>
              <w:spacing w:line="360" w:lineRule="auto"/>
              <w:rPr>
                <w:rFonts w:ascii="宋体"/>
                <w:bCs/>
                <w:color w:val="auto"/>
                <w:szCs w:val="30"/>
                <w:highlight w:val="none"/>
              </w:rPr>
            </w:pPr>
          </w:p>
        </w:tc>
        <w:tc>
          <w:tcPr>
            <w:tcW w:w="1140" w:type="dxa"/>
            <w:gridSpan w:val="5"/>
            <w:noWrap w:val="0"/>
            <w:vAlign w:val="top"/>
          </w:tcPr>
          <w:p>
            <w:pPr>
              <w:spacing w:line="360" w:lineRule="auto"/>
              <w:rPr>
                <w:rFonts w:ascii="宋体"/>
                <w:bCs/>
                <w:color w:val="auto"/>
                <w:szCs w:val="30"/>
                <w:highlight w:val="none"/>
              </w:rPr>
            </w:pPr>
          </w:p>
        </w:tc>
        <w:tc>
          <w:tcPr>
            <w:tcW w:w="1478" w:type="dxa"/>
            <w:gridSpan w:val="4"/>
            <w:noWrap w:val="0"/>
            <w:vAlign w:val="top"/>
          </w:tcPr>
          <w:p>
            <w:pPr>
              <w:spacing w:line="360" w:lineRule="auto"/>
              <w:rPr>
                <w:rFonts w:ascii="宋体"/>
                <w:bCs/>
                <w:color w:val="auto"/>
                <w:szCs w:val="30"/>
                <w:highlight w:val="none"/>
              </w:rPr>
            </w:pPr>
          </w:p>
        </w:tc>
        <w:tc>
          <w:tcPr>
            <w:tcW w:w="1526" w:type="dxa"/>
            <w:gridSpan w:val="4"/>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13" w:type="dxa"/>
            <w:vMerge w:val="continue"/>
            <w:noWrap w:val="0"/>
            <w:vAlign w:val="top"/>
          </w:tcPr>
          <w:p>
            <w:pPr>
              <w:spacing w:line="360" w:lineRule="auto"/>
              <w:rPr>
                <w:rFonts w:ascii="宋体"/>
                <w:bCs/>
                <w:color w:val="auto"/>
                <w:szCs w:val="30"/>
                <w:highlight w:val="none"/>
              </w:rPr>
            </w:pPr>
          </w:p>
        </w:tc>
        <w:tc>
          <w:tcPr>
            <w:tcW w:w="4157" w:type="dxa"/>
            <w:gridSpan w:val="13"/>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材料费小计</w:t>
            </w:r>
          </w:p>
        </w:tc>
        <w:tc>
          <w:tcPr>
            <w:tcW w:w="1126" w:type="dxa"/>
            <w:gridSpan w:val="4"/>
            <w:noWrap w:val="0"/>
            <w:vAlign w:val="top"/>
          </w:tcPr>
          <w:p>
            <w:pPr>
              <w:spacing w:line="360" w:lineRule="auto"/>
              <w:rPr>
                <w:rFonts w:ascii="宋体"/>
                <w:bCs/>
                <w:color w:val="auto"/>
                <w:szCs w:val="30"/>
                <w:highlight w:val="none"/>
              </w:rPr>
            </w:pPr>
          </w:p>
        </w:tc>
        <w:tc>
          <w:tcPr>
            <w:tcW w:w="1140" w:type="dxa"/>
            <w:gridSpan w:val="5"/>
            <w:noWrap w:val="0"/>
            <w:vAlign w:val="top"/>
          </w:tcPr>
          <w:p>
            <w:pPr>
              <w:spacing w:line="360" w:lineRule="auto"/>
              <w:rPr>
                <w:rFonts w:ascii="宋体"/>
                <w:bCs/>
                <w:color w:val="auto"/>
                <w:szCs w:val="30"/>
                <w:highlight w:val="none"/>
              </w:rPr>
            </w:pPr>
          </w:p>
        </w:tc>
        <w:tc>
          <w:tcPr>
            <w:tcW w:w="1478" w:type="dxa"/>
            <w:gridSpan w:val="4"/>
            <w:noWrap w:val="0"/>
            <w:vAlign w:val="top"/>
          </w:tcPr>
          <w:p>
            <w:pPr>
              <w:spacing w:line="360" w:lineRule="auto"/>
              <w:rPr>
                <w:rFonts w:ascii="宋体"/>
                <w:bCs/>
                <w:color w:val="auto"/>
                <w:szCs w:val="30"/>
                <w:highlight w:val="none"/>
              </w:rPr>
            </w:pPr>
          </w:p>
        </w:tc>
        <w:tc>
          <w:tcPr>
            <w:tcW w:w="1526" w:type="dxa"/>
            <w:gridSpan w:val="4"/>
            <w:noWrap w:val="0"/>
            <w:vAlign w:val="top"/>
          </w:tcPr>
          <w:p>
            <w:pPr>
              <w:spacing w:line="360" w:lineRule="auto"/>
              <w:rPr>
                <w:rFonts w:ascii="宋体"/>
                <w:bCs/>
                <w:color w:val="auto"/>
                <w:szCs w:val="30"/>
                <w:highlight w:val="none"/>
              </w:rPr>
            </w:pPr>
          </w:p>
        </w:tc>
      </w:tr>
    </w:tbl>
    <w:p>
      <w:pPr>
        <w:spacing w:line="360" w:lineRule="auto"/>
        <w:rPr>
          <w:rFonts w:ascii="宋体"/>
          <w:bCs/>
          <w:color w:val="auto"/>
          <w:szCs w:val="30"/>
          <w:highlight w:val="none"/>
        </w:rPr>
      </w:pPr>
      <w:r>
        <w:rPr>
          <w:rFonts w:hint="eastAsia" w:ascii="宋体" w:hAnsi="宋体"/>
          <w:bCs/>
          <w:color w:val="auto"/>
          <w:szCs w:val="30"/>
          <w:highlight w:val="none"/>
        </w:rPr>
        <w:t>注</w:t>
      </w:r>
      <w:r>
        <w:rPr>
          <w:rFonts w:ascii="宋体" w:hAnsi="宋体"/>
          <w:bCs/>
          <w:color w:val="auto"/>
          <w:szCs w:val="30"/>
          <w:highlight w:val="none"/>
        </w:rPr>
        <w:t>:1</w:t>
      </w:r>
      <w:r>
        <w:rPr>
          <w:rFonts w:hint="eastAsia" w:ascii="宋体" w:hAnsi="宋体"/>
          <w:bCs/>
          <w:color w:val="auto"/>
          <w:szCs w:val="30"/>
          <w:highlight w:val="none"/>
        </w:rPr>
        <w:t>、如不使用省级或行业建设主管部门发布的计价依据，可不填写定额项目、编号等。</w:t>
      </w:r>
    </w:p>
    <w:p>
      <w:pPr>
        <w:numPr>
          <w:ilvl w:val="0"/>
          <w:numId w:val="0"/>
        </w:numPr>
        <w:spacing w:line="360" w:lineRule="auto"/>
        <w:ind w:firstLine="210" w:firstLineChars="100"/>
        <w:rPr>
          <w:rStyle w:val="25"/>
          <w:rFonts w:hint="eastAsia" w:cs="宋体"/>
          <w:b/>
          <w:bCs w:val="0"/>
          <w:color w:val="auto"/>
          <w:sz w:val="28"/>
          <w:szCs w:val="28"/>
          <w:highlight w:val="none"/>
        </w:rPr>
      </w:pPr>
      <w:r>
        <w:rPr>
          <w:rFonts w:hint="eastAsia" w:ascii="宋体" w:hAnsi="宋体"/>
          <w:bCs/>
          <w:color w:val="auto"/>
          <w:szCs w:val="30"/>
          <w:highlight w:val="none"/>
          <w:lang w:val="en-US" w:eastAsia="zh-CN"/>
        </w:rPr>
        <w:t>2、</w:t>
      </w:r>
      <w:r>
        <w:rPr>
          <w:rFonts w:hint="eastAsia" w:ascii="宋体" w:hAnsi="宋体"/>
          <w:bCs/>
          <w:color w:val="auto"/>
          <w:szCs w:val="30"/>
          <w:highlight w:val="none"/>
          <w:lang w:eastAsia="zh-CN"/>
        </w:rPr>
        <w:t>竞争性磋商文件</w:t>
      </w:r>
      <w:r>
        <w:rPr>
          <w:rFonts w:hint="eastAsia" w:ascii="宋体" w:hAnsi="宋体"/>
          <w:bCs/>
          <w:color w:val="auto"/>
          <w:szCs w:val="30"/>
          <w:highlight w:val="none"/>
        </w:rPr>
        <w:t>提供了暂估单价的材料，按暂估单价填入表内“暂估单价”栏及“暂估合价”栏。</w:t>
      </w: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19 </w:t>
      </w:r>
      <w:r>
        <w:rPr>
          <w:rStyle w:val="25"/>
          <w:rFonts w:hint="eastAsia" w:cs="宋体"/>
          <w:b/>
          <w:bCs w:val="0"/>
          <w:color w:val="auto"/>
          <w:sz w:val="24"/>
          <w:szCs w:val="24"/>
          <w:highlight w:val="none"/>
        </w:rPr>
        <w:t xml:space="preserve"> 总价措施项目清单与计价表</w:t>
      </w:r>
    </w:p>
    <w:p>
      <w:pPr>
        <w:spacing w:before="2" w:line="460" w:lineRule="atLeast"/>
        <w:jc w:val="left"/>
        <w:rPr>
          <w:rFonts w:ascii="宋体" w:cs="宋体"/>
          <w:color w:val="auto"/>
          <w:sz w:val="24"/>
          <w:szCs w:val="24"/>
          <w:highlight w:val="none"/>
        </w:rPr>
      </w:pPr>
      <w:r>
        <w:rPr>
          <w:rFonts w:hint="eastAsia" w:ascii="宋体" w:hAnsi="宋体" w:cs="宋体"/>
          <w:color w:val="auto"/>
          <w:sz w:val="24"/>
          <w:szCs w:val="24"/>
          <w:highlight w:val="none"/>
        </w:rPr>
        <w:t>工程名称：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共</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p>
    <w:tbl>
      <w:tblPr>
        <w:tblStyle w:val="22"/>
        <w:tblpPr w:leftFromText="180" w:rightFromText="180" w:vertAnchor="text" w:horzAnchor="page" w:tblpXSpec="center" w:tblpY="277"/>
        <w:tblOverlap w:val="never"/>
        <w:tblW w:w="9375" w:type="dxa"/>
        <w:jc w:val="center"/>
        <w:tblLayout w:type="fixed"/>
        <w:tblCellMar>
          <w:top w:w="0" w:type="dxa"/>
          <w:left w:w="0" w:type="dxa"/>
          <w:bottom w:w="0" w:type="dxa"/>
          <w:right w:w="0" w:type="dxa"/>
        </w:tblCellMar>
      </w:tblPr>
      <w:tblGrid>
        <w:gridCol w:w="563"/>
        <w:gridCol w:w="949"/>
        <w:gridCol w:w="1218"/>
        <w:gridCol w:w="1021"/>
        <w:gridCol w:w="1204"/>
        <w:gridCol w:w="1233"/>
        <w:gridCol w:w="1147"/>
        <w:gridCol w:w="1305"/>
        <w:gridCol w:w="735"/>
      </w:tblGrid>
      <w:tr>
        <w:trPr>
          <w:trHeight w:val="909" w:hRule="exac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4"/>
              <w:jc w:val="center"/>
              <w:rPr>
                <w:rFonts w:ascii="宋体" w:cs="宋体"/>
                <w:color w:val="auto"/>
                <w:szCs w:val="21"/>
                <w:highlight w:val="none"/>
              </w:rPr>
            </w:pPr>
            <w:r>
              <w:rPr>
                <w:rFonts w:hint="eastAsia" w:ascii="宋体" w:hAnsi="宋体" w:cs="宋体"/>
                <w:color w:val="auto"/>
                <w:szCs w:val="21"/>
                <w:highlight w:val="none"/>
              </w:rPr>
              <w:t>序号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20"/>
              <w:jc w:val="center"/>
              <w:rPr>
                <w:rFonts w:ascii="宋体" w:cs="宋体"/>
                <w:color w:val="auto"/>
                <w:szCs w:val="21"/>
                <w:highlight w:val="none"/>
              </w:rPr>
            </w:pPr>
            <w:r>
              <w:rPr>
                <w:rFonts w:hint="eastAsia" w:ascii="宋体" w:hAnsi="宋体" w:cs="宋体"/>
                <w:color w:val="auto"/>
                <w:szCs w:val="21"/>
                <w:highlight w:val="none"/>
              </w:rPr>
              <w:t>项目编码</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20"/>
              <w:jc w:val="center"/>
              <w:rPr>
                <w:rFonts w:ascii="宋体" w:cs="宋体"/>
                <w:color w:val="auto"/>
                <w:szCs w:val="21"/>
                <w:highlight w:val="none"/>
              </w:rPr>
            </w:pPr>
            <w:r>
              <w:rPr>
                <w:rFonts w:hint="eastAsia" w:ascii="宋体" w:hAnsi="宋体" w:cs="宋体"/>
                <w:color w:val="auto"/>
                <w:szCs w:val="21"/>
                <w:highlight w:val="none"/>
              </w:rPr>
              <w:t>项目名称</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20"/>
              <w:jc w:val="center"/>
              <w:rPr>
                <w:rFonts w:ascii="宋体" w:cs="宋体"/>
                <w:color w:val="auto"/>
                <w:szCs w:val="21"/>
                <w:highlight w:val="none"/>
              </w:rPr>
            </w:pPr>
            <w:r>
              <w:rPr>
                <w:rFonts w:hint="eastAsia" w:ascii="宋体" w:hAnsi="宋体" w:cs="宋体"/>
                <w:color w:val="auto"/>
                <w:szCs w:val="21"/>
                <w:highlight w:val="none"/>
              </w:rPr>
              <w:t>计算基础</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20"/>
              <w:jc w:val="center"/>
              <w:rPr>
                <w:rFonts w:ascii="宋体" w:cs="宋体"/>
                <w:color w:val="auto"/>
                <w:szCs w:val="21"/>
                <w:highlight w:val="none"/>
              </w:rPr>
            </w:pPr>
            <w:r>
              <w:rPr>
                <w:rFonts w:hint="eastAsia" w:ascii="宋体" w:hAnsi="宋体" w:cs="宋体"/>
                <w:color w:val="auto"/>
                <w:szCs w:val="21"/>
                <w:highlight w:val="none"/>
              </w:rPr>
              <w:t>费率（</w:t>
            </w:r>
            <w:r>
              <w:rPr>
                <w:rFonts w:ascii="宋体" w:hAnsi="宋体" w:cs="宋体"/>
                <w:color w:val="auto"/>
                <w:szCs w:val="21"/>
                <w:highlight w:val="none"/>
              </w:rPr>
              <w:t>%</w:t>
            </w:r>
            <w:r>
              <w:rPr>
                <w:rFonts w:hint="eastAsia" w:ascii="宋体" w:hAnsi="宋体" w:cs="宋体"/>
                <w:color w:val="auto"/>
                <w:szCs w:val="21"/>
                <w:highlight w:val="none"/>
              </w:rPr>
              <w:t>）</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77"/>
              <w:jc w:val="center"/>
              <w:rPr>
                <w:rFonts w:ascii="宋体" w:cs="宋体"/>
                <w:color w:val="auto"/>
                <w:szCs w:val="21"/>
                <w:highlight w:val="none"/>
              </w:rPr>
            </w:pPr>
            <w:r>
              <w:rPr>
                <w:rFonts w:hint="eastAsia" w:ascii="宋体" w:hAnsi="宋体" w:cs="宋体"/>
                <w:color w:val="auto"/>
                <w:szCs w:val="21"/>
                <w:highlight w:val="none"/>
              </w:rPr>
              <w:t>金额（元</w:t>
            </w:r>
            <w:r>
              <w:rPr>
                <w:rFonts w:hint="eastAsia" w:ascii="宋体" w:hAnsi="宋体" w:cs="宋体"/>
                <w:color w:val="auto"/>
                <w:position w:val="-2"/>
                <w:szCs w:val="21"/>
                <w:highlight w:val="none"/>
              </w:rPr>
              <w:t>）</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74"/>
              <w:jc w:val="center"/>
              <w:rPr>
                <w:rFonts w:ascii="宋体" w:cs="宋体"/>
                <w:color w:val="auto"/>
                <w:szCs w:val="21"/>
                <w:highlight w:val="none"/>
              </w:rPr>
            </w:pPr>
            <w:r>
              <w:rPr>
                <w:rFonts w:hint="eastAsia" w:ascii="宋体" w:hAnsi="宋体" w:cs="宋体"/>
                <w:color w:val="auto"/>
                <w:szCs w:val="21"/>
                <w:highlight w:val="none"/>
              </w:rPr>
              <w:t>调整费率（</w:t>
            </w:r>
            <w:r>
              <w:rPr>
                <w:rFonts w:ascii="宋体" w:hAnsi="宋体" w:cs="宋体"/>
                <w:color w:val="auto"/>
                <w:position w:val="-2"/>
                <w:szCs w:val="21"/>
                <w:highlight w:val="none"/>
              </w:rPr>
              <w:t>%</w:t>
            </w:r>
            <w:r>
              <w:rPr>
                <w:rFonts w:hint="eastAsia" w:ascii="宋体" w:hAnsi="宋体" w:cs="宋体"/>
                <w:color w:val="auto"/>
                <w:position w:val="-2"/>
                <w:szCs w:val="21"/>
                <w:highlight w:val="none"/>
              </w:rPr>
              <w:t>）</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74"/>
              <w:jc w:val="center"/>
              <w:rPr>
                <w:rFonts w:ascii="宋体" w:cs="宋体"/>
                <w:color w:val="auto"/>
                <w:szCs w:val="21"/>
                <w:highlight w:val="none"/>
              </w:rPr>
            </w:pPr>
            <w:r>
              <w:rPr>
                <w:rFonts w:hint="eastAsia" w:ascii="宋体" w:hAnsi="宋体" w:cs="宋体"/>
                <w:color w:val="auto"/>
                <w:szCs w:val="21"/>
                <w:highlight w:val="none"/>
              </w:rPr>
              <w:t>调整后金额</w:t>
            </w:r>
            <w:r>
              <w:rPr>
                <w:rFonts w:hint="eastAsia" w:ascii="宋体" w:hAnsi="宋体" w:cs="宋体"/>
                <w:color w:val="auto"/>
                <w:position w:val="-2"/>
                <w:szCs w:val="21"/>
                <w:highlight w:val="none"/>
              </w:rPr>
              <w:t>（元）</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20"/>
              <w:jc w:val="center"/>
              <w:rPr>
                <w:rFonts w:ascii="宋体" w:cs="宋体"/>
                <w:color w:val="auto"/>
                <w:szCs w:val="21"/>
                <w:highlight w:val="none"/>
              </w:rPr>
            </w:pPr>
            <w:r>
              <w:rPr>
                <w:rFonts w:hint="eastAsia" w:ascii="宋体" w:hAnsi="宋体" w:cs="宋体"/>
                <w:color w:val="auto"/>
                <w:szCs w:val="21"/>
                <w:highlight w:val="none"/>
              </w:rPr>
              <w:t>备注</w:t>
            </w:r>
          </w:p>
        </w:tc>
      </w:tr>
      <w:tr>
        <w:tblPrEx>
          <w:tblCellMar>
            <w:top w:w="0" w:type="dxa"/>
            <w:left w:w="0" w:type="dxa"/>
            <w:bottom w:w="0" w:type="dxa"/>
            <w:right w:w="0" w:type="dxa"/>
          </w:tblCellMar>
        </w:tblPrEx>
        <w:trPr>
          <w:trHeight w:val="719" w:hRule="exact"/>
          <w:jc w:val="center"/>
        </w:trPr>
        <w:tc>
          <w:tcPr>
            <w:tcW w:w="56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94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02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r>
      <w:tr>
        <w:tblPrEx>
          <w:tblCellMar>
            <w:top w:w="0" w:type="dxa"/>
            <w:left w:w="0" w:type="dxa"/>
            <w:bottom w:w="0" w:type="dxa"/>
            <w:right w:w="0" w:type="dxa"/>
          </w:tblCellMar>
        </w:tblPrEx>
        <w:trPr>
          <w:trHeight w:val="719" w:hRule="exact"/>
          <w:jc w:val="center"/>
        </w:trPr>
        <w:tc>
          <w:tcPr>
            <w:tcW w:w="56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94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02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r>
      <w:tr>
        <w:tblPrEx>
          <w:tblCellMar>
            <w:top w:w="0" w:type="dxa"/>
            <w:left w:w="0" w:type="dxa"/>
            <w:bottom w:w="0" w:type="dxa"/>
            <w:right w:w="0" w:type="dxa"/>
          </w:tblCellMar>
        </w:tblPrEx>
        <w:trPr>
          <w:trHeight w:val="719" w:hRule="exact"/>
          <w:jc w:val="center"/>
        </w:trPr>
        <w:tc>
          <w:tcPr>
            <w:tcW w:w="56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94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02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r>
      <w:tr>
        <w:trPr>
          <w:trHeight w:val="719" w:hRule="exact"/>
          <w:jc w:val="center"/>
        </w:trPr>
        <w:tc>
          <w:tcPr>
            <w:tcW w:w="56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94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02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r>
      <w:tr>
        <w:trPr>
          <w:trHeight w:val="719" w:hRule="exact"/>
          <w:jc w:val="center"/>
        </w:trPr>
        <w:tc>
          <w:tcPr>
            <w:tcW w:w="56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94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02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r>
      <w:tr>
        <w:trPr>
          <w:trHeight w:val="719" w:hRule="exact"/>
          <w:jc w:val="center"/>
        </w:trPr>
        <w:tc>
          <w:tcPr>
            <w:tcW w:w="56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94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02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r>
      <w:tr>
        <w:trPr>
          <w:trHeight w:val="719" w:hRule="exact"/>
          <w:jc w:val="center"/>
        </w:trPr>
        <w:tc>
          <w:tcPr>
            <w:tcW w:w="56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94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02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r>
      <w:tr>
        <w:trPr>
          <w:trHeight w:val="842" w:hRule="exact"/>
          <w:jc w:val="center"/>
        </w:trPr>
        <w:tc>
          <w:tcPr>
            <w:tcW w:w="4955"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23"/>
              <w:jc w:val="center"/>
              <w:rPr>
                <w:rFonts w:ascii="宋体" w:cs="宋体"/>
                <w:color w:val="auto"/>
                <w:szCs w:val="21"/>
                <w:highlight w:val="none"/>
              </w:rPr>
            </w:pPr>
            <w:r>
              <w:rPr>
                <w:rFonts w:hint="eastAsia" w:ascii="宋体" w:hAnsi="宋体" w:cs="宋体"/>
                <w:color w:val="auto"/>
                <w:sz w:val="24"/>
                <w:szCs w:val="24"/>
                <w:highlight w:val="none"/>
              </w:rPr>
              <w:t>合计</w:t>
            </w:r>
          </w:p>
        </w:tc>
        <w:tc>
          <w:tcPr>
            <w:tcW w:w="123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cs="宋体"/>
                <w:color w:val="auto"/>
                <w:highlight w:val="none"/>
              </w:rPr>
            </w:pPr>
          </w:p>
        </w:tc>
      </w:tr>
    </w:tbl>
    <w:p>
      <w:pPr>
        <w:tabs>
          <w:tab w:val="left" w:pos="7980"/>
          <w:tab w:val="left" w:pos="8620"/>
          <w:tab w:val="left" w:pos="9460"/>
        </w:tabs>
        <w:ind w:right="65"/>
        <w:jc w:val="left"/>
        <w:rPr>
          <w:rFonts w:ascii="宋体" w:cs="宋体"/>
          <w:color w:val="auto"/>
          <w:sz w:val="24"/>
          <w:szCs w:val="24"/>
          <w:highlight w:val="none"/>
        </w:rPr>
      </w:pPr>
    </w:p>
    <w:p>
      <w:pPr>
        <w:tabs>
          <w:tab w:val="left" w:pos="7980"/>
          <w:tab w:val="left" w:pos="8620"/>
          <w:tab w:val="left" w:pos="9460"/>
        </w:tabs>
        <w:spacing w:line="360" w:lineRule="auto"/>
        <w:ind w:right="65"/>
        <w:jc w:val="left"/>
        <w:rPr>
          <w:rFonts w:ascii="宋体" w:cs="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w:t>
      </w:r>
      <w:r>
        <w:rPr>
          <w:rFonts w:hint="eastAsia" w:ascii="宋体" w:hAnsi="宋体" w:cs="宋体"/>
          <w:color w:val="auto"/>
          <w:sz w:val="24"/>
          <w:szCs w:val="24"/>
          <w:highlight w:val="none"/>
        </w:rPr>
        <w:t>“计算基础”中安全文明施工费可为“定额基价”、“定额人工费”或“定额人工费</w:t>
      </w:r>
      <w:r>
        <w:rPr>
          <w:rFonts w:ascii="宋体" w:hAnsi="宋体" w:cs="宋体"/>
          <w:color w:val="auto"/>
          <w:sz w:val="24"/>
          <w:szCs w:val="24"/>
          <w:highlight w:val="none"/>
        </w:rPr>
        <w:t>+</w:t>
      </w:r>
      <w:r>
        <w:rPr>
          <w:rFonts w:hint="eastAsia" w:ascii="宋体" w:hAnsi="宋体" w:cs="宋体"/>
          <w:color w:val="auto"/>
          <w:sz w:val="24"/>
          <w:szCs w:val="24"/>
          <w:highlight w:val="none"/>
        </w:rPr>
        <w:t>定额机械费”，其他项目可为“定额人工费”或“定额人工费</w:t>
      </w:r>
      <w:r>
        <w:rPr>
          <w:rFonts w:ascii="宋体" w:hAnsi="宋体" w:cs="宋体"/>
          <w:color w:val="auto"/>
          <w:sz w:val="24"/>
          <w:szCs w:val="24"/>
          <w:highlight w:val="none"/>
        </w:rPr>
        <w:t>+</w:t>
      </w:r>
      <w:r>
        <w:rPr>
          <w:rFonts w:hint="eastAsia" w:ascii="宋体" w:hAnsi="宋体" w:cs="宋体"/>
          <w:color w:val="auto"/>
          <w:sz w:val="24"/>
          <w:szCs w:val="24"/>
          <w:highlight w:val="none"/>
        </w:rPr>
        <w:t>定额机械费”。</w:t>
      </w:r>
    </w:p>
    <w:p>
      <w:pPr>
        <w:pStyle w:val="18"/>
        <w:spacing w:beforeAutospacing="0" w:afterAutospacing="0" w:line="360" w:lineRule="auto"/>
        <w:ind w:firstLine="480" w:firstLineChars="200"/>
        <w:jc w:val="left"/>
        <w:rPr>
          <w:rStyle w:val="25"/>
          <w:rFonts w:hint="eastAsia" w:cs="宋体"/>
          <w:b/>
          <w:bCs w:val="0"/>
          <w:color w:val="auto"/>
          <w:sz w:val="24"/>
          <w:szCs w:val="24"/>
          <w:highlight w:val="none"/>
        </w:rPr>
      </w:pPr>
      <w:r>
        <w:rPr>
          <w:rFonts w:hint="eastAsia" w:cs="宋体"/>
          <w:color w:val="auto"/>
          <w:sz w:val="24"/>
          <w:szCs w:val="24"/>
          <w:highlight w:val="none"/>
          <w:lang w:val="en-US" w:eastAsia="zh-CN"/>
        </w:rPr>
        <w:t>2.</w:t>
      </w:r>
      <w:r>
        <w:rPr>
          <w:rFonts w:hint="eastAsia" w:ascii="宋体" w:hAnsi="宋体" w:cs="宋体"/>
          <w:color w:val="auto"/>
          <w:sz w:val="24"/>
          <w:szCs w:val="24"/>
          <w:highlight w:val="none"/>
        </w:rPr>
        <w:t>按施工方案计算的措施费，若无“计算基础”和“费率”的数值，也可只填“金额”数值，但应在备注栏说明施工方案出处或计算方法。</w:t>
      </w: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20 </w:t>
      </w:r>
      <w:r>
        <w:rPr>
          <w:rStyle w:val="25"/>
          <w:rFonts w:hint="eastAsia" w:cs="宋体"/>
          <w:b/>
          <w:bCs w:val="0"/>
          <w:color w:val="auto"/>
          <w:sz w:val="24"/>
          <w:szCs w:val="24"/>
          <w:highlight w:val="none"/>
        </w:rPr>
        <w:t xml:space="preserve"> 措施项目汇总表</w:t>
      </w:r>
    </w:p>
    <w:p>
      <w:pPr>
        <w:tabs>
          <w:tab w:val="left" w:pos="8440"/>
          <w:tab w:val="left" w:pos="8860"/>
          <w:tab w:val="left" w:pos="9280"/>
          <w:tab w:val="left" w:pos="9700"/>
        </w:tabs>
        <w:spacing w:line="460" w:lineRule="atLeast"/>
        <w:ind w:left="17" w:right="285" w:hanging="16" w:hangingChars="7"/>
        <w:jc w:val="left"/>
        <w:rPr>
          <w:rFonts w:ascii="宋体" w:cs="宋体"/>
          <w:color w:val="auto"/>
          <w:sz w:val="24"/>
          <w:szCs w:val="24"/>
          <w:highlight w:val="none"/>
        </w:rPr>
      </w:pPr>
      <w:r>
        <w:rPr>
          <w:rFonts w:hint="eastAsia" w:ascii="宋体" w:hAnsi="宋体" w:cs="宋体"/>
          <w:color w:val="auto"/>
          <w:position w:val="-1"/>
          <w:sz w:val="24"/>
          <w:szCs w:val="24"/>
          <w:highlight w:val="none"/>
        </w:rPr>
        <w:t>工程名称：</w:t>
      </w:r>
      <w:r>
        <w:rPr>
          <w:rFonts w:hint="eastAsia" w:ascii="宋体" w:hAnsi="宋体" w:cs="宋体"/>
          <w:color w:val="auto"/>
          <w:position w:val="-1"/>
          <w:sz w:val="24"/>
          <w:szCs w:val="24"/>
          <w:highlight w:val="none"/>
          <w:lang w:val="en-US" w:eastAsia="zh-CN"/>
        </w:rPr>
        <w:t xml:space="preserve">                                       </w:t>
      </w:r>
      <w:r>
        <w:rPr>
          <w:rFonts w:hint="eastAsia" w:ascii="宋体" w:hAnsi="宋体" w:cs="宋体"/>
          <w:color w:val="auto"/>
          <w:position w:val="-1"/>
          <w:sz w:val="24"/>
          <w:szCs w:val="24"/>
          <w:highlight w:val="none"/>
        </w:rPr>
        <w:t>第</w:t>
      </w:r>
      <w:r>
        <w:rPr>
          <w:rFonts w:hint="eastAsia" w:ascii="宋体" w:hAnsi="宋体" w:cs="宋体"/>
          <w:color w:val="auto"/>
          <w:position w:val="-1"/>
          <w:sz w:val="24"/>
          <w:szCs w:val="24"/>
          <w:highlight w:val="none"/>
          <w:lang w:val="en-US" w:eastAsia="zh-CN"/>
        </w:rPr>
        <w:t xml:space="preserve">   </w:t>
      </w:r>
      <w:r>
        <w:rPr>
          <w:rFonts w:hint="eastAsia" w:ascii="宋体" w:hAnsi="宋体" w:cs="宋体"/>
          <w:color w:val="auto"/>
          <w:position w:val="-1"/>
          <w:sz w:val="24"/>
          <w:szCs w:val="24"/>
          <w:highlight w:val="none"/>
        </w:rPr>
        <w:t>页</w:t>
      </w:r>
      <w:r>
        <w:rPr>
          <w:rFonts w:hint="eastAsia" w:ascii="宋体" w:hAnsi="宋体" w:cs="宋体"/>
          <w:color w:val="auto"/>
          <w:position w:val="-1"/>
          <w:sz w:val="24"/>
          <w:szCs w:val="24"/>
          <w:highlight w:val="none"/>
          <w:lang w:val="en-US" w:eastAsia="zh-CN"/>
        </w:rPr>
        <w:t xml:space="preserve">   </w:t>
      </w:r>
      <w:r>
        <w:rPr>
          <w:rFonts w:hint="eastAsia" w:ascii="宋体" w:hAnsi="宋体" w:cs="宋体"/>
          <w:color w:val="auto"/>
          <w:position w:val="-1"/>
          <w:sz w:val="24"/>
          <w:szCs w:val="24"/>
          <w:highlight w:val="none"/>
        </w:rPr>
        <w:t>共</w:t>
      </w:r>
      <w:r>
        <w:rPr>
          <w:rFonts w:hint="eastAsia" w:ascii="宋体" w:hAnsi="宋体" w:cs="宋体"/>
          <w:color w:val="auto"/>
          <w:position w:val="-1"/>
          <w:sz w:val="24"/>
          <w:szCs w:val="24"/>
          <w:highlight w:val="none"/>
          <w:lang w:val="en-US" w:eastAsia="zh-CN"/>
        </w:rPr>
        <w:t xml:space="preserve">    </w:t>
      </w:r>
      <w:r>
        <w:rPr>
          <w:rFonts w:hint="eastAsia" w:ascii="宋体" w:hAnsi="宋体" w:cs="宋体"/>
          <w:color w:val="auto"/>
          <w:position w:val="-1"/>
          <w:sz w:val="24"/>
          <w:szCs w:val="24"/>
          <w:highlight w:val="none"/>
        </w:rPr>
        <w:t>页</w:t>
      </w:r>
    </w:p>
    <w:tbl>
      <w:tblPr>
        <w:tblStyle w:val="22"/>
        <w:tblW w:w="0" w:type="auto"/>
        <w:jc w:val="center"/>
        <w:tblLayout w:type="fixed"/>
        <w:tblCellMar>
          <w:top w:w="0" w:type="dxa"/>
          <w:left w:w="0" w:type="dxa"/>
          <w:bottom w:w="0" w:type="dxa"/>
          <w:right w:w="0" w:type="dxa"/>
        </w:tblCellMar>
      </w:tblPr>
      <w:tblGrid>
        <w:gridCol w:w="1117"/>
        <w:gridCol w:w="3683"/>
        <w:gridCol w:w="2754"/>
        <w:gridCol w:w="1846"/>
      </w:tblGrid>
      <w:tr>
        <w:trPr>
          <w:trHeight w:val="1292" w:hRule="exact"/>
          <w:jc w:val="center"/>
        </w:trPr>
        <w:tc>
          <w:tcPr>
            <w:tcW w:w="1117"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ascii="宋体" w:cs="宋体"/>
                <w:color w:val="auto"/>
                <w:sz w:val="24"/>
                <w:szCs w:val="24"/>
                <w:highlight w:val="none"/>
              </w:rPr>
            </w:pPr>
            <w:r>
              <w:rPr>
                <w:rFonts w:hint="eastAsia" w:ascii="宋体" w:hAnsi="宋体" w:cs="宋体"/>
                <w:color w:val="auto"/>
                <w:sz w:val="24"/>
                <w:szCs w:val="24"/>
                <w:highlight w:val="none"/>
              </w:rPr>
              <w:t>序号</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pPr>
              <w:ind w:right="-60"/>
              <w:jc w:val="center"/>
              <w:rPr>
                <w:rFonts w:ascii="宋体" w:cs="宋体"/>
                <w:color w:val="auto"/>
                <w:sz w:val="24"/>
                <w:szCs w:val="24"/>
                <w:highlight w:val="none"/>
              </w:rPr>
            </w:pPr>
            <w:r>
              <w:rPr>
                <w:rFonts w:hint="eastAsia" w:ascii="宋体" w:hAnsi="宋体" w:cs="宋体"/>
                <w:color w:val="auto"/>
                <w:sz w:val="24"/>
                <w:szCs w:val="24"/>
                <w:highlight w:val="none"/>
              </w:rPr>
              <w:t>项目名称</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ind w:right="-110"/>
              <w:jc w:val="center"/>
              <w:rPr>
                <w:rFonts w:ascii="宋体" w:cs="宋体"/>
                <w:color w:val="auto"/>
                <w:sz w:val="24"/>
                <w:szCs w:val="24"/>
                <w:highlight w:val="none"/>
              </w:rPr>
            </w:pPr>
            <w:r>
              <w:rPr>
                <w:rFonts w:hint="eastAsia" w:ascii="宋体" w:hAnsi="宋体" w:cs="宋体"/>
                <w:color w:val="auto"/>
                <w:sz w:val="24"/>
                <w:szCs w:val="24"/>
                <w:highlight w:val="none"/>
              </w:rPr>
              <w:t>金额（元）</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auto"/>
                <w:sz w:val="24"/>
                <w:szCs w:val="24"/>
                <w:highlight w:val="none"/>
              </w:rPr>
            </w:pPr>
            <w:r>
              <w:rPr>
                <w:rFonts w:hint="eastAsia" w:ascii="宋体" w:hAnsi="宋体" w:cs="宋体"/>
                <w:color w:val="auto"/>
                <w:sz w:val="24"/>
                <w:szCs w:val="24"/>
                <w:highlight w:val="none"/>
              </w:rPr>
              <w:t>备注</w:t>
            </w:r>
          </w:p>
        </w:tc>
      </w:tr>
      <w:tr>
        <w:tblPrEx>
          <w:tblCellMar>
            <w:top w:w="0" w:type="dxa"/>
            <w:left w:w="0" w:type="dxa"/>
            <w:bottom w:w="0" w:type="dxa"/>
            <w:right w:w="0" w:type="dxa"/>
          </w:tblCellMar>
        </w:tblPrEx>
        <w:trPr>
          <w:trHeight w:val="687" w:hRule="exact"/>
          <w:jc w:val="center"/>
        </w:trPr>
        <w:tc>
          <w:tcPr>
            <w:tcW w:w="1117" w:type="dxa"/>
            <w:tcBorders>
              <w:top w:val="single" w:color="000000" w:sz="4" w:space="0"/>
              <w:left w:val="single" w:color="000000" w:sz="4" w:space="0"/>
              <w:bottom w:val="single" w:color="000000" w:sz="4" w:space="0"/>
              <w:right w:val="single" w:color="000000" w:sz="4" w:space="0"/>
            </w:tcBorders>
            <w:noWrap w:val="0"/>
            <w:vAlign w:val="center"/>
          </w:tcPr>
          <w:p>
            <w:pPr>
              <w:spacing w:before="7"/>
              <w:jc w:val="center"/>
              <w:rPr>
                <w:rFonts w:ascii="宋体" w:cs="宋体"/>
                <w:color w:val="auto"/>
                <w:sz w:val="24"/>
                <w:szCs w:val="24"/>
                <w:highlight w:val="none"/>
              </w:rPr>
            </w:pPr>
          </w:p>
          <w:p>
            <w:pPr>
              <w:ind w:left="442" w:right="422"/>
              <w:jc w:val="center"/>
              <w:rPr>
                <w:rFonts w:ascii="宋体" w:cs="宋体"/>
                <w:color w:val="auto"/>
                <w:sz w:val="24"/>
                <w:szCs w:val="24"/>
                <w:highlight w:val="none"/>
              </w:rPr>
            </w:pPr>
            <w:r>
              <w:rPr>
                <w:rFonts w:ascii="宋体" w:hAnsi="宋体" w:cs="宋体"/>
                <w:color w:val="auto"/>
                <w:sz w:val="24"/>
                <w:szCs w:val="24"/>
                <w:highlight w:val="none"/>
              </w:rPr>
              <w:t>1</w:t>
            </w:r>
          </w:p>
        </w:tc>
        <w:tc>
          <w:tcPr>
            <w:tcW w:w="3683"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846"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blPrEx>
          <w:tblCellMar>
            <w:top w:w="0" w:type="dxa"/>
            <w:left w:w="0" w:type="dxa"/>
            <w:bottom w:w="0" w:type="dxa"/>
            <w:right w:w="0" w:type="dxa"/>
          </w:tblCellMar>
        </w:tblPrEx>
        <w:trPr>
          <w:trHeight w:val="687" w:hRule="exact"/>
          <w:jc w:val="center"/>
        </w:trPr>
        <w:tc>
          <w:tcPr>
            <w:tcW w:w="1117" w:type="dxa"/>
            <w:tcBorders>
              <w:top w:val="single" w:color="000000" w:sz="4" w:space="0"/>
              <w:left w:val="single" w:color="000000" w:sz="4" w:space="0"/>
              <w:bottom w:val="single" w:color="000000" w:sz="4" w:space="0"/>
              <w:right w:val="single" w:color="000000" w:sz="4" w:space="0"/>
            </w:tcBorders>
            <w:noWrap w:val="0"/>
            <w:vAlign w:val="center"/>
          </w:tcPr>
          <w:p>
            <w:pPr>
              <w:spacing w:before="7"/>
              <w:jc w:val="center"/>
              <w:rPr>
                <w:rFonts w:ascii="宋体" w:cs="宋体"/>
                <w:color w:val="auto"/>
                <w:sz w:val="24"/>
                <w:szCs w:val="24"/>
                <w:highlight w:val="none"/>
              </w:rPr>
            </w:pPr>
          </w:p>
          <w:p>
            <w:pPr>
              <w:ind w:left="442" w:right="422"/>
              <w:jc w:val="center"/>
              <w:rPr>
                <w:rFonts w:ascii="宋体" w:cs="宋体"/>
                <w:color w:val="auto"/>
                <w:sz w:val="24"/>
                <w:szCs w:val="24"/>
                <w:highlight w:val="none"/>
              </w:rPr>
            </w:pPr>
            <w:r>
              <w:rPr>
                <w:rFonts w:ascii="宋体" w:hAnsi="宋体" w:cs="宋体"/>
                <w:color w:val="auto"/>
                <w:sz w:val="24"/>
                <w:szCs w:val="24"/>
                <w:highlight w:val="none"/>
              </w:rPr>
              <w:t>2</w:t>
            </w:r>
          </w:p>
        </w:tc>
        <w:tc>
          <w:tcPr>
            <w:tcW w:w="3683"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846"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blPrEx>
          <w:tblCellMar>
            <w:top w:w="0" w:type="dxa"/>
            <w:left w:w="0" w:type="dxa"/>
            <w:bottom w:w="0" w:type="dxa"/>
            <w:right w:w="0" w:type="dxa"/>
          </w:tblCellMar>
        </w:tblPrEx>
        <w:trPr>
          <w:trHeight w:val="687" w:hRule="exact"/>
          <w:jc w:val="center"/>
        </w:trPr>
        <w:tc>
          <w:tcPr>
            <w:tcW w:w="1117" w:type="dxa"/>
            <w:tcBorders>
              <w:top w:val="single" w:color="000000" w:sz="4" w:space="0"/>
              <w:left w:val="single" w:color="000000" w:sz="4" w:space="0"/>
              <w:bottom w:val="single" w:color="000000" w:sz="4" w:space="0"/>
              <w:right w:val="single" w:color="000000" w:sz="4" w:space="0"/>
            </w:tcBorders>
            <w:noWrap w:val="0"/>
            <w:vAlign w:val="center"/>
          </w:tcPr>
          <w:p>
            <w:pPr>
              <w:spacing w:before="7"/>
              <w:jc w:val="center"/>
              <w:rPr>
                <w:rFonts w:ascii="宋体" w:cs="宋体"/>
                <w:color w:val="auto"/>
                <w:sz w:val="24"/>
                <w:szCs w:val="24"/>
                <w:highlight w:val="none"/>
              </w:rPr>
            </w:pPr>
          </w:p>
          <w:p>
            <w:pPr>
              <w:ind w:left="442" w:right="422"/>
              <w:jc w:val="center"/>
              <w:rPr>
                <w:rFonts w:ascii="宋体" w:cs="宋体"/>
                <w:color w:val="auto"/>
                <w:sz w:val="24"/>
                <w:szCs w:val="24"/>
                <w:highlight w:val="none"/>
              </w:rPr>
            </w:pPr>
            <w:r>
              <w:rPr>
                <w:rFonts w:ascii="宋体" w:hAnsi="宋体" w:cs="宋体"/>
                <w:color w:val="auto"/>
                <w:sz w:val="24"/>
                <w:szCs w:val="24"/>
                <w:highlight w:val="none"/>
              </w:rPr>
              <w:t>3</w:t>
            </w:r>
          </w:p>
        </w:tc>
        <w:tc>
          <w:tcPr>
            <w:tcW w:w="3683"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846"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rPr>
          <w:trHeight w:val="687" w:hRule="exact"/>
          <w:jc w:val="center"/>
        </w:trPr>
        <w:tc>
          <w:tcPr>
            <w:tcW w:w="1117" w:type="dxa"/>
            <w:tcBorders>
              <w:top w:val="single" w:color="000000" w:sz="4" w:space="0"/>
              <w:left w:val="single" w:color="000000" w:sz="4" w:space="0"/>
              <w:bottom w:val="single" w:color="000000" w:sz="4" w:space="0"/>
              <w:right w:val="single" w:color="000000" w:sz="4" w:space="0"/>
            </w:tcBorders>
            <w:noWrap w:val="0"/>
            <w:vAlign w:val="center"/>
          </w:tcPr>
          <w:p>
            <w:pPr>
              <w:spacing w:before="7"/>
              <w:jc w:val="center"/>
              <w:rPr>
                <w:rFonts w:ascii="宋体" w:cs="宋体"/>
                <w:color w:val="auto"/>
                <w:sz w:val="24"/>
                <w:szCs w:val="24"/>
                <w:highlight w:val="none"/>
              </w:rPr>
            </w:pPr>
          </w:p>
          <w:p>
            <w:pPr>
              <w:ind w:left="442" w:right="422"/>
              <w:jc w:val="center"/>
              <w:rPr>
                <w:rFonts w:ascii="宋体" w:cs="宋体"/>
                <w:color w:val="auto"/>
                <w:sz w:val="24"/>
                <w:szCs w:val="24"/>
                <w:highlight w:val="none"/>
              </w:rPr>
            </w:pPr>
            <w:r>
              <w:rPr>
                <w:rFonts w:ascii="宋体" w:hAnsi="宋体" w:cs="宋体"/>
                <w:color w:val="auto"/>
                <w:sz w:val="24"/>
                <w:szCs w:val="24"/>
                <w:highlight w:val="none"/>
              </w:rPr>
              <w:t>4</w:t>
            </w:r>
          </w:p>
        </w:tc>
        <w:tc>
          <w:tcPr>
            <w:tcW w:w="3683"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846"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rPr>
          <w:trHeight w:val="687" w:hRule="exact"/>
          <w:jc w:val="center"/>
        </w:trPr>
        <w:tc>
          <w:tcPr>
            <w:tcW w:w="1117" w:type="dxa"/>
            <w:tcBorders>
              <w:top w:val="single" w:color="000000" w:sz="4" w:space="0"/>
              <w:left w:val="single" w:color="000000" w:sz="4" w:space="0"/>
              <w:bottom w:val="single" w:color="000000" w:sz="4" w:space="0"/>
              <w:right w:val="single" w:color="000000" w:sz="4" w:space="0"/>
            </w:tcBorders>
            <w:noWrap w:val="0"/>
            <w:vAlign w:val="center"/>
          </w:tcPr>
          <w:p>
            <w:pPr>
              <w:spacing w:before="7"/>
              <w:jc w:val="center"/>
              <w:rPr>
                <w:rFonts w:ascii="宋体" w:cs="宋体"/>
                <w:color w:val="auto"/>
                <w:sz w:val="24"/>
                <w:szCs w:val="24"/>
                <w:highlight w:val="none"/>
              </w:rPr>
            </w:pPr>
          </w:p>
          <w:p>
            <w:pPr>
              <w:ind w:left="442" w:right="422"/>
              <w:jc w:val="center"/>
              <w:rPr>
                <w:rFonts w:ascii="宋体" w:cs="宋体"/>
                <w:color w:val="auto"/>
                <w:sz w:val="24"/>
                <w:szCs w:val="24"/>
                <w:highlight w:val="none"/>
              </w:rPr>
            </w:pPr>
            <w:r>
              <w:rPr>
                <w:rFonts w:ascii="宋体" w:hAnsi="宋体" w:cs="宋体"/>
                <w:color w:val="auto"/>
                <w:sz w:val="24"/>
                <w:szCs w:val="24"/>
                <w:highlight w:val="none"/>
              </w:rPr>
              <w:t>5</w:t>
            </w:r>
          </w:p>
        </w:tc>
        <w:tc>
          <w:tcPr>
            <w:tcW w:w="3683"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846"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rPr>
          <w:trHeight w:val="687" w:hRule="exact"/>
          <w:jc w:val="center"/>
        </w:trPr>
        <w:tc>
          <w:tcPr>
            <w:tcW w:w="1117" w:type="dxa"/>
            <w:tcBorders>
              <w:top w:val="single" w:color="000000" w:sz="4" w:space="0"/>
              <w:left w:val="single" w:color="000000" w:sz="4" w:space="0"/>
              <w:bottom w:val="single" w:color="000000" w:sz="4" w:space="0"/>
              <w:right w:val="single" w:color="000000" w:sz="4" w:space="0"/>
            </w:tcBorders>
            <w:noWrap w:val="0"/>
            <w:vAlign w:val="center"/>
          </w:tcPr>
          <w:p>
            <w:pPr>
              <w:spacing w:before="7"/>
              <w:jc w:val="center"/>
              <w:rPr>
                <w:rFonts w:ascii="宋体" w:cs="宋体"/>
                <w:color w:val="auto"/>
                <w:sz w:val="24"/>
                <w:szCs w:val="24"/>
                <w:highlight w:val="none"/>
              </w:rPr>
            </w:pPr>
          </w:p>
          <w:p>
            <w:pPr>
              <w:ind w:left="442" w:right="422"/>
              <w:jc w:val="center"/>
              <w:rPr>
                <w:rFonts w:ascii="宋体" w:cs="宋体"/>
                <w:color w:val="auto"/>
                <w:sz w:val="24"/>
                <w:szCs w:val="24"/>
                <w:highlight w:val="none"/>
              </w:rPr>
            </w:pPr>
            <w:r>
              <w:rPr>
                <w:rFonts w:ascii="宋体" w:hAnsi="宋体" w:cs="宋体"/>
                <w:color w:val="auto"/>
                <w:sz w:val="24"/>
                <w:szCs w:val="24"/>
                <w:highlight w:val="none"/>
              </w:rPr>
              <w:t>6</w:t>
            </w:r>
          </w:p>
        </w:tc>
        <w:tc>
          <w:tcPr>
            <w:tcW w:w="3683"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846"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rPr>
          <w:trHeight w:val="687" w:hRule="exact"/>
          <w:jc w:val="center"/>
        </w:trPr>
        <w:tc>
          <w:tcPr>
            <w:tcW w:w="1117" w:type="dxa"/>
            <w:tcBorders>
              <w:top w:val="single" w:color="000000" w:sz="4" w:space="0"/>
              <w:left w:val="single" w:color="000000" w:sz="4" w:space="0"/>
              <w:bottom w:val="single" w:color="000000" w:sz="4" w:space="0"/>
              <w:right w:val="single" w:color="000000" w:sz="4" w:space="0"/>
            </w:tcBorders>
            <w:noWrap w:val="0"/>
            <w:vAlign w:val="center"/>
          </w:tcPr>
          <w:p>
            <w:pPr>
              <w:spacing w:before="7"/>
              <w:jc w:val="center"/>
              <w:rPr>
                <w:rFonts w:ascii="宋体" w:cs="宋体"/>
                <w:color w:val="auto"/>
                <w:sz w:val="24"/>
                <w:szCs w:val="24"/>
                <w:highlight w:val="none"/>
              </w:rPr>
            </w:pPr>
          </w:p>
          <w:p>
            <w:pPr>
              <w:ind w:left="442" w:right="422"/>
              <w:jc w:val="center"/>
              <w:rPr>
                <w:rFonts w:ascii="宋体" w:cs="宋体"/>
                <w:color w:val="auto"/>
                <w:sz w:val="24"/>
                <w:szCs w:val="24"/>
                <w:highlight w:val="none"/>
              </w:rPr>
            </w:pPr>
            <w:r>
              <w:rPr>
                <w:rFonts w:ascii="宋体" w:hAnsi="宋体" w:cs="宋体"/>
                <w:color w:val="auto"/>
                <w:sz w:val="24"/>
                <w:szCs w:val="24"/>
                <w:highlight w:val="none"/>
              </w:rPr>
              <w:t>7</w:t>
            </w:r>
          </w:p>
        </w:tc>
        <w:tc>
          <w:tcPr>
            <w:tcW w:w="3683"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846"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rPr>
          <w:trHeight w:val="687" w:hRule="exact"/>
          <w:jc w:val="center"/>
        </w:trPr>
        <w:tc>
          <w:tcPr>
            <w:tcW w:w="1117" w:type="dxa"/>
            <w:tcBorders>
              <w:top w:val="single" w:color="000000" w:sz="4" w:space="0"/>
              <w:left w:val="single" w:color="000000" w:sz="4" w:space="0"/>
              <w:bottom w:val="single" w:color="000000" w:sz="4" w:space="0"/>
              <w:right w:val="single" w:color="000000" w:sz="4" w:space="0"/>
            </w:tcBorders>
            <w:noWrap w:val="0"/>
            <w:vAlign w:val="center"/>
          </w:tcPr>
          <w:p>
            <w:pPr>
              <w:spacing w:before="7"/>
              <w:jc w:val="center"/>
              <w:rPr>
                <w:rFonts w:ascii="宋体" w:cs="宋体"/>
                <w:color w:val="auto"/>
                <w:sz w:val="24"/>
                <w:szCs w:val="24"/>
                <w:highlight w:val="none"/>
              </w:rPr>
            </w:pPr>
          </w:p>
          <w:p>
            <w:pPr>
              <w:ind w:left="442" w:right="422"/>
              <w:jc w:val="center"/>
              <w:rPr>
                <w:rFonts w:ascii="宋体" w:cs="宋体"/>
                <w:color w:val="auto"/>
                <w:sz w:val="24"/>
                <w:szCs w:val="24"/>
                <w:highlight w:val="none"/>
              </w:rPr>
            </w:pPr>
            <w:r>
              <w:rPr>
                <w:rFonts w:ascii="宋体" w:hAnsi="宋体" w:cs="宋体"/>
                <w:color w:val="auto"/>
                <w:sz w:val="24"/>
                <w:szCs w:val="24"/>
                <w:highlight w:val="none"/>
              </w:rPr>
              <w:t>8</w:t>
            </w:r>
          </w:p>
        </w:tc>
        <w:tc>
          <w:tcPr>
            <w:tcW w:w="3683"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846"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rPr>
          <w:trHeight w:val="687" w:hRule="exact"/>
          <w:jc w:val="center"/>
        </w:trPr>
        <w:tc>
          <w:tcPr>
            <w:tcW w:w="1117" w:type="dxa"/>
            <w:tcBorders>
              <w:top w:val="single" w:color="000000" w:sz="4" w:space="0"/>
              <w:left w:val="single" w:color="000000" w:sz="4" w:space="0"/>
              <w:bottom w:val="single" w:color="000000" w:sz="4" w:space="0"/>
              <w:right w:val="single" w:color="000000" w:sz="4" w:space="0"/>
            </w:tcBorders>
            <w:noWrap w:val="0"/>
            <w:vAlign w:val="center"/>
          </w:tcPr>
          <w:p>
            <w:pPr>
              <w:spacing w:before="7"/>
              <w:jc w:val="center"/>
              <w:rPr>
                <w:rFonts w:ascii="宋体" w:cs="宋体"/>
                <w:color w:val="auto"/>
                <w:sz w:val="24"/>
                <w:szCs w:val="24"/>
                <w:highlight w:val="none"/>
              </w:rPr>
            </w:pPr>
          </w:p>
          <w:p>
            <w:pPr>
              <w:ind w:left="442" w:right="422"/>
              <w:jc w:val="center"/>
              <w:rPr>
                <w:rFonts w:ascii="宋体" w:cs="宋体"/>
                <w:color w:val="auto"/>
                <w:sz w:val="24"/>
                <w:szCs w:val="24"/>
                <w:highlight w:val="none"/>
              </w:rPr>
            </w:pPr>
            <w:r>
              <w:rPr>
                <w:rFonts w:ascii="宋体" w:hAnsi="宋体" w:cs="宋体"/>
                <w:color w:val="auto"/>
                <w:sz w:val="24"/>
                <w:szCs w:val="24"/>
                <w:highlight w:val="none"/>
              </w:rPr>
              <w:t>9</w:t>
            </w:r>
          </w:p>
        </w:tc>
        <w:tc>
          <w:tcPr>
            <w:tcW w:w="3683"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846"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rPr>
          <w:trHeight w:val="687" w:hRule="exact"/>
          <w:jc w:val="center"/>
        </w:trPr>
        <w:tc>
          <w:tcPr>
            <w:tcW w:w="1117" w:type="dxa"/>
            <w:tcBorders>
              <w:top w:val="single" w:color="000000" w:sz="4" w:space="0"/>
              <w:left w:val="single" w:color="000000" w:sz="4" w:space="0"/>
              <w:bottom w:val="single" w:color="000000" w:sz="4" w:space="0"/>
              <w:right w:val="single" w:color="000000" w:sz="4" w:space="0"/>
            </w:tcBorders>
            <w:noWrap w:val="0"/>
            <w:vAlign w:val="center"/>
          </w:tcPr>
          <w:p>
            <w:pPr>
              <w:spacing w:before="7"/>
              <w:jc w:val="center"/>
              <w:rPr>
                <w:rFonts w:ascii="宋体" w:cs="宋体"/>
                <w:color w:val="auto"/>
                <w:sz w:val="24"/>
                <w:szCs w:val="24"/>
                <w:highlight w:val="none"/>
              </w:rPr>
            </w:pPr>
          </w:p>
          <w:p>
            <w:pPr>
              <w:ind w:left="390" w:right="370"/>
              <w:jc w:val="center"/>
              <w:rPr>
                <w:rFonts w:ascii="宋体" w:cs="宋体"/>
                <w:color w:val="auto"/>
                <w:sz w:val="24"/>
                <w:szCs w:val="24"/>
                <w:highlight w:val="none"/>
              </w:rPr>
            </w:pPr>
            <w:r>
              <w:rPr>
                <w:rFonts w:ascii="宋体" w:hAnsi="宋体" w:cs="宋体"/>
                <w:color w:val="auto"/>
                <w:sz w:val="24"/>
                <w:szCs w:val="24"/>
                <w:highlight w:val="none"/>
              </w:rPr>
              <w:t>10</w:t>
            </w:r>
          </w:p>
        </w:tc>
        <w:tc>
          <w:tcPr>
            <w:tcW w:w="3683"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846"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rPr>
          <w:trHeight w:val="1274" w:hRule="exact"/>
          <w:jc w:val="center"/>
        </w:trPr>
        <w:tc>
          <w:tcPr>
            <w:tcW w:w="4800" w:type="dxa"/>
            <w:gridSpan w:val="2"/>
            <w:tcBorders>
              <w:top w:val="single" w:color="000000" w:sz="4" w:space="0"/>
              <w:left w:val="single" w:color="000000" w:sz="4" w:space="0"/>
              <w:bottom w:val="single" w:color="000000" w:sz="4" w:space="0"/>
              <w:right w:val="single" w:color="000000" w:sz="4" w:space="0"/>
            </w:tcBorders>
            <w:noWrap w:val="0"/>
            <w:vAlign w:val="center"/>
          </w:tcPr>
          <w:p>
            <w:pPr>
              <w:rPr>
                <w:color w:val="auto"/>
                <w:highlight w:val="none"/>
              </w:rPr>
            </w:pPr>
          </w:p>
          <w:p>
            <w:pPr>
              <w:jc w:val="center"/>
              <w:rPr>
                <w:rFonts w:ascii="宋体" w:cs="宋体"/>
                <w:color w:val="auto"/>
                <w:sz w:val="24"/>
                <w:szCs w:val="24"/>
                <w:highlight w:val="none"/>
              </w:rPr>
            </w:pPr>
            <w:r>
              <w:rPr>
                <w:rFonts w:hint="eastAsia" w:ascii="宋体" w:hAnsi="宋体" w:cs="宋体"/>
                <w:color w:val="auto"/>
                <w:sz w:val="24"/>
                <w:szCs w:val="24"/>
                <w:highlight w:val="none"/>
              </w:rPr>
              <w:t>合计</w:t>
            </w:r>
          </w:p>
        </w:tc>
        <w:tc>
          <w:tcPr>
            <w:tcW w:w="2754"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c>
          <w:tcPr>
            <w:tcW w:w="1846"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 w:val="24"/>
                <w:szCs w:val="24"/>
                <w:highlight w:val="none"/>
              </w:rPr>
            </w:pPr>
          </w:p>
        </w:tc>
      </w:tr>
      <w:tr>
        <w:trPr>
          <w:trHeight w:val="1154" w:hRule="exact"/>
          <w:jc w:val="center"/>
        </w:trPr>
        <w:tc>
          <w:tcPr>
            <w:tcW w:w="9400" w:type="dxa"/>
            <w:gridSpan w:val="4"/>
            <w:tcBorders>
              <w:top w:val="single" w:color="000000" w:sz="4" w:space="0"/>
              <w:left w:val="single" w:color="000000" w:sz="4" w:space="0"/>
              <w:bottom w:val="single" w:color="000000" w:sz="4" w:space="0"/>
              <w:right w:val="single" w:color="000000" w:sz="4" w:space="0"/>
            </w:tcBorders>
            <w:noWrap w:val="0"/>
            <w:vAlign w:val="top"/>
          </w:tcPr>
          <w:p>
            <w:pPr>
              <w:spacing w:before="16" w:line="360" w:lineRule="auto"/>
              <w:ind w:left="103" w:right="-20"/>
              <w:jc w:val="left"/>
              <w:rPr>
                <w:rFonts w:asci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根据附表</w:t>
            </w: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《分部分项工程和单价措施项目清单与计价表》、附表</w:t>
            </w: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《总价措施项目清单与计价表》中的内容将各项措施项目汇总在本表中。</w:t>
            </w:r>
          </w:p>
        </w:tc>
      </w:tr>
    </w:tbl>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21 </w:t>
      </w:r>
      <w:r>
        <w:rPr>
          <w:rStyle w:val="25"/>
          <w:rFonts w:hint="eastAsia" w:cs="宋体"/>
          <w:b/>
          <w:bCs w:val="0"/>
          <w:color w:val="auto"/>
          <w:sz w:val="24"/>
          <w:szCs w:val="24"/>
          <w:highlight w:val="none"/>
        </w:rPr>
        <w:t xml:space="preserve"> 其他项目清单与计价汇总表</w:t>
      </w:r>
    </w:p>
    <w:p>
      <w:pPr>
        <w:autoSpaceDE w:val="0"/>
        <w:autoSpaceDN w:val="0"/>
        <w:adjustRightInd w:val="0"/>
        <w:ind w:left="-178" w:leftChars="-85" w:firstLine="600" w:firstLineChars="250"/>
        <w:jc w:val="left"/>
        <w:rPr>
          <w:rFonts w:ascii="黑体" w:hAnsi="宋体" w:eastAsia="黑体"/>
          <w:color w:val="auto"/>
          <w:sz w:val="24"/>
          <w:highlight w:val="none"/>
          <w:lang w:val="zh-CN"/>
        </w:rPr>
      </w:pPr>
      <w:r>
        <w:rPr>
          <w:rFonts w:hint="eastAsia" w:ascii="宋体" w:hAnsi="宋体" w:cs="宋体"/>
          <w:color w:val="auto"/>
          <w:sz w:val="24"/>
          <w:szCs w:val="24"/>
          <w:highlight w:val="none"/>
        </w:rPr>
        <w:t>工程名称：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共</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p>
    <w:tbl>
      <w:tblPr>
        <w:tblStyle w:val="22"/>
        <w:tblW w:w="8297" w:type="dxa"/>
        <w:jc w:val="center"/>
        <w:tblLayout w:type="fixed"/>
        <w:tblCellMar>
          <w:top w:w="0" w:type="dxa"/>
          <w:left w:w="10" w:type="dxa"/>
          <w:bottom w:w="0" w:type="dxa"/>
          <w:right w:w="10" w:type="dxa"/>
        </w:tblCellMar>
      </w:tblPr>
      <w:tblGrid>
        <w:gridCol w:w="1020"/>
        <w:gridCol w:w="3240"/>
        <w:gridCol w:w="1261"/>
        <w:gridCol w:w="1516"/>
        <w:gridCol w:w="1260"/>
      </w:tblGrid>
      <w:tr>
        <w:tblPrEx>
          <w:tblCellMar>
            <w:top w:w="0" w:type="dxa"/>
            <w:left w:w="10" w:type="dxa"/>
            <w:bottom w:w="0" w:type="dxa"/>
            <w:right w:w="10" w:type="dxa"/>
          </w:tblCellMar>
        </w:tblPrEx>
        <w:trPr>
          <w:trHeight w:val="840"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黑体" w:hAnsi="宋体" w:eastAsia="黑体"/>
                <w:color w:val="auto"/>
                <w:highlight w:val="none"/>
              </w:rPr>
            </w:pPr>
            <w:r>
              <w:rPr>
                <w:rFonts w:hint="eastAsia"/>
                <w:color w:val="auto"/>
                <w:highlight w:val="none"/>
                <w:lang w:val="zh-CN"/>
              </w:rPr>
              <w:t>序号</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黑体" w:hAnsi="宋体" w:eastAsia="黑体"/>
                <w:color w:val="auto"/>
                <w:highlight w:val="none"/>
              </w:rPr>
            </w:pPr>
            <w:r>
              <w:rPr>
                <w:rFonts w:hint="eastAsia"/>
                <w:color w:val="auto"/>
                <w:highlight w:val="none"/>
                <w:lang w:val="zh-CN"/>
              </w:rPr>
              <w:t>项目名称</w:t>
            </w:r>
          </w:p>
        </w:tc>
        <w:tc>
          <w:tcPr>
            <w:tcW w:w="12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color w:val="auto"/>
                <w:highlight w:val="none"/>
                <w:lang w:val="zh-CN"/>
              </w:rPr>
            </w:pPr>
            <w:r>
              <w:rPr>
                <w:rFonts w:hint="eastAsia"/>
                <w:color w:val="auto"/>
                <w:highlight w:val="none"/>
                <w:lang w:val="zh-CN"/>
              </w:rPr>
              <w:t>计量单位</w:t>
            </w:r>
          </w:p>
        </w:tc>
        <w:tc>
          <w:tcPr>
            <w:tcW w:w="15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color w:val="auto"/>
                <w:highlight w:val="none"/>
                <w:lang w:val="zh-CN"/>
              </w:rPr>
            </w:pPr>
            <w:r>
              <w:rPr>
                <w:rFonts w:hint="eastAsia"/>
                <w:color w:val="auto"/>
                <w:highlight w:val="none"/>
                <w:lang w:val="zh-CN"/>
              </w:rPr>
              <w:t>金额（元）</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color w:val="auto"/>
                <w:highlight w:val="none"/>
                <w:lang w:val="zh-CN"/>
              </w:rPr>
            </w:pPr>
            <w:r>
              <w:rPr>
                <w:rFonts w:hint="eastAsia"/>
                <w:color w:val="auto"/>
                <w:highlight w:val="none"/>
                <w:lang w:val="zh-CN"/>
              </w:rPr>
              <w:t>备注</w:t>
            </w:r>
          </w:p>
        </w:tc>
      </w:tr>
      <w:tr>
        <w:tblPrEx>
          <w:tblCellMar>
            <w:top w:w="0" w:type="dxa"/>
            <w:left w:w="10" w:type="dxa"/>
            <w:bottom w:w="0" w:type="dxa"/>
            <w:right w:w="10" w:type="dxa"/>
          </w:tblCellMar>
        </w:tblPrEx>
        <w:trPr>
          <w:trHeight w:val="77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color w:val="auto"/>
                <w:highlight w:val="none"/>
              </w:rPr>
            </w:pPr>
            <w:r>
              <w:rPr>
                <w:color w:val="auto"/>
                <w:highlight w:val="none"/>
              </w:rPr>
              <w:t>1</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eastAsia="宋体"/>
                <w:color w:val="auto"/>
                <w:highlight w:val="none"/>
                <w:lang w:eastAsia="zh-CN"/>
              </w:rPr>
            </w:pPr>
            <w:r>
              <w:rPr>
                <w:rFonts w:hint="eastAsia"/>
                <w:color w:val="auto"/>
                <w:highlight w:val="none"/>
                <w:lang w:eastAsia="zh-CN"/>
              </w:rPr>
              <w:t>暂列金额</w:t>
            </w:r>
          </w:p>
        </w:tc>
        <w:tc>
          <w:tcPr>
            <w:tcW w:w="12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eastAsia="宋体"/>
                <w:color w:val="auto"/>
                <w:highlight w:val="none"/>
                <w:lang w:val="en-US" w:eastAsia="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eastAsia="宋体"/>
                <w:color w:val="auto"/>
                <w:highlight w:val="none"/>
                <w:lang w:val="en-US" w:eastAsia="zh-CN"/>
              </w:rPr>
            </w:pPr>
          </w:p>
        </w:tc>
      </w:tr>
      <w:tr>
        <w:tblPrEx>
          <w:tblCellMar>
            <w:top w:w="0" w:type="dxa"/>
            <w:left w:w="10" w:type="dxa"/>
            <w:bottom w:w="0" w:type="dxa"/>
            <w:right w:w="10" w:type="dxa"/>
          </w:tblCellMar>
        </w:tblPrEx>
        <w:trPr>
          <w:trHeight w:val="87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color w:val="auto"/>
                <w:highlight w:val="none"/>
              </w:rPr>
            </w:pPr>
            <w:r>
              <w:rPr>
                <w:color w:val="auto"/>
                <w:highlight w:val="none"/>
              </w:rPr>
              <w:t>2</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color w:val="auto"/>
                <w:highlight w:val="none"/>
              </w:rPr>
            </w:pPr>
            <w:r>
              <w:rPr>
                <w:rFonts w:hint="eastAsia"/>
                <w:color w:val="auto"/>
                <w:highlight w:val="none"/>
              </w:rPr>
              <w:t>暂估价</w:t>
            </w:r>
          </w:p>
        </w:tc>
        <w:tc>
          <w:tcPr>
            <w:tcW w:w="12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r>
      <w:tr>
        <w:tblPrEx>
          <w:tblCellMar>
            <w:top w:w="0" w:type="dxa"/>
            <w:left w:w="10" w:type="dxa"/>
            <w:bottom w:w="0" w:type="dxa"/>
            <w:right w:w="10" w:type="dxa"/>
          </w:tblCellMar>
        </w:tblPrEx>
        <w:trPr>
          <w:trHeight w:val="823"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color w:val="auto"/>
                <w:highlight w:val="none"/>
              </w:rPr>
            </w:pPr>
            <w:r>
              <w:rPr>
                <w:color w:val="auto"/>
                <w:highlight w:val="none"/>
              </w:rPr>
              <w:t>2.1</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color w:val="auto"/>
                <w:highlight w:val="none"/>
              </w:rPr>
            </w:pPr>
            <w:r>
              <w:rPr>
                <w:rFonts w:hint="eastAsia"/>
                <w:color w:val="auto"/>
                <w:highlight w:val="none"/>
              </w:rPr>
              <w:t>材料暂估价</w:t>
            </w:r>
          </w:p>
        </w:tc>
        <w:tc>
          <w:tcPr>
            <w:tcW w:w="12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r>
      <w:tr>
        <w:tblPrEx>
          <w:tblCellMar>
            <w:top w:w="0" w:type="dxa"/>
            <w:left w:w="10" w:type="dxa"/>
            <w:bottom w:w="0" w:type="dxa"/>
            <w:right w:w="10" w:type="dxa"/>
          </w:tblCellMar>
        </w:tblPrEx>
        <w:trPr>
          <w:trHeight w:val="788"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color w:val="auto"/>
                <w:highlight w:val="none"/>
              </w:rPr>
            </w:pPr>
            <w:r>
              <w:rPr>
                <w:color w:val="auto"/>
                <w:highlight w:val="none"/>
              </w:rPr>
              <w:t>2.2</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color w:val="auto"/>
                <w:highlight w:val="none"/>
              </w:rPr>
            </w:pPr>
            <w:r>
              <w:rPr>
                <w:rFonts w:hint="eastAsia"/>
                <w:color w:val="auto"/>
                <w:highlight w:val="none"/>
              </w:rPr>
              <w:t>专业工程暂估价</w:t>
            </w:r>
          </w:p>
        </w:tc>
        <w:tc>
          <w:tcPr>
            <w:tcW w:w="12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r>
      <w:tr>
        <w:tblPrEx>
          <w:tblCellMar>
            <w:top w:w="0" w:type="dxa"/>
            <w:left w:w="10" w:type="dxa"/>
            <w:bottom w:w="0" w:type="dxa"/>
            <w:right w:w="10" w:type="dxa"/>
          </w:tblCellMar>
        </w:tblPrEx>
        <w:trPr>
          <w:trHeight w:val="77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color w:val="auto"/>
                <w:highlight w:val="none"/>
              </w:rPr>
            </w:pPr>
            <w:r>
              <w:rPr>
                <w:color w:val="auto"/>
                <w:highlight w:val="none"/>
              </w:rPr>
              <w:t>3</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color w:val="auto"/>
                <w:highlight w:val="none"/>
              </w:rPr>
            </w:pPr>
            <w:r>
              <w:rPr>
                <w:rFonts w:hint="eastAsia"/>
                <w:color w:val="auto"/>
                <w:highlight w:val="none"/>
              </w:rPr>
              <w:t>计日工</w:t>
            </w:r>
          </w:p>
        </w:tc>
        <w:tc>
          <w:tcPr>
            <w:tcW w:w="12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r>
      <w:tr>
        <w:tblPrEx>
          <w:tblCellMar>
            <w:top w:w="0" w:type="dxa"/>
            <w:left w:w="10" w:type="dxa"/>
            <w:bottom w:w="0" w:type="dxa"/>
            <w:right w:w="10" w:type="dxa"/>
          </w:tblCellMar>
        </w:tblPrEx>
        <w:trPr>
          <w:trHeight w:val="77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color w:val="auto"/>
                <w:highlight w:val="none"/>
              </w:rPr>
            </w:pPr>
            <w:r>
              <w:rPr>
                <w:color w:val="auto"/>
                <w:highlight w:val="none"/>
              </w:rPr>
              <w:t>4</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color w:val="auto"/>
                <w:highlight w:val="none"/>
              </w:rPr>
            </w:pPr>
            <w:r>
              <w:rPr>
                <w:rFonts w:hint="eastAsia"/>
                <w:color w:val="auto"/>
                <w:highlight w:val="none"/>
              </w:rPr>
              <w:t>总承包服务费</w:t>
            </w:r>
          </w:p>
        </w:tc>
        <w:tc>
          <w:tcPr>
            <w:tcW w:w="12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r>
      <w:tr>
        <w:tblPrEx>
          <w:tblCellMar>
            <w:top w:w="0" w:type="dxa"/>
            <w:left w:w="10" w:type="dxa"/>
            <w:bottom w:w="0" w:type="dxa"/>
            <w:right w:w="10" w:type="dxa"/>
          </w:tblCellMar>
        </w:tblPrEx>
        <w:trPr>
          <w:trHeight w:val="77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lang w:val="zh-CN"/>
              </w:rPr>
            </w:pPr>
          </w:p>
        </w:tc>
        <w:tc>
          <w:tcPr>
            <w:tcW w:w="12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lang w:val="zh-CN"/>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lang w:val="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lang w:val="zh-CN"/>
              </w:rPr>
            </w:pPr>
          </w:p>
        </w:tc>
      </w:tr>
      <w:tr>
        <w:tblPrEx>
          <w:tblCellMar>
            <w:top w:w="0" w:type="dxa"/>
            <w:left w:w="10" w:type="dxa"/>
            <w:bottom w:w="0" w:type="dxa"/>
            <w:right w:w="10" w:type="dxa"/>
          </w:tblCellMar>
        </w:tblPrEx>
        <w:trPr>
          <w:trHeight w:val="720"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r>
      <w:tr>
        <w:tblPrEx>
          <w:tblCellMar>
            <w:top w:w="0" w:type="dxa"/>
            <w:left w:w="10" w:type="dxa"/>
            <w:bottom w:w="0" w:type="dxa"/>
            <w:right w:w="10" w:type="dxa"/>
          </w:tblCellMar>
        </w:tblPrEx>
        <w:trPr>
          <w:trHeight w:val="77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r>
      <w:tr>
        <w:tblPrEx>
          <w:tblCellMar>
            <w:top w:w="0" w:type="dxa"/>
            <w:left w:w="10" w:type="dxa"/>
            <w:bottom w:w="0" w:type="dxa"/>
            <w:right w:w="10" w:type="dxa"/>
          </w:tblCellMar>
        </w:tblPrEx>
        <w:trPr>
          <w:trHeight w:val="77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r>
      <w:tr>
        <w:tblPrEx>
          <w:tblCellMar>
            <w:top w:w="0" w:type="dxa"/>
            <w:left w:w="10" w:type="dxa"/>
            <w:bottom w:w="0" w:type="dxa"/>
            <w:right w:w="10" w:type="dxa"/>
          </w:tblCellMar>
        </w:tblPrEx>
        <w:trPr>
          <w:trHeight w:val="77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r>
      <w:tr>
        <w:tblPrEx>
          <w:tblCellMar>
            <w:top w:w="0" w:type="dxa"/>
            <w:left w:w="10" w:type="dxa"/>
            <w:bottom w:w="0" w:type="dxa"/>
            <w:right w:w="10" w:type="dxa"/>
          </w:tblCellMar>
        </w:tblPrEx>
        <w:trPr>
          <w:trHeight w:val="75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r>
      <w:tr>
        <w:tblPrEx>
          <w:tblCellMar>
            <w:top w:w="0" w:type="dxa"/>
            <w:left w:w="10" w:type="dxa"/>
            <w:bottom w:w="0" w:type="dxa"/>
            <w:right w:w="10" w:type="dxa"/>
          </w:tblCellMar>
        </w:tblPrEx>
        <w:trPr>
          <w:trHeight w:val="895" w:hRule="atLeast"/>
          <w:jc w:val="center"/>
        </w:trPr>
        <w:tc>
          <w:tcPr>
            <w:tcW w:w="552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b/>
                <w:bCs/>
                <w:color w:val="auto"/>
                <w:highlight w:val="none"/>
              </w:rPr>
            </w:pPr>
            <w:r>
              <w:rPr>
                <w:rFonts w:hint="eastAsia"/>
                <w:b/>
                <w:bCs/>
                <w:color w:val="auto"/>
                <w:highlight w:val="none"/>
                <w:lang w:val="zh-CN"/>
              </w:rPr>
              <w:t>合计</w:t>
            </w:r>
          </w:p>
        </w:tc>
        <w:tc>
          <w:tcPr>
            <w:tcW w:w="15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highlight w:val="none"/>
                <w:lang w:val="zh-CN"/>
              </w:rPr>
            </w:pPr>
          </w:p>
        </w:tc>
      </w:tr>
    </w:tbl>
    <w:p>
      <w:pPr>
        <w:spacing w:beforeLines="50"/>
        <w:rPr>
          <w:rFonts w:ascii="宋体"/>
          <w:color w:val="auto"/>
          <w:highlight w:val="none"/>
        </w:rPr>
      </w:pPr>
      <w:r>
        <w:rPr>
          <w:rFonts w:hint="eastAsia" w:ascii="宋体" w:hAnsi="宋体"/>
          <w:color w:val="auto"/>
          <w:highlight w:val="none"/>
        </w:rPr>
        <w:t>注：材料（工程设备）暂估单价进入清单项目综合单价，此处不汇总。</w:t>
      </w:r>
    </w:p>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22 </w:t>
      </w:r>
      <w:r>
        <w:rPr>
          <w:rStyle w:val="25"/>
          <w:rFonts w:hint="eastAsia" w:cs="宋体"/>
          <w:b/>
          <w:bCs w:val="0"/>
          <w:color w:val="auto"/>
          <w:sz w:val="24"/>
          <w:szCs w:val="24"/>
          <w:highlight w:val="none"/>
        </w:rPr>
        <w:t xml:space="preserve"> 暂列金额明细表</w:t>
      </w:r>
    </w:p>
    <w:p>
      <w:pPr>
        <w:spacing w:beforeLines="50" w:afterLines="50"/>
        <w:rPr>
          <w:rFonts w:ascii="宋体"/>
          <w:bCs/>
          <w:color w:val="auto"/>
          <w:sz w:val="30"/>
          <w:szCs w:val="28"/>
          <w:highlight w:val="none"/>
        </w:rPr>
      </w:pPr>
      <w:r>
        <w:rPr>
          <w:rFonts w:hint="eastAsia" w:ascii="宋体" w:hAnsi="宋体" w:cs="宋体"/>
          <w:color w:val="auto"/>
          <w:sz w:val="24"/>
          <w:szCs w:val="24"/>
          <w:highlight w:val="none"/>
        </w:rPr>
        <w:t>工程名称：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共</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p>
    <w:tbl>
      <w:tblPr>
        <w:tblStyle w:val="22"/>
        <w:tblW w:w="862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020"/>
        <w:gridCol w:w="1196"/>
        <w:gridCol w:w="1581"/>
        <w:gridCol w:w="99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31" w:type="dxa"/>
            <w:tcBorders>
              <w:top w:val="single" w:color="auto" w:sz="6" w:space="0"/>
            </w:tcBorders>
            <w:noWrap w:val="0"/>
            <w:vAlign w:val="center"/>
          </w:tcPr>
          <w:p>
            <w:pPr>
              <w:jc w:val="center"/>
              <w:rPr>
                <w:color w:val="auto"/>
                <w:highlight w:val="none"/>
              </w:rPr>
            </w:pPr>
            <w:r>
              <w:rPr>
                <w:rFonts w:hint="eastAsia"/>
                <w:color w:val="auto"/>
                <w:highlight w:val="none"/>
              </w:rPr>
              <w:t>序号</w:t>
            </w:r>
          </w:p>
        </w:tc>
        <w:tc>
          <w:tcPr>
            <w:tcW w:w="4020" w:type="dxa"/>
            <w:tcBorders>
              <w:top w:val="single" w:color="auto" w:sz="6" w:space="0"/>
            </w:tcBorders>
            <w:noWrap w:val="0"/>
            <w:vAlign w:val="center"/>
          </w:tcPr>
          <w:p>
            <w:pPr>
              <w:jc w:val="center"/>
              <w:rPr>
                <w:color w:val="auto"/>
                <w:highlight w:val="none"/>
              </w:rPr>
            </w:pPr>
            <w:r>
              <w:rPr>
                <w:rFonts w:hint="eastAsia"/>
                <w:color w:val="auto"/>
                <w:highlight w:val="none"/>
              </w:rPr>
              <w:t>项目名称</w:t>
            </w:r>
          </w:p>
        </w:tc>
        <w:tc>
          <w:tcPr>
            <w:tcW w:w="1196" w:type="dxa"/>
            <w:tcBorders>
              <w:top w:val="single" w:color="auto" w:sz="6" w:space="0"/>
            </w:tcBorders>
            <w:noWrap w:val="0"/>
            <w:vAlign w:val="center"/>
          </w:tcPr>
          <w:p>
            <w:pPr>
              <w:jc w:val="center"/>
              <w:rPr>
                <w:color w:val="auto"/>
                <w:highlight w:val="none"/>
              </w:rPr>
            </w:pPr>
            <w:r>
              <w:rPr>
                <w:rFonts w:hint="eastAsia"/>
                <w:color w:val="auto"/>
                <w:highlight w:val="none"/>
              </w:rPr>
              <w:t>计量单位</w:t>
            </w:r>
          </w:p>
        </w:tc>
        <w:tc>
          <w:tcPr>
            <w:tcW w:w="1581" w:type="dxa"/>
            <w:tcBorders>
              <w:top w:val="single" w:color="auto" w:sz="6" w:space="0"/>
            </w:tcBorders>
            <w:noWrap w:val="0"/>
            <w:vAlign w:val="center"/>
          </w:tcPr>
          <w:p>
            <w:pPr>
              <w:jc w:val="center"/>
              <w:rPr>
                <w:color w:val="auto"/>
                <w:highlight w:val="none"/>
              </w:rPr>
            </w:pPr>
            <w:r>
              <w:rPr>
                <w:rFonts w:hint="eastAsia"/>
                <w:color w:val="auto"/>
                <w:highlight w:val="none"/>
              </w:rPr>
              <w:t>暂列金额</w:t>
            </w:r>
            <w:r>
              <w:rPr>
                <w:color w:val="auto"/>
                <w:highlight w:val="none"/>
              </w:rPr>
              <w:t>(</w:t>
            </w:r>
            <w:r>
              <w:rPr>
                <w:rFonts w:hint="eastAsia"/>
                <w:color w:val="auto"/>
                <w:highlight w:val="none"/>
              </w:rPr>
              <w:t>元</w:t>
            </w:r>
            <w:r>
              <w:rPr>
                <w:color w:val="auto"/>
                <w:highlight w:val="none"/>
              </w:rPr>
              <w:t>)</w:t>
            </w:r>
          </w:p>
        </w:tc>
        <w:tc>
          <w:tcPr>
            <w:tcW w:w="994" w:type="dxa"/>
            <w:tcBorders>
              <w:top w:val="single" w:color="auto" w:sz="6" w:space="0"/>
            </w:tcBorders>
            <w:noWrap w:val="0"/>
            <w:vAlign w:val="center"/>
          </w:tcPr>
          <w:p>
            <w:pPr>
              <w:jc w:val="center"/>
              <w:rPr>
                <w:color w:val="auto"/>
                <w:highlight w:val="none"/>
              </w:rPr>
            </w:pPr>
            <w:r>
              <w:rPr>
                <w:rFonts w:hint="eastAsia"/>
                <w:color w:val="auto"/>
                <w:highlight w:val="none"/>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31" w:type="dxa"/>
            <w:noWrap w:val="0"/>
            <w:vAlign w:val="center"/>
          </w:tcPr>
          <w:p>
            <w:pPr>
              <w:autoSpaceDE w:val="0"/>
              <w:autoSpaceDN w:val="0"/>
              <w:adjustRightInd w:val="0"/>
              <w:jc w:val="center"/>
              <w:rPr>
                <w:color w:val="auto"/>
                <w:highlight w:val="none"/>
              </w:rPr>
            </w:pPr>
            <w:r>
              <w:rPr>
                <w:color w:val="auto"/>
                <w:highlight w:val="none"/>
                <w:lang w:val="zh-CN"/>
              </w:rPr>
              <w:t>1</w:t>
            </w:r>
          </w:p>
        </w:tc>
        <w:tc>
          <w:tcPr>
            <w:tcW w:w="4020" w:type="dxa"/>
            <w:noWrap w:val="0"/>
            <w:vAlign w:val="center"/>
          </w:tcPr>
          <w:p>
            <w:pPr>
              <w:jc w:val="left"/>
              <w:rPr>
                <w:rFonts w:hint="eastAsia" w:eastAsia="宋体"/>
                <w:color w:val="auto"/>
                <w:highlight w:val="none"/>
                <w:lang w:eastAsia="zh-CN"/>
              </w:rPr>
            </w:pPr>
          </w:p>
        </w:tc>
        <w:tc>
          <w:tcPr>
            <w:tcW w:w="1196" w:type="dxa"/>
            <w:noWrap w:val="0"/>
            <w:vAlign w:val="center"/>
          </w:tcPr>
          <w:p>
            <w:pPr>
              <w:jc w:val="center"/>
              <w:rPr>
                <w:color w:val="auto"/>
                <w:highlight w:val="none"/>
              </w:rPr>
            </w:pPr>
          </w:p>
        </w:tc>
        <w:tc>
          <w:tcPr>
            <w:tcW w:w="1581" w:type="dxa"/>
            <w:noWrap w:val="0"/>
            <w:vAlign w:val="center"/>
          </w:tcPr>
          <w:p>
            <w:pPr>
              <w:jc w:val="center"/>
              <w:rPr>
                <w:rFonts w:hint="default" w:eastAsia="宋体"/>
                <w:color w:val="auto"/>
                <w:highlight w:val="none"/>
                <w:lang w:val="en-US" w:eastAsia="zh-CN"/>
              </w:rPr>
            </w:pPr>
          </w:p>
        </w:tc>
        <w:tc>
          <w:tcPr>
            <w:tcW w:w="994" w:type="dxa"/>
            <w:noWrap w:val="0"/>
            <w:vAlign w:val="center"/>
          </w:tcPr>
          <w:p>
            <w:pPr>
              <w:jc w:val="center"/>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31" w:type="dxa"/>
            <w:tcBorders>
              <w:bottom w:val="single" w:color="auto" w:sz="6" w:space="0"/>
            </w:tcBorders>
            <w:noWrap w:val="0"/>
            <w:vAlign w:val="center"/>
          </w:tcPr>
          <w:p>
            <w:pPr>
              <w:autoSpaceDE w:val="0"/>
              <w:autoSpaceDN w:val="0"/>
              <w:adjustRightInd w:val="0"/>
              <w:jc w:val="center"/>
              <w:rPr>
                <w:rFonts w:hint="default" w:ascii="黑体" w:hAnsi="Times New Roman" w:eastAsia="黑体" w:cs="Times New Roman"/>
                <w:color w:val="auto"/>
                <w:kern w:val="2"/>
                <w:sz w:val="21"/>
                <w:szCs w:val="24"/>
                <w:highlight w:val="none"/>
                <w:lang w:val="en-US" w:eastAsia="zh-CN" w:bidi="ar-SA"/>
              </w:rPr>
            </w:pPr>
            <w:r>
              <w:rPr>
                <w:rFonts w:hint="eastAsia" w:ascii="黑体" w:eastAsia="黑体" w:cs="Times New Roman"/>
                <w:color w:val="auto"/>
                <w:kern w:val="2"/>
                <w:sz w:val="21"/>
                <w:szCs w:val="24"/>
                <w:highlight w:val="none"/>
                <w:lang w:val="en-US" w:eastAsia="zh-CN" w:bidi="ar-SA"/>
              </w:rPr>
              <w:t>...</w:t>
            </w:r>
          </w:p>
        </w:tc>
        <w:tc>
          <w:tcPr>
            <w:tcW w:w="4020" w:type="dxa"/>
            <w:noWrap w:val="0"/>
            <w:vAlign w:val="center"/>
          </w:tcPr>
          <w:p>
            <w:pPr>
              <w:jc w:val="center"/>
              <w:rPr>
                <w:rFonts w:hint="eastAsia" w:eastAsia="宋体"/>
                <w:color w:val="auto"/>
                <w:highlight w:val="none"/>
                <w:lang w:eastAsia="zh-CN"/>
              </w:rPr>
            </w:pPr>
          </w:p>
        </w:tc>
        <w:tc>
          <w:tcPr>
            <w:tcW w:w="1196" w:type="dxa"/>
            <w:noWrap w:val="0"/>
            <w:vAlign w:val="center"/>
          </w:tcPr>
          <w:p>
            <w:pPr>
              <w:jc w:val="center"/>
              <w:rPr>
                <w:rFonts w:hint="eastAsia" w:eastAsia="宋体"/>
                <w:color w:val="auto"/>
                <w:highlight w:val="none"/>
                <w:lang w:eastAsia="zh-CN"/>
              </w:rPr>
            </w:pPr>
          </w:p>
        </w:tc>
        <w:tc>
          <w:tcPr>
            <w:tcW w:w="1581" w:type="dxa"/>
            <w:noWrap w:val="0"/>
            <w:vAlign w:val="center"/>
          </w:tcPr>
          <w:p>
            <w:pPr>
              <w:jc w:val="center"/>
              <w:rPr>
                <w:rFonts w:hint="default" w:eastAsia="宋体"/>
                <w:color w:val="auto"/>
                <w:highlight w:val="none"/>
                <w:lang w:val="en-US" w:eastAsia="zh-CN"/>
              </w:rPr>
            </w:pPr>
          </w:p>
        </w:tc>
        <w:tc>
          <w:tcPr>
            <w:tcW w:w="994" w:type="dxa"/>
            <w:noWrap w:val="0"/>
            <w:vAlign w:val="center"/>
          </w:tcPr>
          <w:p>
            <w:pPr>
              <w:jc w:val="center"/>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31" w:type="dxa"/>
            <w:tcBorders>
              <w:top w:val="single" w:color="auto" w:sz="6" w:space="0"/>
            </w:tcBorders>
            <w:noWrap w:val="0"/>
            <w:vAlign w:val="center"/>
          </w:tcPr>
          <w:p>
            <w:pPr>
              <w:autoSpaceDE w:val="0"/>
              <w:autoSpaceDN w:val="0"/>
              <w:adjustRightInd w:val="0"/>
              <w:jc w:val="center"/>
              <w:rPr>
                <w:rFonts w:hint="eastAsia" w:ascii="黑体" w:hAnsi="Times New Roman" w:eastAsia="黑体" w:cs="Times New Roman"/>
                <w:color w:val="auto"/>
                <w:kern w:val="2"/>
                <w:sz w:val="21"/>
                <w:szCs w:val="24"/>
                <w:highlight w:val="none"/>
                <w:lang w:val="en-US" w:eastAsia="zh-CN" w:bidi="ar-SA"/>
              </w:rPr>
            </w:pPr>
          </w:p>
        </w:tc>
        <w:tc>
          <w:tcPr>
            <w:tcW w:w="4020" w:type="dxa"/>
            <w:noWrap w:val="0"/>
            <w:vAlign w:val="center"/>
          </w:tcPr>
          <w:p>
            <w:pPr>
              <w:rPr>
                <w:color w:val="auto"/>
                <w:highlight w:val="none"/>
              </w:rPr>
            </w:pPr>
          </w:p>
        </w:tc>
        <w:tc>
          <w:tcPr>
            <w:tcW w:w="1196" w:type="dxa"/>
            <w:noWrap w:val="0"/>
            <w:vAlign w:val="center"/>
          </w:tcPr>
          <w:p>
            <w:pPr>
              <w:jc w:val="center"/>
              <w:rPr>
                <w:color w:val="auto"/>
                <w:highlight w:val="none"/>
              </w:rPr>
            </w:pPr>
          </w:p>
        </w:tc>
        <w:tc>
          <w:tcPr>
            <w:tcW w:w="1581" w:type="dxa"/>
            <w:noWrap w:val="0"/>
            <w:vAlign w:val="center"/>
          </w:tcPr>
          <w:p>
            <w:pPr>
              <w:jc w:val="center"/>
              <w:rPr>
                <w:color w:val="auto"/>
                <w:highlight w:val="none"/>
              </w:rPr>
            </w:pPr>
          </w:p>
        </w:tc>
        <w:tc>
          <w:tcPr>
            <w:tcW w:w="994" w:type="dxa"/>
            <w:noWrap w:val="0"/>
            <w:vAlign w:val="center"/>
          </w:tcPr>
          <w:p>
            <w:pPr>
              <w:jc w:val="center"/>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31" w:type="dxa"/>
            <w:noWrap w:val="0"/>
            <w:vAlign w:val="center"/>
          </w:tcPr>
          <w:p>
            <w:pPr>
              <w:autoSpaceDE w:val="0"/>
              <w:autoSpaceDN w:val="0"/>
              <w:adjustRightInd w:val="0"/>
              <w:jc w:val="center"/>
              <w:rPr>
                <w:rFonts w:hint="eastAsia" w:ascii="黑体" w:hAnsi="Times New Roman" w:eastAsia="黑体" w:cs="Times New Roman"/>
                <w:color w:val="auto"/>
                <w:kern w:val="2"/>
                <w:sz w:val="21"/>
                <w:szCs w:val="24"/>
                <w:highlight w:val="none"/>
                <w:lang w:val="en-US" w:eastAsia="zh-CN" w:bidi="ar-SA"/>
              </w:rPr>
            </w:pPr>
          </w:p>
        </w:tc>
        <w:tc>
          <w:tcPr>
            <w:tcW w:w="4020" w:type="dxa"/>
            <w:noWrap w:val="0"/>
            <w:vAlign w:val="center"/>
          </w:tcPr>
          <w:p>
            <w:pPr>
              <w:rPr>
                <w:color w:val="auto"/>
                <w:highlight w:val="none"/>
              </w:rPr>
            </w:pPr>
          </w:p>
        </w:tc>
        <w:tc>
          <w:tcPr>
            <w:tcW w:w="1196" w:type="dxa"/>
            <w:noWrap w:val="0"/>
            <w:vAlign w:val="center"/>
          </w:tcPr>
          <w:p>
            <w:pPr>
              <w:jc w:val="center"/>
              <w:rPr>
                <w:color w:val="auto"/>
                <w:highlight w:val="none"/>
              </w:rPr>
            </w:pPr>
          </w:p>
        </w:tc>
        <w:tc>
          <w:tcPr>
            <w:tcW w:w="1581" w:type="dxa"/>
            <w:noWrap w:val="0"/>
            <w:vAlign w:val="center"/>
          </w:tcPr>
          <w:p>
            <w:pPr>
              <w:jc w:val="center"/>
              <w:rPr>
                <w:color w:val="auto"/>
                <w:highlight w:val="none"/>
              </w:rPr>
            </w:pPr>
          </w:p>
        </w:tc>
        <w:tc>
          <w:tcPr>
            <w:tcW w:w="994" w:type="dxa"/>
            <w:noWrap w:val="0"/>
            <w:vAlign w:val="center"/>
          </w:tcPr>
          <w:p>
            <w:pPr>
              <w:jc w:val="center"/>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31" w:type="dxa"/>
            <w:noWrap w:val="0"/>
            <w:vAlign w:val="center"/>
          </w:tcPr>
          <w:p>
            <w:pPr>
              <w:autoSpaceDE w:val="0"/>
              <w:autoSpaceDN w:val="0"/>
              <w:adjustRightInd w:val="0"/>
              <w:jc w:val="center"/>
              <w:rPr>
                <w:rFonts w:ascii="黑体" w:eastAsia="黑体"/>
                <w:color w:val="auto"/>
                <w:highlight w:val="none"/>
              </w:rPr>
            </w:pPr>
          </w:p>
        </w:tc>
        <w:tc>
          <w:tcPr>
            <w:tcW w:w="4020" w:type="dxa"/>
            <w:noWrap w:val="0"/>
            <w:vAlign w:val="center"/>
          </w:tcPr>
          <w:p>
            <w:pPr>
              <w:rPr>
                <w:color w:val="auto"/>
                <w:highlight w:val="none"/>
              </w:rPr>
            </w:pPr>
          </w:p>
        </w:tc>
        <w:tc>
          <w:tcPr>
            <w:tcW w:w="1196" w:type="dxa"/>
            <w:noWrap w:val="0"/>
            <w:vAlign w:val="center"/>
          </w:tcPr>
          <w:p>
            <w:pPr>
              <w:jc w:val="center"/>
              <w:rPr>
                <w:color w:val="auto"/>
                <w:highlight w:val="none"/>
              </w:rPr>
            </w:pPr>
          </w:p>
        </w:tc>
        <w:tc>
          <w:tcPr>
            <w:tcW w:w="1581" w:type="dxa"/>
            <w:noWrap w:val="0"/>
            <w:vAlign w:val="center"/>
          </w:tcPr>
          <w:p>
            <w:pPr>
              <w:jc w:val="center"/>
              <w:rPr>
                <w:color w:val="auto"/>
                <w:highlight w:val="none"/>
              </w:rPr>
            </w:pPr>
          </w:p>
        </w:tc>
        <w:tc>
          <w:tcPr>
            <w:tcW w:w="994" w:type="dxa"/>
            <w:noWrap w:val="0"/>
            <w:vAlign w:val="center"/>
          </w:tcPr>
          <w:p>
            <w:pPr>
              <w:jc w:val="center"/>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1" w:type="dxa"/>
            <w:noWrap w:val="0"/>
            <w:vAlign w:val="center"/>
          </w:tcPr>
          <w:p>
            <w:pPr>
              <w:autoSpaceDE w:val="0"/>
              <w:autoSpaceDN w:val="0"/>
              <w:adjustRightInd w:val="0"/>
              <w:jc w:val="center"/>
              <w:rPr>
                <w:rFonts w:ascii="黑体" w:eastAsia="黑体"/>
                <w:color w:val="auto"/>
                <w:highlight w:val="none"/>
              </w:rPr>
            </w:pPr>
          </w:p>
        </w:tc>
        <w:tc>
          <w:tcPr>
            <w:tcW w:w="4020" w:type="dxa"/>
            <w:noWrap w:val="0"/>
            <w:vAlign w:val="center"/>
          </w:tcPr>
          <w:p>
            <w:pPr>
              <w:rPr>
                <w:color w:val="auto"/>
                <w:highlight w:val="none"/>
              </w:rPr>
            </w:pPr>
          </w:p>
        </w:tc>
        <w:tc>
          <w:tcPr>
            <w:tcW w:w="1196" w:type="dxa"/>
            <w:noWrap w:val="0"/>
            <w:vAlign w:val="center"/>
          </w:tcPr>
          <w:p>
            <w:pPr>
              <w:jc w:val="center"/>
              <w:rPr>
                <w:color w:val="auto"/>
                <w:highlight w:val="none"/>
              </w:rPr>
            </w:pPr>
          </w:p>
        </w:tc>
        <w:tc>
          <w:tcPr>
            <w:tcW w:w="1581" w:type="dxa"/>
            <w:noWrap w:val="0"/>
            <w:vAlign w:val="center"/>
          </w:tcPr>
          <w:p>
            <w:pPr>
              <w:jc w:val="center"/>
              <w:rPr>
                <w:color w:val="auto"/>
                <w:highlight w:val="none"/>
              </w:rPr>
            </w:pPr>
          </w:p>
        </w:tc>
        <w:tc>
          <w:tcPr>
            <w:tcW w:w="994" w:type="dxa"/>
            <w:noWrap w:val="0"/>
            <w:vAlign w:val="center"/>
          </w:tcPr>
          <w:p>
            <w:pPr>
              <w:jc w:val="center"/>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31" w:type="dxa"/>
            <w:noWrap w:val="0"/>
            <w:vAlign w:val="center"/>
          </w:tcPr>
          <w:p>
            <w:pPr>
              <w:autoSpaceDE w:val="0"/>
              <w:autoSpaceDN w:val="0"/>
              <w:adjustRightInd w:val="0"/>
              <w:jc w:val="center"/>
              <w:rPr>
                <w:color w:val="auto"/>
                <w:highlight w:val="none"/>
              </w:rPr>
            </w:pPr>
          </w:p>
        </w:tc>
        <w:tc>
          <w:tcPr>
            <w:tcW w:w="4020" w:type="dxa"/>
            <w:noWrap w:val="0"/>
            <w:vAlign w:val="center"/>
          </w:tcPr>
          <w:p>
            <w:pPr>
              <w:rPr>
                <w:color w:val="auto"/>
                <w:highlight w:val="none"/>
              </w:rPr>
            </w:pPr>
          </w:p>
        </w:tc>
        <w:tc>
          <w:tcPr>
            <w:tcW w:w="1196" w:type="dxa"/>
            <w:noWrap w:val="0"/>
            <w:vAlign w:val="center"/>
          </w:tcPr>
          <w:p>
            <w:pPr>
              <w:jc w:val="center"/>
              <w:rPr>
                <w:color w:val="auto"/>
                <w:highlight w:val="none"/>
              </w:rPr>
            </w:pPr>
          </w:p>
        </w:tc>
        <w:tc>
          <w:tcPr>
            <w:tcW w:w="1581" w:type="dxa"/>
            <w:noWrap w:val="0"/>
            <w:vAlign w:val="center"/>
          </w:tcPr>
          <w:p>
            <w:pPr>
              <w:jc w:val="center"/>
              <w:rPr>
                <w:color w:val="auto"/>
                <w:highlight w:val="none"/>
              </w:rPr>
            </w:pPr>
          </w:p>
        </w:tc>
        <w:tc>
          <w:tcPr>
            <w:tcW w:w="994" w:type="dxa"/>
            <w:noWrap w:val="0"/>
            <w:vAlign w:val="center"/>
          </w:tcPr>
          <w:p>
            <w:pPr>
              <w:jc w:val="center"/>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31" w:type="dxa"/>
            <w:noWrap w:val="0"/>
            <w:vAlign w:val="center"/>
          </w:tcPr>
          <w:p>
            <w:pPr>
              <w:autoSpaceDE w:val="0"/>
              <w:autoSpaceDN w:val="0"/>
              <w:adjustRightInd w:val="0"/>
              <w:jc w:val="center"/>
              <w:rPr>
                <w:color w:val="auto"/>
                <w:highlight w:val="none"/>
              </w:rPr>
            </w:pPr>
          </w:p>
        </w:tc>
        <w:tc>
          <w:tcPr>
            <w:tcW w:w="4020" w:type="dxa"/>
            <w:noWrap w:val="0"/>
            <w:vAlign w:val="center"/>
          </w:tcPr>
          <w:p>
            <w:pPr>
              <w:rPr>
                <w:color w:val="auto"/>
                <w:highlight w:val="none"/>
              </w:rPr>
            </w:pPr>
          </w:p>
        </w:tc>
        <w:tc>
          <w:tcPr>
            <w:tcW w:w="1196" w:type="dxa"/>
            <w:noWrap w:val="0"/>
            <w:vAlign w:val="center"/>
          </w:tcPr>
          <w:p>
            <w:pPr>
              <w:jc w:val="center"/>
              <w:rPr>
                <w:color w:val="auto"/>
                <w:highlight w:val="none"/>
              </w:rPr>
            </w:pPr>
          </w:p>
        </w:tc>
        <w:tc>
          <w:tcPr>
            <w:tcW w:w="1581" w:type="dxa"/>
            <w:noWrap w:val="0"/>
            <w:vAlign w:val="center"/>
          </w:tcPr>
          <w:p>
            <w:pPr>
              <w:jc w:val="center"/>
              <w:rPr>
                <w:color w:val="auto"/>
                <w:highlight w:val="none"/>
              </w:rPr>
            </w:pPr>
          </w:p>
        </w:tc>
        <w:tc>
          <w:tcPr>
            <w:tcW w:w="994" w:type="dxa"/>
            <w:noWrap w:val="0"/>
            <w:vAlign w:val="center"/>
          </w:tcPr>
          <w:p>
            <w:pPr>
              <w:jc w:val="center"/>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31" w:type="dxa"/>
            <w:noWrap w:val="0"/>
            <w:vAlign w:val="center"/>
          </w:tcPr>
          <w:p>
            <w:pPr>
              <w:jc w:val="center"/>
              <w:rPr>
                <w:color w:val="auto"/>
                <w:highlight w:val="none"/>
              </w:rPr>
            </w:pPr>
          </w:p>
        </w:tc>
        <w:tc>
          <w:tcPr>
            <w:tcW w:w="4020" w:type="dxa"/>
            <w:noWrap w:val="0"/>
            <w:vAlign w:val="center"/>
          </w:tcPr>
          <w:p>
            <w:pPr>
              <w:rPr>
                <w:color w:val="auto"/>
                <w:highlight w:val="none"/>
              </w:rPr>
            </w:pPr>
          </w:p>
        </w:tc>
        <w:tc>
          <w:tcPr>
            <w:tcW w:w="1196" w:type="dxa"/>
            <w:noWrap w:val="0"/>
            <w:vAlign w:val="center"/>
          </w:tcPr>
          <w:p>
            <w:pPr>
              <w:jc w:val="center"/>
              <w:rPr>
                <w:color w:val="auto"/>
                <w:highlight w:val="none"/>
              </w:rPr>
            </w:pPr>
          </w:p>
        </w:tc>
        <w:tc>
          <w:tcPr>
            <w:tcW w:w="1581" w:type="dxa"/>
            <w:noWrap w:val="0"/>
            <w:vAlign w:val="center"/>
          </w:tcPr>
          <w:p>
            <w:pPr>
              <w:jc w:val="center"/>
              <w:rPr>
                <w:color w:val="auto"/>
                <w:highlight w:val="none"/>
              </w:rPr>
            </w:pPr>
          </w:p>
        </w:tc>
        <w:tc>
          <w:tcPr>
            <w:tcW w:w="994" w:type="dxa"/>
            <w:noWrap w:val="0"/>
            <w:vAlign w:val="center"/>
          </w:tcPr>
          <w:p>
            <w:pPr>
              <w:jc w:val="center"/>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31" w:type="dxa"/>
            <w:noWrap w:val="0"/>
            <w:vAlign w:val="center"/>
          </w:tcPr>
          <w:p>
            <w:pPr>
              <w:jc w:val="center"/>
              <w:rPr>
                <w:color w:val="auto"/>
                <w:highlight w:val="none"/>
              </w:rPr>
            </w:pPr>
          </w:p>
        </w:tc>
        <w:tc>
          <w:tcPr>
            <w:tcW w:w="4020" w:type="dxa"/>
            <w:noWrap w:val="0"/>
            <w:vAlign w:val="center"/>
          </w:tcPr>
          <w:p>
            <w:pPr>
              <w:rPr>
                <w:color w:val="auto"/>
                <w:highlight w:val="none"/>
              </w:rPr>
            </w:pPr>
          </w:p>
        </w:tc>
        <w:tc>
          <w:tcPr>
            <w:tcW w:w="1196" w:type="dxa"/>
            <w:noWrap w:val="0"/>
            <w:vAlign w:val="center"/>
          </w:tcPr>
          <w:p>
            <w:pPr>
              <w:jc w:val="center"/>
              <w:rPr>
                <w:color w:val="auto"/>
                <w:highlight w:val="none"/>
              </w:rPr>
            </w:pPr>
          </w:p>
        </w:tc>
        <w:tc>
          <w:tcPr>
            <w:tcW w:w="1581" w:type="dxa"/>
            <w:noWrap w:val="0"/>
            <w:vAlign w:val="center"/>
          </w:tcPr>
          <w:p>
            <w:pPr>
              <w:jc w:val="center"/>
              <w:rPr>
                <w:color w:val="auto"/>
                <w:highlight w:val="none"/>
              </w:rPr>
            </w:pPr>
          </w:p>
        </w:tc>
        <w:tc>
          <w:tcPr>
            <w:tcW w:w="994" w:type="dxa"/>
            <w:noWrap w:val="0"/>
            <w:vAlign w:val="center"/>
          </w:tcPr>
          <w:p>
            <w:pPr>
              <w:jc w:val="center"/>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31" w:type="dxa"/>
            <w:noWrap w:val="0"/>
            <w:vAlign w:val="center"/>
          </w:tcPr>
          <w:p>
            <w:pPr>
              <w:jc w:val="center"/>
              <w:rPr>
                <w:color w:val="auto"/>
                <w:highlight w:val="none"/>
              </w:rPr>
            </w:pPr>
          </w:p>
        </w:tc>
        <w:tc>
          <w:tcPr>
            <w:tcW w:w="4020" w:type="dxa"/>
            <w:noWrap w:val="0"/>
            <w:vAlign w:val="center"/>
          </w:tcPr>
          <w:p>
            <w:pPr>
              <w:rPr>
                <w:color w:val="auto"/>
                <w:highlight w:val="none"/>
              </w:rPr>
            </w:pPr>
          </w:p>
        </w:tc>
        <w:tc>
          <w:tcPr>
            <w:tcW w:w="1196" w:type="dxa"/>
            <w:noWrap w:val="0"/>
            <w:vAlign w:val="center"/>
          </w:tcPr>
          <w:p>
            <w:pPr>
              <w:jc w:val="center"/>
              <w:rPr>
                <w:color w:val="auto"/>
                <w:highlight w:val="none"/>
              </w:rPr>
            </w:pPr>
          </w:p>
        </w:tc>
        <w:tc>
          <w:tcPr>
            <w:tcW w:w="1581" w:type="dxa"/>
            <w:noWrap w:val="0"/>
            <w:vAlign w:val="center"/>
          </w:tcPr>
          <w:p>
            <w:pPr>
              <w:jc w:val="center"/>
              <w:rPr>
                <w:color w:val="auto"/>
                <w:highlight w:val="none"/>
              </w:rPr>
            </w:pPr>
          </w:p>
        </w:tc>
        <w:tc>
          <w:tcPr>
            <w:tcW w:w="994" w:type="dxa"/>
            <w:noWrap w:val="0"/>
            <w:vAlign w:val="center"/>
          </w:tcPr>
          <w:p>
            <w:pPr>
              <w:jc w:val="center"/>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31" w:type="dxa"/>
            <w:noWrap w:val="0"/>
            <w:vAlign w:val="center"/>
          </w:tcPr>
          <w:p>
            <w:pPr>
              <w:jc w:val="center"/>
              <w:rPr>
                <w:color w:val="auto"/>
                <w:highlight w:val="none"/>
              </w:rPr>
            </w:pPr>
          </w:p>
        </w:tc>
        <w:tc>
          <w:tcPr>
            <w:tcW w:w="4020" w:type="dxa"/>
            <w:noWrap w:val="0"/>
            <w:vAlign w:val="center"/>
          </w:tcPr>
          <w:p>
            <w:pPr>
              <w:rPr>
                <w:color w:val="auto"/>
                <w:highlight w:val="none"/>
              </w:rPr>
            </w:pPr>
          </w:p>
        </w:tc>
        <w:tc>
          <w:tcPr>
            <w:tcW w:w="1196" w:type="dxa"/>
            <w:noWrap w:val="0"/>
            <w:vAlign w:val="center"/>
          </w:tcPr>
          <w:p>
            <w:pPr>
              <w:jc w:val="center"/>
              <w:rPr>
                <w:color w:val="auto"/>
                <w:highlight w:val="none"/>
              </w:rPr>
            </w:pPr>
          </w:p>
        </w:tc>
        <w:tc>
          <w:tcPr>
            <w:tcW w:w="1581" w:type="dxa"/>
            <w:noWrap w:val="0"/>
            <w:vAlign w:val="center"/>
          </w:tcPr>
          <w:p>
            <w:pPr>
              <w:jc w:val="center"/>
              <w:rPr>
                <w:color w:val="auto"/>
                <w:highlight w:val="none"/>
              </w:rPr>
            </w:pPr>
          </w:p>
        </w:tc>
        <w:tc>
          <w:tcPr>
            <w:tcW w:w="994" w:type="dxa"/>
            <w:noWrap w:val="0"/>
            <w:vAlign w:val="center"/>
          </w:tcPr>
          <w:p>
            <w:pPr>
              <w:jc w:val="center"/>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047" w:type="dxa"/>
            <w:gridSpan w:val="3"/>
            <w:tcBorders>
              <w:bottom w:val="single" w:color="auto" w:sz="6" w:space="0"/>
            </w:tcBorders>
            <w:noWrap w:val="0"/>
            <w:vAlign w:val="center"/>
          </w:tcPr>
          <w:p>
            <w:pPr>
              <w:jc w:val="center"/>
              <w:rPr>
                <w:color w:val="auto"/>
                <w:highlight w:val="none"/>
              </w:rPr>
            </w:pPr>
            <w:r>
              <w:rPr>
                <w:rFonts w:hint="eastAsia"/>
                <w:color w:val="auto"/>
                <w:highlight w:val="none"/>
              </w:rPr>
              <w:t>合计</w:t>
            </w:r>
          </w:p>
        </w:tc>
        <w:tc>
          <w:tcPr>
            <w:tcW w:w="1581" w:type="dxa"/>
            <w:tcBorders>
              <w:bottom w:val="single" w:color="auto" w:sz="6" w:space="0"/>
            </w:tcBorders>
            <w:noWrap w:val="0"/>
            <w:vAlign w:val="center"/>
          </w:tcPr>
          <w:p>
            <w:pPr>
              <w:jc w:val="center"/>
              <w:rPr>
                <w:color w:val="auto"/>
                <w:highlight w:val="none"/>
              </w:rPr>
            </w:pPr>
          </w:p>
        </w:tc>
        <w:tc>
          <w:tcPr>
            <w:tcW w:w="994" w:type="dxa"/>
            <w:tcBorders>
              <w:bottom w:val="single" w:color="auto" w:sz="6" w:space="0"/>
            </w:tcBorders>
            <w:noWrap w:val="0"/>
            <w:vAlign w:val="center"/>
          </w:tcPr>
          <w:p>
            <w:pPr>
              <w:jc w:val="center"/>
              <w:rPr>
                <w:color w:val="auto"/>
                <w:highlight w:val="none"/>
              </w:rPr>
            </w:pPr>
          </w:p>
        </w:tc>
      </w:tr>
    </w:tbl>
    <w:p>
      <w:pPr>
        <w:spacing w:beforeLines="50"/>
        <w:ind w:firstLine="315" w:firstLineChars="150"/>
        <w:rPr>
          <w:rFonts w:ascii="宋体"/>
          <w:bCs/>
          <w:color w:val="auto"/>
          <w:sz w:val="30"/>
          <w:szCs w:val="28"/>
          <w:highlight w:val="none"/>
        </w:rPr>
      </w:pPr>
      <w:r>
        <w:rPr>
          <w:rFonts w:hint="eastAsia" w:ascii="宋体" w:hAnsi="宋体"/>
          <w:color w:val="auto"/>
          <w:highlight w:val="none"/>
        </w:rPr>
        <w:t>注：此表由</w:t>
      </w:r>
      <w:r>
        <w:rPr>
          <w:rFonts w:hint="eastAsia" w:ascii="宋体" w:hAnsi="宋体"/>
          <w:color w:val="auto"/>
          <w:highlight w:val="none"/>
          <w:lang w:eastAsia="zh-CN"/>
        </w:rPr>
        <w:t>采购人</w:t>
      </w:r>
      <w:r>
        <w:rPr>
          <w:rFonts w:hint="eastAsia" w:ascii="宋体" w:hAnsi="宋体"/>
          <w:color w:val="auto"/>
          <w:highlight w:val="none"/>
        </w:rPr>
        <w:t>填写，如不能详列，也可只列暂定金额总额，</w:t>
      </w:r>
      <w:r>
        <w:rPr>
          <w:rFonts w:hint="eastAsia" w:ascii="宋体" w:hAnsi="宋体"/>
          <w:color w:val="auto"/>
          <w:highlight w:val="none"/>
          <w:lang w:eastAsia="zh-CN"/>
        </w:rPr>
        <w:t>供应商</w:t>
      </w:r>
      <w:r>
        <w:rPr>
          <w:rFonts w:hint="eastAsia" w:ascii="宋体" w:hAnsi="宋体"/>
          <w:color w:val="auto"/>
          <w:highlight w:val="none"/>
        </w:rPr>
        <w:t>应将上述暂列金额计入投标报价中。</w:t>
      </w:r>
    </w:p>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both"/>
        <w:rPr>
          <w:rStyle w:val="25"/>
          <w:rFonts w:hint="eastAsia" w:cs="宋体"/>
          <w:b/>
          <w:bCs w:val="0"/>
          <w:color w:val="auto"/>
          <w:sz w:val="24"/>
          <w:szCs w:val="24"/>
          <w:highlight w:val="none"/>
        </w:rPr>
      </w:pPr>
    </w:p>
    <w:p>
      <w:pPr>
        <w:pStyle w:val="18"/>
        <w:spacing w:before="75" w:beforeAutospacing="0" w:after="75" w:afterAutospacing="0" w:line="240" w:lineRule="auto"/>
        <w:jc w:val="center"/>
        <w:rPr>
          <w:rFonts w:hint="eastAsia" w:ascii="宋体" w:hAnsi="宋体" w:eastAsia="宋体" w:cs="宋体"/>
          <w:b/>
          <w:bCs w:val="0"/>
          <w:color w:val="auto"/>
          <w:sz w:val="24"/>
          <w:highlight w:val="none"/>
          <w:shd w:val="clear" w:color="auto" w:fill="auto"/>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23 </w:t>
      </w:r>
      <w:r>
        <w:rPr>
          <w:rStyle w:val="25"/>
          <w:rFonts w:hint="eastAsia" w:cs="宋体"/>
          <w:b/>
          <w:bCs w:val="0"/>
          <w:color w:val="auto"/>
          <w:sz w:val="24"/>
          <w:szCs w:val="24"/>
          <w:highlight w:val="none"/>
        </w:rPr>
        <w:t xml:space="preserve"> </w:t>
      </w:r>
      <w:r>
        <w:rPr>
          <w:rFonts w:hint="eastAsia" w:ascii="宋体" w:hAnsi="宋体" w:eastAsia="宋体" w:cs="宋体"/>
          <w:b/>
          <w:bCs w:val="0"/>
          <w:color w:val="auto"/>
          <w:sz w:val="24"/>
          <w:highlight w:val="none"/>
          <w:shd w:val="clear" w:color="auto" w:fill="auto"/>
        </w:rPr>
        <w:t>材料（工程设备）暂估单价及调整表</w:t>
      </w:r>
    </w:p>
    <w:p>
      <w:pPr>
        <w:spacing w:beforeLines="50" w:afterLines="50"/>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工程名称：                                         第</w:t>
      </w:r>
      <w:r>
        <w:rPr>
          <w:rFonts w:hint="eastAsia" w:ascii="宋体" w:hAnsi="宋体" w:cs="宋体"/>
          <w:color w:val="auto"/>
          <w:sz w:val="24"/>
          <w:szCs w:val="24"/>
          <w:highlight w:val="none"/>
        </w:rPr>
        <w:tab/>
      </w:r>
      <w:r>
        <w:rPr>
          <w:rFonts w:hint="eastAsia" w:ascii="宋体" w:hAnsi="宋体" w:cs="宋体"/>
          <w:color w:val="auto"/>
          <w:sz w:val="24"/>
          <w:szCs w:val="24"/>
          <w:highlight w:val="none"/>
        </w:rPr>
        <w:t>页</w:t>
      </w:r>
      <w:r>
        <w:rPr>
          <w:rFonts w:hint="eastAsia" w:ascii="宋体" w:hAnsi="宋体" w:cs="宋体"/>
          <w:color w:val="auto"/>
          <w:sz w:val="24"/>
          <w:szCs w:val="24"/>
          <w:highlight w:val="none"/>
        </w:rPr>
        <w:tab/>
      </w:r>
      <w:r>
        <w:rPr>
          <w:rFonts w:hint="eastAsia" w:ascii="宋体" w:hAnsi="宋体" w:cs="宋体"/>
          <w:color w:val="auto"/>
          <w:sz w:val="24"/>
          <w:szCs w:val="24"/>
          <w:highlight w:val="none"/>
        </w:rPr>
        <w:t>共</w:t>
      </w:r>
      <w:r>
        <w:rPr>
          <w:rFonts w:hint="eastAsia" w:ascii="宋体" w:hAnsi="宋体" w:cs="宋体"/>
          <w:color w:val="auto"/>
          <w:sz w:val="24"/>
          <w:szCs w:val="24"/>
          <w:highlight w:val="none"/>
        </w:rPr>
        <w:tab/>
      </w:r>
      <w:r>
        <w:rPr>
          <w:rFonts w:hint="eastAsia" w:ascii="宋体" w:hAnsi="宋体" w:cs="宋体"/>
          <w:color w:val="auto"/>
          <w:sz w:val="24"/>
          <w:szCs w:val="24"/>
          <w:highlight w:val="none"/>
        </w:rPr>
        <w:t>页</w:t>
      </w:r>
    </w:p>
    <w:tbl>
      <w:tblPr>
        <w:tblStyle w:val="22"/>
        <w:tblW w:w="9420" w:type="dxa"/>
        <w:jc w:val="center"/>
        <w:tblLayout w:type="fixed"/>
        <w:tblCellMar>
          <w:top w:w="0" w:type="dxa"/>
          <w:left w:w="0" w:type="dxa"/>
          <w:bottom w:w="0" w:type="dxa"/>
          <w:right w:w="0" w:type="dxa"/>
        </w:tblCellMar>
      </w:tblPr>
      <w:tblGrid>
        <w:gridCol w:w="425"/>
        <w:gridCol w:w="2153"/>
        <w:gridCol w:w="585"/>
        <w:gridCol w:w="617"/>
        <w:gridCol w:w="680"/>
        <w:gridCol w:w="625"/>
        <w:gridCol w:w="662"/>
        <w:gridCol w:w="703"/>
        <w:gridCol w:w="705"/>
        <w:gridCol w:w="735"/>
        <w:gridCol w:w="810"/>
        <w:gridCol w:w="720"/>
      </w:tblGrid>
      <w:tr>
        <w:trPr>
          <w:trHeight w:val="555" w:hRule="exact"/>
          <w:jc w:val="center"/>
        </w:trPr>
        <w:tc>
          <w:tcPr>
            <w:tcW w:w="425" w:type="dxa"/>
            <w:vMerge w:val="restart"/>
            <w:tcBorders>
              <w:top w:val="single" w:color="000000" w:sz="4" w:space="0"/>
              <w:left w:val="single" w:color="000000" w:sz="4" w:space="0"/>
              <w:right w:val="single" w:color="000000" w:sz="4" w:space="0"/>
            </w:tcBorders>
            <w:noWrap w:val="0"/>
            <w:vAlign w:val="center"/>
          </w:tcPr>
          <w:p>
            <w:pPr>
              <w:ind w:right="-20"/>
              <w:jc w:val="center"/>
              <w:rPr>
                <w:rFonts w:ascii="宋体" w:cs="宋体"/>
                <w:color w:val="auto"/>
                <w:sz w:val="18"/>
                <w:szCs w:val="18"/>
                <w:highlight w:val="none"/>
              </w:rPr>
            </w:pPr>
            <w:r>
              <w:rPr>
                <w:rFonts w:hint="eastAsia" w:ascii="宋体" w:hAnsi="宋体" w:cs="宋体"/>
                <w:color w:val="auto"/>
                <w:sz w:val="18"/>
                <w:szCs w:val="18"/>
                <w:highlight w:val="none"/>
              </w:rPr>
              <w:t>序号</w:t>
            </w:r>
          </w:p>
        </w:tc>
        <w:tc>
          <w:tcPr>
            <w:tcW w:w="2153" w:type="dxa"/>
            <w:vMerge w:val="restart"/>
            <w:tcBorders>
              <w:top w:val="single" w:color="000000" w:sz="4" w:space="0"/>
              <w:left w:val="single" w:color="000000" w:sz="4" w:space="0"/>
              <w:right w:val="single" w:color="000000" w:sz="4" w:space="0"/>
            </w:tcBorders>
            <w:noWrap w:val="0"/>
            <w:vAlign w:val="center"/>
          </w:tcPr>
          <w:p>
            <w:pPr>
              <w:ind w:right="132"/>
              <w:jc w:val="center"/>
              <w:rPr>
                <w:rFonts w:ascii="宋体" w:cs="宋体"/>
                <w:color w:val="auto"/>
                <w:sz w:val="18"/>
                <w:szCs w:val="18"/>
                <w:highlight w:val="none"/>
              </w:rPr>
            </w:pPr>
            <w:r>
              <w:rPr>
                <w:rFonts w:hint="eastAsia" w:ascii="宋体" w:hAnsi="宋体" w:cs="宋体"/>
                <w:color w:val="auto"/>
                <w:sz w:val="18"/>
                <w:szCs w:val="18"/>
                <w:highlight w:val="none"/>
              </w:rPr>
              <w:t>材料（工程设备）名称、规格、型号</w:t>
            </w:r>
          </w:p>
        </w:tc>
        <w:tc>
          <w:tcPr>
            <w:tcW w:w="585" w:type="dxa"/>
            <w:vMerge w:val="restart"/>
            <w:tcBorders>
              <w:top w:val="single" w:color="000000" w:sz="4" w:space="0"/>
              <w:left w:val="single" w:color="000000" w:sz="4" w:space="0"/>
              <w:right w:val="single" w:color="000000" w:sz="4" w:space="0"/>
            </w:tcBorders>
            <w:noWrap w:val="0"/>
            <w:vAlign w:val="center"/>
          </w:tcPr>
          <w:p>
            <w:pPr>
              <w:ind w:right="42"/>
              <w:jc w:val="center"/>
              <w:rPr>
                <w:rFonts w:ascii="宋体" w:cs="宋体"/>
                <w:color w:val="auto"/>
                <w:sz w:val="18"/>
                <w:szCs w:val="18"/>
                <w:highlight w:val="none"/>
              </w:rPr>
            </w:pPr>
            <w:r>
              <w:rPr>
                <w:rFonts w:hint="eastAsia" w:ascii="宋体" w:hAnsi="宋体" w:cs="宋体"/>
                <w:color w:val="auto"/>
                <w:sz w:val="18"/>
                <w:szCs w:val="18"/>
                <w:highlight w:val="none"/>
              </w:rPr>
              <w:t>计量单位</w:t>
            </w:r>
          </w:p>
        </w:tc>
        <w:tc>
          <w:tcPr>
            <w:tcW w:w="1297" w:type="dxa"/>
            <w:gridSpan w:val="2"/>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ascii="宋体" w:cs="宋体"/>
                <w:color w:val="auto"/>
                <w:sz w:val="18"/>
                <w:szCs w:val="18"/>
                <w:highlight w:val="none"/>
              </w:rPr>
            </w:pPr>
            <w:r>
              <w:rPr>
                <w:rFonts w:hint="eastAsia" w:ascii="宋体" w:hAnsi="宋体" w:cs="宋体"/>
                <w:color w:val="auto"/>
                <w:sz w:val="18"/>
                <w:szCs w:val="18"/>
                <w:highlight w:val="none"/>
              </w:rPr>
              <w:t>数量</w:t>
            </w:r>
          </w:p>
        </w:tc>
        <w:tc>
          <w:tcPr>
            <w:tcW w:w="1287" w:type="dxa"/>
            <w:gridSpan w:val="2"/>
            <w:tcBorders>
              <w:top w:val="single" w:color="000000" w:sz="4" w:space="0"/>
              <w:left w:val="single" w:color="000000" w:sz="4" w:space="0"/>
              <w:bottom w:val="single" w:color="000000" w:sz="4" w:space="0"/>
              <w:right w:val="single" w:color="000000" w:sz="4" w:space="0"/>
            </w:tcBorders>
            <w:noWrap w:val="0"/>
            <w:vAlign w:val="center"/>
          </w:tcPr>
          <w:p>
            <w:pPr>
              <w:ind w:right="80"/>
              <w:jc w:val="center"/>
              <w:rPr>
                <w:rFonts w:ascii="宋体" w:cs="宋体"/>
                <w:color w:val="auto"/>
                <w:sz w:val="18"/>
                <w:szCs w:val="18"/>
                <w:highlight w:val="none"/>
              </w:rPr>
            </w:pPr>
            <w:r>
              <w:rPr>
                <w:rFonts w:hint="eastAsia" w:ascii="宋体" w:hAnsi="宋体" w:cs="宋体"/>
                <w:color w:val="auto"/>
                <w:position w:val="-2"/>
                <w:sz w:val="18"/>
                <w:szCs w:val="18"/>
                <w:highlight w:val="none"/>
              </w:rPr>
              <w:t>单价（元</w:t>
            </w:r>
            <w:r>
              <w:rPr>
                <w:rFonts w:hint="eastAsia" w:ascii="宋体" w:hAnsi="宋体" w:cs="宋体"/>
                <w:color w:val="auto"/>
                <w:position w:val="-1"/>
                <w:sz w:val="18"/>
                <w:szCs w:val="18"/>
                <w:highlight w:val="none"/>
              </w:rPr>
              <w:t>）</w:t>
            </w:r>
          </w:p>
        </w:tc>
        <w:tc>
          <w:tcPr>
            <w:tcW w:w="1408" w:type="dxa"/>
            <w:gridSpan w:val="2"/>
            <w:tcBorders>
              <w:top w:val="single" w:color="000000" w:sz="4" w:space="0"/>
              <w:left w:val="single" w:color="000000" w:sz="4" w:space="0"/>
              <w:bottom w:val="single" w:color="000000" w:sz="4" w:space="0"/>
              <w:right w:val="single" w:color="000000" w:sz="4" w:space="0"/>
            </w:tcBorders>
            <w:noWrap w:val="0"/>
            <w:vAlign w:val="center"/>
          </w:tcPr>
          <w:p>
            <w:pPr>
              <w:ind w:right="132"/>
              <w:jc w:val="center"/>
              <w:rPr>
                <w:rFonts w:ascii="宋体" w:cs="宋体"/>
                <w:color w:val="auto"/>
                <w:sz w:val="18"/>
                <w:szCs w:val="18"/>
                <w:highlight w:val="none"/>
              </w:rPr>
            </w:pPr>
            <w:r>
              <w:rPr>
                <w:rFonts w:hint="eastAsia" w:ascii="宋体" w:hAnsi="宋体" w:cs="宋体"/>
                <w:color w:val="auto"/>
                <w:position w:val="-2"/>
                <w:sz w:val="18"/>
                <w:szCs w:val="18"/>
                <w:highlight w:val="none"/>
              </w:rPr>
              <w:t>合价（元</w:t>
            </w:r>
            <w:r>
              <w:rPr>
                <w:rFonts w:hint="eastAsia" w:ascii="宋体" w:hAnsi="宋体" w:cs="宋体"/>
                <w:color w:val="auto"/>
                <w:position w:val="-1"/>
                <w:sz w:val="18"/>
                <w:szCs w:val="18"/>
                <w:highlight w:val="none"/>
              </w:rPr>
              <w:t>）</w:t>
            </w:r>
          </w:p>
        </w:tc>
        <w:tc>
          <w:tcPr>
            <w:tcW w:w="1545" w:type="dxa"/>
            <w:gridSpan w:val="2"/>
            <w:tcBorders>
              <w:top w:val="single" w:color="000000" w:sz="4" w:space="0"/>
              <w:left w:val="single" w:color="000000" w:sz="4" w:space="0"/>
              <w:bottom w:val="single" w:color="000000" w:sz="4" w:space="0"/>
              <w:right w:val="single" w:color="000000" w:sz="4" w:space="0"/>
            </w:tcBorders>
            <w:noWrap w:val="0"/>
            <w:vAlign w:val="center"/>
          </w:tcPr>
          <w:p>
            <w:pPr>
              <w:ind w:right="-140"/>
              <w:jc w:val="center"/>
              <w:rPr>
                <w:rFonts w:ascii="宋体" w:cs="宋体"/>
                <w:color w:val="auto"/>
                <w:sz w:val="18"/>
                <w:szCs w:val="18"/>
                <w:highlight w:val="none"/>
              </w:rPr>
            </w:pPr>
            <w:r>
              <w:rPr>
                <w:rFonts w:hint="eastAsia" w:ascii="宋体" w:hAnsi="宋体" w:cs="宋体"/>
                <w:color w:val="auto"/>
                <w:sz w:val="18"/>
                <w:szCs w:val="18"/>
                <w:highlight w:val="none"/>
              </w:rPr>
              <w:t>差额±（元）</w:t>
            </w:r>
          </w:p>
        </w:tc>
        <w:tc>
          <w:tcPr>
            <w:tcW w:w="720" w:type="dxa"/>
            <w:vMerge w:val="restart"/>
            <w:tcBorders>
              <w:top w:val="single" w:color="000000" w:sz="4" w:space="0"/>
              <w:left w:val="single" w:color="000000" w:sz="4" w:space="0"/>
              <w:right w:val="single" w:color="000000" w:sz="4" w:space="0"/>
            </w:tcBorders>
            <w:noWrap w:val="0"/>
            <w:vAlign w:val="top"/>
          </w:tcPr>
          <w:p>
            <w:pPr>
              <w:ind w:right="-20"/>
              <w:jc w:val="center"/>
              <w:rPr>
                <w:rFonts w:ascii="宋体" w:hAnsi="宋体" w:cs="宋体"/>
                <w:color w:val="auto"/>
                <w:sz w:val="18"/>
                <w:szCs w:val="18"/>
                <w:highlight w:val="none"/>
              </w:rPr>
            </w:pPr>
          </w:p>
          <w:p>
            <w:pPr>
              <w:ind w:right="-20"/>
              <w:jc w:val="center"/>
              <w:rPr>
                <w:rFonts w:ascii="宋体" w:cs="宋体"/>
                <w:color w:val="auto"/>
                <w:sz w:val="18"/>
                <w:szCs w:val="18"/>
                <w:highlight w:val="none"/>
              </w:rPr>
            </w:pPr>
            <w:r>
              <w:rPr>
                <w:rFonts w:hint="eastAsia" w:ascii="宋体" w:hAnsi="宋体" w:cs="宋体"/>
                <w:color w:val="auto"/>
                <w:sz w:val="18"/>
                <w:szCs w:val="18"/>
                <w:highlight w:val="none"/>
              </w:rPr>
              <w:t>备注</w:t>
            </w:r>
          </w:p>
        </w:tc>
      </w:tr>
      <w:tr>
        <w:tblPrEx>
          <w:tblCellMar>
            <w:top w:w="0" w:type="dxa"/>
            <w:left w:w="0" w:type="dxa"/>
            <w:bottom w:w="0" w:type="dxa"/>
            <w:right w:w="0" w:type="dxa"/>
          </w:tblCellMar>
        </w:tblPrEx>
        <w:trPr>
          <w:trHeight w:val="500" w:hRule="exact"/>
          <w:jc w:val="center"/>
        </w:trPr>
        <w:tc>
          <w:tcPr>
            <w:tcW w:w="425" w:type="dxa"/>
            <w:vMerge w:val="continue"/>
            <w:tcBorders>
              <w:left w:val="single" w:color="000000" w:sz="4" w:space="0"/>
              <w:bottom w:val="single" w:color="000000" w:sz="4" w:space="0"/>
              <w:right w:val="single" w:color="000000" w:sz="4" w:space="0"/>
            </w:tcBorders>
            <w:noWrap w:val="0"/>
            <w:vAlign w:val="center"/>
          </w:tcPr>
          <w:p>
            <w:pPr>
              <w:jc w:val="center"/>
              <w:rPr>
                <w:rFonts w:ascii="宋体" w:cs="宋体"/>
                <w:color w:val="auto"/>
                <w:sz w:val="18"/>
                <w:szCs w:val="18"/>
                <w:highlight w:val="none"/>
              </w:rPr>
            </w:pPr>
          </w:p>
        </w:tc>
        <w:tc>
          <w:tcPr>
            <w:tcW w:w="2153" w:type="dxa"/>
            <w:vMerge w:val="continue"/>
            <w:tcBorders>
              <w:left w:val="single" w:color="000000" w:sz="4" w:space="0"/>
              <w:bottom w:val="single" w:color="000000" w:sz="4" w:space="0"/>
              <w:right w:val="single" w:color="000000" w:sz="4" w:space="0"/>
            </w:tcBorders>
            <w:noWrap w:val="0"/>
            <w:vAlign w:val="center"/>
          </w:tcPr>
          <w:p>
            <w:pPr>
              <w:jc w:val="center"/>
              <w:rPr>
                <w:rFonts w:ascii="宋体" w:cs="宋体"/>
                <w:color w:val="auto"/>
                <w:sz w:val="18"/>
                <w:szCs w:val="18"/>
                <w:highlight w:val="none"/>
              </w:rPr>
            </w:pPr>
          </w:p>
        </w:tc>
        <w:tc>
          <w:tcPr>
            <w:tcW w:w="585" w:type="dxa"/>
            <w:vMerge w:val="continue"/>
            <w:tcBorders>
              <w:left w:val="single" w:color="000000" w:sz="4" w:space="0"/>
              <w:bottom w:val="single" w:color="000000" w:sz="4" w:space="0"/>
              <w:right w:val="single" w:color="000000" w:sz="4" w:space="0"/>
            </w:tcBorders>
            <w:noWrap w:val="0"/>
            <w:vAlign w:val="center"/>
          </w:tcPr>
          <w:p>
            <w:pPr>
              <w:jc w:val="center"/>
              <w:rPr>
                <w:rFonts w:ascii="宋体" w:cs="宋体"/>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ind w:right="139"/>
              <w:jc w:val="center"/>
              <w:rPr>
                <w:rFonts w:ascii="宋体" w:cs="宋体"/>
                <w:color w:val="auto"/>
                <w:sz w:val="18"/>
                <w:szCs w:val="18"/>
                <w:highlight w:val="none"/>
              </w:rPr>
            </w:pPr>
            <w:r>
              <w:rPr>
                <w:rFonts w:hint="eastAsia" w:ascii="宋体" w:hAnsi="宋体" w:cs="宋体"/>
                <w:color w:val="auto"/>
                <w:sz w:val="18"/>
                <w:szCs w:val="18"/>
                <w:highlight w:val="none"/>
              </w:rPr>
              <w:t>暂估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ind w:right="139"/>
              <w:jc w:val="center"/>
              <w:rPr>
                <w:rFonts w:ascii="宋体" w:cs="宋体"/>
                <w:color w:val="auto"/>
                <w:sz w:val="18"/>
                <w:szCs w:val="18"/>
                <w:highlight w:val="none"/>
              </w:rPr>
            </w:pPr>
            <w:r>
              <w:rPr>
                <w:rFonts w:hint="eastAsia" w:ascii="宋体" w:hAnsi="宋体" w:cs="宋体"/>
                <w:color w:val="auto"/>
                <w:sz w:val="18"/>
                <w:szCs w:val="18"/>
                <w:highlight w:val="none"/>
              </w:rPr>
              <w:t>确认</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ind w:right="139"/>
              <w:jc w:val="center"/>
              <w:rPr>
                <w:rFonts w:ascii="宋体" w:cs="宋体"/>
                <w:color w:val="auto"/>
                <w:sz w:val="18"/>
                <w:szCs w:val="18"/>
                <w:highlight w:val="none"/>
              </w:rPr>
            </w:pPr>
            <w:r>
              <w:rPr>
                <w:rFonts w:hint="eastAsia" w:ascii="宋体" w:hAnsi="宋体" w:cs="宋体"/>
                <w:color w:val="auto"/>
                <w:sz w:val="18"/>
                <w:szCs w:val="18"/>
                <w:highlight w:val="none"/>
              </w:rPr>
              <w:t>暂估</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ind w:right="139"/>
              <w:jc w:val="center"/>
              <w:rPr>
                <w:rFonts w:ascii="宋体" w:cs="宋体"/>
                <w:color w:val="auto"/>
                <w:sz w:val="18"/>
                <w:szCs w:val="18"/>
                <w:highlight w:val="none"/>
              </w:rPr>
            </w:pPr>
            <w:r>
              <w:rPr>
                <w:rFonts w:hint="eastAsia" w:ascii="宋体" w:hAnsi="宋体" w:cs="宋体"/>
                <w:color w:val="auto"/>
                <w:sz w:val="18"/>
                <w:szCs w:val="18"/>
                <w:highlight w:val="none"/>
              </w:rPr>
              <w:t>确认</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ind w:right="139"/>
              <w:jc w:val="center"/>
              <w:rPr>
                <w:rFonts w:ascii="宋体" w:cs="宋体"/>
                <w:color w:val="auto"/>
                <w:sz w:val="18"/>
                <w:szCs w:val="18"/>
                <w:highlight w:val="none"/>
              </w:rPr>
            </w:pPr>
            <w:r>
              <w:rPr>
                <w:rFonts w:hint="eastAsia" w:ascii="宋体" w:hAnsi="宋体" w:cs="宋体"/>
                <w:color w:val="auto"/>
                <w:sz w:val="18"/>
                <w:szCs w:val="18"/>
                <w:highlight w:val="none"/>
              </w:rPr>
              <w:t>暂估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ind w:right="139"/>
              <w:jc w:val="center"/>
              <w:rPr>
                <w:rFonts w:ascii="宋体" w:cs="宋体"/>
                <w:color w:val="auto"/>
                <w:sz w:val="18"/>
                <w:szCs w:val="18"/>
                <w:highlight w:val="none"/>
              </w:rPr>
            </w:pPr>
            <w:r>
              <w:rPr>
                <w:rFonts w:hint="eastAsia" w:ascii="宋体" w:hAnsi="宋体" w:cs="宋体"/>
                <w:color w:val="auto"/>
                <w:sz w:val="18"/>
                <w:szCs w:val="18"/>
                <w:highlight w:val="none"/>
              </w:rPr>
              <w:t>确认</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ind w:left="213" w:right="139"/>
              <w:jc w:val="center"/>
              <w:rPr>
                <w:rFonts w:ascii="宋体" w:cs="宋体"/>
                <w:color w:val="auto"/>
                <w:sz w:val="18"/>
                <w:szCs w:val="18"/>
                <w:highlight w:val="none"/>
              </w:rPr>
            </w:pPr>
            <w:r>
              <w:rPr>
                <w:rFonts w:hint="eastAsia" w:ascii="宋体" w:hAnsi="宋体" w:cs="宋体"/>
                <w:color w:val="auto"/>
                <w:sz w:val="18"/>
                <w:szCs w:val="18"/>
                <w:highlight w:val="none"/>
              </w:rPr>
              <w:t>单价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ind w:left="213" w:right="139"/>
              <w:jc w:val="center"/>
              <w:rPr>
                <w:rFonts w:ascii="宋体" w:cs="宋体"/>
                <w:color w:val="auto"/>
                <w:sz w:val="18"/>
                <w:szCs w:val="18"/>
                <w:highlight w:val="none"/>
              </w:rPr>
            </w:pPr>
            <w:r>
              <w:rPr>
                <w:rFonts w:hint="eastAsia" w:ascii="宋体" w:hAnsi="宋体" w:cs="宋体"/>
                <w:color w:val="auto"/>
                <w:sz w:val="18"/>
                <w:szCs w:val="18"/>
                <w:highlight w:val="none"/>
              </w:rPr>
              <w:t>合价</w:t>
            </w:r>
          </w:p>
        </w:tc>
        <w:tc>
          <w:tcPr>
            <w:tcW w:w="720" w:type="dxa"/>
            <w:vMerge w:val="continue"/>
            <w:tcBorders>
              <w:left w:val="single" w:color="000000" w:sz="4" w:space="0"/>
              <w:bottom w:val="single" w:color="000000" w:sz="4" w:space="0"/>
              <w:right w:val="single" w:color="000000" w:sz="4" w:space="0"/>
            </w:tcBorders>
            <w:noWrap w:val="0"/>
            <w:vAlign w:val="top"/>
          </w:tcPr>
          <w:p>
            <w:pPr>
              <w:jc w:val="center"/>
              <w:rPr>
                <w:rFonts w:ascii="宋体" w:cs="宋体"/>
                <w:color w:val="auto"/>
                <w:sz w:val="18"/>
                <w:szCs w:val="18"/>
                <w:highlight w:val="none"/>
              </w:rPr>
            </w:pPr>
          </w:p>
        </w:tc>
      </w:tr>
      <w:tr>
        <w:tblPrEx>
          <w:tblCellMar>
            <w:top w:w="0" w:type="dxa"/>
            <w:left w:w="0" w:type="dxa"/>
            <w:bottom w:w="0" w:type="dxa"/>
            <w:right w:w="0" w:type="dxa"/>
          </w:tblCellMar>
        </w:tblPrEx>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bCs/>
                <w:color w:val="auto"/>
                <w:sz w:val="18"/>
                <w:szCs w:val="18"/>
                <w:highlight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r>
        <w:tblPrEx>
          <w:tblCellMar>
            <w:top w:w="0" w:type="dxa"/>
            <w:left w:w="0" w:type="dxa"/>
            <w:bottom w:w="0" w:type="dxa"/>
            <w:right w:w="0" w:type="dxa"/>
          </w:tblCellMar>
        </w:tblPrEx>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rPr>
                <w:color w:val="auto"/>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r>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r>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r>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bCs/>
                <w:color w:val="auto"/>
                <w:sz w:val="18"/>
                <w:szCs w:val="18"/>
                <w:highlight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pacing w:beforeLines="50" w:afterLines="50"/>
              <w:jc w:val="center"/>
              <w:rPr>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spacing w:beforeLines="50" w:afterLines="50"/>
              <w:jc w:val="center"/>
              <w:rPr>
                <w:color w:val="auto"/>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beforeLines="50" w:afterLines="50"/>
              <w:jc w:val="center"/>
              <w:rPr>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r>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r>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r>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r>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r>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r>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bCs/>
                <w:color w:val="auto"/>
                <w:sz w:val="18"/>
                <w:szCs w:val="18"/>
                <w:highlight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bCs/>
                <w:color w:val="auto"/>
                <w:sz w:val="18"/>
                <w:szCs w:val="18"/>
                <w:highlight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r>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bCs/>
                <w:color w:val="auto"/>
                <w:sz w:val="18"/>
                <w:szCs w:val="18"/>
                <w:highlight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r>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bCs/>
                <w:color w:val="auto"/>
                <w:sz w:val="18"/>
                <w:szCs w:val="18"/>
                <w:highlight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r>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bCs/>
                <w:color w:val="auto"/>
                <w:sz w:val="18"/>
                <w:szCs w:val="18"/>
                <w:highlight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r>
        <w:trPr>
          <w:trHeight w:val="628"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2153"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bCs/>
                <w:color w:val="auto"/>
                <w:sz w:val="18"/>
                <w:szCs w:val="18"/>
                <w:highlight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bCs/>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r>
        <w:trPr>
          <w:trHeight w:val="768" w:hRule="exact"/>
          <w:jc w:val="center"/>
        </w:trPr>
        <w:tc>
          <w:tcPr>
            <w:tcW w:w="3163"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left" w:pos="1960"/>
              </w:tabs>
              <w:ind w:left="1485" w:right="1465"/>
              <w:jc w:val="center"/>
              <w:rPr>
                <w:rFonts w:ascii="宋体" w:cs="宋体"/>
                <w:color w:val="auto"/>
                <w:sz w:val="18"/>
                <w:szCs w:val="18"/>
                <w:highlight w:val="none"/>
              </w:rPr>
            </w:pPr>
            <w:r>
              <w:rPr>
                <w:rFonts w:hint="eastAsia" w:ascii="宋体" w:hAnsi="宋体" w:cs="宋体"/>
                <w:color w:val="auto"/>
                <w:position w:val="-3"/>
                <w:sz w:val="18"/>
                <w:szCs w:val="18"/>
                <w:highlight w:val="none"/>
              </w:rPr>
              <w:t>合</w:t>
            </w:r>
            <w:r>
              <w:rPr>
                <w:rFonts w:ascii="宋体" w:cs="宋体"/>
                <w:color w:val="auto"/>
                <w:position w:val="-3"/>
                <w:sz w:val="18"/>
                <w:szCs w:val="18"/>
                <w:highlight w:val="none"/>
              </w:rPr>
              <w:tab/>
            </w:r>
            <w:r>
              <w:rPr>
                <w:rFonts w:hint="eastAsia" w:ascii="宋体" w:hAnsi="宋体" w:cs="宋体"/>
                <w:color w:val="auto"/>
                <w:position w:val="-3"/>
                <w:sz w:val="18"/>
                <w:szCs w:val="18"/>
                <w:highlight w:val="none"/>
              </w:rPr>
              <w:t>计</w:t>
            </w:r>
          </w:p>
        </w:tc>
        <w:tc>
          <w:tcPr>
            <w:tcW w:w="12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auto"/>
                <w:sz w:val="18"/>
                <w:szCs w:val="18"/>
                <w:highlight w:val="none"/>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auto"/>
                <w:sz w:val="18"/>
                <w:szCs w:val="18"/>
                <w:highlight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18"/>
                <w:szCs w:val="18"/>
                <w:highlight w:val="none"/>
              </w:rPr>
            </w:pPr>
          </w:p>
        </w:tc>
      </w:tr>
    </w:tbl>
    <w:p>
      <w:pPr>
        <w:spacing w:beforeLines="50" w:afterLines="50"/>
        <w:jc w:val="left"/>
        <w:rPr>
          <w:rFonts w:hint="eastAsia" w:ascii="宋体" w:hAnsi="宋体" w:cs="宋体"/>
          <w:color w:val="auto"/>
          <w:sz w:val="18"/>
          <w:szCs w:val="18"/>
          <w:highlight w:val="none"/>
        </w:rPr>
      </w:pPr>
      <w:r>
        <w:rPr>
          <w:rFonts w:hint="eastAsia" w:ascii="宋体" w:hAnsi="宋体" w:cs="宋体"/>
          <w:color w:val="auto"/>
          <w:position w:val="-2"/>
          <w:sz w:val="18"/>
          <w:szCs w:val="18"/>
          <w:highlight w:val="none"/>
        </w:rPr>
        <w:t>注：此表由</w:t>
      </w:r>
      <w:r>
        <w:rPr>
          <w:rFonts w:hint="eastAsia" w:ascii="宋体" w:hAnsi="宋体" w:cs="宋体"/>
          <w:color w:val="auto"/>
          <w:position w:val="-2"/>
          <w:sz w:val="18"/>
          <w:szCs w:val="18"/>
          <w:highlight w:val="none"/>
          <w:lang w:eastAsia="zh-CN"/>
        </w:rPr>
        <w:t>采购人</w:t>
      </w:r>
      <w:r>
        <w:rPr>
          <w:rFonts w:hint="eastAsia" w:ascii="宋体" w:hAnsi="宋体" w:cs="宋体"/>
          <w:color w:val="auto"/>
          <w:position w:val="-2"/>
          <w:sz w:val="18"/>
          <w:szCs w:val="18"/>
          <w:highlight w:val="none"/>
        </w:rPr>
        <w:t>填写“暂估单价”，并在备注栏说明暂估价的材料、工程设备拟用在哪些清</w:t>
      </w:r>
      <w:r>
        <w:rPr>
          <w:rFonts w:hint="eastAsia" w:ascii="宋体" w:hAnsi="宋体" w:cs="宋体"/>
          <w:color w:val="auto"/>
          <w:sz w:val="18"/>
          <w:szCs w:val="18"/>
          <w:highlight w:val="none"/>
        </w:rPr>
        <w:t>单项目上，</w:t>
      </w:r>
      <w:r>
        <w:rPr>
          <w:rFonts w:hint="eastAsia" w:ascii="宋体" w:hAnsi="宋体" w:cs="宋体"/>
          <w:color w:val="auto"/>
          <w:sz w:val="18"/>
          <w:szCs w:val="18"/>
          <w:highlight w:val="none"/>
          <w:lang w:eastAsia="zh-CN"/>
        </w:rPr>
        <w:t>供应商</w:t>
      </w:r>
      <w:r>
        <w:rPr>
          <w:rFonts w:hint="eastAsia" w:ascii="宋体" w:hAnsi="宋体" w:cs="宋体"/>
          <w:color w:val="auto"/>
          <w:sz w:val="18"/>
          <w:szCs w:val="18"/>
          <w:highlight w:val="none"/>
        </w:rPr>
        <w:t>应将上述材料、工程设备暂估单价计入工程量清单综合单价报价中。</w:t>
      </w:r>
    </w:p>
    <w:p>
      <w:pPr>
        <w:pStyle w:val="18"/>
        <w:spacing w:before="75" w:beforeAutospacing="0" w:after="75" w:afterAutospacing="0" w:line="240" w:lineRule="auto"/>
        <w:jc w:val="center"/>
        <w:rPr>
          <w:rFonts w:hint="eastAsia" w:ascii="宋体" w:hAnsi="宋体" w:eastAsia="宋体" w:cs="宋体"/>
          <w:b/>
          <w:bCs w:val="0"/>
          <w:color w:val="auto"/>
          <w:sz w:val="24"/>
          <w:highlight w:val="none"/>
          <w:shd w:val="clear" w:color="auto" w:fill="auto"/>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24 </w:t>
      </w:r>
      <w:r>
        <w:rPr>
          <w:rStyle w:val="25"/>
          <w:rFonts w:hint="eastAsia" w:cs="宋体"/>
          <w:b/>
          <w:bCs w:val="0"/>
          <w:color w:val="auto"/>
          <w:sz w:val="24"/>
          <w:szCs w:val="24"/>
          <w:highlight w:val="none"/>
        </w:rPr>
        <w:t xml:space="preserve"> 专业工程暂估表及结算表</w:t>
      </w:r>
    </w:p>
    <w:p>
      <w:pPr>
        <w:spacing w:beforeLines="50" w:afterLines="50"/>
        <w:ind w:firstLine="240" w:firstLineChars="100"/>
        <w:rPr>
          <w:rFonts w:hint="eastAsia"/>
          <w:color w:val="auto"/>
          <w:highlight w:val="none"/>
          <w:lang w:eastAsia="zh-CN"/>
        </w:rPr>
      </w:pPr>
      <w:r>
        <w:rPr>
          <w:rFonts w:hint="eastAsia" w:ascii="宋体" w:hAnsi="宋体" w:cs="宋体"/>
          <w:color w:val="auto"/>
          <w:sz w:val="24"/>
          <w:szCs w:val="24"/>
          <w:highlight w:val="none"/>
        </w:rPr>
        <w:t>工程名称：                                         第</w:t>
      </w:r>
      <w:r>
        <w:rPr>
          <w:rFonts w:hint="eastAsia" w:ascii="宋体" w:hAnsi="宋体" w:cs="宋体"/>
          <w:color w:val="auto"/>
          <w:sz w:val="24"/>
          <w:szCs w:val="24"/>
          <w:highlight w:val="none"/>
        </w:rPr>
        <w:tab/>
      </w:r>
      <w:r>
        <w:rPr>
          <w:rFonts w:hint="eastAsia" w:ascii="宋体" w:hAnsi="宋体" w:cs="宋体"/>
          <w:color w:val="auto"/>
          <w:sz w:val="24"/>
          <w:szCs w:val="24"/>
          <w:highlight w:val="none"/>
        </w:rPr>
        <w:t>页</w:t>
      </w:r>
      <w:r>
        <w:rPr>
          <w:rFonts w:hint="eastAsia" w:ascii="宋体" w:hAnsi="宋体" w:cs="宋体"/>
          <w:color w:val="auto"/>
          <w:sz w:val="24"/>
          <w:szCs w:val="24"/>
          <w:highlight w:val="none"/>
        </w:rPr>
        <w:tab/>
      </w:r>
      <w:r>
        <w:rPr>
          <w:rFonts w:hint="eastAsia" w:ascii="宋体" w:hAnsi="宋体" w:cs="宋体"/>
          <w:color w:val="auto"/>
          <w:sz w:val="24"/>
          <w:szCs w:val="24"/>
          <w:highlight w:val="none"/>
        </w:rPr>
        <w:t>共</w:t>
      </w:r>
      <w:r>
        <w:rPr>
          <w:rFonts w:hint="eastAsia" w:ascii="宋体" w:hAnsi="宋体" w:cs="宋体"/>
          <w:color w:val="auto"/>
          <w:sz w:val="24"/>
          <w:szCs w:val="24"/>
          <w:highlight w:val="none"/>
        </w:rPr>
        <w:tab/>
      </w:r>
      <w:r>
        <w:rPr>
          <w:rFonts w:hint="eastAsia" w:ascii="宋体" w:hAnsi="宋体" w:cs="宋体"/>
          <w:color w:val="auto"/>
          <w:sz w:val="24"/>
          <w:szCs w:val="24"/>
          <w:highlight w:val="none"/>
        </w:rPr>
        <w:t>页</w:t>
      </w:r>
    </w:p>
    <w:tbl>
      <w:tblPr>
        <w:tblStyle w:val="22"/>
        <w:tblW w:w="8606" w:type="dxa"/>
        <w:jc w:val="center"/>
        <w:tblLayout w:type="fixed"/>
        <w:tblCellMar>
          <w:top w:w="0" w:type="dxa"/>
          <w:left w:w="0" w:type="dxa"/>
          <w:bottom w:w="0" w:type="dxa"/>
          <w:right w:w="0" w:type="dxa"/>
        </w:tblCellMar>
      </w:tblPr>
      <w:tblGrid>
        <w:gridCol w:w="480"/>
        <w:gridCol w:w="2081"/>
        <w:gridCol w:w="1545"/>
        <w:gridCol w:w="1230"/>
        <w:gridCol w:w="1155"/>
        <w:gridCol w:w="1412"/>
        <w:gridCol w:w="703"/>
      </w:tblGrid>
      <w:tr>
        <w:trPr>
          <w:trHeight w:val="1150" w:hRule="exact"/>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ind w:right="-20"/>
              <w:rPr>
                <w:rFonts w:ascii="宋体" w:cs="宋体"/>
                <w:color w:val="auto"/>
                <w:szCs w:val="21"/>
                <w:highlight w:val="none"/>
              </w:rPr>
            </w:pPr>
            <w:r>
              <w:rPr>
                <w:rFonts w:hint="eastAsia" w:ascii="宋体" w:hAnsi="宋体" w:cs="宋体"/>
                <w:color w:val="auto"/>
                <w:szCs w:val="21"/>
                <w:highlight w:val="none"/>
              </w:rPr>
              <w:t>序号</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ind w:left="7" w:right="97" w:hanging="7"/>
              <w:jc w:val="center"/>
              <w:rPr>
                <w:rFonts w:ascii="宋体" w:cs="宋体"/>
                <w:color w:val="auto"/>
                <w:szCs w:val="21"/>
                <w:highlight w:val="none"/>
              </w:rPr>
            </w:pPr>
            <w:r>
              <w:rPr>
                <w:rFonts w:hint="eastAsia" w:ascii="宋体" w:hAnsi="宋体" w:cs="宋体"/>
                <w:color w:val="auto"/>
                <w:szCs w:val="21"/>
                <w:highlight w:val="none"/>
              </w:rPr>
              <w:t>工程名称</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ascii="宋体" w:cs="宋体"/>
                <w:color w:val="auto"/>
                <w:szCs w:val="21"/>
                <w:highlight w:val="none"/>
              </w:rPr>
            </w:pPr>
            <w:r>
              <w:rPr>
                <w:rFonts w:hint="eastAsia" w:ascii="宋体" w:hAnsi="宋体" w:cs="宋体"/>
                <w:color w:val="auto"/>
                <w:szCs w:val="21"/>
                <w:highlight w:val="none"/>
              </w:rPr>
              <w:t>工程内容</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spacing w:before="16"/>
              <w:ind w:left="172" w:right="152"/>
              <w:jc w:val="center"/>
              <w:rPr>
                <w:rFonts w:ascii="宋体" w:cs="宋体"/>
                <w:color w:val="auto"/>
                <w:szCs w:val="21"/>
                <w:highlight w:val="none"/>
              </w:rPr>
            </w:pPr>
            <w:r>
              <w:rPr>
                <w:rFonts w:hint="eastAsia" w:ascii="宋体" w:hAnsi="宋体" w:cs="宋体"/>
                <w:color w:val="auto"/>
                <w:szCs w:val="21"/>
                <w:highlight w:val="none"/>
              </w:rPr>
              <w:t>暂估金额（元）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ind w:right="152"/>
              <w:jc w:val="center"/>
              <w:rPr>
                <w:rFonts w:ascii="宋体" w:cs="宋体"/>
                <w:color w:val="auto"/>
                <w:szCs w:val="21"/>
                <w:highlight w:val="none"/>
              </w:rPr>
            </w:pPr>
            <w:r>
              <w:rPr>
                <w:rFonts w:hint="eastAsia" w:ascii="宋体" w:hAnsi="宋体" w:cs="宋体"/>
                <w:color w:val="auto"/>
                <w:szCs w:val="21"/>
                <w:highlight w:val="none"/>
              </w:rPr>
              <w:t>结算金额（元</w:t>
            </w:r>
            <w:r>
              <w:rPr>
                <w:rFonts w:hint="eastAsia" w:ascii="宋体" w:hAnsi="宋体" w:cs="宋体"/>
                <w:color w:val="auto"/>
                <w:position w:val="-1"/>
                <w:szCs w:val="21"/>
                <w:highlight w:val="none"/>
              </w:rPr>
              <w:t>）</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ascii="宋体" w:cs="宋体"/>
                <w:color w:val="auto"/>
                <w:szCs w:val="21"/>
                <w:highlight w:val="none"/>
              </w:rPr>
            </w:pPr>
            <w:r>
              <w:rPr>
                <w:rFonts w:hint="eastAsia" w:ascii="宋体" w:hAnsi="宋体" w:cs="宋体"/>
                <w:color w:val="auto"/>
                <w:szCs w:val="21"/>
                <w:highlight w:val="none"/>
              </w:rPr>
              <w:t>差额±</w:t>
            </w:r>
            <w:r>
              <w:rPr>
                <w:rFonts w:hint="eastAsia" w:ascii="宋体" w:hAnsi="宋体" w:cs="宋体"/>
                <w:color w:val="auto"/>
                <w:position w:val="-2"/>
                <w:szCs w:val="21"/>
                <w:highlight w:val="none"/>
              </w:rPr>
              <w:t>（元）</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ascii="宋体" w:cs="宋体"/>
                <w:color w:val="auto"/>
                <w:szCs w:val="21"/>
                <w:highlight w:val="none"/>
              </w:rPr>
            </w:pPr>
            <w:r>
              <w:rPr>
                <w:rFonts w:hint="eastAsia" w:ascii="宋体" w:hAnsi="宋体" w:cs="宋体"/>
                <w:color w:val="auto"/>
                <w:szCs w:val="21"/>
                <w:highlight w:val="none"/>
              </w:rPr>
              <w:t>备注</w:t>
            </w:r>
          </w:p>
        </w:tc>
      </w:tr>
      <w:tr>
        <w:tblPrEx>
          <w:tblCellMar>
            <w:top w:w="0" w:type="dxa"/>
            <w:left w:w="0" w:type="dxa"/>
            <w:bottom w:w="0" w:type="dxa"/>
            <w:right w:w="0" w:type="dxa"/>
          </w:tblCellMar>
        </w:tblPrEx>
        <w:trPr>
          <w:trHeight w:val="690" w:hRule="exact"/>
          <w:jc w:val="center"/>
        </w:trPr>
        <w:tc>
          <w:tcPr>
            <w:tcW w:w="48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top"/>
          </w:tcPr>
          <w:p>
            <w:pPr>
              <w:spacing w:before="6"/>
              <w:jc w:val="left"/>
              <w:rPr>
                <w:rFonts w:ascii="宋体" w:cs="宋体"/>
                <w:color w:val="auto"/>
                <w:szCs w:val="21"/>
                <w:highlight w:val="none"/>
              </w:rPr>
            </w:pPr>
          </w:p>
          <w:p>
            <w:pPr>
              <w:ind w:left="1682" w:right="1662"/>
              <w:jc w:val="center"/>
              <w:rPr>
                <w:rFonts w:ascii="宋体" w:cs="宋体"/>
                <w:color w:val="auto"/>
                <w:szCs w:val="21"/>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r>
      <w:tr>
        <w:tblPrEx>
          <w:tblCellMar>
            <w:top w:w="0" w:type="dxa"/>
            <w:left w:w="0" w:type="dxa"/>
            <w:bottom w:w="0" w:type="dxa"/>
            <w:right w:w="0" w:type="dxa"/>
          </w:tblCellMar>
        </w:tblPrEx>
        <w:trPr>
          <w:trHeight w:val="690" w:hRule="exact"/>
          <w:jc w:val="center"/>
        </w:trPr>
        <w:tc>
          <w:tcPr>
            <w:tcW w:w="48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r>
      <w:tr>
        <w:tblPrEx>
          <w:tblCellMar>
            <w:top w:w="0" w:type="dxa"/>
            <w:left w:w="0" w:type="dxa"/>
            <w:bottom w:w="0" w:type="dxa"/>
            <w:right w:w="0" w:type="dxa"/>
          </w:tblCellMar>
        </w:tblPrEx>
        <w:trPr>
          <w:trHeight w:val="690" w:hRule="exact"/>
          <w:jc w:val="center"/>
        </w:trPr>
        <w:tc>
          <w:tcPr>
            <w:tcW w:w="48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r>
      <w:tr>
        <w:trPr>
          <w:trHeight w:val="690" w:hRule="exact"/>
          <w:jc w:val="center"/>
        </w:trPr>
        <w:tc>
          <w:tcPr>
            <w:tcW w:w="48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top"/>
          </w:tcPr>
          <w:p>
            <w:pPr>
              <w:rPr>
                <w:rFonts w:ascii="宋体" w:cs="宋体"/>
                <w:color w:val="auto"/>
                <w:szCs w:val="21"/>
                <w:highlight w:val="none"/>
              </w:rPr>
            </w:pPr>
          </w:p>
        </w:tc>
      </w:tr>
      <w:tr>
        <w:trPr>
          <w:trHeight w:val="690" w:hRule="exact"/>
          <w:jc w:val="center"/>
        </w:trPr>
        <w:tc>
          <w:tcPr>
            <w:tcW w:w="480"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r>
      <w:tr>
        <w:trPr>
          <w:trHeight w:val="690" w:hRule="exact"/>
          <w:jc w:val="center"/>
        </w:trPr>
        <w:tc>
          <w:tcPr>
            <w:tcW w:w="480"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r>
      <w:tr>
        <w:trPr>
          <w:trHeight w:val="690" w:hRule="exact"/>
          <w:jc w:val="center"/>
        </w:trPr>
        <w:tc>
          <w:tcPr>
            <w:tcW w:w="480"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r>
      <w:tr>
        <w:trPr>
          <w:trHeight w:val="690" w:hRule="exact"/>
          <w:jc w:val="center"/>
        </w:trPr>
        <w:tc>
          <w:tcPr>
            <w:tcW w:w="480"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r>
      <w:tr>
        <w:trPr>
          <w:trHeight w:val="690" w:hRule="exact"/>
          <w:jc w:val="center"/>
        </w:trPr>
        <w:tc>
          <w:tcPr>
            <w:tcW w:w="480"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r>
      <w:tr>
        <w:trPr>
          <w:trHeight w:val="690" w:hRule="exact"/>
          <w:jc w:val="center"/>
        </w:trPr>
        <w:tc>
          <w:tcPr>
            <w:tcW w:w="480"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r>
      <w:tr>
        <w:trPr>
          <w:trHeight w:val="690" w:hRule="exact"/>
          <w:jc w:val="center"/>
        </w:trPr>
        <w:tc>
          <w:tcPr>
            <w:tcW w:w="480"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r>
      <w:tr>
        <w:trPr>
          <w:trHeight w:val="1190" w:hRule="exact"/>
          <w:jc w:val="center"/>
        </w:trPr>
        <w:tc>
          <w:tcPr>
            <w:tcW w:w="4106" w:type="dxa"/>
            <w:gridSpan w:val="3"/>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p>
            <w:pPr>
              <w:jc w:val="center"/>
              <w:rPr>
                <w:rFonts w:ascii="仿宋_GB2312" w:hAnsi="仿宋_GB2312" w:eastAsia="仿宋_GB2312" w:cs="仿宋_GB2312"/>
                <w:color w:val="auto"/>
                <w:szCs w:val="21"/>
                <w:highlight w:val="none"/>
              </w:rPr>
            </w:pPr>
            <w:r>
              <w:rPr>
                <w:rFonts w:hint="eastAsia"/>
                <w:color w:val="auto"/>
                <w:highlight w:val="none"/>
              </w:rPr>
              <w:t>合</w:t>
            </w:r>
            <w:r>
              <w:rPr>
                <w:color w:val="auto"/>
                <w:highlight w:val="none"/>
              </w:rPr>
              <w:tab/>
            </w:r>
            <w:r>
              <w:rPr>
                <w:rFonts w:hint="eastAsia"/>
                <w:color w:val="auto"/>
                <w:highlight w:val="none"/>
              </w:rPr>
              <w:t>计</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c>
          <w:tcPr>
            <w:tcW w:w="703" w:type="dxa"/>
            <w:tcBorders>
              <w:top w:val="single" w:color="000000" w:sz="4" w:space="0"/>
              <w:left w:val="single" w:color="000000" w:sz="4" w:space="0"/>
              <w:bottom w:val="single" w:color="000000" w:sz="4" w:space="0"/>
              <w:right w:val="single" w:color="000000" w:sz="4" w:space="0"/>
            </w:tcBorders>
            <w:noWrap w:val="0"/>
            <w:vAlign w:val="top"/>
          </w:tcPr>
          <w:p>
            <w:pPr>
              <w:rPr>
                <w:rFonts w:ascii="仿宋_GB2312" w:hAnsi="仿宋_GB2312" w:eastAsia="仿宋_GB2312" w:cs="仿宋_GB2312"/>
                <w:color w:val="auto"/>
                <w:szCs w:val="21"/>
                <w:highlight w:val="none"/>
              </w:rPr>
            </w:pPr>
          </w:p>
        </w:tc>
      </w:tr>
    </w:tbl>
    <w:p>
      <w:pPr>
        <w:spacing w:beforeLines="50"/>
        <w:rPr>
          <w:rFonts w:ascii="宋体" w:cs="宋体"/>
          <w:color w:val="auto"/>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w:t>
      </w:r>
      <w:r>
        <w:rPr>
          <w:rFonts w:hint="eastAsia" w:ascii="宋体" w:hAnsi="宋体" w:cs="宋体"/>
          <w:color w:val="auto"/>
          <w:sz w:val="24"/>
          <w:szCs w:val="24"/>
          <w:highlight w:val="none"/>
        </w:rPr>
        <w:t>．此表“暂估金额”由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填写，</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应将“暂估金额”计入投标总价中。结算时按合同约定结算金额填写。</w:t>
      </w:r>
    </w:p>
    <w:p>
      <w:pPr>
        <w:pStyle w:val="18"/>
        <w:spacing w:before="75" w:beforeAutospacing="0" w:after="75" w:afterAutospacing="0" w:line="240" w:lineRule="auto"/>
        <w:jc w:val="center"/>
        <w:rPr>
          <w:rFonts w:hint="eastAsia" w:ascii="宋体" w:hAnsi="宋体" w:eastAsia="宋体" w:cs="宋体"/>
          <w:b/>
          <w:bCs w:val="0"/>
          <w:color w:val="auto"/>
          <w:sz w:val="24"/>
          <w:highlight w:val="none"/>
          <w:shd w:val="clear" w:color="auto" w:fill="auto"/>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25 </w:t>
      </w:r>
      <w:r>
        <w:rPr>
          <w:rStyle w:val="25"/>
          <w:rFonts w:hint="eastAsia" w:cs="宋体"/>
          <w:b/>
          <w:bCs w:val="0"/>
          <w:color w:val="auto"/>
          <w:sz w:val="24"/>
          <w:szCs w:val="24"/>
          <w:highlight w:val="none"/>
        </w:rPr>
        <w:t xml:space="preserve"> 计日工表</w:t>
      </w:r>
    </w:p>
    <w:p>
      <w:pPr>
        <w:tabs>
          <w:tab w:val="left" w:pos="7455"/>
          <w:tab w:val="left" w:pos="7820"/>
          <w:tab w:val="left" w:pos="8420"/>
          <w:tab w:val="left" w:pos="8775"/>
        </w:tabs>
        <w:spacing w:line="460" w:lineRule="atLeast"/>
        <w:ind w:left="12" w:right="-20" w:hanging="12" w:hangingChars="5"/>
        <w:jc w:val="left"/>
        <w:rPr>
          <w:rFonts w:ascii="宋体" w:cs="宋体"/>
          <w:color w:val="auto"/>
          <w:sz w:val="24"/>
          <w:szCs w:val="24"/>
          <w:highlight w:val="none"/>
        </w:rPr>
      </w:pPr>
      <w:r>
        <w:rPr>
          <w:rFonts w:hint="eastAsia" w:ascii="宋体" w:hAnsi="宋体" w:cs="宋体"/>
          <w:color w:val="auto"/>
          <w:sz w:val="24"/>
          <w:szCs w:val="24"/>
          <w:highlight w:val="none"/>
        </w:rPr>
        <w:t>工程名称：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第</w:t>
      </w:r>
      <w:r>
        <w:rPr>
          <w:rFonts w:ascii="宋体" w:cs="宋体"/>
          <w:color w:val="auto"/>
          <w:sz w:val="24"/>
          <w:szCs w:val="24"/>
          <w:highlight w:val="none"/>
        </w:rPr>
        <w:tab/>
      </w:r>
      <w:r>
        <w:rPr>
          <w:rFonts w:hint="eastAsia" w:ascii="宋体" w:hAnsi="宋体" w:cs="宋体"/>
          <w:color w:val="auto"/>
          <w:sz w:val="24"/>
          <w:szCs w:val="24"/>
          <w:highlight w:val="none"/>
        </w:rPr>
        <w:t>页</w:t>
      </w:r>
      <w:r>
        <w:rPr>
          <w:rFonts w:ascii="宋体" w:cs="宋体"/>
          <w:color w:val="auto"/>
          <w:sz w:val="24"/>
          <w:szCs w:val="24"/>
          <w:highlight w:val="none"/>
        </w:rPr>
        <w:tab/>
      </w:r>
      <w:r>
        <w:rPr>
          <w:rFonts w:hint="eastAsia" w:ascii="宋体" w:hAnsi="宋体" w:cs="宋体"/>
          <w:color w:val="auto"/>
          <w:sz w:val="24"/>
          <w:szCs w:val="24"/>
          <w:highlight w:val="none"/>
        </w:rPr>
        <w:t>共</w:t>
      </w:r>
      <w:r>
        <w:rPr>
          <w:rFonts w:ascii="宋体" w:cs="宋体"/>
          <w:color w:val="auto"/>
          <w:sz w:val="24"/>
          <w:szCs w:val="24"/>
          <w:highlight w:val="none"/>
        </w:rPr>
        <w:tab/>
      </w:r>
      <w:r>
        <w:rPr>
          <w:rFonts w:hint="eastAsia" w:ascii="宋体" w:hAnsi="宋体" w:cs="宋体"/>
          <w:color w:val="auto"/>
          <w:sz w:val="24"/>
          <w:szCs w:val="24"/>
          <w:highlight w:val="none"/>
        </w:rPr>
        <w:t>页</w:t>
      </w:r>
    </w:p>
    <w:tbl>
      <w:tblPr>
        <w:tblStyle w:val="22"/>
        <w:tblW w:w="9277" w:type="dxa"/>
        <w:jc w:val="center"/>
        <w:tblLayout w:type="fixed"/>
        <w:tblCellMar>
          <w:top w:w="0" w:type="dxa"/>
          <w:left w:w="10" w:type="dxa"/>
          <w:bottom w:w="0" w:type="dxa"/>
          <w:right w:w="10" w:type="dxa"/>
        </w:tblCellMar>
      </w:tblPr>
      <w:tblGrid>
        <w:gridCol w:w="846"/>
        <w:gridCol w:w="2337"/>
        <w:gridCol w:w="1592"/>
        <w:gridCol w:w="1593"/>
        <w:gridCol w:w="1334"/>
        <w:gridCol w:w="840"/>
        <w:gridCol w:w="735"/>
      </w:tblGrid>
      <w:tr>
        <w:tblPrEx>
          <w:tblCellMar>
            <w:top w:w="0" w:type="dxa"/>
            <w:left w:w="10" w:type="dxa"/>
            <w:bottom w:w="0" w:type="dxa"/>
            <w:right w:w="10" w:type="dxa"/>
          </w:tblCellMar>
        </w:tblPrEx>
        <w:trPr>
          <w:trHeight w:val="328" w:hRule="atLeast"/>
          <w:jc w:val="center"/>
        </w:trPr>
        <w:tc>
          <w:tcPr>
            <w:tcW w:w="846" w:type="dxa"/>
            <w:vMerge w:val="restart"/>
            <w:tcBorders>
              <w:top w:val="single" w:color="auto" w:sz="6" w:space="0"/>
              <w:left w:val="single" w:color="auto" w:sz="6" w:space="0"/>
              <w:right w:val="single" w:color="auto" w:sz="6" w:space="0"/>
            </w:tcBorders>
            <w:noWrap w:val="0"/>
            <w:vAlign w:val="center"/>
          </w:tcPr>
          <w:p>
            <w:pPr>
              <w:spacing w:beforeLines="50"/>
              <w:jc w:val="center"/>
              <w:rPr>
                <w:rFonts w:ascii="宋体"/>
                <w:color w:val="auto"/>
                <w:highlight w:val="none"/>
                <w:lang w:val="zh-CN"/>
              </w:rPr>
            </w:pPr>
            <w:r>
              <w:rPr>
                <w:rFonts w:hint="eastAsia" w:ascii="宋体" w:hAnsi="宋体"/>
                <w:color w:val="auto"/>
                <w:highlight w:val="none"/>
                <w:lang w:val="zh-CN"/>
              </w:rPr>
              <w:t>编号</w:t>
            </w:r>
          </w:p>
        </w:tc>
        <w:tc>
          <w:tcPr>
            <w:tcW w:w="2337" w:type="dxa"/>
            <w:vMerge w:val="restart"/>
            <w:tcBorders>
              <w:top w:val="single" w:color="auto" w:sz="6" w:space="0"/>
              <w:left w:val="single" w:color="auto" w:sz="6" w:space="0"/>
              <w:right w:val="single" w:color="auto" w:sz="6" w:space="0"/>
            </w:tcBorders>
            <w:noWrap w:val="0"/>
            <w:vAlign w:val="center"/>
          </w:tcPr>
          <w:p>
            <w:pPr>
              <w:spacing w:beforeLines="50"/>
              <w:jc w:val="center"/>
              <w:rPr>
                <w:rFonts w:ascii="宋体"/>
                <w:color w:val="auto"/>
                <w:highlight w:val="none"/>
                <w:lang w:val="zh-CN"/>
              </w:rPr>
            </w:pPr>
            <w:r>
              <w:rPr>
                <w:rFonts w:hint="eastAsia" w:ascii="宋体" w:hAnsi="宋体"/>
                <w:color w:val="auto"/>
                <w:highlight w:val="none"/>
                <w:lang w:val="zh-CN"/>
              </w:rPr>
              <w:t>项目名称</w:t>
            </w:r>
          </w:p>
        </w:tc>
        <w:tc>
          <w:tcPr>
            <w:tcW w:w="1592" w:type="dxa"/>
            <w:vMerge w:val="restart"/>
            <w:tcBorders>
              <w:top w:val="single" w:color="auto" w:sz="6" w:space="0"/>
              <w:left w:val="single" w:color="auto" w:sz="6" w:space="0"/>
              <w:right w:val="single" w:color="auto" w:sz="6" w:space="0"/>
            </w:tcBorders>
            <w:noWrap w:val="0"/>
            <w:vAlign w:val="center"/>
          </w:tcPr>
          <w:p>
            <w:pPr>
              <w:spacing w:beforeLines="50"/>
              <w:jc w:val="center"/>
              <w:rPr>
                <w:rFonts w:ascii="宋体"/>
                <w:color w:val="auto"/>
                <w:highlight w:val="none"/>
                <w:lang w:val="zh-CN"/>
              </w:rPr>
            </w:pPr>
            <w:r>
              <w:rPr>
                <w:rFonts w:hint="eastAsia" w:ascii="宋体" w:hAnsi="宋体"/>
                <w:color w:val="auto"/>
                <w:highlight w:val="none"/>
                <w:lang w:val="zh-CN"/>
              </w:rPr>
              <w:t>单位</w:t>
            </w:r>
          </w:p>
        </w:tc>
        <w:tc>
          <w:tcPr>
            <w:tcW w:w="1593" w:type="dxa"/>
            <w:vMerge w:val="restart"/>
            <w:tcBorders>
              <w:top w:val="single" w:color="auto" w:sz="6" w:space="0"/>
              <w:left w:val="single" w:color="auto" w:sz="6" w:space="0"/>
              <w:right w:val="single" w:color="auto" w:sz="6" w:space="0"/>
            </w:tcBorders>
            <w:noWrap w:val="0"/>
            <w:vAlign w:val="center"/>
          </w:tcPr>
          <w:p>
            <w:pPr>
              <w:spacing w:beforeLines="50"/>
              <w:jc w:val="center"/>
              <w:rPr>
                <w:rFonts w:ascii="宋体"/>
                <w:color w:val="auto"/>
                <w:highlight w:val="none"/>
                <w:lang w:val="zh-CN"/>
              </w:rPr>
            </w:pPr>
            <w:r>
              <w:rPr>
                <w:rFonts w:hint="eastAsia" w:ascii="宋体" w:hAnsi="宋体"/>
                <w:color w:val="auto"/>
                <w:highlight w:val="none"/>
                <w:lang w:val="zh-CN"/>
              </w:rPr>
              <w:t>暂定数量</w:t>
            </w:r>
          </w:p>
        </w:tc>
        <w:tc>
          <w:tcPr>
            <w:tcW w:w="1334" w:type="dxa"/>
            <w:vMerge w:val="restart"/>
            <w:tcBorders>
              <w:top w:val="single" w:color="auto" w:sz="6" w:space="0"/>
              <w:left w:val="single" w:color="auto" w:sz="6" w:space="0"/>
              <w:right w:val="single" w:color="auto" w:sz="6" w:space="0"/>
            </w:tcBorders>
            <w:noWrap w:val="0"/>
            <w:vAlign w:val="center"/>
          </w:tcPr>
          <w:p>
            <w:pPr>
              <w:spacing w:beforeLines="50"/>
              <w:jc w:val="center"/>
              <w:rPr>
                <w:rFonts w:ascii="宋体"/>
                <w:color w:val="auto"/>
                <w:highlight w:val="none"/>
                <w:lang w:val="zh-CN"/>
              </w:rPr>
            </w:pPr>
            <w:r>
              <w:rPr>
                <w:rFonts w:hint="eastAsia" w:ascii="宋体" w:hAnsi="宋体"/>
                <w:color w:val="auto"/>
                <w:highlight w:val="none"/>
                <w:lang w:val="zh-CN"/>
              </w:rPr>
              <w:t>综合单价（元）</w:t>
            </w:r>
          </w:p>
        </w:tc>
        <w:tc>
          <w:tcPr>
            <w:tcW w:w="1575" w:type="dxa"/>
            <w:gridSpan w:val="2"/>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ascii="宋体"/>
                <w:color w:val="auto"/>
                <w:highlight w:val="none"/>
                <w:lang w:val="zh-CN"/>
              </w:rPr>
            </w:pPr>
            <w:r>
              <w:rPr>
                <w:rFonts w:hint="eastAsia" w:ascii="宋体" w:hAnsi="宋体"/>
                <w:color w:val="auto"/>
                <w:highlight w:val="none"/>
                <w:lang w:val="zh-CN"/>
              </w:rPr>
              <w:t>合价</w:t>
            </w:r>
          </w:p>
        </w:tc>
      </w:tr>
      <w:tr>
        <w:tblPrEx>
          <w:tblCellMar>
            <w:top w:w="0" w:type="dxa"/>
            <w:left w:w="10" w:type="dxa"/>
            <w:bottom w:w="0" w:type="dxa"/>
            <w:right w:w="10" w:type="dxa"/>
          </w:tblCellMar>
        </w:tblPrEx>
        <w:trPr>
          <w:trHeight w:val="295" w:hRule="atLeast"/>
          <w:jc w:val="center"/>
        </w:trPr>
        <w:tc>
          <w:tcPr>
            <w:tcW w:w="846" w:type="dxa"/>
            <w:vMerge w:val="continue"/>
            <w:tcBorders>
              <w:left w:val="single" w:color="auto" w:sz="6" w:space="0"/>
              <w:bottom w:val="single" w:color="auto" w:sz="6" w:space="0"/>
              <w:right w:val="single" w:color="auto" w:sz="6" w:space="0"/>
            </w:tcBorders>
            <w:noWrap w:val="0"/>
            <w:vAlign w:val="center"/>
          </w:tcPr>
          <w:p>
            <w:pPr>
              <w:spacing w:beforeLines="50"/>
              <w:jc w:val="center"/>
              <w:rPr>
                <w:rFonts w:ascii="宋体"/>
                <w:color w:val="auto"/>
                <w:highlight w:val="none"/>
                <w:lang w:val="zh-CN"/>
              </w:rPr>
            </w:pPr>
          </w:p>
        </w:tc>
        <w:tc>
          <w:tcPr>
            <w:tcW w:w="2337" w:type="dxa"/>
            <w:vMerge w:val="continue"/>
            <w:tcBorders>
              <w:left w:val="single" w:color="auto" w:sz="6" w:space="0"/>
              <w:bottom w:val="single" w:color="auto" w:sz="6" w:space="0"/>
              <w:right w:val="single" w:color="auto" w:sz="6" w:space="0"/>
            </w:tcBorders>
            <w:noWrap w:val="0"/>
            <w:vAlign w:val="center"/>
          </w:tcPr>
          <w:p>
            <w:pPr>
              <w:spacing w:beforeLines="50"/>
              <w:jc w:val="center"/>
              <w:rPr>
                <w:rFonts w:ascii="宋体"/>
                <w:color w:val="auto"/>
                <w:highlight w:val="none"/>
                <w:lang w:val="zh-CN"/>
              </w:rPr>
            </w:pPr>
          </w:p>
        </w:tc>
        <w:tc>
          <w:tcPr>
            <w:tcW w:w="1592" w:type="dxa"/>
            <w:vMerge w:val="continue"/>
            <w:tcBorders>
              <w:left w:val="single" w:color="auto" w:sz="6" w:space="0"/>
              <w:bottom w:val="single" w:color="auto" w:sz="6" w:space="0"/>
              <w:right w:val="single" w:color="auto" w:sz="6" w:space="0"/>
            </w:tcBorders>
            <w:noWrap w:val="0"/>
            <w:vAlign w:val="center"/>
          </w:tcPr>
          <w:p>
            <w:pPr>
              <w:spacing w:beforeLines="50"/>
              <w:jc w:val="center"/>
              <w:rPr>
                <w:rFonts w:ascii="宋体"/>
                <w:color w:val="auto"/>
                <w:highlight w:val="none"/>
                <w:lang w:val="zh-CN"/>
              </w:rPr>
            </w:pPr>
          </w:p>
        </w:tc>
        <w:tc>
          <w:tcPr>
            <w:tcW w:w="1593" w:type="dxa"/>
            <w:vMerge w:val="continue"/>
            <w:tcBorders>
              <w:left w:val="single" w:color="auto" w:sz="6" w:space="0"/>
              <w:bottom w:val="single" w:color="auto" w:sz="6" w:space="0"/>
              <w:right w:val="single" w:color="auto" w:sz="6" w:space="0"/>
            </w:tcBorders>
            <w:noWrap w:val="0"/>
            <w:vAlign w:val="center"/>
          </w:tcPr>
          <w:p>
            <w:pPr>
              <w:spacing w:beforeLines="50"/>
              <w:jc w:val="center"/>
              <w:rPr>
                <w:rFonts w:ascii="宋体"/>
                <w:color w:val="auto"/>
                <w:highlight w:val="none"/>
                <w:lang w:val="zh-CN"/>
              </w:rPr>
            </w:pPr>
          </w:p>
        </w:tc>
        <w:tc>
          <w:tcPr>
            <w:tcW w:w="1334" w:type="dxa"/>
            <w:vMerge w:val="continue"/>
            <w:tcBorders>
              <w:left w:val="single" w:color="auto" w:sz="6" w:space="0"/>
              <w:bottom w:val="single" w:color="auto" w:sz="6" w:space="0"/>
              <w:right w:val="single" w:color="auto" w:sz="6" w:space="0"/>
            </w:tcBorders>
            <w:noWrap w:val="0"/>
            <w:vAlign w:val="center"/>
          </w:tcPr>
          <w:p>
            <w:pPr>
              <w:spacing w:beforeLines="50"/>
              <w:jc w:val="center"/>
              <w:rPr>
                <w:rFonts w:ascii="宋体"/>
                <w:color w:val="auto"/>
                <w:highlight w:val="none"/>
                <w:lang w:val="zh-CN"/>
              </w:rPr>
            </w:pPr>
          </w:p>
        </w:tc>
        <w:tc>
          <w:tcPr>
            <w:tcW w:w="840" w:type="dxa"/>
            <w:tcBorders>
              <w:top w:val="single" w:color="auto" w:sz="4" w:space="0"/>
              <w:left w:val="single" w:color="auto" w:sz="6" w:space="0"/>
              <w:bottom w:val="single" w:color="auto" w:sz="6" w:space="0"/>
              <w:right w:val="single" w:color="auto" w:sz="4" w:space="0"/>
            </w:tcBorders>
            <w:noWrap w:val="0"/>
            <w:vAlign w:val="center"/>
          </w:tcPr>
          <w:p>
            <w:pPr>
              <w:spacing w:beforeLines="50"/>
              <w:jc w:val="center"/>
              <w:rPr>
                <w:rFonts w:ascii="宋体"/>
                <w:color w:val="auto"/>
                <w:highlight w:val="none"/>
                <w:lang w:val="zh-CN"/>
              </w:rPr>
            </w:pPr>
            <w:r>
              <w:rPr>
                <w:rFonts w:hint="eastAsia" w:ascii="宋体" w:hAnsi="宋体"/>
                <w:color w:val="auto"/>
                <w:highlight w:val="none"/>
                <w:lang w:val="zh-CN"/>
              </w:rPr>
              <w:t>暂定</w:t>
            </w:r>
          </w:p>
        </w:tc>
        <w:tc>
          <w:tcPr>
            <w:tcW w:w="735" w:type="dxa"/>
            <w:tcBorders>
              <w:top w:val="single" w:color="auto" w:sz="4" w:space="0"/>
              <w:left w:val="single" w:color="auto" w:sz="4" w:space="0"/>
              <w:bottom w:val="single" w:color="auto" w:sz="6" w:space="0"/>
              <w:right w:val="single" w:color="auto" w:sz="6" w:space="0"/>
            </w:tcBorders>
            <w:noWrap w:val="0"/>
            <w:vAlign w:val="center"/>
          </w:tcPr>
          <w:p>
            <w:pPr>
              <w:spacing w:beforeLines="50"/>
              <w:jc w:val="center"/>
              <w:rPr>
                <w:rFonts w:ascii="宋体"/>
                <w:color w:val="auto"/>
                <w:highlight w:val="none"/>
                <w:lang w:val="zh-CN"/>
              </w:rPr>
            </w:pPr>
            <w:r>
              <w:rPr>
                <w:rFonts w:hint="eastAsia" w:ascii="宋体" w:hAnsi="宋体"/>
                <w:color w:val="auto"/>
                <w:highlight w:val="none"/>
                <w:lang w:val="zh-CN"/>
              </w:rPr>
              <w:t>实际</w:t>
            </w: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sz w:val="24"/>
                <w:highlight w:val="none"/>
                <w:lang w:val="zh-CN"/>
              </w:rPr>
            </w:pPr>
            <w:r>
              <w:rPr>
                <w:rFonts w:hint="eastAsia" w:hAnsi="宋体"/>
                <w:color w:val="auto"/>
                <w:sz w:val="24"/>
                <w:highlight w:val="none"/>
                <w:lang w:val="zh-CN"/>
              </w:rPr>
              <w:t>一</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r>
              <w:rPr>
                <w:rFonts w:hint="eastAsia" w:ascii="宋体" w:hAnsi="宋体"/>
                <w:color w:val="auto"/>
                <w:sz w:val="24"/>
                <w:highlight w:val="none"/>
                <w:lang w:val="zh-CN"/>
              </w:rPr>
              <w:t>人工</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sz w:val="24"/>
                <w:highlight w:val="none"/>
                <w:lang w:val="zh-CN"/>
              </w:rPr>
            </w:pPr>
            <w:r>
              <w:rPr>
                <w:rFonts w:hAnsi="宋体"/>
                <w:color w:val="auto"/>
                <w:sz w:val="24"/>
                <w:highlight w:val="none"/>
                <w:lang w:val="zh-CN"/>
              </w:rPr>
              <w:t>1</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ascii="宋体"/>
                <w:color w:val="auto"/>
                <w:sz w:val="24"/>
                <w:highlight w:val="none"/>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sz w:val="24"/>
                <w:highlight w:val="none"/>
                <w:lang w:val="zh-CN"/>
              </w:rPr>
            </w:pPr>
            <w:r>
              <w:rPr>
                <w:rFonts w:hAnsi="宋体"/>
                <w:color w:val="auto"/>
                <w:sz w:val="24"/>
                <w:highlight w:val="none"/>
                <w:lang w:val="zh-CN"/>
              </w:rPr>
              <w:t>2</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sz w:val="24"/>
                <w:highlight w:val="none"/>
                <w:lang w:val="zh-CN"/>
              </w:rPr>
            </w:pPr>
            <w:r>
              <w:rPr>
                <w:rFonts w:hAnsi="宋体"/>
                <w:color w:val="auto"/>
                <w:sz w:val="24"/>
                <w:highlight w:val="none"/>
                <w:lang w:val="zh-CN"/>
              </w:rPr>
              <w:t>3</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sz w:val="24"/>
                <w:highlight w:val="none"/>
                <w:lang w:val="zh-CN"/>
              </w:rPr>
            </w:pPr>
            <w:r>
              <w:rPr>
                <w:rFonts w:hAnsi="宋体"/>
                <w:color w:val="auto"/>
                <w:sz w:val="24"/>
                <w:highlight w:val="none"/>
                <w:lang w:val="zh-CN"/>
              </w:rPr>
              <w:t>4</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290" w:hRule="atLeast"/>
          <w:jc w:val="center"/>
        </w:trPr>
        <w:tc>
          <w:tcPr>
            <w:tcW w:w="7702"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sz w:val="24"/>
                <w:highlight w:val="none"/>
                <w:lang w:val="zh-CN"/>
              </w:rPr>
            </w:pPr>
            <w:r>
              <w:rPr>
                <w:rFonts w:hint="eastAsia" w:hAnsi="宋体"/>
                <w:color w:val="auto"/>
                <w:sz w:val="24"/>
                <w:highlight w:val="none"/>
                <w:lang w:val="zh-CN"/>
              </w:rPr>
              <w:t>人　工　小　计</w:t>
            </w: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sz w:val="24"/>
                <w:highlight w:val="none"/>
                <w:lang w:val="zh-CN"/>
              </w:rPr>
            </w:pPr>
            <w:r>
              <w:rPr>
                <w:rFonts w:hint="eastAsia" w:hAnsi="宋体"/>
                <w:color w:val="auto"/>
                <w:sz w:val="24"/>
                <w:highlight w:val="none"/>
                <w:lang w:val="zh-CN"/>
              </w:rPr>
              <w:t>二</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r>
              <w:rPr>
                <w:rFonts w:hint="eastAsia" w:ascii="宋体" w:hAnsi="宋体" w:cs="宋体"/>
                <w:color w:val="auto"/>
                <w:sz w:val="24"/>
                <w:highlight w:val="none"/>
                <w:lang w:val="zh-CN"/>
              </w:rPr>
              <w:t>材料</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Ansi="宋体"/>
                <w:color w:val="auto"/>
                <w:sz w:val="24"/>
                <w:highlight w:val="none"/>
              </w:rPr>
            </w:pPr>
            <w:r>
              <w:rPr>
                <w:rFonts w:hAnsi="宋体"/>
                <w:color w:val="auto"/>
                <w:sz w:val="24"/>
                <w:highlight w:val="none"/>
              </w:rPr>
              <w:t>1</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s="宋体"/>
                <w:color w:val="auto"/>
                <w:sz w:val="24"/>
                <w:highlight w:val="none"/>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Ansi="宋体"/>
                <w:color w:val="auto"/>
                <w:sz w:val="24"/>
                <w:highlight w:val="none"/>
              </w:rPr>
            </w:pPr>
            <w:r>
              <w:rPr>
                <w:rFonts w:hAnsi="宋体"/>
                <w:color w:val="auto"/>
                <w:sz w:val="24"/>
                <w:highlight w:val="none"/>
              </w:rPr>
              <w:t>2</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s="宋体"/>
                <w:color w:val="auto"/>
                <w:sz w:val="24"/>
                <w:highlight w:val="none"/>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Ansi="宋体"/>
                <w:color w:val="auto"/>
                <w:sz w:val="24"/>
                <w:highlight w:val="none"/>
              </w:rPr>
            </w:pPr>
            <w:r>
              <w:rPr>
                <w:rFonts w:hAnsi="宋体"/>
                <w:color w:val="auto"/>
                <w:sz w:val="24"/>
                <w:highlight w:val="none"/>
              </w:rPr>
              <w:t>3</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s="宋体"/>
                <w:color w:val="auto"/>
                <w:sz w:val="24"/>
                <w:highlight w:val="none"/>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Ansi="宋体"/>
                <w:color w:val="auto"/>
                <w:sz w:val="24"/>
                <w:highlight w:val="none"/>
              </w:rPr>
            </w:pPr>
            <w:r>
              <w:rPr>
                <w:rFonts w:hAnsi="宋体"/>
                <w:color w:val="auto"/>
                <w:sz w:val="24"/>
                <w:highlight w:val="none"/>
              </w:rPr>
              <w:t>4</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s="宋体"/>
                <w:color w:val="auto"/>
                <w:sz w:val="24"/>
                <w:highlight w:val="none"/>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12" w:hRule="atLeast"/>
          <w:jc w:val="center"/>
        </w:trPr>
        <w:tc>
          <w:tcPr>
            <w:tcW w:w="7702"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sz w:val="24"/>
                <w:highlight w:val="none"/>
                <w:lang w:val="zh-CN"/>
              </w:rPr>
            </w:pPr>
            <w:r>
              <w:rPr>
                <w:rFonts w:hint="eastAsia" w:hAnsi="宋体"/>
                <w:color w:val="auto"/>
                <w:sz w:val="24"/>
                <w:highlight w:val="none"/>
                <w:lang w:val="zh-CN"/>
              </w:rPr>
              <w:t>材　料　小　计</w:t>
            </w: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color w:val="auto"/>
                <w:sz w:val="24"/>
                <w:highlight w:val="none"/>
                <w:lang w:val="zh-CN"/>
              </w:rPr>
            </w:pPr>
            <w:r>
              <w:rPr>
                <w:rFonts w:hint="eastAsia" w:hAnsi="宋体"/>
                <w:color w:val="auto"/>
                <w:sz w:val="24"/>
                <w:highlight w:val="none"/>
                <w:lang w:val="zh-CN"/>
              </w:rPr>
              <w:t>三</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r>
              <w:rPr>
                <w:rFonts w:hint="eastAsia" w:ascii="宋体" w:hAnsi="宋体" w:cs="宋体"/>
                <w:color w:val="auto"/>
                <w:sz w:val="24"/>
                <w:highlight w:val="none"/>
                <w:lang w:val="zh-CN"/>
              </w:rPr>
              <w:t>施工机械</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Ansi="宋体"/>
                <w:color w:val="auto"/>
                <w:sz w:val="24"/>
                <w:highlight w:val="none"/>
                <w:lang w:val="zh-CN"/>
              </w:rPr>
            </w:pPr>
            <w:r>
              <w:rPr>
                <w:rFonts w:hAnsi="宋体"/>
                <w:color w:val="auto"/>
                <w:sz w:val="24"/>
                <w:highlight w:val="none"/>
              </w:rPr>
              <w:t>1</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s="宋体"/>
                <w:color w:val="auto"/>
                <w:sz w:val="24"/>
                <w:highlight w:val="none"/>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Ansi="宋体"/>
                <w:color w:val="auto"/>
                <w:sz w:val="24"/>
                <w:highlight w:val="none"/>
                <w:lang w:val="zh-CN"/>
              </w:rPr>
            </w:pPr>
            <w:r>
              <w:rPr>
                <w:rFonts w:hAnsi="宋体"/>
                <w:color w:val="auto"/>
                <w:sz w:val="24"/>
                <w:highlight w:val="none"/>
              </w:rPr>
              <w:t>2</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s="宋体"/>
                <w:color w:val="auto"/>
                <w:sz w:val="24"/>
                <w:highlight w:val="none"/>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Ansi="宋体"/>
                <w:color w:val="auto"/>
                <w:sz w:val="24"/>
                <w:highlight w:val="none"/>
                <w:lang w:val="zh-CN"/>
              </w:rPr>
            </w:pPr>
            <w:r>
              <w:rPr>
                <w:rFonts w:hAnsi="宋体"/>
                <w:color w:val="auto"/>
                <w:sz w:val="24"/>
                <w:highlight w:val="none"/>
              </w:rPr>
              <w:t>3</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s="宋体"/>
                <w:color w:val="auto"/>
                <w:sz w:val="24"/>
                <w:highlight w:val="none"/>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Ansi="宋体"/>
                <w:color w:val="auto"/>
                <w:sz w:val="24"/>
                <w:highlight w:val="none"/>
                <w:lang w:val="zh-CN"/>
              </w:rPr>
            </w:pPr>
            <w:r>
              <w:rPr>
                <w:rFonts w:hAnsi="宋体"/>
                <w:color w:val="auto"/>
                <w:sz w:val="24"/>
                <w:highlight w:val="none"/>
              </w:rPr>
              <w:t>4</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s="宋体"/>
                <w:color w:val="auto"/>
                <w:sz w:val="24"/>
                <w:highlight w:val="none"/>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13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92" w:hRule="atLeast"/>
          <w:jc w:val="center"/>
        </w:trPr>
        <w:tc>
          <w:tcPr>
            <w:tcW w:w="7702"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r>
              <w:rPr>
                <w:rFonts w:hint="eastAsia" w:ascii="宋体" w:hAnsi="宋体" w:cs="宋体"/>
                <w:color w:val="auto"/>
                <w:sz w:val="24"/>
                <w:highlight w:val="none"/>
                <w:lang w:val="zh-CN"/>
              </w:rPr>
              <w:t>施工机械小计</w:t>
            </w: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92" w:hRule="atLeast"/>
          <w:jc w:val="center"/>
        </w:trPr>
        <w:tc>
          <w:tcPr>
            <w:tcW w:w="7702"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ascii="宋体" w:cs="宋体"/>
                <w:color w:val="auto"/>
                <w:sz w:val="24"/>
                <w:highlight w:val="none"/>
                <w:lang w:val="zh-CN"/>
              </w:rPr>
            </w:pPr>
            <w:r>
              <w:rPr>
                <w:rFonts w:hint="eastAsia" w:ascii="宋体" w:hAnsi="宋体" w:cs="宋体"/>
                <w:color w:val="auto"/>
                <w:sz w:val="24"/>
                <w:highlight w:val="none"/>
                <w:lang w:val="zh-CN"/>
              </w:rPr>
              <w:t>四、企业管理费和利润</w:t>
            </w: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649" w:hRule="atLeast"/>
          <w:jc w:val="center"/>
        </w:trPr>
        <w:tc>
          <w:tcPr>
            <w:tcW w:w="7702"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sz w:val="24"/>
                <w:highlight w:val="none"/>
                <w:lang w:val="zh-CN"/>
              </w:rPr>
            </w:pPr>
            <w:r>
              <w:rPr>
                <w:rFonts w:hint="eastAsia" w:ascii="宋体" w:hAnsi="宋体" w:cs="宋体"/>
                <w:color w:val="auto"/>
                <w:sz w:val="24"/>
                <w:highlight w:val="none"/>
                <w:lang w:val="zh-CN"/>
              </w:rPr>
              <w:t>总计</w:t>
            </w:r>
          </w:p>
        </w:tc>
        <w:tc>
          <w:tcPr>
            <w:tcW w:w="8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color w:val="auto"/>
                <w:highlight w:val="none"/>
                <w:lang w:val="zh-CN"/>
              </w:rPr>
            </w:pPr>
          </w:p>
        </w:tc>
        <w:tc>
          <w:tcPr>
            <w:tcW w:w="73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bl>
    <w:p>
      <w:pPr>
        <w:spacing w:line="300" w:lineRule="exact"/>
        <w:rPr>
          <w:rFonts w:hint="eastAsia" w:ascii="宋体" w:hAnsi="宋体"/>
          <w:bCs/>
          <w:color w:val="auto"/>
          <w:sz w:val="30"/>
          <w:szCs w:val="30"/>
          <w:highlight w:val="none"/>
        </w:rPr>
      </w:pPr>
      <w:r>
        <w:rPr>
          <w:rFonts w:hint="eastAsia" w:ascii="宋体" w:hAnsi="宋体" w:cs="宋体"/>
          <w:color w:val="auto"/>
          <w:highlight w:val="none"/>
        </w:rPr>
        <w:t>注：</w:t>
      </w:r>
      <w:r>
        <w:rPr>
          <w:rFonts w:hint="eastAsia" w:ascii="宋体" w:hAnsi="宋体" w:cs="宋体"/>
          <w:color w:val="auto"/>
          <w:szCs w:val="21"/>
          <w:highlight w:val="none"/>
        </w:rPr>
        <w:t>此表项目名称、暂定数量由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填写，编制招标控制价时，单价由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按有关计价规定确定；投标时，单价由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自主报价，按暂定数量计算合计计入投标总价中。结算时，按发承包双方确认的实际数量计算合价。</w:t>
      </w:r>
    </w:p>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26 </w:t>
      </w:r>
      <w:r>
        <w:rPr>
          <w:rStyle w:val="25"/>
          <w:rFonts w:hint="eastAsia" w:cs="宋体"/>
          <w:b/>
          <w:bCs w:val="0"/>
          <w:color w:val="auto"/>
          <w:sz w:val="24"/>
          <w:szCs w:val="24"/>
          <w:highlight w:val="none"/>
        </w:rPr>
        <w:t xml:space="preserve"> 总承包服务费计价表</w:t>
      </w:r>
    </w:p>
    <w:p>
      <w:pPr>
        <w:tabs>
          <w:tab w:val="left" w:pos="7340"/>
          <w:tab w:val="left" w:pos="7820"/>
          <w:tab w:val="left" w:pos="8420"/>
          <w:tab w:val="left" w:pos="8900"/>
        </w:tabs>
        <w:spacing w:line="460" w:lineRule="atLeast"/>
        <w:ind w:left="12" w:right="-20" w:hanging="12" w:hangingChars="5"/>
        <w:jc w:val="left"/>
        <w:rPr>
          <w:rFonts w:ascii="宋体"/>
          <w:bCs/>
          <w:color w:val="auto"/>
          <w:sz w:val="30"/>
          <w:szCs w:val="28"/>
          <w:highlight w:val="none"/>
        </w:rPr>
      </w:pPr>
      <w:r>
        <w:rPr>
          <w:rFonts w:hint="eastAsia" w:ascii="宋体" w:hAnsi="宋体" w:cs="宋体"/>
          <w:color w:val="auto"/>
          <w:sz w:val="24"/>
          <w:szCs w:val="24"/>
          <w:highlight w:val="none"/>
        </w:rPr>
        <w:t>工程名称：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w:t>
      </w:r>
      <w:r>
        <w:rPr>
          <w:rFonts w:ascii="宋体" w:cs="宋体"/>
          <w:color w:val="auto"/>
          <w:sz w:val="24"/>
          <w:szCs w:val="24"/>
          <w:highlight w:val="none"/>
        </w:rPr>
        <w:tab/>
      </w:r>
      <w:r>
        <w:rPr>
          <w:rFonts w:hint="eastAsia" w:ascii="宋体" w:hAnsi="宋体" w:cs="宋体"/>
          <w:color w:val="auto"/>
          <w:sz w:val="24"/>
          <w:szCs w:val="24"/>
          <w:highlight w:val="none"/>
        </w:rPr>
        <w:t>共</w:t>
      </w:r>
      <w:r>
        <w:rPr>
          <w:rFonts w:ascii="宋体" w:cs="宋体"/>
          <w:color w:val="auto"/>
          <w:sz w:val="24"/>
          <w:szCs w:val="24"/>
          <w:highlight w:val="none"/>
        </w:rPr>
        <w:tab/>
      </w:r>
      <w:r>
        <w:rPr>
          <w:rFonts w:hint="eastAsia" w:ascii="宋体" w:hAnsi="宋体" w:cs="宋体"/>
          <w:color w:val="auto"/>
          <w:sz w:val="24"/>
          <w:szCs w:val="24"/>
          <w:highlight w:val="none"/>
        </w:rPr>
        <w:t>页</w:t>
      </w:r>
    </w:p>
    <w:tbl>
      <w:tblPr>
        <w:tblStyle w:val="22"/>
        <w:tblW w:w="0" w:type="auto"/>
        <w:jc w:val="center"/>
        <w:tblLayout w:type="fixed"/>
        <w:tblCellMar>
          <w:top w:w="0" w:type="dxa"/>
          <w:left w:w="10" w:type="dxa"/>
          <w:bottom w:w="0" w:type="dxa"/>
          <w:right w:w="10" w:type="dxa"/>
        </w:tblCellMar>
      </w:tblPr>
      <w:tblGrid>
        <w:gridCol w:w="748"/>
        <w:gridCol w:w="2415"/>
        <w:gridCol w:w="2004"/>
        <w:gridCol w:w="1986"/>
        <w:gridCol w:w="1170"/>
        <w:gridCol w:w="1183"/>
      </w:tblGrid>
      <w:tr>
        <w:tblPrEx>
          <w:tblCellMar>
            <w:top w:w="0" w:type="dxa"/>
            <w:left w:w="10" w:type="dxa"/>
            <w:bottom w:w="0" w:type="dxa"/>
            <w:right w:w="10" w:type="dxa"/>
          </w:tblCellMar>
        </w:tblPrEx>
        <w:trPr>
          <w:trHeight w:val="587"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r>
              <w:rPr>
                <w:rFonts w:hint="eastAsia" w:ascii="宋体" w:hAnsi="宋体"/>
                <w:color w:val="auto"/>
                <w:highlight w:val="none"/>
                <w:lang w:val="zh-CN"/>
              </w:rPr>
              <w:t>序号</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r>
              <w:rPr>
                <w:rFonts w:hint="eastAsia" w:ascii="宋体" w:hAnsi="宋体"/>
                <w:color w:val="auto"/>
                <w:highlight w:val="none"/>
                <w:lang w:val="zh-CN"/>
              </w:rPr>
              <w:t>项目名称</w:t>
            </w: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r>
              <w:rPr>
                <w:rFonts w:hint="eastAsia" w:ascii="宋体" w:hAnsi="宋体"/>
                <w:color w:val="auto"/>
                <w:highlight w:val="none"/>
                <w:lang w:val="zh-CN"/>
              </w:rPr>
              <w:t>项目价值（元）</w:t>
            </w:r>
          </w:p>
        </w:tc>
        <w:tc>
          <w:tcPr>
            <w:tcW w:w="19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r>
              <w:rPr>
                <w:rFonts w:hint="eastAsia" w:ascii="宋体" w:hAnsi="宋体"/>
                <w:color w:val="auto"/>
                <w:highlight w:val="none"/>
                <w:lang w:val="zh-CN"/>
              </w:rPr>
              <w:t>服务内容</w:t>
            </w: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r>
              <w:rPr>
                <w:rFonts w:hint="eastAsia" w:ascii="宋体" w:hAnsi="宋体"/>
                <w:color w:val="auto"/>
                <w:highlight w:val="none"/>
                <w:lang w:val="zh-CN"/>
              </w:rPr>
              <w:t>费率（</w:t>
            </w:r>
            <w:r>
              <w:rPr>
                <w:rFonts w:ascii="宋体" w:hAnsi="宋体"/>
                <w:color w:val="auto"/>
                <w:highlight w:val="none"/>
                <w:lang w:val="zh-CN"/>
              </w:rPr>
              <w:t>%</w:t>
            </w:r>
            <w:r>
              <w:rPr>
                <w:rFonts w:hint="eastAsia" w:ascii="宋体" w:hAnsi="宋体"/>
                <w:color w:val="auto"/>
                <w:highlight w:val="none"/>
                <w:lang w:val="zh-CN"/>
              </w:rPr>
              <w:t>）</w:t>
            </w: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r>
              <w:rPr>
                <w:rFonts w:hint="eastAsia" w:ascii="宋体" w:hAnsi="宋体"/>
                <w:color w:val="auto"/>
                <w:highlight w:val="none"/>
                <w:lang w:val="zh-CN"/>
              </w:rPr>
              <w:t>金额（元）</w:t>
            </w:r>
          </w:p>
        </w:tc>
      </w:tr>
      <w:tr>
        <w:tblPrEx>
          <w:tblCellMar>
            <w:top w:w="0" w:type="dxa"/>
            <w:left w:w="10" w:type="dxa"/>
            <w:bottom w:w="0" w:type="dxa"/>
            <w:right w:w="10" w:type="dxa"/>
          </w:tblCellMar>
        </w:tblPrEx>
        <w:trPr>
          <w:trHeight w:val="617"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r>
              <w:rPr>
                <w:rFonts w:ascii="宋体" w:hAnsi="宋体"/>
                <w:color w:val="auto"/>
                <w:highlight w:val="none"/>
              </w:rPr>
              <w:t>1</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r>
              <w:rPr>
                <w:rFonts w:hint="eastAsia" w:ascii="宋体" w:hAnsi="宋体"/>
                <w:color w:val="auto"/>
                <w:highlight w:val="none"/>
                <w:lang w:val="zh-CN"/>
              </w:rPr>
              <w:t>发包人发包专业工程</w:t>
            </w: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617"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r>
              <w:rPr>
                <w:rFonts w:ascii="宋体" w:hAnsi="宋体"/>
                <w:color w:val="auto"/>
                <w:highlight w:val="none"/>
                <w:lang w:val="zh-CN"/>
              </w:rPr>
              <w:t>2</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r>
              <w:rPr>
                <w:rFonts w:hint="eastAsia" w:ascii="宋体" w:hAnsi="宋体"/>
                <w:color w:val="auto"/>
                <w:highlight w:val="none"/>
                <w:lang w:val="zh-CN"/>
              </w:rPr>
              <w:t>发包人供应材料</w:t>
            </w: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72"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87"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42"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57"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57"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57"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57"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42"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27"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42"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42"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55"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55"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55"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r>
        <w:tblPrEx>
          <w:tblCellMar>
            <w:top w:w="0" w:type="dxa"/>
            <w:left w:w="10" w:type="dxa"/>
            <w:bottom w:w="0" w:type="dxa"/>
            <w:right w:w="10" w:type="dxa"/>
          </w:tblCellMar>
        </w:tblPrEx>
        <w:trPr>
          <w:trHeight w:val="555"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r>
              <w:rPr>
                <w:rFonts w:hint="eastAsia" w:ascii="宋体" w:hAnsi="宋体"/>
                <w:color w:val="auto"/>
                <w:highlight w:val="none"/>
                <w:lang w:val="zh-CN"/>
              </w:rPr>
              <w:t>合计</w:t>
            </w: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olor w:val="auto"/>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c>
          <w:tcPr>
            <w:tcW w:w="11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highlight w:val="none"/>
                <w:lang w:val="zh-CN"/>
              </w:rPr>
            </w:pPr>
          </w:p>
        </w:tc>
      </w:tr>
    </w:tbl>
    <w:p>
      <w:pPr>
        <w:spacing w:line="360" w:lineRule="auto"/>
        <w:rPr>
          <w:rFonts w:ascii="宋体" w:cs="宋体"/>
          <w:color w:val="auto"/>
          <w:highlight w:val="none"/>
        </w:rPr>
      </w:pPr>
      <w:r>
        <w:rPr>
          <w:rFonts w:hint="eastAsia" w:ascii="宋体" w:hAnsi="宋体" w:cs="宋体"/>
          <w:color w:val="auto"/>
          <w:sz w:val="24"/>
          <w:szCs w:val="24"/>
          <w:highlight w:val="none"/>
        </w:rPr>
        <w:t>注：此表项目名称、服务内容由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填写，编制招标控制价时，费率及金额由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按有关计价规定确定；投标时费率及金额由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自主报价，计入投标总价中。</w:t>
      </w: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27 </w:t>
      </w:r>
      <w:r>
        <w:rPr>
          <w:rStyle w:val="25"/>
          <w:rFonts w:hint="eastAsia" w:cs="宋体"/>
          <w:b/>
          <w:bCs w:val="0"/>
          <w:color w:val="auto"/>
          <w:sz w:val="24"/>
          <w:szCs w:val="24"/>
          <w:highlight w:val="none"/>
        </w:rPr>
        <w:t xml:space="preserve"> 规费、税金项目计价表（</w:t>
      </w:r>
      <w:r>
        <w:rPr>
          <w:rStyle w:val="25"/>
          <w:rFonts w:hint="eastAsia" w:cs="宋体"/>
          <w:b/>
          <w:bCs w:val="0"/>
          <w:color w:val="auto"/>
          <w:sz w:val="24"/>
          <w:szCs w:val="24"/>
          <w:highlight w:val="none"/>
          <w:lang w:eastAsia="zh-CN"/>
        </w:rPr>
        <w:t>建筑工程</w:t>
      </w:r>
      <w:r>
        <w:rPr>
          <w:rStyle w:val="25"/>
          <w:rFonts w:hint="eastAsia" w:cs="宋体"/>
          <w:b/>
          <w:bCs w:val="0"/>
          <w:color w:val="auto"/>
          <w:sz w:val="24"/>
          <w:szCs w:val="24"/>
          <w:highlight w:val="none"/>
        </w:rPr>
        <w:t>）</w:t>
      </w:r>
    </w:p>
    <w:p>
      <w:pPr>
        <w:autoSpaceDE w:val="0"/>
        <w:autoSpaceDN w:val="0"/>
        <w:adjustRightInd w:val="0"/>
        <w:jc w:val="center"/>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rPr>
        <w:t>工程名称：                                                  共   页    第   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676"/>
        <w:gridCol w:w="4005"/>
        <w:gridCol w:w="1037"/>
        <w:gridCol w:w="1297"/>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46" w:type="dxa"/>
            <w:noWrap w:val="0"/>
            <w:vAlign w:val="center"/>
          </w:tcPr>
          <w:p>
            <w:pPr>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676" w:type="dxa"/>
            <w:noWrap w:val="0"/>
            <w:vAlign w:val="center"/>
          </w:tcPr>
          <w:p>
            <w:pPr>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项目名称</w:t>
            </w:r>
          </w:p>
        </w:tc>
        <w:tc>
          <w:tcPr>
            <w:tcW w:w="4005" w:type="dxa"/>
            <w:noWrap w:val="0"/>
            <w:vAlign w:val="center"/>
          </w:tcPr>
          <w:p>
            <w:pPr>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计算基础</w:t>
            </w:r>
          </w:p>
        </w:tc>
        <w:tc>
          <w:tcPr>
            <w:tcW w:w="1037" w:type="dxa"/>
            <w:noWrap w:val="0"/>
            <w:vAlign w:val="center"/>
          </w:tcPr>
          <w:p>
            <w:pPr>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计算基数</w:t>
            </w:r>
          </w:p>
        </w:tc>
        <w:tc>
          <w:tcPr>
            <w:tcW w:w="1297" w:type="dxa"/>
            <w:noWrap w:val="0"/>
            <w:vAlign w:val="center"/>
          </w:tcPr>
          <w:p>
            <w:pPr>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计算费率</w:t>
            </w:r>
          </w:p>
          <w:p>
            <w:pPr>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w:t>
            </w:r>
          </w:p>
        </w:tc>
        <w:tc>
          <w:tcPr>
            <w:tcW w:w="1153" w:type="dxa"/>
            <w:noWrap w:val="0"/>
            <w:vAlign w:val="center"/>
          </w:tcPr>
          <w:p>
            <w:pPr>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金额</w:t>
            </w:r>
          </w:p>
          <w:p>
            <w:pPr>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46" w:type="dxa"/>
            <w:noWrap w:val="0"/>
            <w:vAlign w:val="center"/>
          </w:tcPr>
          <w:p>
            <w:pPr>
              <w:spacing w:line="2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1676" w:type="dxa"/>
            <w:noWrap w:val="0"/>
            <w:vAlign w:val="center"/>
          </w:tcPr>
          <w:p>
            <w:pPr>
              <w:spacing w:line="260" w:lineRule="exact"/>
              <w:rPr>
                <w:rFonts w:hint="eastAsia" w:ascii="宋体" w:hAnsi="宋体" w:cs="宋体"/>
                <w:bCs/>
                <w:color w:val="auto"/>
                <w:szCs w:val="21"/>
                <w:highlight w:val="none"/>
              </w:rPr>
            </w:pPr>
            <w:r>
              <w:rPr>
                <w:rFonts w:hint="eastAsia" w:ascii="宋体" w:hAnsi="宋体" w:cs="宋体"/>
                <w:bCs/>
                <w:color w:val="auto"/>
                <w:szCs w:val="21"/>
                <w:highlight w:val="none"/>
              </w:rPr>
              <w:t>规费</w:t>
            </w:r>
          </w:p>
        </w:tc>
        <w:tc>
          <w:tcPr>
            <w:tcW w:w="4005" w:type="dxa"/>
            <w:tcBorders>
              <w:tr2bl w:val="single" w:color="auto" w:sz="4" w:space="0"/>
            </w:tcBorders>
            <w:noWrap w:val="0"/>
            <w:vAlign w:val="center"/>
          </w:tcPr>
          <w:p>
            <w:pPr>
              <w:spacing w:line="260" w:lineRule="exact"/>
              <w:jc w:val="center"/>
              <w:rPr>
                <w:rFonts w:hint="eastAsia" w:ascii="宋体" w:hAnsi="宋体" w:cs="宋体"/>
                <w:bCs/>
                <w:color w:val="auto"/>
                <w:szCs w:val="21"/>
                <w:highlight w:val="none"/>
              </w:rPr>
            </w:pPr>
          </w:p>
        </w:tc>
        <w:tc>
          <w:tcPr>
            <w:tcW w:w="1037" w:type="dxa"/>
            <w:tcBorders>
              <w:tr2bl w:val="single" w:color="auto" w:sz="4" w:space="0"/>
            </w:tcBorders>
            <w:noWrap w:val="0"/>
            <w:vAlign w:val="center"/>
          </w:tcPr>
          <w:p>
            <w:pPr>
              <w:spacing w:line="260" w:lineRule="exact"/>
              <w:jc w:val="center"/>
              <w:rPr>
                <w:rFonts w:hint="eastAsia" w:ascii="宋体" w:hAnsi="宋体" w:cs="宋体"/>
                <w:bCs/>
                <w:color w:val="auto"/>
                <w:szCs w:val="21"/>
                <w:highlight w:val="none"/>
              </w:rPr>
            </w:pPr>
          </w:p>
        </w:tc>
        <w:tc>
          <w:tcPr>
            <w:tcW w:w="1297" w:type="dxa"/>
            <w:tcBorders>
              <w:tr2bl w:val="single" w:color="auto" w:sz="4" w:space="0"/>
            </w:tcBorders>
            <w:noWrap w:val="0"/>
            <w:vAlign w:val="center"/>
          </w:tcPr>
          <w:p>
            <w:pPr>
              <w:spacing w:line="260" w:lineRule="exact"/>
              <w:jc w:val="center"/>
              <w:rPr>
                <w:rFonts w:hint="eastAsia" w:ascii="宋体" w:hAnsi="宋体" w:cs="宋体"/>
                <w:bCs/>
                <w:color w:val="auto"/>
                <w:szCs w:val="21"/>
                <w:highlight w:val="none"/>
              </w:rPr>
            </w:pPr>
          </w:p>
        </w:tc>
        <w:tc>
          <w:tcPr>
            <w:tcW w:w="1153" w:type="dxa"/>
            <w:noWrap w:val="0"/>
            <w:vAlign w:val="top"/>
          </w:tcPr>
          <w:p>
            <w:pPr>
              <w:spacing w:line="2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46" w:type="dxa"/>
            <w:noWrap w:val="0"/>
            <w:vAlign w:val="center"/>
          </w:tcPr>
          <w:p>
            <w:pPr>
              <w:spacing w:line="2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1.1</w:t>
            </w:r>
          </w:p>
        </w:tc>
        <w:tc>
          <w:tcPr>
            <w:tcW w:w="1676" w:type="dxa"/>
            <w:noWrap w:val="0"/>
            <w:vAlign w:val="center"/>
          </w:tcPr>
          <w:p>
            <w:pPr>
              <w:spacing w:line="260" w:lineRule="exact"/>
              <w:rPr>
                <w:rFonts w:hint="eastAsia" w:ascii="宋体" w:hAnsi="宋体" w:cs="宋体"/>
                <w:bCs/>
                <w:color w:val="auto"/>
                <w:szCs w:val="21"/>
                <w:highlight w:val="none"/>
              </w:rPr>
            </w:pPr>
            <w:r>
              <w:rPr>
                <w:rFonts w:hint="eastAsia" w:ascii="宋体" w:hAnsi="宋体" w:cs="宋体"/>
                <w:bCs/>
                <w:color w:val="auto"/>
                <w:szCs w:val="21"/>
                <w:highlight w:val="none"/>
              </w:rPr>
              <w:t>社会保险费</w:t>
            </w:r>
          </w:p>
        </w:tc>
        <w:tc>
          <w:tcPr>
            <w:tcW w:w="4005" w:type="dxa"/>
            <w:tcBorders>
              <w:tr2bl w:val="single" w:color="auto" w:sz="4" w:space="0"/>
            </w:tcBorders>
            <w:noWrap w:val="0"/>
            <w:vAlign w:val="center"/>
          </w:tcPr>
          <w:p>
            <w:pPr>
              <w:spacing w:line="260" w:lineRule="exact"/>
              <w:jc w:val="center"/>
              <w:rPr>
                <w:rFonts w:hint="eastAsia" w:ascii="宋体" w:hAnsi="宋体" w:cs="宋体"/>
                <w:bCs/>
                <w:color w:val="auto"/>
                <w:szCs w:val="21"/>
                <w:highlight w:val="none"/>
              </w:rPr>
            </w:pPr>
          </w:p>
        </w:tc>
        <w:tc>
          <w:tcPr>
            <w:tcW w:w="1037" w:type="dxa"/>
            <w:tcBorders>
              <w:tr2bl w:val="single" w:color="auto" w:sz="4" w:space="0"/>
            </w:tcBorders>
            <w:noWrap w:val="0"/>
            <w:vAlign w:val="center"/>
          </w:tcPr>
          <w:p>
            <w:pPr>
              <w:spacing w:line="260" w:lineRule="exact"/>
              <w:jc w:val="center"/>
              <w:rPr>
                <w:rFonts w:hint="eastAsia" w:ascii="宋体" w:hAnsi="宋体" w:cs="宋体"/>
                <w:bCs/>
                <w:color w:val="auto"/>
                <w:szCs w:val="21"/>
                <w:highlight w:val="none"/>
              </w:rPr>
            </w:pPr>
          </w:p>
        </w:tc>
        <w:tc>
          <w:tcPr>
            <w:tcW w:w="1297" w:type="dxa"/>
            <w:tcBorders>
              <w:tr2bl w:val="single" w:color="auto" w:sz="4" w:space="0"/>
            </w:tcBorders>
            <w:noWrap w:val="0"/>
            <w:vAlign w:val="center"/>
          </w:tcPr>
          <w:p>
            <w:pPr>
              <w:spacing w:line="260" w:lineRule="exact"/>
              <w:jc w:val="center"/>
              <w:rPr>
                <w:rFonts w:hint="eastAsia" w:ascii="宋体" w:hAnsi="宋体" w:cs="宋体"/>
                <w:bCs/>
                <w:color w:val="auto"/>
                <w:szCs w:val="21"/>
                <w:highlight w:val="none"/>
              </w:rPr>
            </w:pPr>
          </w:p>
        </w:tc>
        <w:tc>
          <w:tcPr>
            <w:tcW w:w="1153" w:type="dxa"/>
            <w:noWrap w:val="0"/>
            <w:vAlign w:val="top"/>
          </w:tcPr>
          <w:p>
            <w:pPr>
              <w:spacing w:line="2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46" w:type="dxa"/>
            <w:noWrap w:val="0"/>
            <w:vAlign w:val="center"/>
          </w:tcPr>
          <w:p>
            <w:pPr>
              <w:jc w:val="center"/>
              <w:rPr>
                <w:rFonts w:hint="eastAsia" w:ascii="宋体" w:hAnsi="宋体" w:cs="宋体"/>
                <w:color w:val="auto"/>
                <w:szCs w:val="21"/>
                <w:highlight w:val="none"/>
              </w:rPr>
            </w:pPr>
            <w:r>
              <w:rPr>
                <w:rFonts w:hint="eastAsia" w:ascii="宋体" w:hAnsi="宋体" w:cs="宋体"/>
                <w:bCs/>
                <w:color w:val="auto"/>
                <w:szCs w:val="21"/>
                <w:highlight w:val="none"/>
              </w:rPr>
              <w:t>（1）</w:t>
            </w:r>
          </w:p>
        </w:tc>
        <w:tc>
          <w:tcPr>
            <w:tcW w:w="1676" w:type="dxa"/>
            <w:noWrap w:val="0"/>
            <w:vAlign w:val="center"/>
          </w:tcPr>
          <w:p>
            <w:pPr>
              <w:ind w:right="-20" w:rightChars="0"/>
              <w:jc w:val="center"/>
              <w:rPr>
                <w:rFonts w:hint="eastAsia" w:ascii="宋体" w:hAnsi="宋体" w:cs="宋体"/>
                <w:bCs/>
                <w:color w:val="auto"/>
                <w:szCs w:val="21"/>
                <w:highlight w:val="none"/>
              </w:rPr>
            </w:pPr>
            <w:r>
              <w:rPr>
                <w:rFonts w:hint="eastAsia" w:ascii="宋体" w:hAnsi="宋体" w:cs="宋体"/>
                <w:color w:val="auto"/>
                <w:szCs w:val="21"/>
                <w:highlight w:val="none"/>
              </w:rPr>
              <w:t>养老保险费</w:t>
            </w:r>
          </w:p>
        </w:tc>
        <w:tc>
          <w:tcPr>
            <w:tcW w:w="4005" w:type="dxa"/>
            <w:noWrap w:val="0"/>
            <w:vAlign w:val="top"/>
          </w:tcPr>
          <w:p>
            <w:pPr>
              <w:pStyle w:val="43"/>
              <w:spacing w:before="50"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分部分项工程费中（人工费+机械费） 合计+可计量措施费中（人工费+机械费）合计-人工、机械的价差</w:t>
            </w:r>
          </w:p>
        </w:tc>
        <w:tc>
          <w:tcPr>
            <w:tcW w:w="1037" w:type="dxa"/>
            <w:noWrap w:val="0"/>
            <w:vAlign w:val="center"/>
          </w:tcPr>
          <w:p>
            <w:pPr>
              <w:spacing w:line="260" w:lineRule="exact"/>
              <w:jc w:val="center"/>
              <w:rPr>
                <w:rFonts w:hint="eastAsia" w:ascii="宋体" w:hAnsi="宋体" w:cs="宋体"/>
                <w:bCs/>
                <w:color w:val="auto"/>
                <w:szCs w:val="21"/>
                <w:highlight w:val="none"/>
              </w:rPr>
            </w:pPr>
          </w:p>
        </w:tc>
        <w:tc>
          <w:tcPr>
            <w:tcW w:w="1297" w:type="dxa"/>
            <w:noWrap w:val="0"/>
            <w:vAlign w:val="top"/>
          </w:tcPr>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p>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8.85</w:t>
            </w:r>
          </w:p>
        </w:tc>
        <w:tc>
          <w:tcPr>
            <w:tcW w:w="1153" w:type="dxa"/>
            <w:noWrap w:val="0"/>
            <w:vAlign w:val="top"/>
          </w:tcPr>
          <w:p>
            <w:pPr>
              <w:spacing w:line="2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46" w:type="dxa"/>
            <w:noWrap w:val="0"/>
            <w:vAlign w:val="center"/>
          </w:tcPr>
          <w:p>
            <w:pPr>
              <w:jc w:val="center"/>
              <w:rPr>
                <w:rFonts w:hint="eastAsia" w:ascii="宋体" w:hAnsi="宋体" w:cs="宋体"/>
                <w:color w:val="auto"/>
                <w:szCs w:val="21"/>
                <w:highlight w:val="none"/>
              </w:rPr>
            </w:pPr>
            <w:r>
              <w:rPr>
                <w:rFonts w:hint="eastAsia" w:ascii="宋体" w:hAnsi="宋体" w:cs="宋体"/>
                <w:bCs/>
                <w:color w:val="auto"/>
                <w:szCs w:val="21"/>
                <w:highlight w:val="none"/>
              </w:rPr>
              <w:t>（2）</w:t>
            </w:r>
          </w:p>
        </w:tc>
        <w:tc>
          <w:tcPr>
            <w:tcW w:w="1676" w:type="dxa"/>
            <w:noWrap w:val="0"/>
            <w:vAlign w:val="center"/>
          </w:tcPr>
          <w:p>
            <w:pPr>
              <w:ind w:right="-20" w:rightChars="0"/>
              <w:jc w:val="center"/>
              <w:rPr>
                <w:rFonts w:hint="eastAsia" w:ascii="宋体" w:hAnsi="宋体" w:cs="宋体"/>
                <w:bCs/>
                <w:color w:val="auto"/>
                <w:szCs w:val="21"/>
                <w:highlight w:val="none"/>
              </w:rPr>
            </w:pPr>
            <w:r>
              <w:rPr>
                <w:rFonts w:hint="eastAsia" w:ascii="宋体" w:hAnsi="宋体" w:cs="宋体"/>
                <w:color w:val="auto"/>
                <w:szCs w:val="21"/>
                <w:highlight w:val="none"/>
              </w:rPr>
              <w:t>失业保险费</w:t>
            </w:r>
          </w:p>
        </w:tc>
        <w:tc>
          <w:tcPr>
            <w:tcW w:w="4005" w:type="dxa"/>
            <w:noWrap w:val="0"/>
            <w:vAlign w:val="top"/>
          </w:tcPr>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分部分项工程费中（人工费+机械费） 合计+可计量措施费中（人工费+机械费）合计-人工、机械的价差</w:t>
            </w:r>
          </w:p>
        </w:tc>
        <w:tc>
          <w:tcPr>
            <w:tcW w:w="1037" w:type="dxa"/>
            <w:noWrap w:val="0"/>
            <w:vAlign w:val="center"/>
          </w:tcPr>
          <w:p>
            <w:pPr>
              <w:spacing w:line="260" w:lineRule="exact"/>
              <w:jc w:val="center"/>
              <w:rPr>
                <w:rFonts w:hint="eastAsia" w:ascii="宋体" w:hAnsi="宋体" w:cs="宋体"/>
                <w:bCs/>
                <w:color w:val="auto"/>
                <w:szCs w:val="21"/>
                <w:highlight w:val="none"/>
              </w:rPr>
            </w:pPr>
          </w:p>
        </w:tc>
        <w:tc>
          <w:tcPr>
            <w:tcW w:w="1297" w:type="dxa"/>
            <w:noWrap w:val="0"/>
            <w:vAlign w:val="top"/>
          </w:tcPr>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p>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0.79</w:t>
            </w:r>
          </w:p>
        </w:tc>
        <w:tc>
          <w:tcPr>
            <w:tcW w:w="1153" w:type="dxa"/>
            <w:noWrap w:val="0"/>
            <w:vAlign w:val="top"/>
          </w:tcPr>
          <w:p>
            <w:pPr>
              <w:spacing w:line="2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noWrap w:val="0"/>
            <w:vAlign w:val="center"/>
          </w:tcPr>
          <w:p>
            <w:pPr>
              <w:jc w:val="center"/>
              <w:rPr>
                <w:rFonts w:hint="eastAsia" w:ascii="宋体" w:hAnsi="宋体" w:cs="宋体"/>
                <w:color w:val="auto"/>
                <w:szCs w:val="21"/>
                <w:highlight w:val="none"/>
              </w:rPr>
            </w:pPr>
            <w:r>
              <w:rPr>
                <w:rFonts w:hint="eastAsia" w:ascii="宋体" w:hAnsi="宋体" w:cs="宋体"/>
                <w:bCs/>
                <w:color w:val="auto"/>
                <w:szCs w:val="21"/>
                <w:highlight w:val="none"/>
              </w:rPr>
              <w:t>（3）</w:t>
            </w:r>
          </w:p>
        </w:tc>
        <w:tc>
          <w:tcPr>
            <w:tcW w:w="1676" w:type="dxa"/>
            <w:noWrap w:val="0"/>
            <w:vAlign w:val="center"/>
          </w:tcPr>
          <w:p>
            <w:pPr>
              <w:ind w:right="-20" w:rightChars="0"/>
              <w:jc w:val="center"/>
              <w:rPr>
                <w:rFonts w:hint="eastAsia" w:ascii="宋体" w:hAnsi="宋体" w:cs="宋体"/>
                <w:bCs/>
                <w:color w:val="auto"/>
                <w:szCs w:val="21"/>
                <w:highlight w:val="none"/>
              </w:rPr>
            </w:pPr>
            <w:r>
              <w:rPr>
                <w:rFonts w:hint="eastAsia" w:ascii="宋体" w:hAnsi="宋体" w:cs="宋体"/>
                <w:color w:val="auto"/>
                <w:szCs w:val="21"/>
                <w:highlight w:val="none"/>
              </w:rPr>
              <w:t>医疗保险费</w:t>
            </w:r>
          </w:p>
        </w:tc>
        <w:tc>
          <w:tcPr>
            <w:tcW w:w="4005" w:type="dxa"/>
            <w:noWrap w:val="0"/>
            <w:vAlign w:val="top"/>
          </w:tcPr>
          <w:p>
            <w:pPr>
              <w:pStyle w:val="43"/>
              <w:spacing w:before="85" w:line="232" w:lineRule="auto"/>
              <w:ind w:left="108" w:leftChars="0" w:right="-15"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分部分项工程费中（人工费+机械费） 合计+可计量措施费中（人工费+机械费）合计-人工、机械的价差</w:t>
            </w:r>
          </w:p>
        </w:tc>
        <w:tc>
          <w:tcPr>
            <w:tcW w:w="1037" w:type="dxa"/>
            <w:noWrap w:val="0"/>
            <w:vAlign w:val="center"/>
          </w:tcPr>
          <w:p>
            <w:pPr>
              <w:spacing w:line="260" w:lineRule="exact"/>
              <w:jc w:val="center"/>
              <w:rPr>
                <w:rFonts w:hint="eastAsia" w:ascii="宋体" w:hAnsi="宋体" w:cs="宋体"/>
                <w:bCs/>
                <w:color w:val="auto"/>
                <w:szCs w:val="21"/>
                <w:highlight w:val="none"/>
              </w:rPr>
            </w:pPr>
          </w:p>
        </w:tc>
        <w:tc>
          <w:tcPr>
            <w:tcW w:w="1297" w:type="dxa"/>
            <w:noWrap w:val="0"/>
            <w:vAlign w:val="top"/>
          </w:tcPr>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p>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2.51</w:t>
            </w:r>
          </w:p>
        </w:tc>
        <w:tc>
          <w:tcPr>
            <w:tcW w:w="1153" w:type="dxa"/>
            <w:noWrap w:val="0"/>
            <w:vAlign w:val="center"/>
          </w:tcPr>
          <w:p>
            <w:pPr>
              <w:spacing w:line="2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46" w:type="dxa"/>
            <w:noWrap w:val="0"/>
            <w:vAlign w:val="center"/>
          </w:tcPr>
          <w:p>
            <w:pPr>
              <w:jc w:val="center"/>
              <w:rPr>
                <w:rFonts w:hint="eastAsia" w:ascii="宋体" w:hAnsi="宋体" w:cs="宋体"/>
                <w:color w:val="auto"/>
                <w:szCs w:val="21"/>
                <w:highlight w:val="none"/>
              </w:rPr>
            </w:pPr>
            <w:r>
              <w:rPr>
                <w:rFonts w:hint="eastAsia" w:ascii="宋体" w:hAnsi="宋体" w:cs="宋体"/>
                <w:bCs/>
                <w:color w:val="auto"/>
                <w:szCs w:val="21"/>
                <w:highlight w:val="none"/>
              </w:rPr>
              <w:t>（4）</w:t>
            </w:r>
          </w:p>
        </w:tc>
        <w:tc>
          <w:tcPr>
            <w:tcW w:w="1676" w:type="dxa"/>
            <w:noWrap w:val="0"/>
            <w:vAlign w:val="center"/>
          </w:tcPr>
          <w:p>
            <w:pPr>
              <w:ind w:right="-20" w:rightChars="0"/>
              <w:jc w:val="center"/>
              <w:rPr>
                <w:rFonts w:hint="eastAsia" w:ascii="宋体" w:hAnsi="宋体" w:cs="宋体"/>
                <w:bCs/>
                <w:color w:val="auto"/>
                <w:szCs w:val="21"/>
                <w:highlight w:val="none"/>
              </w:rPr>
            </w:pPr>
            <w:r>
              <w:rPr>
                <w:rFonts w:hint="eastAsia" w:ascii="宋体" w:hAnsi="宋体" w:cs="宋体"/>
                <w:color w:val="auto"/>
                <w:szCs w:val="21"/>
                <w:highlight w:val="none"/>
              </w:rPr>
              <w:t>生育保险费</w:t>
            </w:r>
          </w:p>
        </w:tc>
        <w:tc>
          <w:tcPr>
            <w:tcW w:w="4005" w:type="dxa"/>
            <w:noWrap w:val="0"/>
            <w:vAlign w:val="top"/>
          </w:tcPr>
          <w:p>
            <w:pPr>
              <w:pStyle w:val="43"/>
              <w:spacing w:before="40" w:line="232" w:lineRule="auto"/>
              <w:ind w:left="108" w:leftChars="0" w:right="-15"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分部分项工程费中（人工费+机械费） 合计+可计量措施费中（人工费+机械费）合计-人工、机械的价差</w:t>
            </w:r>
          </w:p>
        </w:tc>
        <w:tc>
          <w:tcPr>
            <w:tcW w:w="1037" w:type="dxa"/>
            <w:noWrap w:val="0"/>
            <w:vAlign w:val="center"/>
          </w:tcPr>
          <w:p>
            <w:pPr>
              <w:spacing w:line="260" w:lineRule="exact"/>
              <w:jc w:val="center"/>
              <w:rPr>
                <w:rFonts w:hint="eastAsia" w:ascii="宋体" w:hAnsi="宋体" w:cs="宋体"/>
                <w:color w:val="auto"/>
                <w:kern w:val="0"/>
                <w:szCs w:val="21"/>
                <w:highlight w:val="none"/>
              </w:rPr>
            </w:pPr>
          </w:p>
        </w:tc>
        <w:tc>
          <w:tcPr>
            <w:tcW w:w="1297" w:type="dxa"/>
            <w:noWrap w:val="0"/>
            <w:vAlign w:val="top"/>
          </w:tcPr>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p>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0.31</w:t>
            </w:r>
          </w:p>
        </w:tc>
        <w:tc>
          <w:tcPr>
            <w:tcW w:w="1153" w:type="dxa"/>
            <w:noWrap w:val="0"/>
            <w:vAlign w:val="center"/>
          </w:tcPr>
          <w:p>
            <w:pPr>
              <w:spacing w:line="2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46" w:type="dxa"/>
            <w:tcBorders>
              <w:bottom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bCs/>
                <w:color w:val="auto"/>
                <w:szCs w:val="21"/>
                <w:highlight w:val="none"/>
              </w:rPr>
              <w:t>（5）</w:t>
            </w:r>
          </w:p>
        </w:tc>
        <w:tc>
          <w:tcPr>
            <w:tcW w:w="1676" w:type="dxa"/>
            <w:tcBorders>
              <w:bottom w:val="single" w:color="auto" w:sz="4" w:space="0"/>
            </w:tcBorders>
            <w:noWrap w:val="0"/>
            <w:vAlign w:val="center"/>
          </w:tcPr>
          <w:p>
            <w:pPr>
              <w:ind w:right="-20" w:rightChars="0"/>
              <w:jc w:val="center"/>
              <w:rPr>
                <w:rFonts w:hint="eastAsia" w:ascii="宋体" w:hAnsi="宋体" w:cs="宋体"/>
                <w:bCs/>
                <w:color w:val="auto"/>
                <w:szCs w:val="21"/>
                <w:highlight w:val="none"/>
              </w:rPr>
            </w:pPr>
            <w:r>
              <w:rPr>
                <w:rFonts w:hint="eastAsia" w:ascii="宋体" w:hAnsi="宋体" w:cs="宋体"/>
                <w:color w:val="auto"/>
                <w:szCs w:val="21"/>
                <w:highlight w:val="none"/>
              </w:rPr>
              <w:t>工伤保险费</w:t>
            </w:r>
          </w:p>
        </w:tc>
        <w:tc>
          <w:tcPr>
            <w:tcW w:w="4005" w:type="dxa"/>
            <w:tcBorders>
              <w:bottom w:val="single" w:color="auto" w:sz="4" w:space="0"/>
            </w:tcBorders>
            <w:noWrap w:val="0"/>
            <w:vAlign w:val="top"/>
          </w:tcPr>
          <w:p>
            <w:pPr>
              <w:pStyle w:val="43"/>
              <w:spacing w:before="85" w:line="232" w:lineRule="auto"/>
              <w:ind w:left="108" w:leftChars="0" w:right="-15"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分部分项工程费中（人工费+机械费） 合计+可计量措施费中（人工费+机械费）合计-人工、机械的价差</w:t>
            </w:r>
          </w:p>
        </w:tc>
        <w:tc>
          <w:tcPr>
            <w:tcW w:w="1037" w:type="dxa"/>
            <w:tcBorders>
              <w:bottom w:val="single" w:color="auto" w:sz="4" w:space="0"/>
            </w:tcBorders>
            <w:noWrap w:val="0"/>
            <w:vAlign w:val="center"/>
          </w:tcPr>
          <w:p>
            <w:pPr>
              <w:spacing w:line="260" w:lineRule="exact"/>
              <w:jc w:val="center"/>
              <w:rPr>
                <w:rFonts w:hint="eastAsia" w:ascii="宋体" w:hAnsi="宋体" w:cs="宋体"/>
                <w:color w:val="auto"/>
                <w:kern w:val="0"/>
                <w:szCs w:val="21"/>
                <w:highlight w:val="none"/>
              </w:rPr>
            </w:pPr>
          </w:p>
        </w:tc>
        <w:tc>
          <w:tcPr>
            <w:tcW w:w="1297" w:type="dxa"/>
            <w:tcBorders>
              <w:bottom w:val="single" w:color="auto" w:sz="4" w:space="0"/>
            </w:tcBorders>
            <w:noWrap w:val="0"/>
            <w:vAlign w:val="top"/>
          </w:tcPr>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p>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0.38</w:t>
            </w:r>
          </w:p>
        </w:tc>
        <w:tc>
          <w:tcPr>
            <w:tcW w:w="1153" w:type="dxa"/>
            <w:tcBorders>
              <w:bottom w:val="single" w:color="auto" w:sz="4" w:space="0"/>
            </w:tcBorders>
            <w:noWrap w:val="0"/>
            <w:vAlign w:val="center"/>
          </w:tcPr>
          <w:p>
            <w:pPr>
              <w:spacing w:line="2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46" w:type="dxa"/>
            <w:noWrap w:val="0"/>
            <w:vAlign w:val="center"/>
          </w:tcPr>
          <w:p>
            <w:pPr>
              <w:spacing w:line="2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1.2</w:t>
            </w:r>
          </w:p>
        </w:tc>
        <w:tc>
          <w:tcPr>
            <w:tcW w:w="1676" w:type="dxa"/>
            <w:noWrap w:val="0"/>
            <w:vAlign w:val="center"/>
          </w:tcPr>
          <w:p>
            <w:pPr>
              <w:ind w:right="-20" w:rightChars="0"/>
              <w:jc w:val="center"/>
              <w:rPr>
                <w:rFonts w:hint="eastAsia" w:ascii="宋体" w:hAnsi="宋体" w:cs="宋体"/>
                <w:bCs/>
                <w:color w:val="auto"/>
                <w:szCs w:val="21"/>
                <w:highlight w:val="none"/>
              </w:rPr>
            </w:pPr>
            <w:r>
              <w:rPr>
                <w:rFonts w:hint="eastAsia" w:ascii="宋体" w:hAnsi="宋体" w:cs="宋体"/>
                <w:color w:val="auto"/>
                <w:szCs w:val="21"/>
                <w:highlight w:val="none"/>
              </w:rPr>
              <w:t>住房公积金</w:t>
            </w:r>
          </w:p>
        </w:tc>
        <w:tc>
          <w:tcPr>
            <w:tcW w:w="4005" w:type="dxa"/>
            <w:noWrap w:val="0"/>
            <w:vAlign w:val="top"/>
          </w:tcPr>
          <w:p>
            <w:pPr>
              <w:pStyle w:val="43"/>
              <w:rPr>
                <w:rFonts w:hint="eastAsia" w:ascii="宋体" w:hAnsi="宋体" w:eastAsia="宋体" w:cs="宋体"/>
                <w:color w:val="auto"/>
                <w:kern w:val="2"/>
                <w:sz w:val="21"/>
                <w:szCs w:val="21"/>
                <w:highlight w:val="none"/>
                <w:lang w:val="en-US" w:eastAsia="zh-CN" w:bidi="ar-SA"/>
              </w:rPr>
            </w:pPr>
          </w:p>
          <w:p>
            <w:pPr>
              <w:pStyle w:val="43"/>
              <w:spacing w:line="232" w:lineRule="auto"/>
              <w:ind w:left="108" w:leftChars="0" w:right="-15"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分部分项工程费中（人工费+机械费） 合计+可计量措施费中（人工费+机械费）合计-人工、机械的价差</w:t>
            </w:r>
          </w:p>
        </w:tc>
        <w:tc>
          <w:tcPr>
            <w:tcW w:w="1037" w:type="dxa"/>
            <w:noWrap w:val="0"/>
            <w:vAlign w:val="center"/>
          </w:tcPr>
          <w:p>
            <w:pPr>
              <w:spacing w:line="260" w:lineRule="exact"/>
              <w:jc w:val="center"/>
              <w:rPr>
                <w:rFonts w:hint="eastAsia" w:ascii="宋体" w:hAnsi="宋体" w:cs="宋体"/>
                <w:bCs/>
                <w:color w:val="auto"/>
                <w:szCs w:val="21"/>
                <w:highlight w:val="none"/>
              </w:rPr>
            </w:pPr>
          </w:p>
        </w:tc>
        <w:tc>
          <w:tcPr>
            <w:tcW w:w="1297" w:type="dxa"/>
            <w:noWrap w:val="0"/>
            <w:vAlign w:val="top"/>
          </w:tcPr>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p>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1.92</w:t>
            </w:r>
          </w:p>
        </w:tc>
        <w:tc>
          <w:tcPr>
            <w:tcW w:w="1153" w:type="dxa"/>
            <w:noWrap w:val="0"/>
            <w:vAlign w:val="center"/>
          </w:tcPr>
          <w:p>
            <w:pPr>
              <w:spacing w:line="2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46" w:type="dxa"/>
            <w:noWrap w:val="0"/>
            <w:vAlign w:val="center"/>
          </w:tcPr>
          <w:p>
            <w:pPr>
              <w:spacing w:line="2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1.3</w:t>
            </w:r>
          </w:p>
        </w:tc>
        <w:tc>
          <w:tcPr>
            <w:tcW w:w="1676" w:type="dxa"/>
            <w:noWrap w:val="0"/>
            <w:vAlign w:val="center"/>
          </w:tcPr>
          <w:p>
            <w:pPr>
              <w:ind w:right="-20" w:rightChars="0"/>
              <w:jc w:val="center"/>
              <w:rPr>
                <w:rFonts w:hint="eastAsia" w:ascii="宋体" w:hAnsi="宋体" w:cs="宋体"/>
                <w:bCs/>
                <w:color w:val="auto"/>
                <w:szCs w:val="21"/>
                <w:highlight w:val="none"/>
              </w:rPr>
            </w:pPr>
            <w:r>
              <w:rPr>
                <w:rFonts w:hint="eastAsia" w:ascii="宋体" w:hAnsi="宋体" w:cs="宋体"/>
                <w:color w:val="auto"/>
                <w:szCs w:val="21"/>
                <w:highlight w:val="none"/>
              </w:rPr>
              <w:t>工程排污费</w:t>
            </w:r>
          </w:p>
        </w:tc>
        <w:tc>
          <w:tcPr>
            <w:tcW w:w="4005" w:type="dxa"/>
            <w:noWrap w:val="0"/>
            <w:vAlign w:val="top"/>
          </w:tcPr>
          <w:p>
            <w:pPr>
              <w:pStyle w:val="43"/>
              <w:spacing w:before="1"/>
              <w:rPr>
                <w:rFonts w:hint="eastAsia" w:ascii="宋体" w:hAnsi="宋体" w:eastAsia="宋体" w:cs="宋体"/>
                <w:color w:val="auto"/>
                <w:kern w:val="2"/>
                <w:sz w:val="21"/>
                <w:szCs w:val="21"/>
                <w:highlight w:val="none"/>
                <w:lang w:val="en-US" w:eastAsia="zh-CN" w:bidi="ar-SA"/>
              </w:rPr>
            </w:pPr>
          </w:p>
          <w:p>
            <w:pPr>
              <w:pStyle w:val="43"/>
              <w:spacing w:line="232" w:lineRule="auto"/>
              <w:ind w:left="108" w:leftChars="0" w:right="-15"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分部分项工程费中（人工费+机械费） 合计+可计量措施费中（人工费+机械费）合计-人工、机械的价差</w:t>
            </w:r>
          </w:p>
        </w:tc>
        <w:tc>
          <w:tcPr>
            <w:tcW w:w="1037" w:type="dxa"/>
            <w:noWrap w:val="0"/>
            <w:vAlign w:val="center"/>
          </w:tcPr>
          <w:p>
            <w:pPr>
              <w:spacing w:line="260" w:lineRule="exact"/>
              <w:jc w:val="center"/>
              <w:rPr>
                <w:rFonts w:hint="eastAsia" w:ascii="宋体" w:hAnsi="宋体" w:cs="宋体"/>
                <w:bCs/>
                <w:color w:val="auto"/>
                <w:szCs w:val="21"/>
                <w:highlight w:val="none"/>
              </w:rPr>
            </w:pPr>
          </w:p>
        </w:tc>
        <w:tc>
          <w:tcPr>
            <w:tcW w:w="1297" w:type="dxa"/>
            <w:noWrap w:val="0"/>
            <w:vAlign w:val="top"/>
          </w:tcPr>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p>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0.25</w:t>
            </w:r>
          </w:p>
        </w:tc>
        <w:tc>
          <w:tcPr>
            <w:tcW w:w="1153" w:type="dxa"/>
            <w:noWrap w:val="0"/>
            <w:vAlign w:val="center"/>
          </w:tcPr>
          <w:p>
            <w:pPr>
              <w:spacing w:line="2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46" w:type="dxa"/>
            <w:tcBorders>
              <w:top w:val="single" w:color="auto" w:sz="4" w:space="0"/>
            </w:tcBorders>
            <w:noWrap w:val="0"/>
            <w:vAlign w:val="center"/>
          </w:tcPr>
          <w:p>
            <w:pPr>
              <w:spacing w:line="2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2</w:t>
            </w:r>
          </w:p>
        </w:tc>
        <w:tc>
          <w:tcPr>
            <w:tcW w:w="1676" w:type="dxa"/>
            <w:tcBorders>
              <w:top w:val="single" w:color="auto" w:sz="4" w:space="0"/>
            </w:tcBorders>
            <w:noWrap w:val="0"/>
            <w:vAlign w:val="center"/>
          </w:tcPr>
          <w:p>
            <w:pPr>
              <w:ind w:right="-20" w:rightChars="0"/>
              <w:jc w:val="center"/>
              <w:rPr>
                <w:rFonts w:hint="eastAsia" w:ascii="宋体" w:hAnsi="宋体" w:cs="宋体"/>
                <w:bCs/>
                <w:color w:val="auto"/>
                <w:szCs w:val="21"/>
                <w:highlight w:val="none"/>
              </w:rPr>
            </w:pPr>
            <w:r>
              <w:rPr>
                <w:rFonts w:hint="eastAsia" w:ascii="宋体" w:hAnsi="宋体" w:cs="宋体"/>
                <w:color w:val="auto"/>
                <w:szCs w:val="21"/>
                <w:highlight w:val="none"/>
              </w:rPr>
              <w:t>增值税（销项税额）</w:t>
            </w:r>
          </w:p>
        </w:tc>
        <w:tc>
          <w:tcPr>
            <w:tcW w:w="4005" w:type="dxa"/>
            <w:tcBorders>
              <w:top w:val="single" w:color="auto" w:sz="4" w:space="0"/>
            </w:tcBorders>
            <w:noWrap w:val="0"/>
            <w:vAlign w:val="top"/>
          </w:tcPr>
          <w:p>
            <w:pPr>
              <w:pStyle w:val="43"/>
              <w:spacing w:before="3"/>
              <w:rPr>
                <w:rFonts w:hint="eastAsia" w:ascii="宋体" w:hAnsi="宋体" w:eastAsia="宋体" w:cs="宋体"/>
                <w:color w:val="auto"/>
                <w:kern w:val="2"/>
                <w:sz w:val="21"/>
                <w:szCs w:val="21"/>
                <w:highlight w:val="none"/>
                <w:lang w:val="en-US" w:eastAsia="zh-CN" w:bidi="ar-SA"/>
              </w:rPr>
            </w:pPr>
          </w:p>
          <w:p>
            <w:pPr>
              <w:pStyle w:val="43"/>
              <w:spacing w:line="230" w:lineRule="auto"/>
              <w:ind w:left="192" w:leftChars="0" w:right="183"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分部分项工程费+措施项目费+其他项目费+规费-按规定不计税的工程设备金额</w:t>
            </w:r>
          </w:p>
        </w:tc>
        <w:tc>
          <w:tcPr>
            <w:tcW w:w="1037" w:type="dxa"/>
            <w:tcBorders>
              <w:top w:val="single" w:color="auto" w:sz="4" w:space="0"/>
            </w:tcBorders>
            <w:noWrap w:val="0"/>
            <w:vAlign w:val="center"/>
          </w:tcPr>
          <w:p>
            <w:pPr>
              <w:spacing w:line="260" w:lineRule="exact"/>
              <w:jc w:val="center"/>
              <w:rPr>
                <w:rFonts w:hint="eastAsia" w:ascii="宋体" w:hAnsi="宋体" w:cs="宋体"/>
                <w:bCs/>
                <w:color w:val="auto"/>
                <w:szCs w:val="21"/>
                <w:highlight w:val="none"/>
              </w:rPr>
            </w:pPr>
          </w:p>
        </w:tc>
        <w:tc>
          <w:tcPr>
            <w:tcW w:w="1297" w:type="dxa"/>
            <w:tcBorders>
              <w:top w:val="single" w:color="auto" w:sz="4" w:space="0"/>
            </w:tcBorders>
            <w:noWrap w:val="0"/>
            <w:vAlign w:val="top"/>
          </w:tcPr>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p>
          <w:p>
            <w:pPr>
              <w:pStyle w:val="43"/>
              <w:spacing w:before="73" w:line="230" w:lineRule="auto"/>
              <w:ind w:left="108" w:leftChars="0" w:right="-15"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1153" w:type="dxa"/>
            <w:tcBorders>
              <w:top w:val="single" w:color="auto" w:sz="4" w:space="0"/>
            </w:tcBorders>
            <w:noWrap w:val="0"/>
            <w:vAlign w:val="center"/>
          </w:tcPr>
          <w:p>
            <w:pPr>
              <w:spacing w:line="260" w:lineRule="exact"/>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761" w:type="dxa"/>
            <w:gridSpan w:val="5"/>
            <w:noWrap w:val="0"/>
            <w:vAlign w:val="center"/>
          </w:tcPr>
          <w:p>
            <w:pPr>
              <w:spacing w:line="2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合  计</w:t>
            </w:r>
          </w:p>
        </w:tc>
        <w:tc>
          <w:tcPr>
            <w:tcW w:w="1153" w:type="dxa"/>
            <w:noWrap w:val="0"/>
            <w:vAlign w:val="center"/>
          </w:tcPr>
          <w:p>
            <w:pPr>
              <w:spacing w:line="260" w:lineRule="exact"/>
              <w:jc w:val="center"/>
              <w:rPr>
                <w:rFonts w:hint="eastAsia" w:ascii="宋体" w:hAnsi="宋体" w:cs="宋体"/>
                <w:bCs/>
                <w:color w:val="auto"/>
                <w:szCs w:val="21"/>
                <w:highlight w:val="none"/>
              </w:rPr>
            </w:pPr>
          </w:p>
        </w:tc>
      </w:tr>
    </w:tbl>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28 </w:t>
      </w:r>
      <w:r>
        <w:rPr>
          <w:rStyle w:val="25"/>
          <w:rFonts w:hint="eastAsia" w:cs="宋体"/>
          <w:b/>
          <w:bCs w:val="0"/>
          <w:color w:val="auto"/>
          <w:sz w:val="24"/>
          <w:szCs w:val="24"/>
          <w:highlight w:val="none"/>
        </w:rPr>
        <w:t xml:space="preserve"> 规费、税金项目计价表（</w:t>
      </w:r>
      <w:r>
        <w:rPr>
          <w:rStyle w:val="25"/>
          <w:rFonts w:hint="eastAsia" w:cs="宋体"/>
          <w:b/>
          <w:bCs w:val="0"/>
          <w:color w:val="auto"/>
          <w:sz w:val="24"/>
          <w:szCs w:val="24"/>
          <w:highlight w:val="none"/>
          <w:lang w:val="zh-CN"/>
        </w:rPr>
        <w:t>安装工程</w:t>
      </w:r>
      <w:r>
        <w:rPr>
          <w:rStyle w:val="25"/>
          <w:rFonts w:hint="eastAsia" w:cs="宋体"/>
          <w:b/>
          <w:bCs w:val="0"/>
          <w:color w:val="auto"/>
          <w:sz w:val="24"/>
          <w:szCs w:val="24"/>
          <w:highlight w:val="none"/>
        </w:rPr>
        <w:t>）</w:t>
      </w:r>
    </w:p>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工程名称：                                                         共   页    第   页</w:t>
      </w:r>
    </w:p>
    <w:tbl>
      <w:tblPr>
        <w:tblStyle w:val="22"/>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78"/>
        <w:gridCol w:w="3053"/>
        <w:gridCol w:w="1472"/>
        <w:gridCol w:w="1344"/>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76"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1978"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费用名称</w:t>
            </w:r>
          </w:p>
        </w:tc>
        <w:tc>
          <w:tcPr>
            <w:tcW w:w="3053"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计算基础</w:t>
            </w:r>
          </w:p>
        </w:tc>
        <w:tc>
          <w:tcPr>
            <w:tcW w:w="1472"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计算基数</w:t>
            </w:r>
          </w:p>
        </w:tc>
        <w:tc>
          <w:tcPr>
            <w:tcW w:w="1344"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计算费率</w:t>
            </w:r>
          </w:p>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1127"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金额</w:t>
            </w:r>
          </w:p>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76"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978"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规费</w:t>
            </w:r>
          </w:p>
        </w:tc>
        <w:tc>
          <w:tcPr>
            <w:tcW w:w="3053" w:type="dxa"/>
            <w:tcBorders>
              <w:tr2bl w:val="single" w:color="auto" w:sz="4" w:space="0"/>
            </w:tcBorders>
            <w:noWrap w:val="0"/>
            <w:vAlign w:val="center"/>
          </w:tcPr>
          <w:p>
            <w:pPr>
              <w:pStyle w:val="43"/>
              <w:rPr>
                <w:rFonts w:hint="eastAsia" w:ascii="宋体" w:hAnsi="宋体" w:eastAsia="宋体" w:cs="宋体"/>
                <w:color w:val="auto"/>
                <w:kern w:val="2"/>
                <w:sz w:val="21"/>
                <w:szCs w:val="21"/>
                <w:highlight w:val="none"/>
                <w:lang w:val="en-US" w:eastAsia="zh-CN" w:bidi="ar-SA"/>
              </w:rPr>
            </w:pPr>
          </w:p>
        </w:tc>
        <w:tc>
          <w:tcPr>
            <w:tcW w:w="1472" w:type="dxa"/>
            <w:tcBorders>
              <w:tr2bl w:val="single" w:color="auto" w:sz="4" w:space="0"/>
            </w:tcBorders>
            <w:noWrap w:val="0"/>
            <w:vAlign w:val="center"/>
          </w:tcPr>
          <w:p>
            <w:pPr>
              <w:pStyle w:val="43"/>
              <w:rPr>
                <w:rFonts w:hint="eastAsia" w:ascii="宋体" w:hAnsi="宋体" w:eastAsia="宋体" w:cs="宋体"/>
                <w:color w:val="auto"/>
                <w:kern w:val="2"/>
                <w:sz w:val="21"/>
                <w:szCs w:val="21"/>
                <w:highlight w:val="none"/>
                <w:lang w:val="en-US" w:eastAsia="zh-CN" w:bidi="ar-SA"/>
              </w:rPr>
            </w:pPr>
          </w:p>
        </w:tc>
        <w:tc>
          <w:tcPr>
            <w:tcW w:w="1344" w:type="dxa"/>
            <w:tcBorders>
              <w:tr2bl w:val="single" w:color="auto" w:sz="4" w:space="0"/>
            </w:tcBorders>
            <w:noWrap w:val="0"/>
            <w:vAlign w:val="center"/>
          </w:tcPr>
          <w:p>
            <w:pPr>
              <w:pStyle w:val="43"/>
              <w:rPr>
                <w:rFonts w:hint="eastAsia" w:ascii="宋体" w:hAnsi="宋体" w:eastAsia="宋体" w:cs="宋体"/>
                <w:color w:val="auto"/>
                <w:kern w:val="2"/>
                <w:sz w:val="21"/>
                <w:szCs w:val="21"/>
                <w:highlight w:val="none"/>
                <w:lang w:val="en-US" w:eastAsia="zh-CN" w:bidi="ar-SA"/>
              </w:rPr>
            </w:pPr>
          </w:p>
        </w:tc>
        <w:tc>
          <w:tcPr>
            <w:tcW w:w="1127" w:type="dxa"/>
            <w:noWrap w:val="0"/>
            <w:vAlign w:val="top"/>
          </w:tcPr>
          <w:p>
            <w:pPr>
              <w:pStyle w:val="43"/>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76"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1978"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工程排污费</w:t>
            </w:r>
          </w:p>
        </w:tc>
        <w:tc>
          <w:tcPr>
            <w:tcW w:w="3053"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分部分项工程人工费合计</w:t>
            </w:r>
            <w:r>
              <w:rPr>
                <w:rFonts w:hint="eastAsia" w:ascii="宋体" w:hAnsi="宋体" w:eastAsia="宋体" w:cs="宋体"/>
                <w:color w:val="auto"/>
                <w:kern w:val="2"/>
                <w:sz w:val="21"/>
                <w:szCs w:val="21"/>
                <w:highlight w:val="none"/>
                <w:lang w:val="en" w:eastAsia="zh-CN" w:bidi="ar-SA"/>
              </w:rPr>
              <w:t>+可计量</w:t>
            </w:r>
            <w:r>
              <w:rPr>
                <w:rFonts w:hint="eastAsia" w:ascii="宋体" w:hAnsi="宋体" w:eastAsia="宋体" w:cs="宋体"/>
                <w:color w:val="auto"/>
                <w:kern w:val="2"/>
                <w:sz w:val="21"/>
                <w:szCs w:val="21"/>
                <w:highlight w:val="none"/>
                <w:lang w:val="en-US" w:eastAsia="zh-CN" w:bidi="ar-SA"/>
              </w:rPr>
              <w:t>措施项目人工费合计-人工费的价差</w:t>
            </w:r>
          </w:p>
        </w:tc>
        <w:tc>
          <w:tcPr>
            <w:tcW w:w="1472" w:type="dxa"/>
            <w:noWrap w:val="0"/>
            <w:vAlign w:val="center"/>
          </w:tcPr>
          <w:p>
            <w:pPr>
              <w:pStyle w:val="43"/>
              <w:rPr>
                <w:rFonts w:hint="eastAsia" w:ascii="宋体" w:hAnsi="宋体" w:eastAsia="宋体" w:cs="宋体"/>
                <w:color w:val="auto"/>
                <w:kern w:val="2"/>
                <w:sz w:val="21"/>
                <w:szCs w:val="21"/>
                <w:highlight w:val="none"/>
                <w:lang w:val="en-US" w:eastAsia="zh-CN" w:bidi="ar-SA"/>
              </w:rPr>
            </w:pPr>
          </w:p>
        </w:tc>
        <w:tc>
          <w:tcPr>
            <w:tcW w:w="1344"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0.29</w:t>
            </w:r>
          </w:p>
        </w:tc>
        <w:tc>
          <w:tcPr>
            <w:tcW w:w="1127" w:type="dxa"/>
            <w:noWrap w:val="0"/>
            <w:vAlign w:val="top"/>
          </w:tcPr>
          <w:p>
            <w:pPr>
              <w:pStyle w:val="43"/>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76"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1978"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社会保险费</w:t>
            </w:r>
          </w:p>
        </w:tc>
        <w:tc>
          <w:tcPr>
            <w:tcW w:w="3053" w:type="dxa"/>
            <w:tcBorders>
              <w:tr2bl w:val="single" w:color="auto" w:sz="4" w:space="0"/>
            </w:tcBorders>
            <w:noWrap w:val="0"/>
            <w:vAlign w:val="center"/>
          </w:tcPr>
          <w:p>
            <w:pPr>
              <w:pStyle w:val="43"/>
              <w:rPr>
                <w:rFonts w:hint="eastAsia" w:ascii="宋体" w:hAnsi="宋体" w:eastAsia="宋体" w:cs="宋体"/>
                <w:color w:val="auto"/>
                <w:kern w:val="2"/>
                <w:sz w:val="21"/>
                <w:szCs w:val="21"/>
                <w:highlight w:val="none"/>
                <w:lang w:val="en-US" w:eastAsia="zh-CN" w:bidi="ar-SA"/>
              </w:rPr>
            </w:pPr>
          </w:p>
        </w:tc>
        <w:tc>
          <w:tcPr>
            <w:tcW w:w="1472" w:type="dxa"/>
            <w:tcBorders>
              <w:tr2bl w:val="single" w:color="auto" w:sz="4" w:space="0"/>
            </w:tcBorders>
            <w:noWrap w:val="0"/>
            <w:vAlign w:val="center"/>
          </w:tcPr>
          <w:p>
            <w:pPr>
              <w:pStyle w:val="43"/>
              <w:rPr>
                <w:rFonts w:hint="eastAsia" w:ascii="宋体" w:hAnsi="宋体" w:eastAsia="宋体" w:cs="宋体"/>
                <w:color w:val="auto"/>
                <w:kern w:val="2"/>
                <w:sz w:val="21"/>
                <w:szCs w:val="21"/>
                <w:highlight w:val="none"/>
                <w:lang w:val="en-US" w:eastAsia="zh-CN" w:bidi="ar-SA"/>
              </w:rPr>
            </w:pPr>
          </w:p>
        </w:tc>
        <w:tc>
          <w:tcPr>
            <w:tcW w:w="1344" w:type="dxa"/>
            <w:tcBorders>
              <w:tr2bl w:val="single" w:color="auto" w:sz="4" w:space="0"/>
            </w:tcBorders>
            <w:noWrap w:val="0"/>
            <w:vAlign w:val="center"/>
          </w:tcPr>
          <w:p>
            <w:pPr>
              <w:pStyle w:val="43"/>
              <w:rPr>
                <w:rFonts w:hint="eastAsia" w:ascii="宋体" w:hAnsi="宋体" w:eastAsia="宋体" w:cs="宋体"/>
                <w:color w:val="auto"/>
                <w:kern w:val="2"/>
                <w:sz w:val="21"/>
                <w:szCs w:val="21"/>
                <w:highlight w:val="none"/>
                <w:lang w:val="en-US" w:eastAsia="zh-CN" w:bidi="ar-SA"/>
              </w:rPr>
            </w:pPr>
          </w:p>
        </w:tc>
        <w:tc>
          <w:tcPr>
            <w:tcW w:w="1127" w:type="dxa"/>
            <w:noWrap w:val="0"/>
            <w:vAlign w:val="top"/>
          </w:tcPr>
          <w:p>
            <w:pPr>
              <w:pStyle w:val="43"/>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76"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978"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养老保险费</w:t>
            </w:r>
          </w:p>
        </w:tc>
        <w:tc>
          <w:tcPr>
            <w:tcW w:w="3053"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分部分项工程人工费合计</w:t>
            </w:r>
            <w:r>
              <w:rPr>
                <w:rFonts w:hint="eastAsia" w:ascii="宋体" w:hAnsi="宋体" w:eastAsia="宋体" w:cs="宋体"/>
                <w:color w:val="auto"/>
                <w:kern w:val="2"/>
                <w:sz w:val="21"/>
                <w:szCs w:val="21"/>
                <w:highlight w:val="none"/>
                <w:lang w:val="en" w:eastAsia="zh-CN" w:bidi="ar-SA"/>
              </w:rPr>
              <w:t>+可计量</w:t>
            </w:r>
            <w:r>
              <w:rPr>
                <w:rFonts w:hint="eastAsia" w:ascii="宋体" w:hAnsi="宋体" w:eastAsia="宋体" w:cs="宋体"/>
                <w:color w:val="auto"/>
                <w:kern w:val="2"/>
                <w:sz w:val="21"/>
                <w:szCs w:val="21"/>
                <w:highlight w:val="none"/>
                <w:lang w:val="en-US" w:eastAsia="zh-CN" w:bidi="ar-SA"/>
              </w:rPr>
              <w:t>措施项目人工费合计-人工费的价差</w:t>
            </w:r>
          </w:p>
        </w:tc>
        <w:tc>
          <w:tcPr>
            <w:tcW w:w="1472" w:type="dxa"/>
            <w:noWrap w:val="0"/>
            <w:vAlign w:val="center"/>
          </w:tcPr>
          <w:p>
            <w:pPr>
              <w:pStyle w:val="43"/>
              <w:rPr>
                <w:rFonts w:hint="eastAsia" w:ascii="宋体" w:hAnsi="宋体" w:eastAsia="宋体" w:cs="宋体"/>
                <w:color w:val="auto"/>
                <w:kern w:val="2"/>
                <w:sz w:val="21"/>
                <w:szCs w:val="21"/>
                <w:highlight w:val="none"/>
                <w:lang w:val="en-US" w:eastAsia="zh-CN" w:bidi="ar-SA"/>
              </w:rPr>
            </w:pPr>
          </w:p>
        </w:tc>
        <w:tc>
          <w:tcPr>
            <w:tcW w:w="1344"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15.81</w:t>
            </w:r>
          </w:p>
        </w:tc>
        <w:tc>
          <w:tcPr>
            <w:tcW w:w="1127" w:type="dxa"/>
            <w:noWrap w:val="0"/>
            <w:vAlign w:val="top"/>
          </w:tcPr>
          <w:p>
            <w:pPr>
              <w:pStyle w:val="43"/>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76"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978"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失业保险费</w:t>
            </w:r>
          </w:p>
        </w:tc>
        <w:tc>
          <w:tcPr>
            <w:tcW w:w="3053"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分部分项工程人工费合计</w:t>
            </w:r>
            <w:r>
              <w:rPr>
                <w:rFonts w:hint="eastAsia" w:ascii="宋体" w:hAnsi="宋体" w:eastAsia="宋体" w:cs="宋体"/>
                <w:color w:val="auto"/>
                <w:kern w:val="2"/>
                <w:sz w:val="21"/>
                <w:szCs w:val="21"/>
                <w:highlight w:val="none"/>
                <w:lang w:val="en" w:eastAsia="zh-CN" w:bidi="ar-SA"/>
              </w:rPr>
              <w:t>+可计量</w:t>
            </w:r>
            <w:r>
              <w:rPr>
                <w:rFonts w:hint="eastAsia" w:ascii="宋体" w:hAnsi="宋体" w:eastAsia="宋体" w:cs="宋体"/>
                <w:color w:val="auto"/>
                <w:kern w:val="2"/>
                <w:sz w:val="21"/>
                <w:szCs w:val="21"/>
                <w:highlight w:val="none"/>
                <w:lang w:val="en-US" w:eastAsia="zh-CN" w:bidi="ar-SA"/>
              </w:rPr>
              <w:t>措施项目人工费合计-人工费的价差</w:t>
            </w:r>
          </w:p>
        </w:tc>
        <w:tc>
          <w:tcPr>
            <w:tcW w:w="1472" w:type="dxa"/>
            <w:noWrap w:val="0"/>
            <w:vAlign w:val="center"/>
          </w:tcPr>
          <w:p>
            <w:pPr>
              <w:pStyle w:val="43"/>
              <w:rPr>
                <w:rFonts w:hint="eastAsia" w:ascii="宋体" w:hAnsi="宋体" w:eastAsia="宋体" w:cs="宋体"/>
                <w:color w:val="auto"/>
                <w:kern w:val="2"/>
                <w:sz w:val="21"/>
                <w:szCs w:val="21"/>
                <w:highlight w:val="none"/>
                <w:lang w:val="en-US" w:eastAsia="zh-CN" w:bidi="ar-SA"/>
              </w:rPr>
            </w:pPr>
          </w:p>
        </w:tc>
        <w:tc>
          <w:tcPr>
            <w:tcW w:w="1344"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0.62</w:t>
            </w:r>
          </w:p>
        </w:tc>
        <w:tc>
          <w:tcPr>
            <w:tcW w:w="1127" w:type="dxa"/>
            <w:noWrap w:val="0"/>
            <w:vAlign w:val="top"/>
          </w:tcPr>
          <w:p>
            <w:pPr>
              <w:pStyle w:val="43"/>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76"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978"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医疗保险费</w:t>
            </w:r>
          </w:p>
        </w:tc>
        <w:tc>
          <w:tcPr>
            <w:tcW w:w="3053"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分部分项工程人工费合计</w:t>
            </w:r>
            <w:r>
              <w:rPr>
                <w:rFonts w:hint="eastAsia" w:ascii="宋体" w:hAnsi="宋体" w:eastAsia="宋体" w:cs="宋体"/>
                <w:color w:val="auto"/>
                <w:kern w:val="2"/>
                <w:sz w:val="21"/>
                <w:szCs w:val="21"/>
                <w:highlight w:val="none"/>
                <w:lang w:val="en" w:eastAsia="zh-CN" w:bidi="ar-SA"/>
              </w:rPr>
              <w:t>+可计量</w:t>
            </w:r>
            <w:r>
              <w:rPr>
                <w:rFonts w:hint="eastAsia" w:ascii="宋体" w:hAnsi="宋体" w:eastAsia="宋体" w:cs="宋体"/>
                <w:color w:val="auto"/>
                <w:kern w:val="2"/>
                <w:sz w:val="21"/>
                <w:szCs w:val="21"/>
                <w:highlight w:val="none"/>
                <w:lang w:val="en-US" w:eastAsia="zh-CN" w:bidi="ar-SA"/>
              </w:rPr>
              <w:t>措施项目人工费合计-人工费的价差</w:t>
            </w:r>
          </w:p>
        </w:tc>
        <w:tc>
          <w:tcPr>
            <w:tcW w:w="1472" w:type="dxa"/>
            <w:noWrap w:val="0"/>
            <w:vAlign w:val="center"/>
          </w:tcPr>
          <w:p>
            <w:pPr>
              <w:pStyle w:val="43"/>
              <w:rPr>
                <w:rFonts w:hint="eastAsia" w:ascii="宋体" w:hAnsi="宋体" w:eastAsia="宋体" w:cs="宋体"/>
                <w:color w:val="auto"/>
                <w:kern w:val="2"/>
                <w:sz w:val="21"/>
                <w:szCs w:val="21"/>
                <w:highlight w:val="none"/>
                <w:lang w:val="en-US" w:eastAsia="zh-CN" w:bidi="ar-SA"/>
              </w:rPr>
            </w:pPr>
          </w:p>
        </w:tc>
        <w:tc>
          <w:tcPr>
            <w:tcW w:w="1344"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3.12</w:t>
            </w:r>
          </w:p>
        </w:tc>
        <w:tc>
          <w:tcPr>
            <w:tcW w:w="1127" w:type="dxa"/>
            <w:noWrap w:val="0"/>
            <w:vAlign w:val="top"/>
          </w:tcPr>
          <w:p>
            <w:pPr>
              <w:pStyle w:val="43"/>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76"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978"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生育保险费</w:t>
            </w:r>
          </w:p>
        </w:tc>
        <w:tc>
          <w:tcPr>
            <w:tcW w:w="3053"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分部分项工程人工费合计</w:t>
            </w:r>
            <w:r>
              <w:rPr>
                <w:rFonts w:hint="eastAsia" w:ascii="宋体" w:hAnsi="宋体" w:eastAsia="宋体" w:cs="宋体"/>
                <w:color w:val="auto"/>
                <w:kern w:val="2"/>
                <w:sz w:val="21"/>
                <w:szCs w:val="21"/>
                <w:highlight w:val="none"/>
                <w:lang w:val="en" w:eastAsia="zh-CN" w:bidi="ar-SA"/>
              </w:rPr>
              <w:t>+可计量</w:t>
            </w:r>
            <w:r>
              <w:rPr>
                <w:rFonts w:hint="eastAsia" w:ascii="宋体" w:hAnsi="宋体" w:eastAsia="宋体" w:cs="宋体"/>
                <w:color w:val="auto"/>
                <w:kern w:val="2"/>
                <w:sz w:val="21"/>
                <w:szCs w:val="21"/>
                <w:highlight w:val="none"/>
                <w:lang w:val="en-US" w:eastAsia="zh-CN" w:bidi="ar-SA"/>
              </w:rPr>
              <w:t>措施项目人工费合计-人工费的价差</w:t>
            </w:r>
          </w:p>
        </w:tc>
        <w:tc>
          <w:tcPr>
            <w:tcW w:w="1472" w:type="dxa"/>
            <w:noWrap w:val="0"/>
            <w:vAlign w:val="center"/>
          </w:tcPr>
          <w:p>
            <w:pPr>
              <w:pStyle w:val="43"/>
              <w:rPr>
                <w:rFonts w:hint="eastAsia" w:ascii="宋体" w:hAnsi="宋体" w:eastAsia="宋体" w:cs="宋体"/>
                <w:color w:val="auto"/>
                <w:kern w:val="2"/>
                <w:sz w:val="21"/>
                <w:szCs w:val="21"/>
                <w:highlight w:val="none"/>
                <w:lang w:val="en-US" w:eastAsia="zh-CN" w:bidi="ar-SA"/>
              </w:rPr>
            </w:pPr>
          </w:p>
        </w:tc>
        <w:tc>
          <w:tcPr>
            <w:tcW w:w="1344"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0.37</w:t>
            </w:r>
          </w:p>
        </w:tc>
        <w:tc>
          <w:tcPr>
            <w:tcW w:w="1127" w:type="dxa"/>
            <w:noWrap w:val="0"/>
            <w:vAlign w:val="top"/>
          </w:tcPr>
          <w:p>
            <w:pPr>
              <w:pStyle w:val="43"/>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76"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978"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工伤保险费</w:t>
            </w:r>
          </w:p>
        </w:tc>
        <w:tc>
          <w:tcPr>
            <w:tcW w:w="3053"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分部分项工程人工费合计</w:t>
            </w:r>
            <w:r>
              <w:rPr>
                <w:rFonts w:hint="eastAsia" w:ascii="宋体" w:hAnsi="宋体" w:eastAsia="宋体" w:cs="宋体"/>
                <w:color w:val="auto"/>
                <w:kern w:val="2"/>
                <w:sz w:val="21"/>
                <w:szCs w:val="21"/>
                <w:highlight w:val="none"/>
                <w:lang w:val="en" w:eastAsia="zh-CN" w:bidi="ar-SA"/>
              </w:rPr>
              <w:t>+可计量</w:t>
            </w:r>
            <w:r>
              <w:rPr>
                <w:rFonts w:hint="eastAsia" w:ascii="宋体" w:hAnsi="宋体" w:eastAsia="宋体" w:cs="宋体"/>
                <w:color w:val="auto"/>
                <w:kern w:val="2"/>
                <w:sz w:val="21"/>
                <w:szCs w:val="21"/>
                <w:highlight w:val="none"/>
                <w:lang w:val="en-US" w:eastAsia="zh-CN" w:bidi="ar-SA"/>
              </w:rPr>
              <w:t>措施项目人工费合计-人工费的价差</w:t>
            </w:r>
          </w:p>
        </w:tc>
        <w:tc>
          <w:tcPr>
            <w:tcW w:w="1472" w:type="dxa"/>
            <w:noWrap w:val="0"/>
            <w:vAlign w:val="center"/>
          </w:tcPr>
          <w:p>
            <w:pPr>
              <w:pStyle w:val="43"/>
              <w:rPr>
                <w:rFonts w:hint="eastAsia" w:ascii="宋体" w:hAnsi="宋体" w:eastAsia="宋体" w:cs="宋体"/>
                <w:color w:val="auto"/>
                <w:kern w:val="2"/>
                <w:sz w:val="21"/>
                <w:szCs w:val="21"/>
                <w:highlight w:val="none"/>
                <w:lang w:val="en-US" w:eastAsia="zh-CN" w:bidi="ar-SA"/>
              </w:rPr>
            </w:pPr>
          </w:p>
        </w:tc>
        <w:tc>
          <w:tcPr>
            <w:tcW w:w="1344"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0.42</w:t>
            </w:r>
          </w:p>
        </w:tc>
        <w:tc>
          <w:tcPr>
            <w:tcW w:w="1127" w:type="dxa"/>
            <w:noWrap w:val="0"/>
            <w:vAlign w:val="top"/>
          </w:tcPr>
          <w:p>
            <w:pPr>
              <w:pStyle w:val="43"/>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76"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p>
        </w:tc>
        <w:tc>
          <w:tcPr>
            <w:tcW w:w="1978"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住房公积金</w:t>
            </w:r>
          </w:p>
        </w:tc>
        <w:tc>
          <w:tcPr>
            <w:tcW w:w="3053"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分部分项工程人工费合计</w:t>
            </w:r>
            <w:r>
              <w:rPr>
                <w:rFonts w:hint="eastAsia" w:ascii="宋体" w:hAnsi="宋体" w:eastAsia="宋体" w:cs="宋体"/>
                <w:color w:val="auto"/>
                <w:kern w:val="2"/>
                <w:sz w:val="21"/>
                <w:szCs w:val="21"/>
                <w:highlight w:val="none"/>
                <w:lang w:val="en" w:eastAsia="zh-CN" w:bidi="ar-SA"/>
              </w:rPr>
              <w:t>+可计量</w:t>
            </w:r>
            <w:r>
              <w:rPr>
                <w:rFonts w:hint="eastAsia" w:ascii="宋体" w:hAnsi="宋体" w:eastAsia="宋体" w:cs="宋体"/>
                <w:color w:val="auto"/>
                <w:kern w:val="2"/>
                <w:sz w:val="21"/>
                <w:szCs w:val="21"/>
                <w:highlight w:val="none"/>
                <w:lang w:val="en-US" w:eastAsia="zh-CN" w:bidi="ar-SA"/>
              </w:rPr>
              <w:t>措施项目人工费合计-人工费的价差</w:t>
            </w:r>
          </w:p>
        </w:tc>
        <w:tc>
          <w:tcPr>
            <w:tcW w:w="1472" w:type="dxa"/>
            <w:noWrap w:val="0"/>
            <w:vAlign w:val="center"/>
          </w:tcPr>
          <w:p>
            <w:pPr>
              <w:pStyle w:val="43"/>
              <w:rPr>
                <w:rFonts w:hint="eastAsia" w:ascii="宋体" w:hAnsi="宋体" w:eastAsia="宋体" w:cs="宋体"/>
                <w:color w:val="auto"/>
                <w:kern w:val="2"/>
                <w:sz w:val="21"/>
                <w:szCs w:val="21"/>
                <w:highlight w:val="none"/>
                <w:lang w:val="en-US" w:eastAsia="zh-CN" w:bidi="ar-SA"/>
              </w:rPr>
            </w:pPr>
          </w:p>
        </w:tc>
        <w:tc>
          <w:tcPr>
            <w:tcW w:w="1344"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2.33</w:t>
            </w:r>
          </w:p>
        </w:tc>
        <w:tc>
          <w:tcPr>
            <w:tcW w:w="1127" w:type="dxa"/>
            <w:noWrap w:val="0"/>
            <w:vAlign w:val="top"/>
          </w:tcPr>
          <w:p>
            <w:pPr>
              <w:pStyle w:val="43"/>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76"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978"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增值税（销项税额）</w:t>
            </w:r>
          </w:p>
        </w:tc>
        <w:tc>
          <w:tcPr>
            <w:tcW w:w="3053"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分部分项工程费+措施项目费+其他项目费+规费-按规定不计税的工程设备金额</w:t>
            </w:r>
          </w:p>
        </w:tc>
        <w:tc>
          <w:tcPr>
            <w:tcW w:w="1472" w:type="dxa"/>
            <w:noWrap w:val="0"/>
            <w:vAlign w:val="center"/>
          </w:tcPr>
          <w:p>
            <w:pPr>
              <w:pStyle w:val="43"/>
              <w:rPr>
                <w:rFonts w:hint="eastAsia" w:ascii="宋体" w:hAnsi="宋体" w:eastAsia="宋体" w:cs="宋体"/>
                <w:color w:val="auto"/>
                <w:kern w:val="2"/>
                <w:sz w:val="21"/>
                <w:szCs w:val="21"/>
                <w:highlight w:val="none"/>
                <w:lang w:val="en-US" w:eastAsia="zh-CN" w:bidi="ar-SA"/>
              </w:rPr>
            </w:pPr>
          </w:p>
        </w:tc>
        <w:tc>
          <w:tcPr>
            <w:tcW w:w="1344" w:type="dxa"/>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1127" w:type="dxa"/>
            <w:noWrap w:val="0"/>
            <w:vAlign w:val="top"/>
          </w:tcPr>
          <w:p>
            <w:pPr>
              <w:pStyle w:val="43"/>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623" w:type="dxa"/>
            <w:gridSpan w:val="5"/>
            <w:noWrap w:val="0"/>
            <w:vAlign w:val="center"/>
          </w:tcPr>
          <w:p>
            <w:pPr>
              <w:pStyle w:val="4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  计</w:t>
            </w:r>
          </w:p>
        </w:tc>
        <w:tc>
          <w:tcPr>
            <w:tcW w:w="1127" w:type="dxa"/>
            <w:noWrap w:val="0"/>
            <w:vAlign w:val="top"/>
          </w:tcPr>
          <w:p>
            <w:pPr>
              <w:pStyle w:val="43"/>
              <w:rPr>
                <w:rFonts w:hint="eastAsia" w:ascii="宋体" w:hAnsi="宋体" w:eastAsia="宋体" w:cs="宋体"/>
                <w:color w:val="auto"/>
                <w:kern w:val="2"/>
                <w:sz w:val="21"/>
                <w:szCs w:val="21"/>
                <w:highlight w:val="none"/>
                <w:lang w:val="en-US" w:eastAsia="zh-CN" w:bidi="ar-SA"/>
              </w:rPr>
            </w:pPr>
          </w:p>
        </w:tc>
      </w:tr>
    </w:tbl>
    <w:p>
      <w:pPr>
        <w:pStyle w:val="18"/>
        <w:spacing w:before="75" w:beforeAutospacing="0" w:after="75" w:afterAutospacing="0" w:line="240" w:lineRule="auto"/>
        <w:jc w:val="center"/>
        <w:rPr>
          <w:rStyle w:val="25"/>
          <w:rFonts w:hint="eastAsia" w:cs="宋体"/>
          <w:b/>
          <w:bCs w:val="0"/>
          <w:color w:val="auto"/>
          <w:sz w:val="28"/>
          <w:szCs w:val="28"/>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p>
    <w:p>
      <w:pPr>
        <w:pStyle w:val="18"/>
        <w:spacing w:before="75" w:beforeAutospacing="0" w:after="75" w:afterAutospacing="0" w:line="24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29 </w:t>
      </w:r>
      <w:r>
        <w:rPr>
          <w:rStyle w:val="25"/>
          <w:rFonts w:hint="eastAsia" w:cs="宋体"/>
          <w:b/>
          <w:bCs w:val="0"/>
          <w:color w:val="auto"/>
          <w:sz w:val="24"/>
          <w:szCs w:val="24"/>
          <w:highlight w:val="none"/>
        </w:rPr>
        <w:t xml:space="preserve"> 规费、税金项目计价表（</w:t>
      </w:r>
      <w:r>
        <w:rPr>
          <w:rStyle w:val="25"/>
          <w:rFonts w:hint="eastAsia" w:cs="宋体"/>
          <w:b/>
          <w:bCs w:val="0"/>
          <w:color w:val="auto"/>
          <w:sz w:val="24"/>
          <w:szCs w:val="24"/>
          <w:highlight w:val="none"/>
          <w:lang w:eastAsia="zh-CN"/>
        </w:rPr>
        <w:t>装饰装修工程</w:t>
      </w:r>
      <w:r>
        <w:rPr>
          <w:rStyle w:val="25"/>
          <w:rFonts w:hint="eastAsia" w:cs="宋体"/>
          <w:b/>
          <w:bCs w:val="0"/>
          <w:color w:val="auto"/>
          <w:sz w:val="24"/>
          <w:szCs w:val="24"/>
          <w:highlight w:val="none"/>
        </w:rPr>
        <w:t>）</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工程名称：                                                   共   页    第   页</w:t>
      </w:r>
    </w:p>
    <w:tbl>
      <w:tblPr>
        <w:tblStyle w:val="22"/>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067"/>
        <w:gridCol w:w="3337"/>
        <w:gridCol w:w="1198"/>
        <w:gridCol w:w="127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tc>
        <w:tc>
          <w:tcPr>
            <w:tcW w:w="33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计算基础</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计算基数</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计算费率</w:t>
            </w:r>
          </w:p>
          <w:p>
            <w:pPr>
              <w:spacing w:line="2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金额</w:t>
            </w:r>
          </w:p>
          <w:p>
            <w:pPr>
              <w:spacing w:line="2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eastAsia="宋体" w:cs="宋体"/>
                <w:bCs/>
                <w:color w:val="auto"/>
                <w:highlight w:val="none"/>
              </w:rPr>
            </w:pPr>
            <w:r>
              <w:rPr>
                <w:rFonts w:hint="eastAsia" w:ascii="宋体" w:hAnsi="宋体" w:eastAsia="宋体" w:cs="宋体"/>
                <w:bCs/>
                <w:color w:val="auto"/>
                <w:highlight w:val="none"/>
              </w:rPr>
              <w:t>规费</w:t>
            </w:r>
          </w:p>
        </w:tc>
        <w:tc>
          <w:tcPr>
            <w:tcW w:w="3337"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spacing w:line="260" w:lineRule="exact"/>
              <w:jc w:val="center"/>
              <w:rPr>
                <w:rFonts w:hint="eastAsia" w:ascii="宋体" w:hAnsi="宋体" w:eastAsia="宋体" w:cs="宋体"/>
                <w:bCs/>
                <w:color w:val="auto"/>
                <w:highlight w:val="none"/>
              </w:rPr>
            </w:pPr>
          </w:p>
        </w:tc>
        <w:tc>
          <w:tcPr>
            <w:tcW w:w="1198"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spacing w:line="260" w:lineRule="exact"/>
              <w:jc w:val="center"/>
              <w:rPr>
                <w:rFonts w:hint="eastAsia" w:ascii="宋体" w:hAnsi="宋体" w:eastAsia="宋体" w:cs="宋体"/>
                <w:bCs/>
                <w:color w:val="auto"/>
                <w:highlight w:val="none"/>
              </w:rPr>
            </w:pPr>
          </w:p>
        </w:tc>
        <w:tc>
          <w:tcPr>
            <w:tcW w:w="1270"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spacing w:line="260" w:lineRule="exact"/>
              <w:jc w:val="center"/>
              <w:rPr>
                <w:rFonts w:hint="eastAsia" w:ascii="宋体" w:hAnsi="宋体" w:eastAsia="宋体" w:cs="宋体"/>
                <w:bCs/>
                <w:color w:val="auto"/>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1.1</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eastAsia="宋体" w:cs="宋体"/>
                <w:bCs/>
                <w:color w:val="auto"/>
                <w:highlight w:val="none"/>
              </w:rPr>
            </w:pPr>
            <w:r>
              <w:rPr>
                <w:rFonts w:hint="eastAsia" w:ascii="宋体" w:hAnsi="宋体" w:eastAsia="宋体" w:cs="宋体"/>
                <w:bCs/>
                <w:color w:val="auto"/>
                <w:highlight w:val="none"/>
              </w:rPr>
              <w:t>社会保险费</w:t>
            </w:r>
          </w:p>
        </w:tc>
        <w:tc>
          <w:tcPr>
            <w:tcW w:w="3337"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spacing w:line="260" w:lineRule="exact"/>
              <w:jc w:val="center"/>
              <w:rPr>
                <w:rFonts w:hint="eastAsia" w:ascii="宋体" w:hAnsi="宋体" w:eastAsia="宋体" w:cs="宋体"/>
                <w:bCs/>
                <w:color w:val="auto"/>
                <w:highlight w:val="none"/>
              </w:rPr>
            </w:pPr>
          </w:p>
        </w:tc>
        <w:tc>
          <w:tcPr>
            <w:tcW w:w="1198"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spacing w:line="260" w:lineRule="exact"/>
              <w:jc w:val="center"/>
              <w:rPr>
                <w:rFonts w:hint="eastAsia" w:ascii="宋体" w:hAnsi="宋体" w:eastAsia="宋体" w:cs="宋体"/>
                <w:bCs/>
                <w:color w:val="auto"/>
                <w:highlight w:val="none"/>
              </w:rPr>
            </w:pPr>
          </w:p>
        </w:tc>
        <w:tc>
          <w:tcPr>
            <w:tcW w:w="1270"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spacing w:line="260" w:lineRule="exact"/>
              <w:jc w:val="center"/>
              <w:rPr>
                <w:rFonts w:hint="eastAsia" w:ascii="宋体" w:hAnsi="宋体" w:eastAsia="宋体" w:cs="宋体"/>
                <w:bCs/>
                <w:color w:val="auto"/>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eastAsia="宋体" w:cs="宋体"/>
                <w:bCs/>
                <w:color w:val="auto"/>
                <w:highlight w:val="none"/>
              </w:rPr>
            </w:pPr>
            <w:r>
              <w:rPr>
                <w:rFonts w:hint="eastAsia" w:ascii="宋体" w:hAnsi="宋体" w:eastAsia="宋体" w:cs="宋体"/>
                <w:bCs/>
                <w:color w:val="auto"/>
                <w:highlight w:val="none"/>
              </w:rPr>
              <w:t>养老保险费</w:t>
            </w:r>
          </w:p>
        </w:tc>
        <w:tc>
          <w:tcPr>
            <w:tcW w:w="33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r>
              <w:rPr>
                <w:rFonts w:hint="eastAsia" w:ascii="宋体" w:hAnsi="宋体" w:eastAsia="宋体" w:cs="宋体"/>
                <w:bCs/>
                <w:color w:val="auto"/>
                <w:kern w:val="0"/>
                <w:highlight w:val="none"/>
              </w:rPr>
              <w:t>分部分项工程人工费合计</w:t>
            </w:r>
            <w:r>
              <w:rPr>
                <w:rFonts w:hint="eastAsia" w:ascii="宋体" w:hAnsi="宋体" w:eastAsia="宋体" w:cs="宋体"/>
                <w:bCs/>
                <w:color w:val="auto"/>
                <w:kern w:val="0"/>
                <w:highlight w:val="none"/>
                <w:lang w:val="en"/>
              </w:rPr>
              <w:t>+可计量</w:t>
            </w:r>
            <w:r>
              <w:rPr>
                <w:rFonts w:hint="eastAsia" w:ascii="宋体" w:hAnsi="宋体" w:eastAsia="宋体" w:cs="宋体"/>
                <w:bCs/>
                <w:color w:val="auto"/>
                <w:kern w:val="0"/>
                <w:highlight w:val="none"/>
              </w:rPr>
              <w:t>措施项目人工费合计-人工费的价差</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9.70</w:t>
            </w:r>
          </w:p>
        </w:tc>
        <w:tc>
          <w:tcPr>
            <w:tcW w:w="1133"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eastAsia="宋体" w:cs="宋体"/>
                <w:bCs/>
                <w:color w:val="auto"/>
                <w:highlight w:val="none"/>
              </w:rPr>
            </w:pPr>
            <w:r>
              <w:rPr>
                <w:rFonts w:hint="eastAsia" w:ascii="宋体" w:hAnsi="宋体" w:eastAsia="宋体" w:cs="宋体"/>
                <w:bCs/>
                <w:color w:val="auto"/>
                <w:highlight w:val="none"/>
              </w:rPr>
              <w:t>失业保险费</w:t>
            </w:r>
          </w:p>
        </w:tc>
        <w:tc>
          <w:tcPr>
            <w:tcW w:w="33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highlight w:val="none"/>
              </w:rPr>
            </w:pPr>
            <w:r>
              <w:rPr>
                <w:rFonts w:hint="eastAsia" w:ascii="宋体" w:hAnsi="宋体" w:eastAsia="宋体" w:cs="宋体"/>
                <w:bCs/>
                <w:color w:val="auto"/>
                <w:kern w:val="0"/>
                <w:highlight w:val="none"/>
              </w:rPr>
              <w:t>分部分项工程人工费合计</w:t>
            </w:r>
            <w:r>
              <w:rPr>
                <w:rFonts w:hint="eastAsia" w:ascii="宋体" w:hAnsi="宋体" w:eastAsia="宋体" w:cs="宋体"/>
                <w:bCs/>
                <w:color w:val="auto"/>
                <w:kern w:val="0"/>
                <w:highlight w:val="none"/>
                <w:lang w:val="en"/>
              </w:rPr>
              <w:t>+可计量</w:t>
            </w:r>
            <w:r>
              <w:rPr>
                <w:rFonts w:hint="eastAsia" w:ascii="宋体" w:hAnsi="宋体" w:eastAsia="宋体" w:cs="宋体"/>
                <w:bCs/>
                <w:color w:val="auto"/>
                <w:kern w:val="0"/>
                <w:highlight w:val="none"/>
              </w:rPr>
              <w:t>措施项目人工费合计-人工费的价差</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0.86</w:t>
            </w:r>
          </w:p>
        </w:tc>
        <w:tc>
          <w:tcPr>
            <w:tcW w:w="1133"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eastAsia="宋体" w:cs="宋体"/>
                <w:bCs/>
                <w:color w:val="auto"/>
                <w:highlight w:val="none"/>
              </w:rPr>
            </w:pPr>
            <w:r>
              <w:rPr>
                <w:rFonts w:hint="eastAsia" w:ascii="宋体" w:hAnsi="宋体" w:eastAsia="宋体" w:cs="宋体"/>
                <w:bCs/>
                <w:color w:val="auto"/>
                <w:highlight w:val="none"/>
              </w:rPr>
              <w:t>医疗保险费</w:t>
            </w:r>
          </w:p>
        </w:tc>
        <w:tc>
          <w:tcPr>
            <w:tcW w:w="33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highlight w:val="none"/>
              </w:rPr>
            </w:pPr>
            <w:r>
              <w:rPr>
                <w:rFonts w:hint="eastAsia" w:ascii="宋体" w:hAnsi="宋体" w:eastAsia="宋体" w:cs="宋体"/>
                <w:bCs/>
                <w:color w:val="auto"/>
                <w:kern w:val="0"/>
                <w:highlight w:val="none"/>
              </w:rPr>
              <w:t>分部分项工程人工费合计</w:t>
            </w:r>
            <w:r>
              <w:rPr>
                <w:rFonts w:hint="eastAsia" w:ascii="宋体" w:hAnsi="宋体" w:eastAsia="宋体" w:cs="宋体"/>
                <w:bCs/>
                <w:color w:val="auto"/>
                <w:kern w:val="0"/>
                <w:highlight w:val="none"/>
                <w:lang w:val="en"/>
              </w:rPr>
              <w:t>+可计量</w:t>
            </w:r>
            <w:r>
              <w:rPr>
                <w:rFonts w:hint="eastAsia" w:ascii="宋体" w:hAnsi="宋体" w:eastAsia="宋体" w:cs="宋体"/>
                <w:bCs/>
                <w:color w:val="auto"/>
                <w:kern w:val="0"/>
                <w:highlight w:val="none"/>
              </w:rPr>
              <w:t>措施项目人工费合计-人工费的价差</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2.73</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eastAsia="宋体" w:cs="宋体"/>
                <w:bCs/>
                <w:color w:val="auto"/>
                <w:highlight w:val="none"/>
              </w:rPr>
            </w:pPr>
            <w:r>
              <w:rPr>
                <w:rFonts w:hint="eastAsia" w:ascii="宋体" w:hAnsi="宋体" w:eastAsia="宋体" w:cs="宋体"/>
                <w:bCs/>
                <w:color w:val="auto"/>
                <w:highlight w:val="none"/>
              </w:rPr>
              <w:t>生育保险费</w:t>
            </w:r>
          </w:p>
        </w:tc>
        <w:tc>
          <w:tcPr>
            <w:tcW w:w="33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分部分项工程人工费合计</w:t>
            </w:r>
            <w:r>
              <w:rPr>
                <w:rFonts w:hint="eastAsia" w:ascii="宋体" w:hAnsi="宋体" w:eastAsia="宋体" w:cs="宋体"/>
                <w:bCs/>
                <w:color w:val="auto"/>
                <w:kern w:val="0"/>
                <w:highlight w:val="none"/>
                <w:lang w:val="en"/>
              </w:rPr>
              <w:t>+可计量</w:t>
            </w:r>
            <w:r>
              <w:rPr>
                <w:rFonts w:hint="eastAsia" w:ascii="宋体" w:hAnsi="宋体" w:eastAsia="宋体" w:cs="宋体"/>
                <w:bCs/>
                <w:color w:val="auto"/>
                <w:kern w:val="0"/>
                <w:highlight w:val="none"/>
              </w:rPr>
              <w:t>措施项目人工费合计-人工费的价差</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kern w:val="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0.34</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eastAsia="宋体" w:cs="宋体"/>
                <w:bCs/>
                <w:color w:val="auto"/>
                <w:highlight w:val="none"/>
              </w:rPr>
            </w:pPr>
            <w:r>
              <w:rPr>
                <w:rFonts w:hint="eastAsia" w:ascii="宋体" w:hAnsi="宋体" w:eastAsia="宋体" w:cs="宋体"/>
                <w:bCs/>
                <w:color w:val="auto"/>
                <w:highlight w:val="none"/>
              </w:rPr>
              <w:t>工伤保险费</w:t>
            </w:r>
          </w:p>
        </w:tc>
        <w:tc>
          <w:tcPr>
            <w:tcW w:w="33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分部分项工程人工费合计</w:t>
            </w:r>
            <w:r>
              <w:rPr>
                <w:rFonts w:hint="eastAsia" w:ascii="宋体" w:hAnsi="宋体" w:eastAsia="宋体" w:cs="宋体"/>
                <w:bCs/>
                <w:color w:val="auto"/>
                <w:kern w:val="0"/>
                <w:highlight w:val="none"/>
                <w:lang w:val="en"/>
              </w:rPr>
              <w:t>+可计量</w:t>
            </w:r>
            <w:r>
              <w:rPr>
                <w:rFonts w:hint="eastAsia" w:ascii="宋体" w:hAnsi="宋体" w:eastAsia="宋体" w:cs="宋体"/>
                <w:bCs/>
                <w:color w:val="auto"/>
                <w:kern w:val="0"/>
                <w:highlight w:val="none"/>
              </w:rPr>
              <w:t>措施项目人工费合计-人工费的价差</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kern w:val="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0.42</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1.2</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eastAsia="宋体" w:cs="宋体"/>
                <w:bCs/>
                <w:color w:val="auto"/>
                <w:highlight w:val="none"/>
              </w:rPr>
            </w:pPr>
            <w:r>
              <w:rPr>
                <w:rFonts w:hint="eastAsia" w:ascii="宋体" w:hAnsi="宋体" w:eastAsia="宋体" w:cs="宋体"/>
                <w:bCs/>
                <w:color w:val="auto"/>
                <w:highlight w:val="none"/>
              </w:rPr>
              <w:t>住房公积金</w:t>
            </w:r>
          </w:p>
        </w:tc>
        <w:tc>
          <w:tcPr>
            <w:tcW w:w="33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highlight w:val="none"/>
              </w:rPr>
            </w:pPr>
            <w:r>
              <w:rPr>
                <w:rFonts w:hint="eastAsia" w:ascii="宋体" w:hAnsi="宋体" w:eastAsia="宋体" w:cs="宋体"/>
                <w:bCs/>
                <w:color w:val="auto"/>
                <w:kern w:val="0"/>
                <w:highlight w:val="none"/>
              </w:rPr>
              <w:t>分部分项工程人工费合计</w:t>
            </w:r>
            <w:r>
              <w:rPr>
                <w:rFonts w:hint="eastAsia" w:ascii="宋体" w:hAnsi="宋体" w:eastAsia="宋体" w:cs="宋体"/>
                <w:bCs/>
                <w:color w:val="auto"/>
                <w:kern w:val="0"/>
                <w:highlight w:val="none"/>
                <w:lang w:val="en"/>
              </w:rPr>
              <w:t>+可计量</w:t>
            </w:r>
            <w:r>
              <w:rPr>
                <w:rFonts w:hint="eastAsia" w:ascii="宋体" w:hAnsi="宋体" w:eastAsia="宋体" w:cs="宋体"/>
                <w:bCs/>
                <w:color w:val="auto"/>
                <w:kern w:val="0"/>
                <w:highlight w:val="none"/>
              </w:rPr>
              <w:t>措施项目人工费合计-人工费的价差</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2.08</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1.3</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eastAsia="宋体" w:cs="宋体"/>
                <w:bCs/>
                <w:color w:val="auto"/>
                <w:highlight w:val="none"/>
              </w:rPr>
            </w:pPr>
            <w:r>
              <w:rPr>
                <w:rFonts w:hint="eastAsia" w:ascii="宋体" w:hAnsi="宋体" w:eastAsia="宋体" w:cs="宋体"/>
                <w:bCs/>
                <w:color w:val="auto"/>
                <w:highlight w:val="none"/>
              </w:rPr>
              <w:t>工程排污费</w:t>
            </w:r>
          </w:p>
        </w:tc>
        <w:tc>
          <w:tcPr>
            <w:tcW w:w="33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r>
              <w:rPr>
                <w:rFonts w:hint="eastAsia" w:ascii="宋体" w:hAnsi="宋体" w:eastAsia="宋体" w:cs="宋体"/>
                <w:bCs/>
                <w:color w:val="auto"/>
                <w:kern w:val="0"/>
                <w:highlight w:val="none"/>
              </w:rPr>
              <w:t>分部分项工程人工费合计</w:t>
            </w:r>
            <w:r>
              <w:rPr>
                <w:rFonts w:hint="eastAsia" w:ascii="宋体" w:hAnsi="宋体" w:eastAsia="宋体" w:cs="宋体"/>
                <w:bCs/>
                <w:color w:val="auto"/>
                <w:kern w:val="0"/>
                <w:highlight w:val="none"/>
                <w:lang w:val="en"/>
              </w:rPr>
              <w:t>+可计量</w:t>
            </w:r>
            <w:r>
              <w:rPr>
                <w:rFonts w:hint="eastAsia" w:ascii="宋体" w:hAnsi="宋体" w:eastAsia="宋体" w:cs="宋体"/>
                <w:bCs/>
                <w:color w:val="auto"/>
                <w:kern w:val="0"/>
                <w:highlight w:val="none"/>
              </w:rPr>
              <w:t>措施项目人工费合计-人工费的价差</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0.28</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eastAsia="宋体" w:cs="宋体"/>
                <w:bCs/>
                <w:color w:val="auto"/>
                <w:highlight w:val="none"/>
              </w:rPr>
            </w:pPr>
            <w:r>
              <w:rPr>
                <w:rFonts w:hint="eastAsia" w:ascii="宋体" w:hAnsi="宋体" w:eastAsia="宋体" w:cs="宋体"/>
                <w:bCs/>
                <w:color w:val="auto"/>
                <w:highlight w:val="none"/>
              </w:rPr>
              <w:t>增值税（销项税额）</w:t>
            </w:r>
          </w:p>
        </w:tc>
        <w:tc>
          <w:tcPr>
            <w:tcW w:w="33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r>
              <w:rPr>
                <w:rFonts w:hint="eastAsia" w:ascii="宋体" w:hAnsi="宋体" w:eastAsia="宋体" w:cs="宋体"/>
                <w:bCs/>
                <w:color w:val="auto"/>
                <w:kern w:val="0"/>
                <w:highlight w:val="none"/>
              </w:rPr>
              <w:t>分部分项工程费+措施项目费+其他项目费+规费-按规定不计税的设备金额</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9</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604"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合  计</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bCs/>
                <w:color w:val="auto"/>
                <w:sz w:val="24"/>
                <w:highlight w:val="none"/>
              </w:rPr>
            </w:pPr>
          </w:p>
        </w:tc>
      </w:tr>
    </w:tbl>
    <w:p>
      <w:pPr>
        <w:pStyle w:val="9"/>
        <w:spacing w:line="360" w:lineRule="auto"/>
        <w:jc w:val="both"/>
        <w:rPr>
          <w:rFonts w:hint="eastAsia" w:ascii="仿宋" w:hAnsi="仿宋" w:eastAsia="仿宋" w:cs="仿宋"/>
          <w:b/>
          <w:bCs/>
          <w:color w:val="auto"/>
          <w:sz w:val="24"/>
          <w:szCs w:val="24"/>
          <w:highlight w:val="none"/>
        </w:rPr>
      </w:pPr>
    </w:p>
    <w:p>
      <w:pPr>
        <w:pStyle w:val="18"/>
        <w:spacing w:before="75" w:beforeAutospacing="0" w:after="75" w:afterAutospacing="0" w:line="240" w:lineRule="auto"/>
        <w:jc w:val="both"/>
        <w:rPr>
          <w:rStyle w:val="25"/>
          <w:rFonts w:hint="eastAsia" w:cs="宋体"/>
          <w:b/>
          <w:bCs w:val="0"/>
          <w:color w:val="auto"/>
          <w:sz w:val="24"/>
          <w:szCs w:val="24"/>
          <w:highlight w:val="none"/>
        </w:rPr>
      </w:pPr>
    </w:p>
    <w:p>
      <w:pPr>
        <w:pStyle w:val="18"/>
        <w:spacing w:before="75" w:beforeAutospacing="0" w:after="75" w:afterAutospacing="0" w:line="36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30 </w:t>
      </w:r>
      <w:r>
        <w:rPr>
          <w:rStyle w:val="25"/>
          <w:rFonts w:hint="eastAsia" w:cs="宋体"/>
          <w:b/>
          <w:bCs w:val="0"/>
          <w:color w:val="auto"/>
          <w:sz w:val="24"/>
          <w:szCs w:val="24"/>
          <w:highlight w:val="none"/>
        </w:rPr>
        <w:t xml:space="preserve"> </w:t>
      </w:r>
      <w:r>
        <w:rPr>
          <w:rStyle w:val="25"/>
          <w:rFonts w:hint="eastAsia" w:cs="宋体"/>
          <w:b/>
          <w:bCs w:val="0"/>
          <w:color w:val="auto"/>
          <w:sz w:val="24"/>
          <w:szCs w:val="24"/>
          <w:highlight w:val="none"/>
          <w:lang w:val="en-US" w:eastAsia="zh-CN"/>
        </w:rPr>
        <w:t>主</w:t>
      </w:r>
      <w:r>
        <w:rPr>
          <w:rStyle w:val="25"/>
          <w:rFonts w:hint="eastAsia" w:cs="宋体"/>
          <w:b/>
          <w:bCs w:val="0"/>
          <w:color w:val="auto"/>
          <w:sz w:val="24"/>
          <w:szCs w:val="24"/>
          <w:highlight w:val="none"/>
        </w:rPr>
        <w:t>要材料、设备价格表（</w:t>
      </w:r>
      <w:r>
        <w:rPr>
          <w:rStyle w:val="25"/>
          <w:rFonts w:hint="eastAsia" w:cs="宋体"/>
          <w:b/>
          <w:bCs w:val="0"/>
          <w:color w:val="auto"/>
          <w:sz w:val="24"/>
          <w:szCs w:val="24"/>
          <w:highlight w:val="none"/>
          <w:lang w:eastAsia="zh-CN"/>
        </w:rPr>
        <w:t>采购人</w:t>
      </w:r>
      <w:r>
        <w:rPr>
          <w:rStyle w:val="25"/>
          <w:rFonts w:hint="eastAsia" w:cs="宋体"/>
          <w:b/>
          <w:bCs w:val="0"/>
          <w:color w:val="auto"/>
          <w:sz w:val="24"/>
          <w:szCs w:val="24"/>
          <w:highlight w:val="none"/>
        </w:rPr>
        <w:t>提供）</w:t>
      </w:r>
    </w:p>
    <w:tbl>
      <w:tblPr>
        <w:tblStyle w:val="22"/>
        <w:tblpPr w:leftFromText="180" w:rightFromText="180" w:vertAnchor="text" w:horzAnchor="page" w:tblpX="1588" w:tblpY="858"/>
        <w:tblOverlap w:val="never"/>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611"/>
        <w:gridCol w:w="1567"/>
        <w:gridCol w:w="874"/>
        <w:gridCol w:w="1063"/>
        <w:gridCol w:w="1405"/>
        <w:gridCol w:w="1261"/>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524" w:type="dxa"/>
            <w:noWrap w:val="0"/>
            <w:vAlign w:val="center"/>
          </w:tcPr>
          <w:p>
            <w:pPr>
              <w:spacing w:line="360" w:lineRule="auto"/>
              <w:jc w:val="center"/>
              <w:rPr>
                <w:rFonts w:ascii="宋体"/>
                <w:bCs/>
                <w:color w:val="auto"/>
                <w:szCs w:val="30"/>
                <w:highlight w:val="none"/>
              </w:rPr>
            </w:pPr>
            <w:r>
              <w:rPr>
                <w:rFonts w:hint="eastAsia" w:ascii="宋体" w:hAnsi="宋体"/>
                <w:bCs/>
                <w:color w:val="auto"/>
                <w:szCs w:val="30"/>
                <w:highlight w:val="none"/>
              </w:rPr>
              <w:t>序号</w:t>
            </w:r>
          </w:p>
        </w:tc>
        <w:tc>
          <w:tcPr>
            <w:tcW w:w="1611" w:type="dxa"/>
            <w:noWrap w:val="0"/>
            <w:vAlign w:val="center"/>
          </w:tcPr>
          <w:p>
            <w:pPr>
              <w:spacing w:line="360" w:lineRule="auto"/>
              <w:jc w:val="center"/>
              <w:rPr>
                <w:rFonts w:ascii="宋体"/>
                <w:bCs/>
                <w:color w:val="auto"/>
                <w:szCs w:val="30"/>
                <w:highlight w:val="none"/>
              </w:rPr>
            </w:pPr>
            <w:r>
              <w:rPr>
                <w:rFonts w:hint="eastAsia" w:ascii="宋体" w:hAnsi="宋体"/>
                <w:bCs/>
                <w:color w:val="auto"/>
                <w:szCs w:val="30"/>
                <w:highlight w:val="none"/>
              </w:rPr>
              <w:t>材料名称</w:t>
            </w:r>
          </w:p>
        </w:tc>
        <w:tc>
          <w:tcPr>
            <w:tcW w:w="1567" w:type="dxa"/>
            <w:noWrap w:val="0"/>
            <w:vAlign w:val="center"/>
          </w:tcPr>
          <w:p>
            <w:pPr>
              <w:spacing w:line="360" w:lineRule="auto"/>
              <w:jc w:val="center"/>
              <w:rPr>
                <w:rFonts w:ascii="宋体"/>
                <w:bCs/>
                <w:color w:val="auto"/>
                <w:szCs w:val="30"/>
                <w:highlight w:val="none"/>
              </w:rPr>
            </w:pPr>
            <w:r>
              <w:rPr>
                <w:rFonts w:hint="eastAsia" w:ascii="宋体" w:hAnsi="宋体"/>
                <w:bCs/>
                <w:color w:val="auto"/>
                <w:szCs w:val="30"/>
                <w:highlight w:val="none"/>
              </w:rPr>
              <w:t>规格型号、系列号等特殊要求</w:t>
            </w:r>
          </w:p>
        </w:tc>
        <w:tc>
          <w:tcPr>
            <w:tcW w:w="874" w:type="dxa"/>
            <w:noWrap w:val="0"/>
            <w:vAlign w:val="center"/>
          </w:tcPr>
          <w:p>
            <w:pPr>
              <w:spacing w:line="360" w:lineRule="auto"/>
              <w:jc w:val="center"/>
              <w:rPr>
                <w:rFonts w:ascii="宋体"/>
                <w:bCs/>
                <w:color w:val="auto"/>
                <w:szCs w:val="30"/>
                <w:highlight w:val="none"/>
              </w:rPr>
            </w:pPr>
            <w:r>
              <w:rPr>
                <w:rFonts w:hint="eastAsia" w:ascii="宋体" w:hAnsi="宋体"/>
                <w:bCs/>
                <w:color w:val="auto"/>
                <w:szCs w:val="30"/>
                <w:highlight w:val="none"/>
              </w:rPr>
              <w:t>单位</w:t>
            </w:r>
          </w:p>
        </w:tc>
        <w:tc>
          <w:tcPr>
            <w:tcW w:w="1063" w:type="dxa"/>
            <w:noWrap w:val="0"/>
            <w:vAlign w:val="center"/>
          </w:tcPr>
          <w:p>
            <w:pPr>
              <w:spacing w:line="360" w:lineRule="auto"/>
              <w:jc w:val="center"/>
              <w:rPr>
                <w:rFonts w:ascii="宋体"/>
                <w:bCs/>
                <w:color w:val="auto"/>
                <w:szCs w:val="30"/>
                <w:highlight w:val="none"/>
              </w:rPr>
            </w:pPr>
            <w:r>
              <w:rPr>
                <w:rFonts w:hint="eastAsia" w:ascii="宋体" w:hAnsi="宋体"/>
                <w:bCs/>
                <w:color w:val="auto"/>
                <w:szCs w:val="30"/>
                <w:highlight w:val="none"/>
              </w:rPr>
              <w:t>数量</w:t>
            </w:r>
          </w:p>
        </w:tc>
        <w:tc>
          <w:tcPr>
            <w:tcW w:w="1405" w:type="dxa"/>
            <w:noWrap w:val="0"/>
            <w:vAlign w:val="center"/>
          </w:tcPr>
          <w:p>
            <w:pPr>
              <w:spacing w:line="360" w:lineRule="auto"/>
              <w:ind w:right="-195" w:rightChars="-93"/>
              <w:rPr>
                <w:rFonts w:ascii="宋体"/>
                <w:bCs/>
                <w:color w:val="auto"/>
                <w:szCs w:val="30"/>
                <w:highlight w:val="none"/>
              </w:rPr>
            </w:pPr>
            <w:r>
              <w:rPr>
                <w:rFonts w:hint="eastAsia" w:ascii="宋体" w:hAnsi="宋体"/>
                <w:bCs/>
                <w:color w:val="auto"/>
                <w:szCs w:val="30"/>
                <w:highlight w:val="none"/>
              </w:rPr>
              <w:t>单价（元）</w:t>
            </w:r>
          </w:p>
        </w:tc>
        <w:tc>
          <w:tcPr>
            <w:tcW w:w="1261" w:type="dxa"/>
            <w:noWrap w:val="0"/>
            <w:vAlign w:val="center"/>
          </w:tcPr>
          <w:p>
            <w:pPr>
              <w:spacing w:line="360" w:lineRule="auto"/>
              <w:jc w:val="center"/>
              <w:rPr>
                <w:rFonts w:ascii="宋体"/>
                <w:bCs/>
                <w:color w:val="auto"/>
                <w:szCs w:val="30"/>
                <w:highlight w:val="none"/>
              </w:rPr>
            </w:pPr>
            <w:r>
              <w:rPr>
                <w:rFonts w:hint="eastAsia" w:ascii="宋体" w:hAnsi="宋体"/>
                <w:bCs/>
                <w:color w:val="auto"/>
                <w:szCs w:val="30"/>
                <w:highlight w:val="none"/>
              </w:rPr>
              <w:t>合价</w:t>
            </w:r>
          </w:p>
          <w:p>
            <w:pPr>
              <w:spacing w:line="360" w:lineRule="auto"/>
              <w:jc w:val="center"/>
              <w:rPr>
                <w:rFonts w:ascii="宋体"/>
                <w:bCs/>
                <w:color w:val="auto"/>
                <w:szCs w:val="30"/>
                <w:highlight w:val="none"/>
              </w:rPr>
            </w:pPr>
            <w:r>
              <w:rPr>
                <w:rFonts w:hint="eastAsia" w:ascii="宋体" w:hAnsi="宋体"/>
                <w:bCs/>
                <w:color w:val="auto"/>
                <w:szCs w:val="30"/>
                <w:highlight w:val="none"/>
              </w:rPr>
              <w:t>（万元）</w:t>
            </w:r>
          </w:p>
        </w:tc>
        <w:tc>
          <w:tcPr>
            <w:tcW w:w="810" w:type="dxa"/>
            <w:noWrap w:val="0"/>
            <w:vAlign w:val="center"/>
          </w:tcPr>
          <w:p>
            <w:pPr>
              <w:spacing w:line="360" w:lineRule="auto"/>
              <w:jc w:val="center"/>
              <w:rPr>
                <w:rFonts w:ascii="宋体"/>
                <w:bCs/>
                <w:color w:val="auto"/>
                <w:szCs w:val="30"/>
                <w:highlight w:val="none"/>
              </w:rPr>
            </w:pPr>
            <w:r>
              <w:rPr>
                <w:rFonts w:hint="eastAsia" w:ascii="宋体" w:hAnsi="宋体"/>
                <w:bCs/>
                <w:color w:val="auto"/>
                <w:szCs w:val="3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4" w:type="dxa"/>
            <w:noWrap w:val="0"/>
            <w:vAlign w:val="center"/>
          </w:tcPr>
          <w:p>
            <w:pPr>
              <w:spacing w:line="360" w:lineRule="auto"/>
              <w:jc w:val="center"/>
              <w:rPr>
                <w:rFonts w:ascii="宋体"/>
                <w:bCs/>
                <w:color w:val="auto"/>
                <w:szCs w:val="30"/>
                <w:highlight w:val="none"/>
              </w:rPr>
            </w:pPr>
          </w:p>
        </w:tc>
        <w:tc>
          <w:tcPr>
            <w:tcW w:w="1611" w:type="dxa"/>
            <w:noWrap w:val="0"/>
            <w:vAlign w:val="center"/>
          </w:tcPr>
          <w:p>
            <w:pPr>
              <w:spacing w:line="360" w:lineRule="auto"/>
              <w:jc w:val="center"/>
              <w:rPr>
                <w:rFonts w:ascii="宋体"/>
                <w:bCs/>
                <w:color w:val="auto"/>
                <w:szCs w:val="30"/>
                <w:highlight w:val="none"/>
              </w:rPr>
            </w:pPr>
          </w:p>
        </w:tc>
        <w:tc>
          <w:tcPr>
            <w:tcW w:w="1567" w:type="dxa"/>
            <w:noWrap w:val="0"/>
            <w:vAlign w:val="center"/>
          </w:tcPr>
          <w:p>
            <w:pPr>
              <w:spacing w:line="360" w:lineRule="auto"/>
              <w:jc w:val="center"/>
              <w:rPr>
                <w:rFonts w:ascii="宋体"/>
                <w:bCs/>
                <w:color w:val="auto"/>
                <w:szCs w:val="30"/>
                <w:highlight w:val="none"/>
              </w:rPr>
            </w:pPr>
          </w:p>
        </w:tc>
        <w:tc>
          <w:tcPr>
            <w:tcW w:w="874" w:type="dxa"/>
            <w:noWrap w:val="0"/>
            <w:vAlign w:val="center"/>
          </w:tcPr>
          <w:p>
            <w:pPr>
              <w:spacing w:line="360" w:lineRule="auto"/>
              <w:jc w:val="center"/>
              <w:rPr>
                <w:rFonts w:ascii="宋体"/>
                <w:bCs/>
                <w:color w:val="auto"/>
                <w:szCs w:val="30"/>
                <w:highlight w:val="none"/>
              </w:rPr>
            </w:pPr>
          </w:p>
        </w:tc>
        <w:tc>
          <w:tcPr>
            <w:tcW w:w="1063" w:type="dxa"/>
            <w:noWrap w:val="0"/>
            <w:vAlign w:val="center"/>
          </w:tcPr>
          <w:p>
            <w:pPr>
              <w:spacing w:line="360" w:lineRule="auto"/>
              <w:jc w:val="center"/>
              <w:rPr>
                <w:rFonts w:ascii="宋体"/>
                <w:bCs/>
                <w:color w:val="auto"/>
                <w:szCs w:val="30"/>
                <w:highlight w:val="none"/>
              </w:rPr>
            </w:pPr>
          </w:p>
        </w:tc>
        <w:tc>
          <w:tcPr>
            <w:tcW w:w="1405" w:type="dxa"/>
            <w:noWrap w:val="0"/>
            <w:vAlign w:val="top"/>
          </w:tcPr>
          <w:p>
            <w:pPr>
              <w:spacing w:line="360" w:lineRule="auto"/>
              <w:rPr>
                <w:rFonts w:ascii="宋体"/>
                <w:bCs/>
                <w:color w:val="auto"/>
                <w:szCs w:val="30"/>
                <w:highlight w:val="none"/>
              </w:rPr>
            </w:pPr>
          </w:p>
        </w:tc>
        <w:tc>
          <w:tcPr>
            <w:tcW w:w="1261" w:type="dxa"/>
            <w:noWrap w:val="0"/>
            <w:vAlign w:val="top"/>
          </w:tcPr>
          <w:p>
            <w:pPr>
              <w:spacing w:line="360" w:lineRule="auto"/>
              <w:rPr>
                <w:rFonts w:ascii="宋体"/>
                <w:bCs/>
                <w:color w:val="auto"/>
                <w:szCs w:val="30"/>
                <w:highlight w:val="none"/>
              </w:rPr>
            </w:pPr>
          </w:p>
        </w:tc>
        <w:tc>
          <w:tcPr>
            <w:tcW w:w="810"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4" w:type="dxa"/>
            <w:noWrap w:val="0"/>
            <w:vAlign w:val="center"/>
          </w:tcPr>
          <w:p>
            <w:pPr>
              <w:spacing w:line="360" w:lineRule="auto"/>
              <w:jc w:val="center"/>
              <w:rPr>
                <w:rFonts w:ascii="宋体"/>
                <w:bCs/>
                <w:color w:val="auto"/>
                <w:szCs w:val="30"/>
                <w:highlight w:val="none"/>
              </w:rPr>
            </w:pPr>
          </w:p>
        </w:tc>
        <w:tc>
          <w:tcPr>
            <w:tcW w:w="1611" w:type="dxa"/>
            <w:noWrap w:val="0"/>
            <w:vAlign w:val="center"/>
          </w:tcPr>
          <w:p>
            <w:pPr>
              <w:spacing w:line="360" w:lineRule="auto"/>
              <w:jc w:val="center"/>
              <w:rPr>
                <w:rFonts w:ascii="宋体"/>
                <w:bCs/>
                <w:color w:val="auto"/>
                <w:szCs w:val="30"/>
                <w:highlight w:val="none"/>
              </w:rPr>
            </w:pPr>
          </w:p>
        </w:tc>
        <w:tc>
          <w:tcPr>
            <w:tcW w:w="1567" w:type="dxa"/>
            <w:noWrap w:val="0"/>
            <w:vAlign w:val="center"/>
          </w:tcPr>
          <w:p>
            <w:pPr>
              <w:spacing w:line="360" w:lineRule="auto"/>
              <w:jc w:val="center"/>
              <w:rPr>
                <w:rFonts w:ascii="宋体"/>
                <w:bCs/>
                <w:color w:val="auto"/>
                <w:szCs w:val="30"/>
                <w:highlight w:val="none"/>
              </w:rPr>
            </w:pPr>
          </w:p>
        </w:tc>
        <w:tc>
          <w:tcPr>
            <w:tcW w:w="874" w:type="dxa"/>
            <w:noWrap w:val="0"/>
            <w:vAlign w:val="center"/>
          </w:tcPr>
          <w:p>
            <w:pPr>
              <w:spacing w:line="360" w:lineRule="auto"/>
              <w:jc w:val="center"/>
              <w:rPr>
                <w:rFonts w:ascii="宋体"/>
                <w:bCs/>
                <w:color w:val="auto"/>
                <w:szCs w:val="30"/>
                <w:highlight w:val="none"/>
              </w:rPr>
            </w:pPr>
          </w:p>
        </w:tc>
        <w:tc>
          <w:tcPr>
            <w:tcW w:w="1063" w:type="dxa"/>
            <w:noWrap w:val="0"/>
            <w:vAlign w:val="center"/>
          </w:tcPr>
          <w:p>
            <w:pPr>
              <w:spacing w:line="360" w:lineRule="auto"/>
              <w:jc w:val="center"/>
              <w:rPr>
                <w:rFonts w:ascii="宋体"/>
                <w:bCs/>
                <w:color w:val="auto"/>
                <w:szCs w:val="30"/>
                <w:highlight w:val="none"/>
              </w:rPr>
            </w:pPr>
          </w:p>
        </w:tc>
        <w:tc>
          <w:tcPr>
            <w:tcW w:w="1405" w:type="dxa"/>
            <w:noWrap w:val="0"/>
            <w:vAlign w:val="top"/>
          </w:tcPr>
          <w:p>
            <w:pPr>
              <w:spacing w:line="360" w:lineRule="auto"/>
              <w:rPr>
                <w:rFonts w:ascii="宋体"/>
                <w:bCs/>
                <w:color w:val="auto"/>
                <w:szCs w:val="30"/>
                <w:highlight w:val="none"/>
              </w:rPr>
            </w:pPr>
          </w:p>
        </w:tc>
        <w:tc>
          <w:tcPr>
            <w:tcW w:w="1261" w:type="dxa"/>
            <w:noWrap w:val="0"/>
            <w:vAlign w:val="top"/>
          </w:tcPr>
          <w:p>
            <w:pPr>
              <w:spacing w:line="360" w:lineRule="auto"/>
              <w:rPr>
                <w:rFonts w:ascii="宋体"/>
                <w:bCs/>
                <w:color w:val="auto"/>
                <w:szCs w:val="30"/>
                <w:highlight w:val="none"/>
              </w:rPr>
            </w:pPr>
          </w:p>
        </w:tc>
        <w:tc>
          <w:tcPr>
            <w:tcW w:w="810"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4" w:type="dxa"/>
            <w:noWrap w:val="0"/>
            <w:vAlign w:val="center"/>
          </w:tcPr>
          <w:p>
            <w:pPr>
              <w:spacing w:line="360" w:lineRule="auto"/>
              <w:jc w:val="center"/>
              <w:rPr>
                <w:rFonts w:ascii="宋体"/>
                <w:bCs/>
                <w:color w:val="auto"/>
                <w:szCs w:val="30"/>
                <w:highlight w:val="none"/>
              </w:rPr>
            </w:pPr>
          </w:p>
        </w:tc>
        <w:tc>
          <w:tcPr>
            <w:tcW w:w="1611" w:type="dxa"/>
            <w:noWrap w:val="0"/>
            <w:vAlign w:val="center"/>
          </w:tcPr>
          <w:p>
            <w:pPr>
              <w:spacing w:line="360" w:lineRule="auto"/>
              <w:jc w:val="center"/>
              <w:rPr>
                <w:rFonts w:ascii="宋体"/>
                <w:bCs/>
                <w:color w:val="auto"/>
                <w:szCs w:val="30"/>
                <w:highlight w:val="none"/>
              </w:rPr>
            </w:pPr>
          </w:p>
        </w:tc>
        <w:tc>
          <w:tcPr>
            <w:tcW w:w="1567" w:type="dxa"/>
            <w:noWrap w:val="0"/>
            <w:vAlign w:val="center"/>
          </w:tcPr>
          <w:p>
            <w:pPr>
              <w:spacing w:line="360" w:lineRule="auto"/>
              <w:jc w:val="center"/>
              <w:rPr>
                <w:rFonts w:ascii="宋体"/>
                <w:bCs/>
                <w:color w:val="auto"/>
                <w:szCs w:val="30"/>
                <w:highlight w:val="none"/>
              </w:rPr>
            </w:pPr>
          </w:p>
        </w:tc>
        <w:tc>
          <w:tcPr>
            <w:tcW w:w="874" w:type="dxa"/>
            <w:noWrap w:val="0"/>
            <w:vAlign w:val="center"/>
          </w:tcPr>
          <w:p>
            <w:pPr>
              <w:spacing w:line="360" w:lineRule="auto"/>
              <w:jc w:val="center"/>
              <w:rPr>
                <w:rFonts w:ascii="宋体"/>
                <w:bCs/>
                <w:color w:val="auto"/>
                <w:szCs w:val="30"/>
                <w:highlight w:val="none"/>
              </w:rPr>
            </w:pPr>
          </w:p>
        </w:tc>
        <w:tc>
          <w:tcPr>
            <w:tcW w:w="1063" w:type="dxa"/>
            <w:noWrap w:val="0"/>
            <w:vAlign w:val="center"/>
          </w:tcPr>
          <w:p>
            <w:pPr>
              <w:spacing w:line="360" w:lineRule="auto"/>
              <w:jc w:val="center"/>
              <w:rPr>
                <w:rFonts w:ascii="宋体"/>
                <w:bCs/>
                <w:color w:val="auto"/>
                <w:szCs w:val="30"/>
                <w:highlight w:val="none"/>
              </w:rPr>
            </w:pPr>
          </w:p>
        </w:tc>
        <w:tc>
          <w:tcPr>
            <w:tcW w:w="1405" w:type="dxa"/>
            <w:noWrap w:val="0"/>
            <w:vAlign w:val="top"/>
          </w:tcPr>
          <w:p>
            <w:pPr>
              <w:spacing w:line="360" w:lineRule="auto"/>
              <w:rPr>
                <w:rFonts w:ascii="宋体"/>
                <w:bCs/>
                <w:color w:val="auto"/>
                <w:szCs w:val="30"/>
                <w:highlight w:val="none"/>
              </w:rPr>
            </w:pPr>
          </w:p>
        </w:tc>
        <w:tc>
          <w:tcPr>
            <w:tcW w:w="1261" w:type="dxa"/>
            <w:noWrap w:val="0"/>
            <w:vAlign w:val="top"/>
          </w:tcPr>
          <w:p>
            <w:pPr>
              <w:spacing w:line="360" w:lineRule="auto"/>
              <w:rPr>
                <w:rFonts w:ascii="宋体"/>
                <w:bCs/>
                <w:color w:val="auto"/>
                <w:szCs w:val="30"/>
                <w:highlight w:val="none"/>
              </w:rPr>
            </w:pPr>
          </w:p>
        </w:tc>
        <w:tc>
          <w:tcPr>
            <w:tcW w:w="810"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4" w:type="dxa"/>
            <w:noWrap w:val="0"/>
            <w:vAlign w:val="center"/>
          </w:tcPr>
          <w:p>
            <w:pPr>
              <w:spacing w:line="360" w:lineRule="auto"/>
              <w:jc w:val="center"/>
              <w:rPr>
                <w:rFonts w:ascii="宋体"/>
                <w:bCs/>
                <w:color w:val="auto"/>
                <w:szCs w:val="30"/>
                <w:highlight w:val="none"/>
              </w:rPr>
            </w:pPr>
          </w:p>
        </w:tc>
        <w:tc>
          <w:tcPr>
            <w:tcW w:w="1611" w:type="dxa"/>
            <w:noWrap w:val="0"/>
            <w:vAlign w:val="center"/>
          </w:tcPr>
          <w:p>
            <w:pPr>
              <w:spacing w:line="360" w:lineRule="auto"/>
              <w:jc w:val="center"/>
              <w:rPr>
                <w:rFonts w:ascii="宋体"/>
                <w:bCs/>
                <w:color w:val="auto"/>
                <w:szCs w:val="30"/>
                <w:highlight w:val="none"/>
              </w:rPr>
            </w:pPr>
          </w:p>
        </w:tc>
        <w:tc>
          <w:tcPr>
            <w:tcW w:w="1567" w:type="dxa"/>
            <w:noWrap w:val="0"/>
            <w:vAlign w:val="center"/>
          </w:tcPr>
          <w:p>
            <w:pPr>
              <w:spacing w:line="360" w:lineRule="auto"/>
              <w:jc w:val="center"/>
              <w:rPr>
                <w:rFonts w:ascii="宋体"/>
                <w:bCs/>
                <w:color w:val="auto"/>
                <w:szCs w:val="30"/>
                <w:highlight w:val="none"/>
              </w:rPr>
            </w:pPr>
          </w:p>
        </w:tc>
        <w:tc>
          <w:tcPr>
            <w:tcW w:w="874" w:type="dxa"/>
            <w:noWrap w:val="0"/>
            <w:vAlign w:val="center"/>
          </w:tcPr>
          <w:p>
            <w:pPr>
              <w:spacing w:line="360" w:lineRule="auto"/>
              <w:jc w:val="center"/>
              <w:rPr>
                <w:rFonts w:ascii="宋体"/>
                <w:bCs/>
                <w:color w:val="auto"/>
                <w:szCs w:val="30"/>
                <w:highlight w:val="none"/>
              </w:rPr>
            </w:pPr>
          </w:p>
        </w:tc>
        <w:tc>
          <w:tcPr>
            <w:tcW w:w="1063" w:type="dxa"/>
            <w:noWrap w:val="0"/>
            <w:vAlign w:val="center"/>
          </w:tcPr>
          <w:p>
            <w:pPr>
              <w:spacing w:line="360" w:lineRule="auto"/>
              <w:jc w:val="center"/>
              <w:rPr>
                <w:rFonts w:ascii="宋体"/>
                <w:bCs/>
                <w:color w:val="auto"/>
                <w:szCs w:val="30"/>
                <w:highlight w:val="none"/>
              </w:rPr>
            </w:pPr>
          </w:p>
        </w:tc>
        <w:tc>
          <w:tcPr>
            <w:tcW w:w="1405" w:type="dxa"/>
            <w:noWrap w:val="0"/>
            <w:vAlign w:val="top"/>
          </w:tcPr>
          <w:p>
            <w:pPr>
              <w:spacing w:line="360" w:lineRule="auto"/>
              <w:rPr>
                <w:rFonts w:ascii="宋体"/>
                <w:bCs/>
                <w:color w:val="auto"/>
                <w:szCs w:val="30"/>
                <w:highlight w:val="none"/>
              </w:rPr>
            </w:pPr>
          </w:p>
        </w:tc>
        <w:tc>
          <w:tcPr>
            <w:tcW w:w="1261" w:type="dxa"/>
            <w:noWrap w:val="0"/>
            <w:vAlign w:val="top"/>
          </w:tcPr>
          <w:p>
            <w:pPr>
              <w:spacing w:line="360" w:lineRule="auto"/>
              <w:rPr>
                <w:rFonts w:ascii="宋体"/>
                <w:bCs/>
                <w:color w:val="auto"/>
                <w:szCs w:val="30"/>
                <w:highlight w:val="none"/>
              </w:rPr>
            </w:pPr>
          </w:p>
        </w:tc>
        <w:tc>
          <w:tcPr>
            <w:tcW w:w="810"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4" w:type="dxa"/>
            <w:noWrap w:val="0"/>
            <w:vAlign w:val="center"/>
          </w:tcPr>
          <w:p>
            <w:pPr>
              <w:spacing w:line="360" w:lineRule="auto"/>
              <w:jc w:val="center"/>
              <w:rPr>
                <w:rFonts w:ascii="宋体"/>
                <w:bCs/>
                <w:color w:val="auto"/>
                <w:szCs w:val="30"/>
                <w:highlight w:val="none"/>
              </w:rPr>
            </w:pPr>
          </w:p>
        </w:tc>
        <w:tc>
          <w:tcPr>
            <w:tcW w:w="1611" w:type="dxa"/>
            <w:noWrap w:val="0"/>
            <w:vAlign w:val="center"/>
          </w:tcPr>
          <w:p>
            <w:pPr>
              <w:spacing w:line="360" w:lineRule="auto"/>
              <w:jc w:val="center"/>
              <w:rPr>
                <w:rFonts w:ascii="宋体"/>
                <w:bCs/>
                <w:color w:val="auto"/>
                <w:szCs w:val="30"/>
                <w:highlight w:val="none"/>
              </w:rPr>
            </w:pPr>
          </w:p>
        </w:tc>
        <w:tc>
          <w:tcPr>
            <w:tcW w:w="1567" w:type="dxa"/>
            <w:noWrap w:val="0"/>
            <w:vAlign w:val="center"/>
          </w:tcPr>
          <w:p>
            <w:pPr>
              <w:spacing w:line="360" w:lineRule="auto"/>
              <w:jc w:val="center"/>
              <w:rPr>
                <w:rFonts w:ascii="宋体"/>
                <w:bCs/>
                <w:color w:val="auto"/>
                <w:szCs w:val="30"/>
                <w:highlight w:val="none"/>
              </w:rPr>
            </w:pPr>
          </w:p>
        </w:tc>
        <w:tc>
          <w:tcPr>
            <w:tcW w:w="874" w:type="dxa"/>
            <w:noWrap w:val="0"/>
            <w:vAlign w:val="center"/>
          </w:tcPr>
          <w:p>
            <w:pPr>
              <w:spacing w:line="360" w:lineRule="auto"/>
              <w:jc w:val="center"/>
              <w:rPr>
                <w:rFonts w:ascii="宋体"/>
                <w:bCs/>
                <w:color w:val="auto"/>
                <w:szCs w:val="30"/>
                <w:highlight w:val="none"/>
              </w:rPr>
            </w:pPr>
          </w:p>
        </w:tc>
        <w:tc>
          <w:tcPr>
            <w:tcW w:w="1063" w:type="dxa"/>
            <w:noWrap w:val="0"/>
            <w:vAlign w:val="center"/>
          </w:tcPr>
          <w:p>
            <w:pPr>
              <w:spacing w:line="360" w:lineRule="auto"/>
              <w:jc w:val="center"/>
              <w:rPr>
                <w:rFonts w:ascii="宋体"/>
                <w:bCs/>
                <w:color w:val="auto"/>
                <w:szCs w:val="30"/>
                <w:highlight w:val="none"/>
              </w:rPr>
            </w:pPr>
          </w:p>
        </w:tc>
        <w:tc>
          <w:tcPr>
            <w:tcW w:w="1405" w:type="dxa"/>
            <w:noWrap w:val="0"/>
            <w:vAlign w:val="top"/>
          </w:tcPr>
          <w:p>
            <w:pPr>
              <w:spacing w:line="360" w:lineRule="auto"/>
              <w:rPr>
                <w:rFonts w:ascii="宋体"/>
                <w:bCs/>
                <w:color w:val="auto"/>
                <w:szCs w:val="30"/>
                <w:highlight w:val="none"/>
              </w:rPr>
            </w:pPr>
          </w:p>
        </w:tc>
        <w:tc>
          <w:tcPr>
            <w:tcW w:w="1261" w:type="dxa"/>
            <w:noWrap w:val="0"/>
            <w:vAlign w:val="top"/>
          </w:tcPr>
          <w:p>
            <w:pPr>
              <w:spacing w:line="360" w:lineRule="auto"/>
              <w:rPr>
                <w:rFonts w:ascii="宋体"/>
                <w:bCs/>
                <w:color w:val="auto"/>
                <w:szCs w:val="30"/>
                <w:highlight w:val="none"/>
              </w:rPr>
            </w:pPr>
          </w:p>
        </w:tc>
        <w:tc>
          <w:tcPr>
            <w:tcW w:w="810"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4" w:type="dxa"/>
            <w:noWrap w:val="0"/>
            <w:vAlign w:val="center"/>
          </w:tcPr>
          <w:p>
            <w:pPr>
              <w:spacing w:line="360" w:lineRule="auto"/>
              <w:jc w:val="center"/>
              <w:rPr>
                <w:rFonts w:ascii="宋体"/>
                <w:bCs/>
                <w:color w:val="auto"/>
                <w:szCs w:val="30"/>
                <w:highlight w:val="none"/>
              </w:rPr>
            </w:pPr>
          </w:p>
        </w:tc>
        <w:tc>
          <w:tcPr>
            <w:tcW w:w="1611" w:type="dxa"/>
            <w:noWrap w:val="0"/>
            <w:vAlign w:val="center"/>
          </w:tcPr>
          <w:p>
            <w:pPr>
              <w:spacing w:line="360" w:lineRule="auto"/>
              <w:jc w:val="center"/>
              <w:rPr>
                <w:rFonts w:ascii="宋体"/>
                <w:bCs/>
                <w:color w:val="auto"/>
                <w:szCs w:val="30"/>
                <w:highlight w:val="none"/>
              </w:rPr>
            </w:pPr>
          </w:p>
        </w:tc>
        <w:tc>
          <w:tcPr>
            <w:tcW w:w="1567" w:type="dxa"/>
            <w:noWrap w:val="0"/>
            <w:vAlign w:val="center"/>
          </w:tcPr>
          <w:p>
            <w:pPr>
              <w:spacing w:line="360" w:lineRule="auto"/>
              <w:jc w:val="center"/>
              <w:rPr>
                <w:rFonts w:ascii="宋体"/>
                <w:bCs/>
                <w:color w:val="auto"/>
                <w:szCs w:val="30"/>
                <w:highlight w:val="none"/>
              </w:rPr>
            </w:pPr>
          </w:p>
        </w:tc>
        <w:tc>
          <w:tcPr>
            <w:tcW w:w="874" w:type="dxa"/>
            <w:noWrap w:val="0"/>
            <w:vAlign w:val="center"/>
          </w:tcPr>
          <w:p>
            <w:pPr>
              <w:spacing w:line="360" w:lineRule="auto"/>
              <w:jc w:val="center"/>
              <w:rPr>
                <w:rFonts w:ascii="宋体"/>
                <w:bCs/>
                <w:color w:val="auto"/>
                <w:szCs w:val="30"/>
                <w:highlight w:val="none"/>
              </w:rPr>
            </w:pPr>
          </w:p>
        </w:tc>
        <w:tc>
          <w:tcPr>
            <w:tcW w:w="1063" w:type="dxa"/>
            <w:noWrap w:val="0"/>
            <w:vAlign w:val="center"/>
          </w:tcPr>
          <w:p>
            <w:pPr>
              <w:spacing w:line="360" w:lineRule="auto"/>
              <w:jc w:val="center"/>
              <w:rPr>
                <w:rFonts w:ascii="宋体"/>
                <w:bCs/>
                <w:color w:val="auto"/>
                <w:szCs w:val="30"/>
                <w:highlight w:val="none"/>
              </w:rPr>
            </w:pPr>
          </w:p>
        </w:tc>
        <w:tc>
          <w:tcPr>
            <w:tcW w:w="1405" w:type="dxa"/>
            <w:noWrap w:val="0"/>
            <w:vAlign w:val="top"/>
          </w:tcPr>
          <w:p>
            <w:pPr>
              <w:spacing w:line="360" w:lineRule="auto"/>
              <w:rPr>
                <w:rFonts w:ascii="宋体"/>
                <w:bCs/>
                <w:color w:val="auto"/>
                <w:szCs w:val="30"/>
                <w:highlight w:val="none"/>
              </w:rPr>
            </w:pPr>
          </w:p>
        </w:tc>
        <w:tc>
          <w:tcPr>
            <w:tcW w:w="1261" w:type="dxa"/>
            <w:noWrap w:val="0"/>
            <w:vAlign w:val="top"/>
          </w:tcPr>
          <w:p>
            <w:pPr>
              <w:spacing w:line="360" w:lineRule="auto"/>
              <w:rPr>
                <w:rFonts w:ascii="宋体"/>
                <w:bCs/>
                <w:color w:val="auto"/>
                <w:szCs w:val="30"/>
                <w:highlight w:val="none"/>
              </w:rPr>
            </w:pPr>
          </w:p>
        </w:tc>
        <w:tc>
          <w:tcPr>
            <w:tcW w:w="810"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4" w:type="dxa"/>
            <w:noWrap w:val="0"/>
            <w:vAlign w:val="center"/>
          </w:tcPr>
          <w:p>
            <w:pPr>
              <w:spacing w:line="360" w:lineRule="auto"/>
              <w:jc w:val="center"/>
              <w:rPr>
                <w:rFonts w:ascii="宋体"/>
                <w:bCs/>
                <w:color w:val="auto"/>
                <w:szCs w:val="30"/>
                <w:highlight w:val="none"/>
              </w:rPr>
            </w:pPr>
          </w:p>
        </w:tc>
        <w:tc>
          <w:tcPr>
            <w:tcW w:w="1611" w:type="dxa"/>
            <w:noWrap w:val="0"/>
            <w:vAlign w:val="center"/>
          </w:tcPr>
          <w:p>
            <w:pPr>
              <w:spacing w:line="360" w:lineRule="auto"/>
              <w:jc w:val="center"/>
              <w:rPr>
                <w:rFonts w:ascii="宋体"/>
                <w:bCs/>
                <w:color w:val="auto"/>
                <w:szCs w:val="30"/>
                <w:highlight w:val="none"/>
              </w:rPr>
            </w:pPr>
          </w:p>
        </w:tc>
        <w:tc>
          <w:tcPr>
            <w:tcW w:w="1567" w:type="dxa"/>
            <w:noWrap w:val="0"/>
            <w:vAlign w:val="center"/>
          </w:tcPr>
          <w:p>
            <w:pPr>
              <w:spacing w:line="360" w:lineRule="auto"/>
              <w:jc w:val="center"/>
              <w:rPr>
                <w:rFonts w:ascii="宋体"/>
                <w:bCs/>
                <w:color w:val="auto"/>
                <w:szCs w:val="30"/>
                <w:highlight w:val="none"/>
              </w:rPr>
            </w:pPr>
          </w:p>
        </w:tc>
        <w:tc>
          <w:tcPr>
            <w:tcW w:w="874" w:type="dxa"/>
            <w:noWrap w:val="0"/>
            <w:vAlign w:val="center"/>
          </w:tcPr>
          <w:p>
            <w:pPr>
              <w:spacing w:line="360" w:lineRule="auto"/>
              <w:jc w:val="center"/>
              <w:rPr>
                <w:rFonts w:ascii="宋体"/>
                <w:bCs/>
                <w:color w:val="auto"/>
                <w:szCs w:val="30"/>
                <w:highlight w:val="none"/>
              </w:rPr>
            </w:pPr>
          </w:p>
        </w:tc>
        <w:tc>
          <w:tcPr>
            <w:tcW w:w="1063" w:type="dxa"/>
            <w:noWrap w:val="0"/>
            <w:vAlign w:val="center"/>
          </w:tcPr>
          <w:p>
            <w:pPr>
              <w:spacing w:line="360" w:lineRule="auto"/>
              <w:jc w:val="center"/>
              <w:rPr>
                <w:rFonts w:ascii="宋体"/>
                <w:bCs/>
                <w:color w:val="auto"/>
                <w:szCs w:val="30"/>
                <w:highlight w:val="none"/>
              </w:rPr>
            </w:pPr>
          </w:p>
        </w:tc>
        <w:tc>
          <w:tcPr>
            <w:tcW w:w="1405" w:type="dxa"/>
            <w:noWrap w:val="0"/>
            <w:vAlign w:val="top"/>
          </w:tcPr>
          <w:p>
            <w:pPr>
              <w:spacing w:line="360" w:lineRule="auto"/>
              <w:rPr>
                <w:rFonts w:ascii="宋体"/>
                <w:bCs/>
                <w:color w:val="auto"/>
                <w:szCs w:val="30"/>
                <w:highlight w:val="none"/>
              </w:rPr>
            </w:pPr>
          </w:p>
        </w:tc>
        <w:tc>
          <w:tcPr>
            <w:tcW w:w="1261" w:type="dxa"/>
            <w:noWrap w:val="0"/>
            <w:vAlign w:val="top"/>
          </w:tcPr>
          <w:p>
            <w:pPr>
              <w:spacing w:line="360" w:lineRule="auto"/>
              <w:rPr>
                <w:rFonts w:ascii="宋体"/>
                <w:bCs/>
                <w:color w:val="auto"/>
                <w:szCs w:val="30"/>
                <w:highlight w:val="none"/>
              </w:rPr>
            </w:pPr>
          </w:p>
        </w:tc>
        <w:tc>
          <w:tcPr>
            <w:tcW w:w="810"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4" w:type="dxa"/>
            <w:noWrap w:val="0"/>
            <w:vAlign w:val="center"/>
          </w:tcPr>
          <w:p>
            <w:pPr>
              <w:spacing w:line="360" w:lineRule="auto"/>
              <w:jc w:val="center"/>
              <w:rPr>
                <w:rFonts w:ascii="宋体"/>
                <w:bCs/>
                <w:color w:val="auto"/>
                <w:szCs w:val="30"/>
                <w:highlight w:val="none"/>
              </w:rPr>
            </w:pPr>
          </w:p>
        </w:tc>
        <w:tc>
          <w:tcPr>
            <w:tcW w:w="1611" w:type="dxa"/>
            <w:noWrap w:val="0"/>
            <w:vAlign w:val="center"/>
          </w:tcPr>
          <w:p>
            <w:pPr>
              <w:spacing w:line="360" w:lineRule="auto"/>
              <w:jc w:val="center"/>
              <w:rPr>
                <w:rFonts w:ascii="宋体"/>
                <w:bCs/>
                <w:color w:val="auto"/>
                <w:szCs w:val="30"/>
                <w:highlight w:val="none"/>
              </w:rPr>
            </w:pPr>
          </w:p>
        </w:tc>
        <w:tc>
          <w:tcPr>
            <w:tcW w:w="1567" w:type="dxa"/>
            <w:noWrap w:val="0"/>
            <w:vAlign w:val="center"/>
          </w:tcPr>
          <w:p>
            <w:pPr>
              <w:spacing w:line="360" w:lineRule="auto"/>
              <w:jc w:val="center"/>
              <w:rPr>
                <w:rFonts w:ascii="宋体"/>
                <w:bCs/>
                <w:color w:val="auto"/>
                <w:szCs w:val="30"/>
                <w:highlight w:val="none"/>
              </w:rPr>
            </w:pPr>
          </w:p>
        </w:tc>
        <w:tc>
          <w:tcPr>
            <w:tcW w:w="874" w:type="dxa"/>
            <w:noWrap w:val="0"/>
            <w:vAlign w:val="center"/>
          </w:tcPr>
          <w:p>
            <w:pPr>
              <w:spacing w:line="360" w:lineRule="auto"/>
              <w:jc w:val="center"/>
              <w:rPr>
                <w:rFonts w:ascii="宋体"/>
                <w:bCs/>
                <w:color w:val="auto"/>
                <w:szCs w:val="30"/>
                <w:highlight w:val="none"/>
              </w:rPr>
            </w:pPr>
          </w:p>
        </w:tc>
        <w:tc>
          <w:tcPr>
            <w:tcW w:w="1063" w:type="dxa"/>
            <w:noWrap w:val="0"/>
            <w:vAlign w:val="center"/>
          </w:tcPr>
          <w:p>
            <w:pPr>
              <w:spacing w:line="360" w:lineRule="auto"/>
              <w:jc w:val="center"/>
              <w:rPr>
                <w:rFonts w:ascii="宋体"/>
                <w:bCs/>
                <w:color w:val="auto"/>
                <w:szCs w:val="30"/>
                <w:highlight w:val="none"/>
              </w:rPr>
            </w:pPr>
          </w:p>
        </w:tc>
        <w:tc>
          <w:tcPr>
            <w:tcW w:w="1405" w:type="dxa"/>
            <w:noWrap w:val="0"/>
            <w:vAlign w:val="top"/>
          </w:tcPr>
          <w:p>
            <w:pPr>
              <w:spacing w:line="360" w:lineRule="auto"/>
              <w:rPr>
                <w:rFonts w:ascii="宋体"/>
                <w:bCs/>
                <w:color w:val="auto"/>
                <w:szCs w:val="30"/>
                <w:highlight w:val="none"/>
              </w:rPr>
            </w:pPr>
          </w:p>
        </w:tc>
        <w:tc>
          <w:tcPr>
            <w:tcW w:w="1261" w:type="dxa"/>
            <w:noWrap w:val="0"/>
            <w:vAlign w:val="top"/>
          </w:tcPr>
          <w:p>
            <w:pPr>
              <w:spacing w:line="360" w:lineRule="auto"/>
              <w:rPr>
                <w:rFonts w:ascii="宋体"/>
                <w:bCs/>
                <w:color w:val="auto"/>
                <w:szCs w:val="30"/>
                <w:highlight w:val="none"/>
              </w:rPr>
            </w:pPr>
          </w:p>
        </w:tc>
        <w:tc>
          <w:tcPr>
            <w:tcW w:w="810"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4" w:type="dxa"/>
            <w:noWrap w:val="0"/>
            <w:vAlign w:val="center"/>
          </w:tcPr>
          <w:p>
            <w:pPr>
              <w:spacing w:line="360" w:lineRule="auto"/>
              <w:jc w:val="center"/>
              <w:rPr>
                <w:rFonts w:ascii="宋体"/>
                <w:bCs/>
                <w:color w:val="auto"/>
                <w:szCs w:val="30"/>
                <w:highlight w:val="none"/>
              </w:rPr>
            </w:pPr>
          </w:p>
        </w:tc>
        <w:tc>
          <w:tcPr>
            <w:tcW w:w="1611" w:type="dxa"/>
            <w:noWrap w:val="0"/>
            <w:vAlign w:val="center"/>
          </w:tcPr>
          <w:p>
            <w:pPr>
              <w:spacing w:line="360" w:lineRule="auto"/>
              <w:jc w:val="center"/>
              <w:rPr>
                <w:rFonts w:ascii="宋体"/>
                <w:bCs/>
                <w:color w:val="auto"/>
                <w:szCs w:val="30"/>
                <w:highlight w:val="none"/>
              </w:rPr>
            </w:pPr>
          </w:p>
        </w:tc>
        <w:tc>
          <w:tcPr>
            <w:tcW w:w="1567" w:type="dxa"/>
            <w:noWrap w:val="0"/>
            <w:vAlign w:val="center"/>
          </w:tcPr>
          <w:p>
            <w:pPr>
              <w:spacing w:line="360" w:lineRule="auto"/>
              <w:jc w:val="center"/>
              <w:rPr>
                <w:rFonts w:ascii="宋体"/>
                <w:bCs/>
                <w:color w:val="auto"/>
                <w:szCs w:val="30"/>
                <w:highlight w:val="none"/>
              </w:rPr>
            </w:pPr>
          </w:p>
        </w:tc>
        <w:tc>
          <w:tcPr>
            <w:tcW w:w="874" w:type="dxa"/>
            <w:noWrap w:val="0"/>
            <w:vAlign w:val="center"/>
          </w:tcPr>
          <w:p>
            <w:pPr>
              <w:spacing w:line="360" w:lineRule="auto"/>
              <w:jc w:val="center"/>
              <w:rPr>
                <w:rFonts w:ascii="宋体"/>
                <w:bCs/>
                <w:color w:val="auto"/>
                <w:szCs w:val="30"/>
                <w:highlight w:val="none"/>
              </w:rPr>
            </w:pPr>
          </w:p>
        </w:tc>
        <w:tc>
          <w:tcPr>
            <w:tcW w:w="1063" w:type="dxa"/>
            <w:noWrap w:val="0"/>
            <w:vAlign w:val="center"/>
          </w:tcPr>
          <w:p>
            <w:pPr>
              <w:spacing w:line="360" w:lineRule="auto"/>
              <w:jc w:val="center"/>
              <w:rPr>
                <w:rFonts w:ascii="宋体"/>
                <w:bCs/>
                <w:color w:val="auto"/>
                <w:szCs w:val="30"/>
                <w:highlight w:val="none"/>
              </w:rPr>
            </w:pPr>
          </w:p>
        </w:tc>
        <w:tc>
          <w:tcPr>
            <w:tcW w:w="1405" w:type="dxa"/>
            <w:noWrap w:val="0"/>
            <w:vAlign w:val="top"/>
          </w:tcPr>
          <w:p>
            <w:pPr>
              <w:spacing w:line="360" w:lineRule="auto"/>
              <w:rPr>
                <w:rFonts w:ascii="宋体"/>
                <w:bCs/>
                <w:color w:val="auto"/>
                <w:szCs w:val="30"/>
                <w:highlight w:val="none"/>
              </w:rPr>
            </w:pPr>
          </w:p>
        </w:tc>
        <w:tc>
          <w:tcPr>
            <w:tcW w:w="1261" w:type="dxa"/>
            <w:noWrap w:val="0"/>
            <w:vAlign w:val="top"/>
          </w:tcPr>
          <w:p>
            <w:pPr>
              <w:spacing w:line="360" w:lineRule="auto"/>
              <w:rPr>
                <w:rFonts w:ascii="宋体"/>
                <w:bCs/>
                <w:color w:val="auto"/>
                <w:szCs w:val="30"/>
                <w:highlight w:val="none"/>
              </w:rPr>
            </w:pPr>
          </w:p>
        </w:tc>
        <w:tc>
          <w:tcPr>
            <w:tcW w:w="810"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4" w:type="dxa"/>
            <w:noWrap w:val="0"/>
            <w:vAlign w:val="center"/>
          </w:tcPr>
          <w:p>
            <w:pPr>
              <w:spacing w:line="360" w:lineRule="auto"/>
              <w:jc w:val="center"/>
              <w:rPr>
                <w:rFonts w:ascii="宋体"/>
                <w:bCs/>
                <w:color w:val="auto"/>
                <w:szCs w:val="30"/>
                <w:highlight w:val="none"/>
              </w:rPr>
            </w:pPr>
          </w:p>
        </w:tc>
        <w:tc>
          <w:tcPr>
            <w:tcW w:w="1611" w:type="dxa"/>
            <w:noWrap w:val="0"/>
            <w:vAlign w:val="center"/>
          </w:tcPr>
          <w:p>
            <w:pPr>
              <w:spacing w:line="360" w:lineRule="auto"/>
              <w:jc w:val="center"/>
              <w:rPr>
                <w:rFonts w:ascii="宋体"/>
                <w:bCs/>
                <w:color w:val="auto"/>
                <w:szCs w:val="30"/>
                <w:highlight w:val="none"/>
              </w:rPr>
            </w:pPr>
          </w:p>
        </w:tc>
        <w:tc>
          <w:tcPr>
            <w:tcW w:w="1567" w:type="dxa"/>
            <w:noWrap w:val="0"/>
            <w:vAlign w:val="center"/>
          </w:tcPr>
          <w:p>
            <w:pPr>
              <w:spacing w:line="360" w:lineRule="auto"/>
              <w:jc w:val="center"/>
              <w:rPr>
                <w:rFonts w:ascii="宋体"/>
                <w:bCs/>
                <w:color w:val="auto"/>
                <w:szCs w:val="30"/>
                <w:highlight w:val="none"/>
              </w:rPr>
            </w:pPr>
          </w:p>
        </w:tc>
        <w:tc>
          <w:tcPr>
            <w:tcW w:w="874" w:type="dxa"/>
            <w:noWrap w:val="0"/>
            <w:vAlign w:val="center"/>
          </w:tcPr>
          <w:p>
            <w:pPr>
              <w:spacing w:line="360" w:lineRule="auto"/>
              <w:jc w:val="center"/>
              <w:rPr>
                <w:rFonts w:ascii="宋体"/>
                <w:bCs/>
                <w:color w:val="auto"/>
                <w:szCs w:val="30"/>
                <w:highlight w:val="none"/>
              </w:rPr>
            </w:pPr>
          </w:p>
        </w:tc>
        <w:tc>
          <w:tcPr>
            <w:tcW w:w="1063" w:type="dxa"/>
            <w:noWrap w:val="0"/>
            <w:vAlign w:val="center"/>
          </w:tcPr>
          <w:p>
            <w:pPr>
              <w:spacing w:line="360" w:lineRule="auto"/>
              <w:jc w:val="center"/>
              <w:rPr>
                <w:rFonts w:ascii="宋体"/>
                <w:bCs/>
                <w:color w:val="auto"/>
                <w:szCs w:val="30"/>
                <w:highlight w:val="none"/>
              </w:rPr>
            </w:pPr>
          </w:p>
        </w:tc>
        <w:tc>
          <w:tcPr>
            <w:tcW w:w="1405" w:type="dxa"/>
            <w:noWrap w:val="0"/>
            <w:vAlign w:val="top"/>
          </w:tcPr>
          <w:p>
            <w:pPr>
              <w:spacing w:line="360" w:lineRule="auto"/>
              <w:rPr>
                <w:rFonts w:ascii="宋体"/>
                <w:bCs/>
                <w:color w:val="auto"/>
                <w:szCs w:val="30"/>
                <w:highlight w:val="none"/>
              </w:rPr>
            </w:pPr>
          </w:p>
        </w:tc>
        <w:tc>
          <w:tcPr>
            <w:tcW w:w="1261" w:type="dxa"/>
            <w:noWrap w:val="0"/>
            <w:vAlign w:val="top"/>
          </w:tcPr>
          <w:p>
            <w:pPr>
              <w:spacing w:line="360" w:lineRule="auto"/>
              <w:rPr>
                <w:rFonts w:ascii="宋体"/>
                <w:bCs/>
                <w:color w:val="auto"/>
                <w:szCs w:val="30"/>
                <w:highlight w:val="none"/>
              </w:rPr>
            </w:pPr>
          </w:p>
        </w:tc>
        <w:tc>
          <w:tcPr>
            <w:tcW w:w="810"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4" w:type="dxa"/>
            <w:noWrap w:val="0"/>
            <w:vAlign w:val="center"/>
          </w:tcPr>
          <w:p>
            <w:pPr>
              <w:spacing w:line="360" w:lineRule="auto"/>
              <w:jc w:val="center"/>
              <w:rPr>
                <w:rFonts w:ascii="宋体"/>
                <w:bCs/>
                <w:color w:val="auto"/>
                <w:szCs w:val="30"/>
                <w:highlight w:val="none"/>
              </w:rPr>
            </w:pPr>
          </w:p>
        </w:tc>
        <w:tc>
          <w:tcPr>
            <w:tcW w:w="1611" w:type="dxa"/>
            <w:noWrap w:val="0"/>
            <w:vAlign w:val="center"/>
          </w:tcPr>
          <w:p>
            <w:pPr>
              <w:spacing w:line="360" w:lineRule="auto"/>
              <w:jc w:val="center"/>
              <w:rPr>
                <w:rFonts w:ascii="宋体"/>
                <w:bCs/>
                <w:color w:val="auto"/>
                <w:szCs w:val="30"/>
                <w:highlight w:val="none"/>
              </w:rPr>
            </w:pPr>
          </w:p>
        </w:tc>
        <w:tc>
          <w:tcPr>
            <w:tcW w:w="1567" w:type="dxa"/>
            <w:noWrap w:val="0"/>
            <w:vAlign w:val="center"/>
          </w:tcPr>
          <w:p>
            <w:pPr>
              <w:spacing w:line="360" w:lineRule="auto"/>
              <w:jc w:val="center"/>
              <w:rPr>
                <w:rFonts w:ascii="宋体"/>
                <w:bCs/>
                <w:color w:val="auto"/>
                <w:szCs w:val="30"/>
                <w:highlight w:val="none"/>
              </w:rPr>
            </w:pPr>
          </w:p>
        </w:tc>
        <w:tc>
          <w:tcPr>
            <w:tcW w:w="874" w:type="dxa"/>
            <w:noWrap w:val="0"/>
            <w:vAlign w:val="center"/>
          </w:tcPr>
          <w:p>
            <w:pPr>
              <w:spacing w:line="360" w:lineRule="auto"/>
              <w:jc w:val="center"/>
              <w:rPr>
                <w:rFonts w:ascii="宋体"/>
                <w:bCs/>
                <w:color w:val="auto"/>
                <w:szCs w:val="30"/>
                <w:highlight w:val="none"/>
              </w:rPr>
            </w:pPr>
          </w:p>
        </w:tc>
        <w:tc>
          <w:tcPr>
            <w:tcW w:w="1063" w:type="dxa"/>
            <w:noWrap w:val="0"/>
            <w:vAlign w:val="center"/>
          </w:tcPr>
          <w:p>
            <w:pPr>
              <w:spacing w:line="360" w:lineRule="auto"/>
              <w:jc w:val="center"/>
              <w:rPr>
                <w:rFonts w:ascii="宋体"/>
                <w:bCs/>
                <w:color w:val="auto"/>
                <w:szCs w:val="30"/>
                <w:highlight w:val="none"/>
              </w:rPr>
            </w:pPr>
          </w:p>
        </w:tc>
        <w:tc>
          <w:tcPr>
            <w:tcW w:w="1405" w:type="dxa"/>
            <w:noWrap w:val="0"/>
            <w:vAlign w:val="top"/>
          </w:tcPr>
          <w:p>
            <w:pPr>
              <w:spacing w:line="360" w:lineRule="auto"/>
              <w:rPr>
                <w:rFonts w:ascii="宋体"/>
                <w:bCs/>
                <w:color w:val="auto"/>
                <w:szCs w:val="30"/>
                <w:highlight w:val="none"/>
              </w:rPr>
            </w:pPr>
          </w:p>
        </w:tc>
        <w:tc>
          <w:tcPr>
            <w:tcW w:w="1261" w:type="dxa"/>
            <w:noWrap w:val="0"/>
            <w:vAlign w:val="top"/>
          </w:tcPr>
          <w:p>
            <w:pPr>
              <w:spacing w:line="360" w:lineRule="auto"/>
              <w:rPr>
                <w:rFonts w:ascii="宋体"/>
                <w:bCs/>
                <w:color w:val="auto"/>
                <w:szCs w:val="30"/>
                <w:highlight w:val="none"/>
              </w:rPr>
            </w:pPr>
          </w:p>
        </w:tc>
        <w:tc>
          <w:tcPr>
            <w:tcW w:w="810"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4" w:type="dxa"/>
            <w:noWrap w:val="0"/>
            <w:vAlign w:val="center"/>
          </w:tcPr>
          <w:p>
            <w:pPr>
              <w:spacing w:line="360" w:lineRule="auto"/>
              <w:jc w:val="center"/>
              <w:rPr>
                <w:rFonts w:ascii="宋体"/>
                <w:bCs/>
                <w:color w:val="auto"/>
                <w:szCs w:val="30"/>
                <w:highlight w:val="none"/>
              </w:rPr>
            </w:pPr>
          </w:p>
        </w:tc>
        <w:tc>
          <w:tcPr>
            <w:tcW w:w="1611" w:type="dxa"/>
            <w:noWrap w:val="0"/>
            <w:vAlign w:val="center"/>
          </w:tcPr>
          <w:p>
            <w:pPr>
              <w:spacing w:line="360" w:lineRule="auto"/>
              <w:jc w:val="center"/>
              <w:rPr>
                <w:rFonts w:ascii="宋体"/>
                <w:bCs/>
                <w:color w:val="auto"/>
                <w:szCs w:val="30"/>
                <w:highlight w:val="none"/>
              </w:rPr>
            </w:pPr>
          </w:p>
        </w:tc>
        <w:tc>
          <w:tcPr>
            <w:tcW w:w="1567" w:type="dxa"/>
            <w:noWrap w:val="0"/>
            <w:vAlign w:val="center"/>
          </w:tcPr>
          <w:p>
            <w:pPr>
              <w:spacing w:line="360" w:lineRule="auto"/>
              <w:jc w:val="center"/>
              <w:rPr>
                <w:rFonts w:ascii="宋体"/>
                <w:bCs/>
                <w:color w:val="auto"/>
                <w:szCs w:val="30"/>
                <w:highlight w:val="none"/>
              </w:rPr>
            </w:pPr>
          </w:p>
        </w:tc>
        <w:tc>
          <w:tcPr>
            <w:tcW w:w="874" w:type="dxa"/>
            <w:noWrap w:val="0"/>
            <w:vAlign w:val="center"/>
          </w:tcPr>
          <w:p>
            <w:pPr>
              <w:spacing w:line="360" w:lineRule="auto"/>
              <w:jc w:val="center"/>
              <w:rPr>
                <w:rFonts w:ascii="宋体"/>
                <w:bCs/>
                <w:color w:val="auto"/>
                <w:szCs w:val="30"/>
                <w:highlight w:val="none"/>
              </w:rPr>
            </w:pPr>
          </w:p>
        </w:tc>
        <w:tc>
          <w:tcPr>
            <w:tcW w:w="1063" w:type="dxa"/>
            <w:noWrap w:val="0"/>
            <w:vAlign w:val="center"/>
          </w:tcPr>
          <w:p>
            <w:pPr>
              <w:spacing w:line="360" w:lineRule="auto"/>
              <w:jc w:val="center"/>
              <w:rPr>
                <w:rFonts w:ascii="宋体"/>
                <w:bCs/>
                <w:color w:val="auto"/>
                <w:szCs w:val="30"/>
                <w:highlight w:val="none"/>
              </w:rPr>
            </w:pPr>
          </w:p>
        </w:tc>
        <w:tc>
          <w:tcPr>
            <w:tcW w:w="1405" w:type="dxa"/>
            <w:noWrap w:val="0"/>
            <w:vAlign w:val="top"/>
          </w:tcPr>
          <w:p>
            <w:pPr>
              <w:spacing w:line="360" w:lineRule="auto"/>
              <w:rPr>
                <w:rFonts w:ascii="宋体"/>
                <w:bCs/>
                <w:color w:val="auto"/>
                <w:szCs w:val="30"/>
                <w:highlight w:val="none"/>
              </w:rPr>
            </w:pPr>
          </w:p>
        </w:tc>
        <w:tc>
          <w:tcPr>
            <w:tcW w:w="1261" w:type="dxa"/>
            <w:noWrap w:val="0"/>
            <w:vAlign w:val="top"/>
          </w:tcPr>
          <w:p>
            <w:pPr>
              <w:spacing w:line="360" w:lineRule="auto"/>
              <w:rPr>
                <w:rFonts w:ascii="宋体"/>
                <w:bCs/>
                <w:color w:val="auto"/>
                <w:szCs w:val="30"/>
                <w:highlight w:val="none"/>
              </w:rPr>
            </w:pPr>
          </w:p>
        </w:tc>
        <w:tc>
          <w:tcPr>
            <w:tcW w:w="810" w:type="dxa"/>
            <w:noWrap w:val="0"/>
            <w:vAlign w:val="top"/>
          </w:tcPr>
          <w:p>
            <w:pPr>
              <w:spacing w:line="360" w:lineRule="auto"/>
              <w:rPr>
                <w:rFonts w:ascii="宋体"/>
                <w:bCs/>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24" w:type="dxa"/>
            <w:noWrap w:val="0"/>
            <w:vAlign w:val="top"/>
          </w:tcPr>
          <w:p>
            <w:pPr>
              <w:spacing w:line="360" w:lineRule="auto"/>
              <w:rPr>
                <w:rFonts w:ascii="宋体"/>
                <w:bCs/>
                <w:color w:val="auto"/>
                <w:szCs w:val="30"/>
                <w:highlight w:val="none"/>
              </w:rPr>
            </w:pPr>
          </w:p>
        </w:tc>
        <w:tc>
          <w:tcPr>
            <w:tcW w:w="8591" w:type="dxa"/>
            <w:gridSpan w:val="7"/>
            <w:noWrap w:val="0"/>
            <w:vAlign w:val="top"/>
          </w:tcPr>
          <w:p>
            <w:pPr>
              <w:spacing w:line="360" w:lineRule="auto"/>
              <w:rPr>
                <w:rFonts w:ascii="宋体"/>
                <w:bCs/>
                <w:color w:val="auto"/>
                <w:szCs w:val="30"/>
                <w:highlight w:val="none"/>
              </w:rPr>
            </w:pPr>
            <w:r>
              <w:rPr>
                <w:rFonts w:hint="eastAsia" w:ascii="宋体" w:hAnsi="宋体"/>
                <w:bCs/>
                <w:color w:val="auto"/>
                <w:szCs w:val="30"/>
                <w:highlight w:val="none"/>
              </w:rPr>
              <w:t>材料、设备合价总合计（万元）</w:t>
            </w:r>
          </w:p>
        </w:tc>
      </w:tr>
    </w:tbl>
    <w:p>
      <w:pPr>
        <w:tabs>
          <w:tab w:val="left" w:pos="360"/>
          <w:tab w:val="left" w:pos="1800"/>
        </w:tabs>
        <w:spacing w:line="360" w:lineRule="auto"/>
        <w:jc w:val="both"/>
        <w:rPr>
          <w:rFonts w:hint="eastAsia" w:ascii="宋体" w:hAnsi="宋体" w:eastAsia="宋体" w:cs="宋体"/>
          <w:color w:val="auto"/>
          <w:highlight w:val="none"/>
        </w:rPr>
      </w:pPr>
      <w:r>
        <w:rPr>
          <w:rFonts w:hint="eastAsia" w:ascii="宋体" w:hAnsi="宋体" w:eastAsia="宋体" w:cs="宋体"/>
          <w:bCs/>
          <w:color w:val="auto"/>
          <w:highlight w:val="none"/>
        </w:rPr>
        <w:t>工程名称：                                                 共   页    第   页</w:t>
      </w:r>
    </w:p>
    <w:p>
      <w:pPr>
        <w:pStyle w:val="9"/>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注：以上材料、设备品牌由各</w:t>
      </w:r>
      <w:r>
        <w:rPr>
          <w:rFonts w:hint="eastAsia"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在</w:t>
      </w:r>
      <w:r>
        <w:rPr>
          <w:rFonts w:hint="eastAsia" w:hAnsi="宋体" w:cs="宋体"/>
          <w:b w:val="0"/>
          <w:bCs w:val="0"/>
          <w:color w:val="auto"/>
          <w:sz w:val="24"/>
          <w:szCs w:val="24"/>
          <w:highlight w:val="none"/>
          <w:lang w:eastAsia="zh-CN"/>
        </w:rPr>
        <w:t>采购人</w:t>
      </w:r>
      <w:r>
        <w:rPr>
          <w:rFonts w:hint="eastAsia" w:ascii="宋体" w:hAnsi="宋体" w:eastAsia="宋体" w:cs="宋体"/>
          <w:b w:val="0"/>
          <w:bCs w:val="0"/>
          <w:color w:val="auto"/>
          <w:sz w:val="24"/>
          <w:szCs w:val="24"/>
          <w:highlight w:val="none"/>
        </w:rPr>
        <w:t>推荐的品牌中选择中档产品，其价格由各</w:t>
      </w:r>
      <w:r>
        <w:rPr>
          <w:rFonts w:hint="eastAsia"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结合市场价自行询价计入投标报价，结算时不予调整。本次投标报价时无需选定品牌，待</w:t>
      </w:r>
      <w:r>
        <w:rPr>
          <w:rFonts w:hint="eastAsia" w:hAnsi="宋体"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rPr>
        <w:t>结果产生后，由</w:t>
      </w:r>
      <w:r>
        <w:rPr>
          <w:rFonts w:hint="eastAsia" w:hAnsi="宋体"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rPr>
        <w:t>人书面上报以上主材品牌，并严格执行。</w:t>
      </w:r>
    </w:p>
    <w:p>
      <w:pPr>
        <w:pStyle w:val="9"/>
        <w:spacing w:line="360" w:lineRule="auto"/>
        <w:jc w:val="center"/>
        <w:rPr>
          <w:rFonts w:hint="eastAsia" w:ascii="仿宋" w:hAnsi="仿宋" w:eastAsia="仿宋" w:cs="仿宋"/>
          <w:b/>
          <w:bCs/>
          <w:color w:val="auto"/>
          <w:sz w:val="24"/>
          <w:szCs w:val="24"/>
          <w:highlight w:val="none"/>
        </w:rPr>
      </w:pPr>
    </w:p>
    <w:p>
      <w:pPr>
        <w:pStyle w:val="18"/>
        <w:spacing w:before="75" w:beforeAutospacing="0" w:after="75" w:afterAutospacing="0" w:line="360" w:lineRule="auto"/>
        <w:jc w:val="center"/>
        <w:rPr>
          <w:rStyle w:val="25"/>
          <w:rFonts w:hint="eastAsia" w:cs="宋体"/>
          <w:b/>
          <w:bCs w:val="0"/>
          <w:color w:val="auto"/>
          <w:sz w:val="24"/>
          <w:szCs w:val="24"/>
          <w:highlight w:val="none"/>
        </w:rPr>
      </w:pPr>
    </w:p>
    <w:p>
      <w:pPr>
        <w:pStyle w:val="18"/>
        <w:spacing w:before="75" w:beforeAutospacing="0" w:after="75" w:afterAutospacing="0" w:line="36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31 </w:t>
      </w:r>
      <w:r>
        <w:rPr>
          <w:rStyle w:val="25"/>
          <w:rFonts w:hint="eastAsia" w:cs="宋体"/>
          <w:b/>
          <w:bCs w:val="0"/>
          <w:color w:val="auto"/>
          <w:sz w:val="24"/>
          <w:szCs w:val="24"/>
          <w:highlight w:val="none"/>
        </w:rPr>
        <w:t xml:space="preserve"> </w:t>
      </w:r>
      <w:r>
        <w:rPr>
          <w:rStyle w:val="25"/>
          <w:rFonts w:hint="eastAsia" w:cs="宋体"/>
          <w:b/>
          <w:bCs w:val="0"/>
          <w:color w:val="auto"/>
          <w:sz w:val="24"/>
          <w:szCs w:val="24"/>
          <w:highlight w:val="none"/>
          <w:lang w:val="en-US" w:eastAsia="zh-CN"/>
        </w:rPr>
        <w:t>商务条款偏离表</w:t>
      </w:r>
    </w:p>
    <w:tbl>
      <w:tblPr>
        <w:tblStyle w:val="22"/>
        <w:tblpPr w:leftFromText="180" w:rightFromText="180" w:vertAnchor="page" w:horzAnchor="margin" w:tblpX="158" w:tblpY="2596"/>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060"/>
        <w:gridCol w:w="1830"/>
        <w:gridCol w:w="2185"/>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0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06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条目号</w:t>
            </w:r>
          </w:p>
        </w:tc>
        <w:tc>
          <w:tcPr>
            <w:tcW w:w="183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竞争性磋商文件</w:t>
            </w:r>
          </w:p>
          <w:p>
            <w:pPr>
              <w:jc w:val="center"/>
              <w:rPr>
                <w:rFonts w:hint="eastAsia" w:ascii="宋体" w:hAnsi="宋体" w:cs="宋体"/>
                <w:color w:val="auto"/>
                <w:sz w:val="24"/>
                <w:highlight w:val="none"/>
              </w:rPr>
            </w:pPr>
            <w:r>
              <w:rPr>
                <w:rFonts w:hint="eastAsia" w:ascii="宋体" w:hAnsi="宋体" w:cs="宋体"/>
                <w:color w:val="auto"/>
                <w:sz w:val="24"/>
                <w:highlight w:val="none"/>
              </w:rPr>
              <w:t>商务条款</w:t>
            </w:r>
          </w:p>
        </w:tc>
        <w:tc>
          <w:tcPr>
            <w:tcW w:w="218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lang w:eastAsia="zh-CN"/>
              </w:rPr>
              <w:t>响应文件</w:t>
            </w:r>
          </w:p>
          <w:p>
            <w:pPr>
              <w:jc w:val="center"/>
              <w:rPr>
                <w:rFonts w:hint="eastAsia" w:ascii="宋体" w:hAnsi="宋体" w:cs="宋体"/>
                <w:color w:val="auto"/>
                <w:sz w:val="24"/>
                <w:highlight w:val="none"/>
              </w:rPr>
            </w:pPr>
            <w:r>
              <w:rPr>
                <w:rFonts w:hint="eastAsia" w:ascii="宋体" w:hAnsi="宋体" w:cs="宋体"/>
                <w:color w:val="auto"/>
                <w:sz w:val="24"/>
                <w:highlight w:val="none"/>
              </w:rPr>
              <w:t>商务条款</w:t>
            </w:r>
          </w:p>
        </w:tc>
        <w:tc>
          <w:tcPr>
            <w:tcW w:w="1777"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6" w:type="dxa"/>
            <w:noWrap w:val="0"/>
            <w:vAlign w:val="center"/>
          </w:tcPr>
          <w:p>
            <w:pPr>
              <w:rPr>
                <w:rFonts w:hint="eastAsia" w:ascii="宋体" w:hAnsi="宋体" w:cs="宋体"/>
                <w:color w:val="auto"/>
                <w:sz w:val="24"/>
                <w:highlight w:val="none"/>
              </w:rPr>
            </w:pPr>
          </w:p>
        </w:tc>
        <w:tc>
          <w:tcPr>
            <w:tcW w:w="2060" w:type="dxa"/>
            <w:noWrap w:val="0"/>
            <w:vAlign w:val="center"/>
          </w:tcPr>
          <w:p>
            <w:pPr>
              <w:rPr>
                <w:rFonts w:hint="eastAsia" w:ascii="宋体" w:hAnsi="宋体" w:cs="宋体"/>
                <w:color w:val="auto"/>
                <w:sz w:val="24"/>
                <w:highlight w:val="none"/>
              </w:rPr>
            </w:pPr>
          </w:p>
        </w:tc>
        <w:tc>
          <w:tcPr>
            <w:tcW w:w="1830" w:type="dxa"/>
            <w:noWrap w:val="0"/>
            <w:vAlign w:val="center"/>
          </w:tcPr>
          <w:p>
            <w:pPr>
              <w:rPr>
                <w:rFonts w:hint="eastAsia" w:ascii="宋体" w:hAnsi="宋体" w:cs="宋体"/>
                <w:color w:val="auto"/>
                <w:sz w:val="24"/>
                <w:highlight w:val="none"/>
              </w:rPr>
            </w:pPr>
          </w:p>
        </w:tc>
        <w:tc>
          <w:tcPr>
            <w:tcW w:w="2185" w:type="dxa"/>
            <w:noWrap w:val="0"/>
            <w:vAlign w:val="center"/>
          </w:tcPr>
          <w:p>
            <w:pPr>
              <w:rPr>
                <w:rFonts w:hint="eastAsia" w:ascii="宋体" w:hAnsi="宋体" w:cs="宋体"/>
                <w:color w:val="auto"/>
                <w:sz w:val="24"/>
                <w:highlight w:val="none"/>
              </w:rPr>
            </w:pPr>
          </w:p>
        </w:tc>
        <w:tc>
          <w:tcPr>
            <w:tcW w:w="1777" w:type="dxa"/>
            <w:noWrap w:val="0"/>
            <w:vAlign w:val="center"/>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6" w:type="dxa"/>
            <w:noWrap w:val="0"/>
            <w:vAlign w:val="center"/>
          </w:tcPr>
          <w:p>
            <w:pPr>
              <w:rPr>
                <w:rFonts w:hint="eastAsia" w:ascii="宋体" w:hAnsi="宋体" w:cs="宋体"/>
                <w:color w:val="auto"/>
                <w:sz w:val="24"/>
                <w:highlight w:val="none"/>
              </w:rPr>
            </w:pPr>
          </w:p>
        </w:tc>
        <w:tc>
          <w:tcPr>
            <w:tcW w:w="2060" w:type="dxa"/>
            <w:noWrap w:val="0"/>
            <w:vAlign w:val="center"/>
          </w:tcPr>
          <w:p>
            <w:pPr>
              <w:rPr>
                <w:rFonts w:hint="eastAsia" w:ascii="宋体" w:hAnsi="宋体" w:cs="宋体"/>
                <w:color w:val="auto"/>
                <w:sz w:val="24"/>
                <w:highlight w:val="none"/>
              </w:rPr>
            </w:pPr>
          </w:p>
        </w:tc>
        <w:tc>
          <w:tcPr>
            <w:tcW w:w="1830" w:type="dxa"/>
            <w:noWrap w:val="0"/>
            <w:vAlign w:val="center"/>
          </w:tcPr>
          <w:p>
            <w:pPr>
              <w:rPr>
                <w:rFonts w:hint="eastAsia" w:ascii="宋体" w:hAnsi="宋体" w:cs="宋体"/>
                <w:color w:val="auto"/>
                <w:sz w:val="24"/>
                <w:highlight w:val="none"/>
              </w:rPr>
            </w:pPr>
          </w:p>
        </w:tc>
        <w:tc>
          <w:tcPr>
            <w:tcW w:w="2185" w:type="dxa"/>
            <w:noWrap w:val="0"/>
            <w:vAlign w:val="center"/>
          </w:tcPr>
          <w:p>
            <w:pPr>
              <w:rPr>
                <w:rFonts w:hint="eastAsia" w:ascii="宋体" w:hAnsi="宋体" w:cs="宋体"/>
                <w:color w:val="auto"/>
                <w:sz w:val="24"/>
                <w:highlight w:val="none"/>
              </w:rPr>
            </w:pPr>
          </w:p>
        </w:tc>
        <w:tc>
          <w:tcPr>
            <w:tcW w:w="1777" w:type="dxa"/>
            <w:noWrap w:val="0"/>
            <w:vAlign w:val="center"/>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6" w:type="dxa"/>
            <w:noWrap w:val="0"/>
            <w:vAlign w:val="center"/>
          </w:tcPr>
          <w:p>
            <w:pPr>
              <w:rPr>
                <w:rFonts w:hint="eastAsia" w:ascii="宋体" w:hAnsi="宋体" w:cs="宋体"/>
                <w:color w:val="auto"/>
                <w:sz w:val="24"/>
                <w:highlight w:val="none"/>
              </w:rPr>
            </w:pPr>
          </w:p>
        </w:tc>
        <w:tc>
          <w:tcPr>
            <w:tcW w:w="2060" w:type="dxa"/>
            <w:noWrap w:val="0"/>
            <w:vAlign w:val="center"/>
          </w:tcPr>
          <w:p>
            <w:pPr>
              <w:rPr>
                <w:rFonts w:hint="eastAsia" w:ascii="宋体" w:hAnsi="宋体" w:cs="宋体"/>
                <w:color w:val="auto"/>
                <w:sz w:val="24"/>
                <w:highlight w:val="none"/>
              </w:rPr>
            </w:pPr>
          </w:p>
        </w:tc>
        <w:tc>
          <w:tcPr>
            <w:tcW w:w="1830" w:type="dxa"/>
            <w:noWrap w:val="0"/>
            <w:vAlign w:val="center"/>
          </w:tcPr>
          <w:p>
            <w:pPr>
              <w:rPr>
                <w:rFonts w:hint="eastAsia" w:ascii="宋体" w:hAnsi="宋体" w:cs="宋体"/>
                <w:color w:val="auto"/>
                <w:sz w:val="24"/>
                <w:highlight w:val="none"/>
              </w:rPr>
            </w:pPr>
          </w:p>
        </w:tc>
        <w:tc>
          <w:tcPr>
            <w:tcW w:w="2185" w:type="dxa"/>
            <w:noWrap w:val="0"/>
            <w:vAlign w:val="center"/>
          </w:tcPr>
          <w:p>
            <w:pPr>
              <w:rPr>
                <w:rFonts w:hint="eastAsia" w:ascii="宋体" w:hAnsi="宋体" w:cs="宋体"/>
                <w:color w:val="auto"/>
                <w:sz w:val="24"/>
                <w:highlight w:val="none"/>
              </w:rPr>
            </w:pPr>
          </w:p>
        </w:tc>
        <w:tc>
          <w:tcPr>
            <w:tcW w:w="1777" w:type="dxa"/>
            <w:noWrap w:val="0"/>
            <w:vAlign w:val="center"/>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6" w:type="dxa"/>
            <w:noWrap w:val="0"/>
            <w:vAlign w:val="center"/>
          </w:tcPr>
          <w:p>
            <w:pPr>
              <w:rPr>
                <w:rFonts w:hint="eastAsia" w:ascii="宋体" w:hAnsi="宋体" w:cs="宋体"/>
                <w:color w:val="auto"/>
                <w:sz w:val="24"/>
                <w:highlight w:val="none"/>
              </w:rPr>
            </w:pPr>
          </w:p>
        </w:tc>
        <w:tc>
          <w:tcPr>
            <w:tcW w:w="2060" w:type="dxa"/>
            <w:noWrap w:val="0"/>
            <w:vAlign w:val="center"/>
          </w:tcPr>
          <w:p>
            <w:pPr>
              <w:rPr>
                <w:rFonts w:hint="eastAsia" w:ascii="宋体" w:hAnsi="宋体" w:cs="宋体"/>
                <w:color w:val="auto"/>
                <w:sz w:val="24"/>
                <w:highlight w:val="none"/>
              </w:rPr>
            </w:pPr>
          </w:p>
        </w:tc>
        <w:tc>
          <w:tcPr>
            <w:tcW w:w="1830" w:type="dxa"/>
            <w:noWrap w:val="0"/>
            <w:vAlign w:val="center"/>
          </w:tcPr>
          <w:p>
            <w:pPr>
              <w:rPr>
                <w:rFonts w:hint="eastAsia" w:ascii="宋体" w:hAnsi="宋体" w:cs="宋体"/>
                <w:color w:val="auto"/>
                <w:sz w:val="24"/>
                <w:highlight w:val="none"/>
              </w:rPr>
            </w:pPr>
          </w:p>
        </w:tc>
        <w:tc>
          <w:tcPr>
            <w:tcW w:w="2185" w:type="dxa"/>
            <w:noWrap w:val="0"/>
            <w:vAlign w:val="center"/>
          </w:tcPr>
          <w:p>
            <w:pPr>
              <w:rPr>
                <w:rFonts w:hint="eastAsia" w:ascii="宋体" w:hAnsi="宋体" w:cs="宋体"/>
                <w:color w:val="auto"/>
                <w:sz w:val="24"/>
                <w:highlight w:val="none"/>
              </w:rPr>
            </w:pPr>
          </w:p>
        </w:tc>
        <w:tc>
          <w:tcPr>
            <w:tcW w:w="1777" w:type="dxa"/>
            <w:noWrap w:val="0"/>
            <w:vAlign w:val="center"/>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6" w:type="dxa"/>
            <w:noWrap w:val="0"/>
            <w:vAlign w:val="center"/>
          </w:tcPr>
          <w:p>
            <w:pPr>
              <w:rPr>
                <w:rFonts w:hint="eastAsia" w:ascii="宋体" w:hAnsi="宋体" w:cs="宋体"/>
                <w:color w:val="auto"/>
                <w:sz w:val="24"/>
                <w:highlight w:val="none"/>
              </w:rPr>
            </w:pPr>
          </w:p>
        </w:tc>
        <w:tc>
          <w:tcPr>
            <w:tcW w:w="2060" w:type="dxa"/>
            <w:noWrap w:val="0"/>
            <w:vAlign w:val="center"/>
          </w:tcPr>
          <w:p>
            <w:pPr>
              <w:rPr>
                <w:rFonts w:hint="eastAsia" w:ascii="宋体" w:hAnsi="宋体" w:cs="宋体"/>
                <w:color w:val="auto"/>
                <w:sz w:val="24"/>
                <w:highlight w:val="none"/>
              </w:rPr>
            </w:pPr>
          </w:p>
        </w:tc>
        <w:tc>
          <w:tcPr>
            <w:tcW w:w="1830" w:type="dxa"/>
            <w:noWrap w:val="0"/>
            <w:vAlign w:val="center"/>
          </w:tcPr>
          <w:p>
            <w:pPr>
              <w:rPr>
                <w:rFonts w:hint="eastAsia" w:ascii="宋体" w:hAnsi="宋体" w:cs="宋体"/>
                <w:color w:val="auto"/>
                <w:sz w:val="24"/>
                <w:highlight w:val="none"/>
              </w:rPr>
            </w:pPr>
          </w:p>
        </w:tc>
        <w:tc>
          <w:tcPr>
            <w:tcW w:w="2185" w:type="dxa"/>
            <w:noWrap w:val="0"/>
            <w:vAlign w:val="center"/>
          </w:tcPr>
          <w:p>
            <w:pPr>
              <w:rPr>
                <w:rFonts w:hint="eastAsia" w:ascii="宋体" w:hAnsi="宋体" w:cs="宋体"/>
                <w:color w:val="auto"/>
                <w:sz w:val="24"/>
                <w:highlight w:val="none"/>
              </w:rPr>
            </w:pPr>
          </w:p>
        </w:tc>
        <w:tc>
          <w:tcPr>
            <w:tcW w:w="1777" w:type="dxa"/>
            <w:noWrap w:val="0"/>
            <w:vAlign w:val="center"/>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6" w:type="dxa"/>
            <w:noWrap w:val="0"/>
            <w:vAlign w:val="center"/>
          </w:tcPr>
          <w:p>
            <w:pPr>
              <w:rPr>
                <w:rFonts w:hint="eastAsia" w:ascii="宋体" w:hAnsi="宋体" w:cs="宋体"/>
                <w:color w:val="auto"/>
                <w:sz w:val="24"/>
                <w:highlight w:val="none"/>
              </w:rPr>
            </w:pPr>
          </w:p>
        </w:tc>
        <w:tc>
          <w:tcPr>
            <w:tcW w:w="2060" w:type="dxa"/>
            <w:noWrap w:val="0"/>
            <w:vAlign w:val="center"/>
          </w:tcPr>
          <w:p>
            <w:pPr>
              <w:rPr>
                <w:rFonts w:hint="eastAsia" w:ascii="宋体" w:hAnsi="宋体" w:cs="宋体"/>
                <w:color w:val="auto"/>
                <w:sz w:val="24"/>
                <w:highlight w:val="none"/>
              </w:rPr>
            </w:pPr>
          </w:p>
        </w:tc>
        <w:tc>
          <w:tcPr>
            <w:tcW w:w="1830" w:type="dxa"/>
            <w:noWrap w:val="0"/>
            <w:vAlign w:val="center"/>
          </w:tcPr>
          <w:p>
            <w:pPr>
              <w:rPr>
                <w:rFonts w:hint="eastAsia" w:ascii="宋体" w:hAnsi="宋体" w:cs="宋体"/>
                <w:color w:val="auto"/>
                <w:sz w:val="24"/>
                <w:highlight w:val="none"/>
              </w:rPr>
            </w:pPr>
          </w:p>
        </w:tc>
        <w:tc>
          <w:tcPr>
            <w:tcW w:w="2185" w:type="dxa"/>
            <w:noWrap w:val="0"/>
            <w:vAlign w:val="center"/>
          </w:tcPr>
          <w:p>
            <w:pPr>
              <w:rPr>
                <w:rFonts w:hint="eastAsia" w:ascii="宋体" w:hAnsi="宋体" w:cs="宋体"/>
                <w:color w:val="auto"/>
                <w:sz w:val="24"/>
                <w:highlight w:val="none"/>
              </w:rPr>
            </w:pPr>
          </w:p>
        </w:tc>
        <w:tc>
          <w:tcPr>
            <w:tcW w:w="1777" w:type="dxa"/>
            <w:noWrap w:val="0"/>
            <w:vAlign w:val="center"/>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6" w:type="dxa"/>
            <w:noWrap w:val="0"/>
            <w:vAlign w:val="center"/>
          </w:tcPr>
          <w:p>
            <w:pPr>
              <w:rPr>
                <w:rFonts w:hint="eastAsia" w:ascii="宋体" w:hAnsi="宋体" w:cs="宋体"/>
                <w:color w:val="auto"/>
                <w:sz w:val="24"/>
                <w:highlight w:val="none"/>
              </w:rPr>
            </w:pPr>
          </w:p>
        </w:tc>
        <w:tc>
          <w:tcPr>
            <w:tcW w:w="2060" w:type="dxa"/>
            <w:noWrap w:val="0"/>
            <w:vAlign w:val="center"/>
          </w:tcPr>
          <w:p>
            <w:pPr>
              <w:rPr>
                <w:rFonts w:hint="eastAsia" w:ascii="宋体" w:hAnsi="宋体" w:cs="宋体"/>
                <w:color w:val="auto"/>
                <w:sz w:val="24"/>
                <w:highlight w:val="none"/>
              </w:rPr>
            </w:pPr>
          </w:p>
        </w:tc>
        <w:tc>
          <w:tcPr>
            <w:tcW w:w="1830" w:type="dxa"/>
            <w:noWrap w:val="0"/>
            <w:vAlign w:val="center"/>
          </w:tcPr>
          <w:p>
            <w:pPr>
              <w:rPr>
                <w:rFonts w:hint="eastAsia" w:ascii="宋体" w:hAnsi="宋体" w:cs="宋体"/>
                <w:color w:val="auto"/>
                <w:sz w:val="24"/>
                <w:highlight w:val="none"/>
              </w:rPr>
            </w:pPr>
          </w:p>
        </w:tc>
        <w:tc>
          <w:tcPr>
            <w:tcW w:w="2185" w:type="dxa"/>
            <w:noWrap w:val="0"/>
            <w:vAlign w:val="center"/>
          </w:tcPr>
          <w:p>
            <w:pPr>
              <w:rPr>
                <w:rFonts w:hint="eastAsia" w:ascii="宋体" w:hAnsi="宋体" w:cs="宋体"/>
                <w:color w:val="auto"/>
                <w:sz w:val="24"/>
                <w:highlight w:val="none"/>
              </w:rPr>
            </w:pPr>
          </w:p>
        </w:tc>
        <w:tc>
          <w:tcPr>
            <w:tcW w:w="1777" w:type="dxa"/>
            <w:noWrap w:val="0"/>
            <w:vAlign w:val="center"/>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6" w:type="dxa"/>
            <w:noWrap w:val="0"/>
            <w:vAlign w:val="center"/>
          </w:tcPr>
          <w:p>
            <w:pPr>
              <w:rPr>
                <w:rFonts w:hint="eastAsia" w:ascii="宋体" w:hAnsi="宋体" w:cs="宋体"/>
                <w:color w:val="auto"/>
                <w:sz w:val="24"/>
                <w:highlight w:val="none"/>
              </w:rPr>
            </w:pPr>
          </w:p>
        </w:tc>
        <w:tc>
          <w:tcPr>
            <w:tcW w:w="2060" w:type="dxa"/>
            <w:noWrap w:val="0"/>
            <w:vAlign w:val="center"/>
          </w:tcPr>
          <w:p>
            <w:pPr>
              <w:rPr>
                <w:rFonts w:hint="eastAsia" w:ascii="宋体" w:hAnsi="宋体" w:cs="宋体"/>
                <w:color w:val="auto"/>
                <w:sz w:val="24"/>
                <w:highlight w:val="none"/>
              </w:rPr>
            </w:pPr>
          </w:p>
        </w:tc>
        <w:tc>
          <w:tcPr>
            <w:tcW w:w="1830" w:type="dxa"/>
            <w:noWrap w:val="0"/>
            <w:vAlign w:val="center"/>
          </w:tcPr>
          <w:p>
            <w:pPr>
              <w:rPr>
                <w:rFonts w:hint="eastAsia" w:ascii="宋体" w:hAnsi="宋体" w:cs="宋体"/>
                <w:color w:val="auto"/>
                <w:sz w:val="24"/>
                <w:highlight w:val="none"/>
              </w:rPr>
            </w:pPr>
          </w:p>
        </w:tc>
        <w:tc>
          <w:tcPr>
            <w:tcW w:w="2185" w:type="dxa"/>
            <w:noWrap w:val="0"/>
            <w:vAlign w:val="center"/>
          </w:tcPr>
          <w:p>
            <w:pPr>
              <w:rPr>
                <w:rFonts w:hint="eastAsia" w:ascii="宋体" w:hAnsi="宋体" w:cs="宋体"/>
                <w:color w:val="auto"/>
                <w:sz w:val="24"/>
                <w:highlight w:val="none"/>
              </w:rPr>
            </w:pPr>
          </w:p>
        </w:tc>
        <w:tc>
          <w:tcPr>
            <w:tcW w:w="1777" w:type="dxa"/>
            <w:noWrap w:val="0"/>
            <w:vAlign w:val="center"/>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6" w:type="dxa"/>
            <w:noWrap w:val="0"/>
            <w:vAlign w:val="center"/>
          </w:tcPr>
          <w:p>
            <w:pPr>
              <w:rPr>
                <w:rFonts w:hint="eastAsia" w:ascii="宋体" w:hAnsi="宋体" w:cs="宋体"/>
                <w:color w:val="auto"/>
                <w:sz w:val="24"/>
                <w:highlight w:val="none"/>
              </w:rPr>
            </w:pPr>
          </w:p>
        </w:tc>
        <w:tc>
          <w:tcPr>
            <w:tcW w:w="2060" w:type="dxa"/>
            <w:noWrap w:val="0"/>
            <w:vAlign w:val="center"/>
          </w:tcPr>
          <w:p>
            <w:pPr>
              <w:rPr>
                <w:rFonts w:hint="eastAsia" w:ascii="宋体" w:hAnsi="宋体" w:cs="宋体"/>
                <w:color w:val="auto"/>
                <w:sz w:val="24"/>
                <w:highlight w:val="none"/>
              </w:rPr>
            </w:pPr>
          </w:p>
        </w:tc>
        <w:tc>
          <w:tcPr>
            <w:tcW w:w="1830" w:type="dxa"/>
            <w:noWrap w:val="0"/>
            <w:vAlign w:val="center"/>
          </w:tcPr>
          <w:p>
            <w:pPr>
              <w:rPr>
                <w:rFonts w:hint="eastAsia" w:ascii="宋体" w:hAnsi="宋体" w:cs="宋体"/>
                <w:color w:val="auto"/>
                <w:sz w:val="24"/>
                <w:highlight w:val="none"/>
              </w:rPr>
            </w:pPr>
          </w:p>
        </w:tc>
        <w:tc>
          <w:tcPr>
            <w:tcW w:w="2185" w:type="dxa"/>
            <w:noWrap w:val="0"/>
            <w:vAlign w:val="center"/>
          </w:tcPr>
          <w:p>
            <w:pPr>
              <w:rPr>
                <w:rFonts w:hint="eastAsia" w:ascii="宋体" w:hAnsi="宋体" w:cs="宋体"/>
                <w:color w:val="auto"/>
                <w:sz w:val="24"/>
                <w:highlight w:val="none"/>
              </w:rPr>
            </w:pPr>
          </w:p>
        </w:tc>
        <w:tc>
          <w:tcPr>
            <w:tcW w:w="1777" w:type="dxa"/>
            <w:noWrap w:val="0"/>
            <w:vAlign w:val="center"/>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6" w:type="dxa"/>
            <w:noWrap w:val="0"/>
            <w:vAlign w:val="center"/>
          </w:tcPr>
          <w:p>
            <w:pPr>
              <w:rPr>
                <w:rFonts w:hint="eastAsia" w:ascii="宋体" w:hAnsi="宋体" w:cs="宋体"/>
                <w:color w:val="auto"/>
                <w:sz w:val="24"/>
                <w:highlight w:val="none"/>
              </w:rPr>
            </w:pPr>
          </w:p>
        </w:tc>
        <w:tc>
          <w:tcPr>
            <w:tcW w:w="2060" w:type="dxa"/>
            <w:noWrap w:val="0"/>
            <w:vAlign w:val="center"/>
          </w:tcPr>
          <w:p>
            <w:pPr>
              <w:rPr>
                <w:rFonts w:hint="eastAsia" w:ascii="宋体" w:hAnsi="宋体" w:cs="宋体"/>
                <w:color w:val="auto"/>
                <w:sz w:val="24"/>
                <w:highlight w:val="none"/>
              </w:rPr>
            </w:pPr>
          </w:p>
        </w:tc>
        <w:tc>
          <w:tcPr>
            <w:tcW w:w="1830" w:type="dxa"/>
            <w:noWrap w:val="0"/>
            <w:vAlign w:val="center"/>
          </w:tcPr>
          <w:p>
            <w:pPr>
              <w:rPr>
                <w:rFonts w:hint="eastAsia" w:ascii="宋体" w:hAnsi="宋体" w:cs="宋体"/>
                <w:color w:val="auto"/>
                <w:sz w:val="24"/>
                <w:highlight w:val="none"/>
              </w:rPr>
            </w:pPr>
          </w:p>
        </w:tc>
        <w:tc>
          <w:tcPr>
            <w:tcW w:w="2185" w:type="dxa"/>
            <w:noWrap w:val="0"/>
            <w:vAlign w:val="center"/>
          </w:tcPr>
          <w:p>
            <w:pPr>
              <w:rPr>
                <w:rFonts w:hint="eastAsia" w:ascii="宋体" w:hAnsi="宋体" w:cs="宋体"/>
                <w:color w:val="auto"/>
                <w:sz w:val="24"/>
                <w:highlight w:val="none"/>
              </w:rPr>
            </w:pPr>
          </w:p>
        </w:tc>
        <w:tc>
          <w:tcPr>
            <w:tcW w:w="1777" w:type="dxa"/>
            <w:noWrap w:val="0"/>
            <w:vAlign w:val="center"/>
          </w:tcPr>
          <w:p>
            <w:pP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06" w:type="dxa"/>
            <w:noWrap w:val="0"/>
            <w:vAlign w:val="center"/>
          </w:tcPr>
          <w:p>
            <w:pPr>
              <w:rPr>
                <w:rFonts w:hint="eastAsia" w:ascii="宋体" w:hAnsi="宋体" w:cs="宋体"/>
                <w:color w:val="auto"/>
                <w:sz w:val="24"/>
                <w:highlight w:val="none"/>
              </w:rPr>
            </w:pPr>
          </w:p>
        </w:tc>
        <w:tc>
          <w:tcPr>
            <w:tcW w:w="2060" w:type="dxa"/>
            <w:noWrap w:val="0"/>
            <w:vAlign w:val="center"/>
          </w:tcPr>
          <w:p>
            <w:pPr>
              <w:rPr>
                <w:rFonts w:hint="eastAsia" w:ascii="宋体" w:hAnsi="宋体" w:cs="宋体"/>
                <w:color w:val="auto"/>
                <w:sz w:val="24"/>
                <w:highlight w:val="none"/>
              </w:rPr>
            </w:pPr>
          </w:p>
        </w:tc>
        <w:tc>
          <w:tcPr>
            <w:tcW w:w="1830" w:type="dxa"/>
            <w:noWrap w:val="0"/>
            <w:vAlign w:val="center"/>
          </w:tcPr>
          <w:p>
            <w:pPr>
              <w:rPr>
                <w:rFonts w:hint="eastAsia" w:ascii="宋体" w:hAnsi="宋体" w:cs="宋体"/>
                <w:color w:val="auto"/>
                <w:sz w:val="24"/>
                <w:highlight w:val="none"/>
              </w:rPr>
            </w:pPr>
          </w:p>
        </w:tc>
        <w:tc>
          <w:tcPr>
            <w:tcW w:w="2185" w:type="dxa"/>
            <w:noWrap w:val="0"/>
            <w:vAlign w:val="center"/>
          </w:tcPr>
          <w:p>
            <w:pPr>
              <w:rPr>
                <w:rFonts w:hint="eastAsia" w:ascii="宋体" w:hAnsi="宋体" w:cs="宋体"/>
                <w:color w:val="auto"/>
                <w:sz w:val="24"/>
                <w:highlight w:val="none"/>
              </w:rPr>
            </w:pPr>
          </w:p>
        </w:tc>
        <w:tc>
          <w:tcPr>
            <w:tcW w:w="1777" w:type="dxa"/>
            <w:noWrap w:val="0"/>
            <w:vAlign w:val="center"/>
          </w:tcPr>
          <w:p>
            <w:pPr>
              <w:rPr>
                <w:rFonts w:hint="eastAsia" w:ascii="宋体" w:hAnsi="宋体" w:cs="宋体"/>
                <w:color w:val="auto"/>
                <w:sz w:val="24"/>
                <w:highlight w:val="none"/>
              </w:rPr>
            </w:pPr>
          </w:p>
        </w:tc>
      </w:tr>
    </w:tbl>
    <w:p>
      <w:pPr>
        <w:spacing w:before="190" w:beforeLines="50" w:after="190" w:afterLines="50"/>
        <w:jc w:val="both"/>
        <w:rPr>
          <w:rFonts w:hint="eastAsia" w:ascii="仿宋" w:hAnsi="仿宋" w:eastAsia="仿宋" w:cs="仿宋"/>
          <w:b/>
          <w:bCs/>
          <w:color w:val="auto"/>
          <w:sz w:val="24"/>
          <w:szCs w:val="24"/>
          <w:highlight w:val="none"/>
        </w:rPr>
      </w:pPr>
    </w:p>
    <w:p>
      <w:pPr>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注：</w:t>
      </w:r>
      <w:r>
        <w:rPr>
          <w:rFonts w:hint="eastAsia" w:ascii="宋体" w:hAnsi="宋体" w:cs="宋体"/>
          <w:b/>
          <w:bCs/>
          <w:color w:val="auto"/>
          <w:sz w:val="24"/>
          <w:highlight w:val="none"/>
          <w:lang w:eastAsia="zh-CN"/>
        </w:rPr>
        <w:t>供应商</w:t>
      </w:r>
      <w:r>
        <w:rPr>
          <w:rFonts w:hint="eastAsia" w:ascii="宋体" w:hAnsi="宋体" w:eastAsia="宋体" w:cs="宋体"/>
          <w:b/>
          <w:bCs/>
          <w:color w:val="auto"/>
          <w:sz w:val="24"/>
          <w:highlight w:val="none"/>
        </w:rPr>
        <w:t>按此表格式列出不影响投标实质性</w:t>
      </w:r>
      <w:r>
        <w:rPr>
          <w:rFonts w:hint="eastAsia" w:ascii="宋体" w:hAnsi="宋体" w:cs="宋体"/>
          <w:b/>
          <w:bCs/>
          <w:color w:val="auto"/>
          <w:sz w:val="24"/>
          <w:highlight w:val="none"/>
          <w:lang w:eastAsia="zh-CN"/>
        </w:rPr>
        <w:t>投标</w:t>
      </w:r>
      <w:r>
        <w:rPr>
          <w:rFonts w:hint="eastAsia" w:ascii="宋体" w:hAnsi="宋体" w:eastAsia="宋体" w:cs="宋体"/>
          <w:b/>
          <w:bCs/>
          <w:color w:val="auto"/>
          <w:sz w:val="24"/>
          <w:highlight w:val="none"/>
        </w:rPr>
        <w:t>的商务偏差，没有说明的其他条款将被认为完全满足</w:t>
      </w:r>
      <w:r>
        <w:rPr>
          <w:rFonts w:hint="eastAsia" w:ascii="宋体" w:hAnsi="宋体" w:cs="宋体"/>
          <w:b/>
          <w:bCs/>
          <w:color w:val="auto"/>
          <w:sz w:val="24"/>
          <w:highlight w:val="none"/>
          <w:lang w:eastAsia="zh-CN"/>
        </w:rPr>
        <w:t>竞争性磋商文件</w:t>
      </w:r>
      <w:r>
        <w:rPr>
          <w:rFonts w:hint="eastAsia" w:ascii="宋体" w:hAnsi="宋体" w:eastAsia="宋体" w:cs="宋体"/>
          <w:b/>
          <w:bCs/>
          <w:color w:val="auto"/>
          <w:sz w:val="24"/>
          <w:highlight w:val="none"/>
        </w:rPr>
        <w:t>的规定。</w:t>
      </w:r>
    </w:p>
    <w:p>
      <w:pPr>
        <w:pStyle w:val="9"/>
        <w:spacing w:line="360" w:lineRule="auto"/>
        <w:rPr>
          <w:rFonts w:hint="eastAsia" w:ascii="宋体" w:hAnsi="宋体" w:eastAsia="宋体" w:cs="宋体"/>
          <w:bCs/>
          <w:color w:val="auto"/>
          <w:sz w:val="24"/>
          <w:szCs w:val="24"/>
          <w:highlight w:val="none"/>
        </w:rPr>
      </w:pPr>
    </w:p>
    <w:p>
      <w:pPr>
        <w:pStyle w:val="9"/>
        <w:spacing w:line="360" w:lineRule="auto"/>
        <w:rPr>
          <w:rFonts w:hint="eastAsia" w:ascii="宋体" w:hAnsi="宋体" w:eastAsia="宋体" w:cs="宋体"/>
          <w:bCs/>
          <w:color w:val="auto"/>
          <w:sz w:val="24"/>
          <w:szCs w:val="24"/>
          <w:highlight w:val="none"/>
        </w:rPr>
      </w:pPr>
    </w:p>
    <w:p>
      <w:pPr>
        <w:pStyle w:val="9"/>
        <w:spacing w:line="360" w:lineRule="auto"/>
        <w:ind w:firstLine="480" w:firstLineChars="200"/>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（盖章）：</w:t>
      </w:r>
    </w:p>
    <w:p>
      <w:pPr>
        <w:pStyle w:val="9"/>
        <w:spacing w:line="360" w:lineRule="auto"/>
        <w:rPr>
          <w:rFonts w:hint="eastAsia" w:ascii="宋体" w:hAnsi="宋体" w:eastAsia="宋体" w:cs="宋体"/>
          <w:bCs/>
          <w:color w:val="auto"/>
          <w:sz w:val="24"/>
          <w:szCs w:val="24"/>
          <w:highlight w:val="none"/>
        </w:rPr>
      </w:pPr>
    </w:p>
    <w:p>
      <w:pPr>
        <w:pStyle w:val="9"/>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法定代表人或委托代理人签字或盖章： </w:t>
      </w:r>
    </w:p>
    <w:p>
      <w:pPr>
        <w:pStyle w:val="9"/>
        <w:spacing w:line="360" w:lineRule="auto"/>
        <w:rPr>
          <w:rFonts w:hint="eastAsia" w:ascii="宋体" w:hAnsi="宋体" w:eastAsia="宋体" w:cs="宋体"/>
          <w:color w:val="auto"/>
          <w:sz w:val="24"/>
          <w:szCs w:val="24"/>
          <w:highlight w:val="none"/>
        </w:rPr>
      </w:pPr>
    </w:p>
    <w:p>
      <w:pPr>
        <w:pStyle w:val="9"/>
        <w:spacing w:line="360" w:lineRule="auto"/>
        <w:ind w:firstLine="480" w:firstLineChars="200"/>
        <w:jc w:val="both"/>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日期：</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tabs>
          <w:tab w:val="left" w:pos="360"/>
          <w:tab w:val="left" w:pos="1800"/>
        </w:tabs>
        <w:spacing w:line="480" w:lineRule="exact"/>
        <w:rPr>
          <w:rFonts w:hint="eastAsia" w:ascii="仿宋" w:hAnsi="仿宋" w:eastAsia="仿宋" w:cs="仿宋"/>
          <w:b/>
          <w:color w:val="auto"/>
          <w:sz w:val="24"/>
          <w:szCs w:val="24"/>
          <w:highlight w:val="none"/>
        </w:rPr>
      </w:pPr>
    </w:p>
    <w:p>
      <w:pPr>
        <w:pStyle w:val="9"/>
        <w:spacing w:line="360" w:lineRule="auto"/>
        <w:jc w:val="center"/>
        <w:rPr>
          <w:rFonts w:hint="eastAsia" w:ascii="仿宋" w:hAnsi="仿宋" w:eastAsia="仿宋" w:cs="仿宋"/>
          <w:b/>
          <w:bCs/>
          <w:color w:val="auto"/>
          <w:sz w:val="24"/>
          <w:szCs w:val="24"/>
          <w:highlight w:val="none"/>
        </w:rPr>
      </w:pPr>
    </w:p>
    <w:p>
      <w:pPr>
        <w:pStyle w:val="18"/>
        <w:spacing w:before="75" w:beforeAutospacing="0" w:after="75" w:afterAutospacing="0" w:line="240" w:lineRule="auto"/>
        <w:jc w:val="both"/>
        <w:rPr>
          <w:rStyle w:val="25"/>
          <w:rFonts w:hint="eastAsia" w:cs="宋体"/>
          <w:b/>
          <w:bCs w:val="0"/>
          <w:color w:val="auto"/>
          <w:sz w:val="28"/>
          <w:szCs w:val="28"/>
          <w:highlight w:val="none"/>
        </w:rPr>
      </w:pPr>
    </w:p>
    <w:p>
      <w:pPr>
        <w:pStyle w:val="18"/>
        <w:spacing w:before="75" w:beforeAutospacing="0" w:after="75" w:afterAutospacing="0" w:line="360" w:lineRule="auto"/>
        <w:jc w:val="center"/>
        <w:rPr>
          <w:rStyle w:val="25"/>
          <w:rFonts w:hint="eastAsia" w:cs="宋体"/>
          <w:b/>
          <w:bCs w:val="0"/>
          <w:color w:val="auto"/>
          <w:sz w:val="24"/>
          <w:szCs w:val="24"/>
          <w:highlight w:val="none"/>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32 </w:t>
      </w:r>
      <w:r>
        <w:rPr>
          <w:rStyle w:val="25"/>
          <w:rFonts w:hint="eastAsia" w:cs="宋体"/>
          <w:b/>
          <w:bCs w:val="0"/>
          <w:color w:val="auto"/>
          <w:sz w:val="24"/>
          <w:szCs w:val="24"/>
          <w:highlight w:val="none"/>
        </w:rPr>
        <w:t xml:space="preserve"> 近三年（201</w:t>
      </w:r>
      <w:r>
        <w:rPr>
          <w:rStyle w:val="25"/>
          <w:rFonts w:hint="eastAsia" w:cs="宋体"/>
          <w:b/>
          <w:bCs w:val="0"/>
          <w:color w:val="auto"/>
          <w:sz w:val="24"/>
          <w:szCs w:val="24"/>
          <w:highlight w:val="none"/>
          <w:lang w:val="en-US" w:eastAsia="zh-CN"/>
        </w:rPr>
        <w:t>8</w:t>
      </w:r>
      <w:r>
        <w:rPr>
          <w:rStyle w:val="25"/>
          <w:rFonts w:hint="eastAsia" w:cs="宋体"/>
          <w:b/>
          <w:bCs w:val="0"/>
          <w:color w:val="auto"/>
          <w:sz w:val="24"/>
          <w:szCs w:val="24"/>
          <w:highlight w:val="none"/>
        </w:rPr>
        <w:t>年</w:t>
      </w:r>
      <w:r>
        <w:rPr>
          <w:rStyle w:val="25"/>
          <w:rFonts w:hint="eastAsia" w:cs="宋体"/>
          <w:b/>
          <w:bCs w:val="0"/>
          <w:color w:val="auto"/>
          <w:sz w:val="24"/>
          <w:szCs w:val="24"/>
          <w:highlight w:val="none"/>
          <w:lang w:val="en-US" w:eastAsia="zh-CN"/>
        </w:rPr>
        <w:t>1</w:t>
      </w:r>
      <w:r>
        <w:rPr>
          <w:rStyle w:val="25"/>
          <w:rFonts w:hint="eastAsia" w:cs="宋体"/>
          <w:b/>
          <w:bCs w:val="0"/>
          <w:color w:val="auto"/>
          <w:sz w:val="24"/>
          <w:szCs w:val="24"/>
          <w:highlight w:val="none"/>
        </w:rPr>
        <w:t>月1日至今）</w:t>
      </w:r>
      <w:r>
        <w:rPr>
          <w:rStyle w:val="25"/>
          <w:rFonts w:hint="eastAsia" w:cs="宋体"/>
          <w:b/>
          <w:bCs w:val="0"/>
          <w:color w:val="auto"/>
          <w:sz w:val="24"/>
          <w:szCs w:val="24"/>
          <w:highlight w:val="none"/>
          <w:lang w:eastAsia="zh-CN"/>
        </w:rPr>
        <w:t>类似</w:t>
      </w:r>
      <w:r>
        <w:rPr>
          <w:rStyle w:val="25"/>
          <w:rFonts w:hint="eastAsia" w:cs="宋体"/>
          <w:b/>
          <w:bCs w:val="0"/>
          <w:color w:val="auto"/>
          <w:sz w:val="24"/>
          <w:szCs w:val="24"/>
          <w:highlight w:val="none"/>
        </w:rPr>
        <w:t>项目业绩表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1167"/>
        <w:gridCol w:w="1510"/>
        <w:gridCol w:w="892"/>
        <w:gridCol w:w="970"/>
        <w:gridCol w:w="1718"/>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trPr>
        <w:tc>
          <w:tcPr>
            <w:tcW w:w="2327"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167"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合同实施日期</w:t>
            </w:r>
          </w:p>
        </w:tc>
        <w:tc>
          <w:tcPr>
            <w:tcW w:w="151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项目规模</w:t>
            </w:r>
          </w:p>
        </w:tc>
        <w:tc>
          <w:tcPr>
            <w:tcW w:w="892"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合同</w:t>
            </w:r>
          </w:p>
          <w:p>
            <w:pPr>
              <w:jc w:val="center"/>
              <w:rPr>
                <w:rFonts w:hint="eastAsia" w:ascii="宋体" w:hAnsi="宋体" w:cs="宋体"/>
                <w:color w:val="auto"/>
                <w:sz w:val="24"/>
                <w:highlight w:val="none"/>
              </w:rPr>
            </w:pPr>
            <w:r>
              <w:rPr>
                <w:rFonts w:hint="eastAsia" w:ascii="宋体" w:hAnsi="宋体" w:cs="宋体"/>
                <w:color w:val="auto"/>
                <w:sz w:val="24"/>
                <w:highlight w:val="none"/>
              </w:rPr>
              <w:t>金额</w:t>
            </w:r>
          </w:p>
        </w:tc>
        <w:tc>
          <w:tcPr>
            <w:tcW w:w="970"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建设单位名称</w:t>
            </w:r>
          </w:p>
        </w:tc>
        <w:tc>
          <w:tcPr>
            <w:tcW w:w="1718"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建设单位联系人及联系电话</w:t>
            </w:r>
          </w:p>
        </w:tc>
        <w:tc>
          <w:tcPr>
            <w:tcW w:w="812"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327" w:type="dxa"/>
            <w:noWrap w:val="0"/>
            <w:vAlign w:val="top"/>
          </w:tcPr>
          <w:p>
            <w:pPr>
              <w:rPr>
                <w:rFonts w:hint="eastAsia" w:ascii="宋体" w:hAnsi="宋体" w:cs="宋体"/>
                <w:color w:val="auto"/>
                <w:szCs w:val="21"/>
                <w:highlight w:val="none"/>
              </w:rPr>
            </w:pPr>
          </w:p>
        </w:tc>
        <w:tc>
          <w:tcPr>
            <w:tcW w:w="1167" w:type="dxa"/>
            <w:noWrap w:val="0"/>
            <w:vAlign w:val="top"/>
          </w:tcPr>
          <w:p>
            <w:pPr>
              <w:rPr>
                <w:rFonts w:hint="eastAsia" w:ascii="宋体" w:hAnsi="宋体" w:cs="宋体"/>
                <w:color w:val="auto"/>
                <w:szCs w:val="21"/>
                <w:highlight w:val="none"/>
              </w:rPr>
            </w:pPr>
          </w:p>
        </w:tc>
        <w:tc>
          <w:tcPr>
            <w:tcW w:w="1510" w:type="dxa"/>
            <w:noWrap w:val="0"/>
            <w:vAlign w:val="top"/>
          </w:tcPr>
          <w:p>
            <w:pPr>
              <w:rPr>
                <w:rFonts w:hint="eastAsia" w:ascii="宋体" w:hAnsi="宋体" w:cs="宋体"/>
                <w:color w:val="auto"/>
                <w:szCs w:val="21"/>
                <w:highlight w:val="none"/>
              </w:rPr>
            </w:pPr>
          </w:p>
        </w:tc>
        <w:tc>
          <w:tcPr>
            <w:tcW w:w="892" w:type="dxa"/>
            <w:noWrap w:val="0"/>
            <w:vAlign w:val="top"/>
          </w:tcPr>
          <w:p>
            <w:pPr>
              <w:rPr>
                <w:rFonts w:hint="eastAsia" w:ascii="宋体" w:hAnsi="宋体" w:cs="宋体"/>
                <w:color w:val="auto"/>
                <w:szCs w:val="21"/>
                <w:highlight w:val="none"/>
              </w:rPr>
            </w:pPr>
          </w:p>
        </w:tc>
        <w:tc>
          <w:tcPr>
            <w:tcW w:w="970" w:type="dxa"/>
            <w:noWrap w:val="0"/>
            <w:vAlign w:val="top"/>
          </w:tcPr>
          <w:p>
            <w:pPr>
              <w:rPr>
                <w:rFonts w:hint="eastAsia" w:ascii="宋体" w:hAnsi="宋体" w:cs="宋体"/>
                <w:color w:val="auto"/>
                <w:szCs w:val="21"/>
                <w:highlight w:val="none"/>
              </w:rPr>
            </w:pPr>
          </w:p>
        </w:tc>
        <w:tc>
          <w:tcPr>
            <w:tcW w:w="1718" w:type="dxa"/>
            <w:noWrap w:val="0"/>
            <w:vAlign w:val="top"/>
          </w:tcPr>
          <w:p>
            <w:pPr>
              <w:rPr>
                <w:rFonts w:hint="eastAsia" w:ascii="宋体" w:hAnsi="宋体" w:cs="宋体"/>
                <w:color w:val="auto"/>
                <w:szCs w:val="21"/>
                <w:highlight w:val="none"/>
              </w:rPr>
            </w:pPr>
          </w:p>
        </w:tc>
        <w:tc>
          <w:tcPr>
            <w:tcW w:w="812" w:type="dxa"/>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327" w:type="dxa"/>
            <w:noWrap w:val="0"/>
            <w:vAlign w:val="top"/>
          </w:tcPr>
          <w:p>
            <w:pPr>
              <w:rPr>
                <w:rFonts w:hint="eastAsia" w:ascii="宋体" w:hAnsi="宋体" w:cs="宋体"/>
                <w:color w:val="auto"/>
                <w:szCs w:val="21"/>
                <w:highlight w:val="none"/>
              </w:rPr>
            </w:pPr>
          </w:p>
        </w:tc>
        <w:tc>
          <w:tcPr>
            <w:tcW w:w="1167" w:type="dxa"/>
            <w:noWrap w:val="0"/>
            <w:vAlign w:val="top"/>
          </w:tcPr>
          <w:p>
            <w:pPr>
              <w:rPr>
                <w:rFonts w:hint="eastAsia" w:ascii="宋体" w:hAnsi="宋体" w:cs="宋体"/>
                <w:color w:val="auto"/>
                <w:szCs w:val="21"/>
                <w:highlight w:val="none"/>
              </w:rPr>
            </w:pPr>
          </w:p>
        </w:tc>
        <w:tc>
          <w:tcPr>
            <w:tcW w:w="1510" w:type="dxa"/>
            <w:noWrap w:val="0"/>
            <w:vAlign w:val="top"/>
          </w:tcPr>
          <w:p>
            <w:pPr>
              <w:rPr>
                <w:rFonts w:hint="eastAsia" w:ascii="宋体" w:hAnsi="宋体" w:cs="宋体"/>
                <w:color w:val="auto"/>
                <w:szCs w:val="21"/>
                <w:highlight w:val="none"/>
              </w:rPr>
            </w:pPr>
          </w:p>
        </w:tc>
        <w:tc>
          <w:tcPr>
            <w:tcW w:w="892" w:type="dxa"/>
            <w:noWrap w:val="0"/>
            <w:vAlign w:val="top"/>
          </w:tcPr>
          <w:p>
            <w:pPr>
              <w:rPr>
                <w:rFonts w:hint="eastAsia" w:ascii="宋体" w:hAnsi="宋体" w:cs="宋体"/>
                <w:color w:val="auto"/>
                <w:szCs w:val="21"/>
                <w:highlight w:val="none"/>
              </w:rPr>
            </w:pPr>
          </w:p>
        </w:tc>
        <w:tc>
          <w:tcPr>
            <w:tcW w:w="970" w:type="dxa"/>
            <w:noWrap w:val="0"/>
            <w:vAlign w:val="top"/>
          </w:tcPr>
          <w:p>
            <w:pPr>
              <w:rPr>
                <w:rFonts w:hint="eastAsia" w:ascii="宋体" w:hAnsi="宋体" w:cs="宋体"/>
                <w:color w:val="auto"/>
                <w:szCs w:val="21"/>
                <w:highlight w:val="none"/>
              </w:rPr>
            </w:pPr>
          </w:p>
        </w:tc>
        <w:tc>
          <w:tcPr>
            <w:tcW w:w="1718" w:type="dxa"/>
            <w:noWrap w:val="0"/>
            <w:vAlign w:val="top"/>
          </w:tcPr>
          <w:p>
            <w:pPr>
              <w:rPr>
                <w:rFonts w:hint="eastAsia" w:ascii="宋体" w:hAnsi="宋体" w:cs="宋体"/>
                <w:color w:val="auto"/>
                <w:szCs w:val="21"/>
                <w:highlight w:val="none"/>
              </w:rPr>
            </w:pPr>
          </w:p>
        </w:tc>
        <w:tc>
          <w:tcPr>
            <w:tcW w:w="812" w:type="dxa"/>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327" w:type="dxa"/>
            <w:noWrap w:val="0"/>
            <w:vAlign w:val="top"/>
          </w:tcPr>
          <w:p>
            <w:pPr>
              <w:rPr>
                <w:rFonts w:hint="eastAsia" w:ascii="宋体" w:hAnsi="宋体" w:cs="宋体"/>
                <w:color w:val="auto"/>
                <w:szCs w:val="21"/>
                <w:highlight w:val="none"/>
              </w:rPr>
            </w:pPr>
          </w:p>
        </w:tc>
        <w:tc>
          <w:tcPr>
            <w:tcW w:w="1167" w:type="dxa"/>
            <w:noWrap w:val="0"/>
            <w:vAlign w:val="top"/>
          </w:tcPr>
          <w:p>
            <w:pPr>
              <w:rPr>
                <w:rFonts w:hint="eastAsia" w:ascii="宋体" w:hAnsi="宋体" w:cs="宋体"/>
                <w:color w:val="auto"/>
                <w:szCs w:val="21"/>
                <w:highlight w:val="none"/>
              </w:rPr>
            </w:pPr>
          </w:p>
        </w:tc>
        <w:tc>
          <w:tcPr>
            <w:tcW w:w="1510" w:type="dxa"/>
            <w:noWrap w:val="0"/>
            <w:vAlign w:val="top"/>
          </w:tcPr>
          <w:p>
            <w:pPr>
              <w:rPr>
                <w:rFonts w:hint="eastAsia" w:ascii="宋体" w:hAnsi="宋体" w:cs="宋体"/>
                <w:color w:val="auto"/>
                <w:szCs w:val="21"/>
                <w:highlight w:val="none"/>
              </w:rPr>
            </w:pPr>
          </w:p>
        </w:tc>
        <w:tc>
          <w:tcPr>
            <w:tcW w:w="892" w:type="dxa"/>
            <w:noWrap w:val="0"/>
            <w:vAlign w:val="top"/>
          </w:tcPr>
          <w:p>
            <w:pPr>
              <w:rPr>
                <w:rFonts w:hint="eastAsia" w:ascii="宋体" w:hAnsi="宋体" w:cs="宋体"/>
                <w:color w:val="auto"/>
                <w:szCs w:val="21"/>
                <w:highlight w:val="none"/>
              </w:rPr>
            </w:pPr>
          </w:p>
        </w:tc>
        <w:tc>
          <w:tcPr>
            <w:tcW w:w="970" w:type="dxa"/>
            <w:noWrap w:val="0"/>
            <w:vAlign w:val="top"/>
          </w:tcPr>
          <w:p>
            <w:pPr>
              <w:rPr>
                <w:rFonts w:hint="eastAsia" w:ascii="宋体" w:hAnsi="宋体" w:cs="宋体"/>
                <w:color w:val="auto"/>
                <w:szCs w:val="21"/>
                <w:highlight w:val="none"/>
              </w:rPr>
            </w:pPr>
          </w:p>
        </w:tc>
        <w:tc>
          <w:tcPr>
            <w:tcW w:w="1718" w:type="dxa"/>
            <w:noWrap w:val="0"/>
            <w:vAlign w:val="top"/>
          </w:tcPr>
          <w:p>
            <w:pPr>
              <w:rPr>
                <w:rFonts w:hint="eastAsia" w:ascii="宋体" w:hAnsi="宋体" w:cs="宋体"/>
                <w:color w:val="auto"/>
                <w:szCs w:val="21"/>
                <w:highlight w:val="none"/>
              </w:rPr>
            </w:pPr>
          </w:p>
        </w:tc>
        <w:tc>
          <w:tcPr>
            <w:tcW w:w="812" w:type="dxa"/>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327" w:type="dxa"/>
            <w:noWrap w:val="0"/>
            <w:vAlign w:val="top"/>
          </w:tcPr>
          <w:p>
            <w:pPr>
              <w:rPr>
                <w:rFonts w:hint="eastAsia" w:ascii="宋体" w:hAnsi="宋体" w:cs="宋体"/>
                <w:color w:val="auto"/>
                <w:szCs w:val="21"/>
                <w:highlight w:val="none"/>
              </w:rPr>
            </w:pPr>
          </w:p>
        </w:tc>
        <w:tc>
          <w:tcPr>
            <w:tcW w:w="1167" w:type="dxa"/>
            <w:noWrap w:val="0"/>
            <w:vAlign w:val="top"/>
          </w:tcPr>
          <w:p>
            <w:pPr>
              <w:rPr>
                <w:rFonts w:hint="eastAsia" w:ascii="宋体" w:hAnsi="宋体" w:cs="宋体"/>
                <w:color w:val="auto"/>
                <w:szCs w:val="21"/>
                <w:highlight w:val="none"/>
              </w:rPr>
            </w:pPr>
          </w:p>
        </w:tc>
        <w:tc>
          <w:tcPr>
            <w:tcW w:w="1510" w:type="dxa"/>
            <w:noWrap w:val="0"/>
            <w:vAlign w:val="top"/>
          </w:tcPr>
          <w:p>
            <w:pPr>
              <w:rPr>
                <w:rFonts w:hint="eastAsia" w:ascii="宋体" w:hAnsi="宋体" w:cs="宋体"/>
                <w:color w:val="auto"/>
                <w:szCs w:val="21"/>
                <w:highlight w:val="none"/>
              </w:rPr>
            </w:pPr>
          </w:p>
        </w:tc>
        <w:tc>
          <w:tcPr>
            <w:tcW w:w="892" w:type="dxa"/>
            <w:noWrap w:val="0"/>
            <w:vAlign w:val="top"/>
          </w:tcPr>
          <w:p>
            <w:pPr>
              <w:rPr>
                <w:rFonts w:hint="eastAsia" w:ascii="宋体" w:hAnsi="宋体" w:cs="宋体"/>
                <w:color w:val="auto"/>
                <w:szCs w:val="21"/>
                <w:highlight w:val="none"/>
              </w:rPr>
            </w:pPr>
          </w:p>
        </w:tc>
        <w:tc>
          <w:tcPr>
            <w:tcW w:w="970" w:type="dxa"/>
            <w:noWrap w:val="0"/>
            <w:vAlign w:val="top"/>
          </w:tcPr>
          <w:p>
            <w:pPr>
              <w:rPr>
                <w:rFonts w:hint="eastAsia" w:ascii="宋体" w:hAnsi="宋体" w:cs="宋体"/>
                <w:color w:val="auto"/>
                <w:szCs w:val="21"/>
                <w:highlight w:val="none"/>
              </w:rPr>
            </w:pPr>
          </w:p>
        </w:tc>
        <w:tc>
          <w:tcPr>
            <w:tcW w:w="1718" w:type="dxa"/>
            <w:noWrap w:val="0"/>
            <w:vAlign w:val="top"/>
          </w:tcPr>
          <w:p>
            <w:pPr>
              <w:rPr>
                <w:rFonts w:hint="eastAsia" w:ascii="宋体" w:hAnsi="宋体" w:cs="宋体"/>
                <w:color w:val="auto"/>
                <w:szCs w:val="21"/>
                <w:highlight w:val="none"/>
              </w:rPr>
            </w:pPr>
          </w:p>
        </w:tc>
        <w:tc>
          <w:tcPr>
            <w:tcW w:w="812" w:type="dxa"/>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327" w:type="dxa"/>
            <w:noWrap w:val="0"/>
            <w:vAlign w:val="top"/>
          </w:tcPr>
          <w:p>
            <w:pPr>
              <w:rPr>
                <w:rFonts w:hint="eastAsia" w:ascii="宋体" w:hAnsi="宋体" w:cs="宋体"/>
                <w:color w:val="auto"/>
                <w:szCs w:val="21"/>
                <w:highlight w:val="none"/>
              </w:rPr>
            </w:pPr>
          </w:p>
        </w:tc>
        <w:tc>
          <w:tcPr>
            <w:tcW w:w="1167" w:type="dxa"/>
            <w:noWrap w:val="0"/>
            <w:vAlign w:val="top"/>
          </w:tcPr>
          <w:p>
            <w:pPr>
              <w:rPr>
                <w:rFonts w:hint="eastAsia" w:ascii="宋体" w:hAnsi="宋体" w:cs="宋体"/>
                <w:color w:val="auto"/>
                <w:szCs w:val="21"/>
                <w:highlight w:val="none"/>
              </w:rPr>
            </w:pPr>
          </w:p>
        </w:tc>
        <w:tc>
          <w:tcPr>
            <w:tcW w:w="1510" w:type="dxa"/>
            <w:noWrap w:val="0"/>
            <w:vAlign w:val="top"/>
          </w:tcPr>
          <w:p>
            <w:pPr>
              <w:rPr>
                <w:rFonts w:hint="eastAsia" w:ascii="宋体" w:hAnsi="宋体" w:cs="宋体"/>
                <w:color w:val="auto"/>
                <w:szCs w:val="21"/>
                <w:highlight w:val="none"/>
              </w:rPr>
            </w:pPr>
          </w:p>
        </w:tc>
        <w:tc>
          <w:tcPr>
            <w:tcW w:w="892" w:type="dxa"/>
            <w:noWrap w:val="0"/>
            <w:vAlign w:val="top"/>
          </w:tcPr>
          <w:p>
            <w:pPr>
              <w:rPr>
                <w:rFonts w:hint="eastAsia" w:ascii="宋体" w:hAnsi="宋体" w:cs="宋体"/>
                <w:color w:val="auto"/>
                <w:szCs w:val="21"/>
                <w:highlight w:val="none"/>
              </w:rPr>
            </w:pPr>
          </w:p>
        </w:tc>
        <w:tc>
          <w:tcPr>
            <w:tcW w:w="970" w:type="dxa"/>
            <w:noWrap w:val="0"/>
            <w:vAlign w:val="top"/>
          </w:tcPr>
          <w:p>
            <w:pPr>
              <w:rPr>
                <w:rFonts w:hint="eastAsia" w:ascii="宋体" w:hAnsi="宋体" w:cs="宋体"/>
                <w:color w:val="auto"/>
                <w:szCs w:val="21"/>
                <w:highlight w:val="none"/>
              </w:rPr>
            </w:pPr>
          </w:p>
        </w:tc>
        <w:tc>
          <w:tcPr>
            <w:tcW w:w="1718" w:type="dxa"/>
            <w:noWrap w:val="0"/>
            <w:vAlign w:val="top"/>
          </w:tcPr>
          <w:p>
            <w:pPr>
              <w:rPr>
                <w:rFonts w:hint="eastAsia" w:ascii="宋体" w:hAnsi="宋体" w:cs="宋体"/>
                <w:color w:val="auto"/>
                <w:szCs w:val="21"/>
                <w:highlight w:val="none"/>
              </w:rPr>
            </w:pPr>
          </w:p>
        </w:tc>
        <w:tc>
          <w:tcPr>
            <w:tcW w:w="812" w:type="dxa"/>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327" w:type="dxa"/>
            <w:noWrap w:val="0"/>
            <w:vAlign w:val="top"/>
          </w:tcPr>
          <w:p>
            <w:pPr>
              <w:rPr>
                <w:rFonts w:hint="eastAsia" w:ascii="宋体" w:hAnsi="宋体" w:cs="宋体"/>
                <w:color w:val="auto"/>
                <w:szCs w:val="21"/>
                <w:highlight w:val="none"/>
              </w:rPr>
            </w:pPr>
          </w:p>
        </w:tc>
        <w:tc>
          <w:tcPr>
            <w:tcW w:w="1167" w:type="dxa"/>
            <w:noWrap w:val="0"/>
            <w:vAlign w:val="top"/>
          </w:tcPr>
          <w:p>
            <w:pPr>
              <w:rPr>
                <w:rFonts w:hint="eastAsia" w:ascii="宋体" w:hAnsi="宋体" w:cs="宋体"/>
                <w:color w:val="auto"/>
                <w:szCs w:val="21"/>
                <w:highlight w:val="none"/>
              </w:rPr>
            </w:pPr>
          </w:p>
        </w:tc>
        <w:tc>
          <w:tcPr>
            <w:tcW w:w="1510" w:type="dxa"/>
            <w:noWrap w:val="0"/>
            <w:vAlign w:val="top"/>
          </w:tcPr>
          <w:p>
            <w:pPr>
              <w:rPr>
                <w:rFonts w:hint="eastAsia" w:ascii="宋体" w:hAnsi="宋体" w:cs="宋体"/>
                <w:color w:val="auto"/>
                <w:szCs w:val="21"/>
                <w:highlight w:val="none"/>
              </w:rPr>
            </w:pPr>
          </w:p>
        </w:tc>
        <w:tc>
          <w:tcPr>
            <w:tcW w:w="892" w:type="dxa"/>
            <w:noWrap w:val="0"/>
            <w:vAlign w:val="top"/>
          </w:tcPr>
          <w:p>
            <w:pPr>
              <w:rPr>
                <w:rFonts w:hint="eastAsia" w:ascii="宋体" w:hAnsi="宋体" w:cs="宋体"/>
                <w:color w:val="auto"/>
                <w:szCs w:val="21"/>
                <w:highlight w:val="none"/>
              </w:rPr>
            </w:pPr>
          </w:p>
        </w:tc>
        <w:tc>
          <w:tcPr>
            <w:tcW w:w="970" w:type="dxa"/>
            <w:noWrap w:val="0"/>
            <w:vAlign w:val="top"/>
          </w:tcPr>
          <w:p>
            <w:pPr>
              <w:rPr>
                <w:rFonts w:hint="eastAsia" w:ascii="宋体" w:hAnsi="宋体" w:cs="宋体"/>
                <w:color w:val="auto"/>
                <w:szCs w:val="21"/>
                <w:highlight w:val="none"/>
              </w:rPr>
            </w:pPr>
          </w:p>
        </w:tc>
        <w:tc>
          <w:tcPr>
            <w:tcW w:w="1718" w:type="dxa"/>
            <w:noWrap w:val="0"/>
            <w:vAlign w:val="top"/>
          </w:tcPr>
          <w:p>
            <w:pPr>
              <w:rPr>
                <w:rFonts w:hint="eastAsia" w:ascii="宋体" w:hAnsi="宋体" w:cs="宋体"/>
                <w:color w:val="auto"/>
                <w:szCs w:val="21"/>
                <w:highlight w:val="none"/>
              </w:rPr>
            </w:pPr>
          </w:p>
        </w:tc>
        <w:tc>
          <w:tcPr>
            <w:tcW w:w="812" w:type="dxa"/>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327" w:type="dxa"/>
            <w:noWrap w:val="0"/>
            <w:vAlign w:val="top"/>
          </w:tcPr>
          <w:p>
            <w:pPr>
              <w:rPr>
                <w:rFonts w:hint="eastAsia" w:ascii="宋体" w:hAnsi="宋体" w:cs="宋体"/>
                <w:color w:val="auto"/>
                <w:szCs w:val="21"/>
                <w:highlight w:val="none"/>
              </w:rPr>
            </w:pPr>
          </w:p>
        </w:tc>
        <w:tc>
          <w:tcPr>
            <w:tcW w:w="1167" w:type="dxa"/>
            <w:noWrap w:val="0"/>
            <w:vAlign w:val="top"/>
          </w:tcPr>
          <w:p>
            <w:pPr>
              <w:rPr>
                <w:rFonts w:hint="eastAsia" w:ascii="宋体" w:hAnsi="宋体" w:cs="宋体"/>
                <w:color w:val="auto"/>
                <w:szCs w:val="21"/>
                <w:highlight w:val="none"/>
              </w:rPr>
            </w:pPr>
          </w:p>
        </w:tc>
        <w:tc>
          <w:tcPr>
            <w:tcW w:w="1510" w:type="dxa"/>
            <w:noWrap w:val="0"/>
            <w:vAlign w:val="top"/>
          </w:tcPr>
          <w:p>
            <w:pPr>
              <w:rPr>
                <w:rFonts w:hint="eastAsia" w:ascii="宋体" w:hAnsi="宋体" w:cs="宋体"/>
                <w:color w:val="auto"/>
                <w:szCs w:val="21"/>
                <w:highlight w:val="none"/>
              </w:rPr>
            </w:pPr>
          </w:p>
        </w:tc>
        <w:tc>
          <w:tcPr>
            <w:tcW w:w="892" w:type="dxa"/>
            <w:noWrap w:val="0"/>
            <w:vAlign w:val="top"/>
          </w:tcPr>
          <w:p>
            <w:pPr>
              <w:rPr>
                <w:rFonts w:hint="eastAsia" w:ascii="宋体" w:hAnsi="宋体" w:cs="宋体"/>
                <w:color w:val="auto"/>
                <w:szCs w:val="21"/>
                <w:highlight w:val="none"/>
              </w:rPr>
            </w:pPr>
          </w:p>
        </w:tc>
        <w:tc>
          <w:tcPr>
            <w:tcW w:w="970" w:type="dxa"/>
            <w:noWrap w:val="0"/>
            <w:vAlign w:val="top"/>
          </w:tcPr>
          <w:p>
            <w:pPr>
              <w:rPr>
                <w:rFonts w:hint="eastAsia" w:ascii="宋体" w:hAnsi="宋体" w:cs="宋体"/>
                <w:color w:val="auto"/>
                <w:szCs w:val="21"/>
                <w:highlight w:val="none"/>
              </w:rPr>
            </w:pPr>
          </w:p>
        </w:tc>
        <w:tc>
          <w:tcPr>
            <w:tcW w:w="1718" w:type="dxa"/>
            <w:noWrap w:val="0"/>
            <w:vAlign w:val="top"/>
          </w:tcPr>
          <w:p>
            <w:pPr>
              <w:rPr>
                <w:rFonts w:hint="eastAsia" w:ascii="宋体" w:hAnsi="宋体" w:cs="宋体"/>
                <w:color w:val="auto"/>
                <w:szCs w:val="21"/>
                <w:highlight w:val="none"/>
              </w:rPr>
            </w:pPr>
          </w:p>
        </w:tc>
        <w:tc>
          <w:tcPr>
            <w:tcW w:w="812" w:type="dxa"/>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327" w:type="dxa"/>
            <w:noWrap w:val="0"/>
            <w:vAlign w:val="top"/>
          </w:tcPr>
          <w:p>
            <w:pPr>
              <w:rPr>
                <w:rFonts w:hint="eastAsia" w:ascii="宋体" w:hAnsi="宋体" w:cs="宋体"/>
                <w:color w:val="auto"/>
                <w:szCs w:val="21"/>
                <w:highlight w:val="none"/>
              </w:rPr>
            </w:pPr>
          </w:p>
        </w:tc>
        <w:tc>
          <w:tcPr>
            <w:tcW w:w="1167" w:type="dxa"/>
            <w:noWrap w:val="0"/>
            <w:vAlign w:val="top"/>
          </w:tcPr>
          <w:p>
            <w:pPr>
              <w:rPr>
                <w:rFonts w:hint="eastAsia" w:ascii="宋体" w:hAnsi="宋体" w:cs="宋体"/>
                <w:color w:val="auto"/>
                <w:szCs w:val="21"/>
                <w:highlight w:val="none"/>
              </w:rPr>
            </w:pPr>
          </w:p>
        </w:tc>
        <w:tc>
          <w:tcPr>
            <w:tcW w:w="1510" w:type="dxa"/>
            <w:noWrap w:val="0"/>
            <w:vAlign w:val="top"/>
          </w:tcPr>
          <w:p>
            <w:pPr>
              <w:rPr>
                <w:rFonts w:hint="eastAsia" w:ascii="宋体" w:hAnsi="宋体" w:cs="宋体"/>
                <w:color w:val="auto"/>
                <w:szCs w:val="21"/>
                <w:highlight w:val="none"/>
              </w:rPr>
            </w:pPr>
          </w:p>
        </w:tc>
        <w:tc>
          <w:tcPr>
            <w:tcW w:w="892" w:type="dxa"/>
            <w:noWrap w:val="0"/>
            <w:vAlign w:val="top"/>
          </w:tcPr>
          <w:p>
            <w:pPr>
              <w:rPr>
                <w:rFonts w:hint="eastAsia" w:ascii="宋体" w:hAnsi="宋体" w:cs="宋体"/>
                <w:color w:val="auto"/>
                <w:szCs w:val="21"/>
                <w:highlight w:val="none"/>
              </w:rPr>
            </w:pPr>
          </w:p>
        </w:tc>
        <w:tc>
          <w:tcPr>
            <w:tcW w:w="970" w:type="dxa"/>
            <w:noWrap w:val="0"/>
            <w:vAlign w:val="top"/>
          </w:tcPr>
          <w:p>
            <w:pPr>
              <w:rPr>
                <w:rFonts w:hint="eastAsia" w:ascii="宋体" w:hAnsi="宋体" w:cs="宋体"/>
                <w:color w:val="auto"/>
                <w:szCs w:val="21"/>
                <w:highlight w:val="none"/>
              </w:rPr>
            </w:pPr>
          </w:p>
        </w:tc>
        <w:tc>
          <w:tcPr>
            <w:tcW w:w="1718" w:type="dxa"/>
            <w:noWrap w:val="0"/>
            <w:vAlign w:val="top"/>
          </w:tcPr>
          <w:p>
            <w:pPr>
              <w:rPr>
                <w:rFonts w:hint="eastAsia" w:ascii="宋体" w:hAnsi="宋体" w:cs="宋体"/>
                <w:color w:val="auto"/>
                <w:szCs w:val="21"/>
                <w:highlight w:val="none"/>
              </w:rPr>
            </w:pPr>
          </w:p>
        </w:tc>
        <w:tc>
          <w:tcPr>
            <w:tcW w:w="812" w:type="dxa"/>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327" w:type="dxa"/>
            <w:noWrap w:val="0"/>
            <w:vAlign w:val="top"/>
          </w:tcPr>
          <w:p>
            <w:pPr>
              <w:rPr>
                <w:rFonts w:hint="eastAsia" w:ascii="宋体" w:hAnsi="宋体" w:cs="宋体"/>
                <w:color w:val="auto"/>
                <w:szCs w:val="21"/>
                <w:highlight w:val="none"/>
              </w:rPr>
            </w:pPr>
          </w:p>
        </w:tc>
        <w:tc>
          <w:tcPr>
            <w:tcW w:w="1167" w:type="dxa"/>
            <w:noWrap w:val="0"/>
            <w:vAlign w:val="top"/>
          </w:tcPr>
          <w:p>
            <w:pPr>
              <w:rPr>
                <w:rFonts w:hint="eastAsia" w:ascii="宋体" w:hAnsi="宋体" w:cs="宋体"/>
                <w:color w:val="auto"/>
                <w:szCs w:val="21"/>
                <w:highlight w:val="none"/>
              </w:rPr>
            </w:pPr>
          </w:p>
        </w:tc>
        <w:tc>
          <w:tcPr>
            <w:tcW w:w="1510" w:type="dxa"/>
            <w:noWrap w:val="0"/>
            <w:vAlign w:val="top"/>
          </w:tcPr>
          <w:p>
            <w:pPr>
              <w:rPr>
                <w:rFonts w:hint="eastAsia" w:ascii="宋体" w:hAnsi="宋体" w:cs="宋体"/>
                <w:color w:val="auto"/>
                <w:szCs w:val="21"/>
                <w:highlight w:val="none"/>
              </w:rPr>
            </w:pPr>
          </w:p>
        </w:tc>
        <w:tc>
          <w:tcPr>
            <w:tcW w:w="892" w:type="dxa"/>
            <w:noWrap w:val="0"/>
            <w:vAlign w:val="top"/>
          </w:tcPr>
          <w:p>
            <w:pPr>
              <w:rPr>
                <w:rFonts w:hint="eastAsia" w:ascii="宋体" w:hAnsi="宋体" w:cs="宋体"/>
                <w:color w:val="auto"/>
                <w:szCs w:val="21"/>
                <w:highlight w:val="none"/>
              </w:rPr>
            </w:pPr>
          </w:p>
        </w:tc>
        <w:tc>
          <w:tcPr>
            <w:tcW w:w="970" w:type="dxa"/>
            <w:noWrap w:val="0"/>
            <w:vAlign w:val="top"/>
          </w:tcPr>
          <w:p>
            <w:pPr>
              <w:rPr>
                <w:rFonts w:hint="eastAsia" w:ascii="宋体" w:hAnsi="宋体" w:cs="宋体"/>
                <w:color w:val="auto"/>
                <w:szCs w:val="21"/>
                <w:highlight w:val="none"/>
              </w:rPr>
            </w:pPr>
          </w:p>
        </w:tc>
        <w:tc>
          <w:tcPr>
            <w:tcW w:w="1718" w:type="dxa"/>
            <w:noWrap w:val="0"/>
            <w:vAlign w:val="top"/>
          </w:tcPr>
          <w:p>
            <w:pPr>
              <w:rPr>
                <w:rFonts w:hint="eastAsia" w:ascii="宋体" w:hAnsi="宋体" w:cs="宋体"/>
                <w:color w:val="auto"/>
                <w:szCs w:val="21"/>
                <w:highlight w:val="none"/>
              </w:rPr>
            </w:pPr>
          </w:p>
        </w:tc>
        <w:tc>
          <w:tcPr>
            <w:tcW w:w="812" w:type="dxa"/>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327" w:type="dxa"/>
            <w:noWrap w:val="0"/>
            <w:vAlign w:val="top"/>
          </w:tcPr>
          <w:p>
            <w:pPr>
              <w:rPr>
                <w:rFonts w:hint="eastAsia" w:ascii="宋体" w:hAnsi="宋体" w:cs="宋体"/>
                <w:color w:val="auto"/>
                <w:szCs w:val="21"/>
                <w:highlight w:val="none"/>
              </w:rPr>
            </w:pPr>
          </w:p>
        </w:tc>
        <w:tc>
          <w:tcPr>
            <w:tcW w:w="1167" w:type="dxa"/>
            <w:noWrap w:val="0"/>
            <w:vAlign w:val="top"/>
          </w:tcPr>
          <w:p>
            <w:pPr>
              <w:rPr>
                <w:rFonts w:hint="eastAsia" w:ascii="宋体" w:hAnsi="宋体" w:cs="宋体"/>
                <w:color w:val="auto"/>
                <w:szCs w:val="21"/>
                <w:highlight w:val="none"/>
              </w:rPr>
            </w:pPr>
          </w:p>
        </w:tc>
        <w:tc>
          <w:tcPr>
            <w:tcW w:w="1510" w:type="dxa"/>
            <w:noWrap w:val="0"/>
            <w:vAlign w:val="top"/>
          </w:tcPr>
          <w:p>
            <w:pPr>
              <w:rPr>
                <w:rFonts w:hint="eastAsia" w:ascii="宋体" w:hAnsi="宋体" w:cs="宋体"/>
                <w:color w:val="auto"/>
                <w:szCs w:val="21"/>
                <w:highlight w:val="none"/>
              </w:rPr>
            </w:pPr>
          </w:p>
        </w:tc>
        <w:tc>
          <w:tcPr>
            <w:tcW w:w="892" w:type="dxa"/>
            <w:noWrap w:val="0"/>
            <w:vAlign w:val="top"/>
          </w:tcPr>
          <w:p>
            <w:pPr>
              <w:rPr>
                <w:rFonts w:hint="eastAsia" w:ascii="宋体" w:hAnsi="宋体" w:cs="宋体"/>
                <w:color w:val="auto"/>
                <w:szCs w:val="21"/>
                <w:highlight w:val="none"/>
              </w:rPr>
            </w:pPr>
          </w:p>
        </w:tc>
        <w:tc>
          <w:tcPr>
            <w:tcW w:w="970" w:type="dxa"/>
            <w:noWrap w:val="0"/>
            <w:vAlign w:val="top"/>
          </w:tcPr>
          <w:p>
            <w:pPr>
              <w:rPr>
                <w:rFonts w:hint="eastAsia" w:ascii="宋体" w:hAnsi="宋体" w:cs="宋体"/>
                <w:color w:val="auto"/>
                <w:szCs w:val="21"/>
                <w:highlight w:val="none"/>
              </w:rPr>
            </w:pPr>
          </w:p>
        </w:tc>
        <w:tc>
          <w:tcPr>
            <w:tcW w:w="1718" w:type="dxa"/>
            <w:noWrap w:val="0"/>
            <w:vAlign w:val="top"/>
          </w:tcPr>
          <w:p>
            <w:pPr>
              <w:rPr>
                <w:rFonts w:hint="eastAsia" w:ascii="宋体" w:hAnsi="宋体" w:cs="宋体"/>
                <w:color w:val="auto"/>
                <w:szCs w:val="21"/>
                <w:highlight w:val="none"/>
              </w:rPr>
            </w:pPr>
          </w:p>
        </w:tc>
        <w:tc>
          <w:tcPr>
            <w:tcW w:w="812" w:type="dxa"/>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327" w:type="dxa"/>
            <w:noWrap w:val="0"/>
            <w:vAlign w:val="top"/>
          </w:tcPr>
          <w:p>
            <w:pPr>
              <w:rPr>
                <w:rFonts w:hint="eastAsia" w:ascii="宋体" w:hAnsi="宋体" w:cs="宋体"/>
                <w:color w:val="auto"/>
                <w:szCs w:val="21"/>
                <w:highlight w:val="none"/>
              </w:rPr>
            </w:pPr>
          </w:p>
        </w:tc>
        <w:tc>
          <w:tcPr>
            <w:tcW w:w="1167" w:type="dxa"/>
            <w:noWrap w:val="0"/>
            <w:vAlign w:val="top"/>
          </w:tcPr>
          <w:p>
            <w:pPr>
              <w:rPr>
                <w:rFonts w:hint="eastAsia" w:ascii="宋体" w:hAnsi="宋体" w:cs="宋体"/>
                <w:color w:val="auto"/>
                <w:szCs w:val="21"/>
                <w:highlight w:val="none"/>
              </w:rPr>
            </w:pPr>
          </w:p>
        </w:tc>
        <w:tc>
          <w:tcPr>
            <w:tcW w:w="1510" w:type="dxa"/>
            <w:noWrap w:val="0"/>
            <w:vAlign w:val="top"/>
          </w:tcPr>
          <w:p>
            <w:pPr>
              <w:rPr>
                <w:rFonts w:hint="eastAsia" w:ascii="宋体" w:hAnsi="宋体" w:cs="宋体"/>
                <w:color w:val="auto"/>
                <w:szCs w:val="21"/>
                <w:highlight w:val="none"/>
              </w:rPr>
            </w:pPr>
          </w:p>
        </w:tc>
        <w:tc>
          <w:tcPr>
            <w:tcW w:w="892" w:type="dxa"/>
            <w:noWrap w:val="0"/>
            <w:vAlign w:val="top"/>
          </w:tcPr>
          <w:p>
            <w:pPr>
              <w:rPr>
                <w:rFonts w:hint="eastAsia" w:ascii="宋体" w:hAnsi="宋体" w:cs="宋体"/>
                <w:color w:val="auto"/>
                <w:szCs w:val="21"/>
                <w:highlight w:val="none"/>
              </w:rPr>
            </w:pPr>
          </w:p>
        </w:tc>
        <w:tc>
          <w:tcPr>
            <w:tcW w:w="970" w:type="dxa"/>
            <w:noWrap w:val="0"/>
            <w:vAlign w:val="top"/>
          </w:tcPr>
          <w:p>
            <w:pPr>
              <w:rPr>
                <w:rFonts w:hint="eastAsia" w:ascii="宋体" w:hAnsi="宋体" w:cs="宋体"/>
                <w:color w:val="auto"/>
                <w:szCs w:val="21"/>
                <w:highlight w:val="none"/>
              </w:rPr>
            </w:pPr>
          </w:p>
        </w:tc>
        <w:tc>
          <w:tcPr>
            <w:tcW w:w="1718" w:type="dxa"/>
            <w:noWrap w:val="0"/>
            <w:vAlign w:val="top"/>
          </w:tcPr>
          <w:p>
            <w:pPr>
              <w:rPr>
                <w:rFonts w:hint="eastAsia" w:ascii="宋体" w:hAnsi="宋体" w:cs="宋体"/>
                <w:color w:val="auto"/>
                <w:szCs w:val="21"/>
                <w:highlight w:val="none"/>
              </w:rPr>
            </w:pPr>
          </w:p>
        </w:tc>
        <w:tc>
          <w:tcPr>
            <w:tcW w:w="812" w:type="dxa"/>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327" w:type="dxa"/>
            <w:noWrap w:val="0"/>
            <w:vAlign w:val="top"/>
          </w:tcPr>
          <w:p>
            <w:pPr>
              <w:rPr>
                <w:rFonts w:hint="eastAsia" w:ascii="宋体" w:hAnsi="宋体" w:cs="宋体"/>
                <w:color w:val="auto"/>
                <w:szCs w:val="21"/>
                <w:highlight w:val="none"/>
              </w:rPr>
            </w:pPr>
          </w:p>
        </w:tc>
        <w:tc>
          <w:tcPr>
            <w:tcW w:w="1167" w:type="dxa"/>
            <w:noWrap w:val="0"/>
            <w:vAlign w:val="top"/>
          </w:tcPr>
          <w:p>
            <w:pPr>
              <w:rPr>
                <w:rFonts w:hint="eastAsia" w:ascii="宋体" w:hAnsi="宋体" w:cs="宋体"/>
                <w:color w:val="auto"/>
                <w:szCs w:val="21"/>
                <w:highlight w:val="none"/>
              </w:rPr>
            </w:pPr>
          </w:p>
        </w:tc>
        <w:tc>
          <w:tcPr>
            <w:tcW w:w="1510" w:type="dxa"/>
            <w:noWrap w:val="0"/>
            <w:vAlign w:val="top"/>
          </w:tcPr>
          <w:p>
            <w:pPr>
              <w:rPr>
                <w:rFonts w:hint="eastAsia" w:ascii="宋体" w:hAnsi="宋体" w:cs="宋体"/>
                <w:color w:val="auto"/>
                <w:szCs w:val="21"/>
                <w:highlight w:val="none"/>
              </w:rPr>
            </w:pPr>
          </w:p>
        </w:tc>
        <w:tc>
          <w:tcPr>
            <w:tcW w:w="892" w:type="dxa"/>
            <w:noWrap w:val="0"/>
            <w:vAlign w:val="top"/>
          </w:tcPr>
          <w:p>
            <w:pPr>
              <w:rPr>
                <w:rFonts w:hint="eastAsia" w:ascii="宋体" w:hAnsi="宋体" w:cs="宋体"/>
                <w:color w:val="auto"/>
                <w:szCs w:val="21"/>
                <w:highlight w:val="none"/>
              </w:rPr>
            </w:pPr>
          </w:p>
        </w:tc>
        <w:tc>
          <w:tcPr>
            <w:tcW w:w="970" w:type="dxa"/>
            <w:noWrap w:val="0"/>
            <w:vAlign w:val="top"/>
          </w:tcPr>
          <w:p>
            <w:pPr>
              <w:rPr>
                <w:rFonts w:hint="eastAsia" w:ascii="宋体" w:hAnsi="宋体" w:cs="宋体"/>
                <w:color w:val="auto"/>
                <w:szCs w:val="21"/>
                <w:highlight w:val="none"/>
              </w:rPr>
            </w:pPr>
          </w:p>
        </w:tc>
        <w:tc>
          <w:tcPr>
            <w:tcW w:w="1718" w:type="dxa"/>
            <w:noWrap w:val="0"/>
            <w:vAlign w:val="top"/>
          </w:tcPr>
          <w:p>
            <w:pPr>
              <w:rPr>
                <w:rFonts w:hint="eastAsia" w:ascii="宋体" w:hAnsi="宋体" w:cs="宋体"/>
                <w:color w:val="auto"/>
                <w:szCs w:val="21"/>
                <w:highlight w:val="none"/>
              </w:rPr>
            </w:pPr>
          </w:p>
        </w:tc>
        <w:tc>
          <w:tcPr>
            <w:tcW w:w="812" w:type="dxa"/>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327" w:type="dxa"/>
            <w:noWrap w:val="0"/>
            <w:vAlign w:val="top"/>
          </w:tcPr>
          <w:p>
            <w:pPr>
              <w:rPr>
                <w:rFonts w:hint="eastAsia" w:ascii="宋体" w:hAnsi="宋体" w:cs="宋体"/>
                <w:color w:val="auto"/>
                <w:szCs w:val="21"/>
                <w:highlight w:val="none"/>
              </w:rPr>
            </w:pPr>
          </w:p>
        </w:tc>
        <w:tc>
          <w:tcPr>
            <w:tcW w:w="1167" w:type="dxa"/>
            <w:noWrap w:val="0"/>
            <w:vAlign w:val="top"/>
          </w:tcPr>
          <w:p>
            <w:pPr>
              <w:rPr>
                <w:rFonts w:hint="eastAsia" w:ascii="宋体" w:hAnsi="宋体" w:cs="宋体"/>
                <w:color w:val="auto"/>
                <w:szCs w:val="21"/>
                <w:highlight w:val="none"/>
              </w:rPr>
            </w:pPr>
          </w:p>
        </w:tc>
        <w:tc>
          <w:tcPr>
            <w:tcW w:w="1510" w:type="dxa"/>
            <w:noWrap w:val="0"/>
            <w:vAlign w:val="top"/>
          </w:tcPr>
          <w:p>
            <w:pPr>
              <w:rPr>
                <w:rFonts w:hint="eastAsia" w:ascii="宋体" w:hAnsi="宋体" w:cs="宋体"/>
                <w:color w:val="auto"/>
                <w:szCs w:val="21"/>
                <w:highlight w:val="none"/>
              </w:rPr>
            </w:pPr>
          </w:p>
        </w:tc>
        <w:tc>
          <w:tcPr>
            <w:tcW w:w="892" w:type="dxa"/>
            <w:noWrap w:val="0"/>
            <w:vAlign w:val="top"/>
          </w:tcPr>
          <w:p>
            <w:pPr>
              <w:rPr>
                <w:rFonts w:hint="eastAsia" w:ascii="宋体" w:hAnsi="宋体" w:cs="宋体"/>
                <w:color w:val="auto"/>
                <w:szCs w:val="21"/>
                <w:highlight w:val="none"/>
              </w:rPr>
            </w:pPr>
          </w:p>
        </w:tc>
        <w:tc>
          <w:tcPr>
            <w:tcW w:w="970" w:type="dxa"/>
            <w:noWrap w:val="0"/>
            <w:vAlign w:val="top"/>
          </w:tcPr>
          <w:p>
            <w:pPr>
              <w:rPr>
                <w:rFonts w:hint="eastAsia" w:ascii="宋体" w:hAnsi="宋体" w:cs="宋体"/>
                <w:color w:val="auto"/>
                <w:szCs w:val="21"/>
                <w:highlight w:val="none"/>
              </w:rPr>
            </w:pPr>
          </w:p>
        </w:tc>
        <w:tc>
          <w:tcPr>
            <w:tcW w:w="1718" w:type="dxa"/>
            <w:noWrap w:val="0"/>
            <w:vAlign w:val="top"/>
          </w:tcPr>
          <w:p>
            <w:pPr>
              <w:rPr>
                <w:rFonts w:hint="eastAsia" w:ascii="宋体" w:hAnsi="宋体" w:cs="宋体"/>
                <w:color w:val="auto"/>
                <w:szCs w:val="21"/>
                <w:highlight w:val="none"/>
              </w:rPr>
            </w:pPr>
          </w:p>
        </w:tc>
        <w:tc>
          <w:tcPr>
            <w:tcW w:w="812" w:type="dxa"/>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2327" w:type="dxa"/>
            <w:noWrap w:val="0"/>
            <w:vAlign w:val="top"/>
          </w:tcPr>
          <w:p>
            <w:pPr>
              <w:rPr>
                <w:rFonts w:hint="eastAsia" w:ascii="宋体" w:hAnsi="宋体" w:cs="宋体"/>
                <w:color w:val="auto"/>
                <w:szCs w:val="21"/>
                <w:highlight w:val="none"/>
              </w:rPr>
            </w:pPr>
          </w:p>
        </w:tc>
        <w:tc>
          <w:tcPr>
            <w:tcW w:w="1167" w:type="dxa"/>
            <w:noWrap w:val="0"/>
            <w:vAlign w:val="top"/>
          </w:tcPr>
          <w:p>
            <w:pPr>
              <w:rPr>
                <w:rFonts w:hint="eastAsia" w:ascii="宋体" w:hAnsi="宋体" w:cs="宋体"/>
                <w:color w:val="auto"/>
                <w:szCs w:val="21"/>
                <w:highlight w:val="none"/>
              </w:rPr>
            </w:pPr>
          </w:p>
        </w:tc>
        <w:tc>
          <w:tcPr>
            <w:tcW w:w="1510" w:type="dxa"/>
            <w:noWrap w:val="0"/>
            <w:vAlign w:val="top"/>
          </w:tcPr>
          <w:p>
            <w:pPr>
              <w:rPr>
                <w:rFonts w:hint="eastAsia" w:ascii="宋体" w:hAnsi="宋体" w:cs="宋体"/>
                <w:color w:val="auto"/>
                <w:szCs w:val="21"/>
                <w:highlight w:val="none"/>
              </w:rPr>
            </w:pPr>
          </w:p>
        </w:tc>
        <w:tc>
          <w:tcPr>
            <w:tcW w:w="892" w:type="dxa"/>
            <w:noWrap w:val="0"/>
            <w:vAlign w:val="top"/>
          </w:tcPr>
          <w:p>
            <w:pPr>
              <w:rPr>
                <w:rFonts w:hint="eastAsia" w:ascii="宋体" w:hAnsi="宋体" w:cs="宋体"/>
                <w:color w:val="auto"/>
                <w:szCs w:val="21"/>
                <w:highlight w:val="none"/>
              </w:rPr>
            </w:pPr>
          </w:p>
        </w:tc>
        <w:tc>
          <w:tcPr>
            <w:tcW w:w="970" w:type="dxa"/>
            <w:noWrap w:val="0"/>
            <w:vAlign w:val="top"/>
          </w:tcPr>
          <w:p>
            <w:pPr>
              <w:rPr>
                <w:rFonts w:hint="eastAsia" w:ascii="宋体" w:hAnsi="宋体" w:cs="宋体"/>
                <w:color w:val="auto"/>
                <w:szCs w:val="21"/>
                <w:highlight w:val="none"/>
              </w:rPr>
            </w:pPr>
          </w:p>
        </w:tc>
        <w:tc>
          <w:tcPr>
            <w:tcW w:w="1718" w:type="dxa"/>
            <w:noWrap w:val="0"/>
            <w:vAlign w:val="top"/>
          </w:tcPr>
          <w:p>
            <w:pPr>
              <w:rPr>
                <w:rFonts w:hint="eastAsia" w:ascii="宋体" w:hAnsi="宋体" w:cs="宋体"/>
                <w:color w:val="auto"/>
                <w:szCs w:val="21"/>
                <w:highlight w:val="none"/>
              </w:rPr>
            </w:pPr>
          </w:p>
        </w:tc>
        <w:tc>
          <w:tcPr>
            <w:tcW w:w="812" w:type="dxa"/>
            <w:noWrap w:val="0"/>
            <w:vAlign w:val="top"/>
          </w:tcPr>
          <w:p>
            <w:pPr>
              <w:rPr>
                <w:rFonts w:hint="eastAsia" w:ascii="宋体" w:hAnsi="宋体" w:cs="宋体"/>
                <w:color w:val="auto"/>
                <w:szCs w:val="21"/>
                <w:highlight w:val="none"/>
              </w:rPr>
            </w:pPr>
          </w:p>
        </w:tc>
      </w:tr>
    </w:tbl>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注：提供近三年（201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年1月1日至今）</w:t>
      </w:r>
      <w:r>
        <w:rPr>
          <w:rFonts w:hint="eastAsia" w:ascii="宋体" w:hAnsi="宋体" w:cs="宋体"/>
          <w:color w:val="auto"/>
          <w:sz w:val="24"/>
          <w:highlight w:val="none"/>
          <w:lang w:eastAsia="zh-CN"/>
        </w:rPr>
        <w:t>类似</w:t>
      </w:r>
      <w:r>
        <w:rPr>
          <w:rFonts w:hint="eastAsia" w:ascii="宋体" w:hAnsi="宋体" w:cs="宋体"/>
          <w:color w:val="auto"/>
          <w:sz w:val="24"/>
          <w:highlight w:val="none"/>
        </w:rPr>
        <w:t>项目的业绩证明资料（如</w:t>
      </w:r>
      <w:r>
        <w:rPr>
          <w:rFonts w:hint="eastAsia" w:ascii="宋体" w:hAnsi="宋体" w:cs="宋体"/>
          <w:color w:val="auto"/>
          <w:sz w:val="24"/>
          <w:highlight w:val="none"/>
          <w:lang w:eastAsia="zh-CN"/>
        </w:rPr>
        <w:t>成交</w:t>
      </w:r>
      <w:r>
        <w:rPr>
          <w:rFonts w:hint="eastAsia" w:ascii="宋体" w:hAnsi="宋体" w:cs="宋体"/>
          <w:color w:val="auto"/>
          <w:sz w:val="24"/>
          <w:highlight w:val="none"/>
        </w:rPr>
        <w:t>通知书、合同、竣工验收报告等资料复印件）并加盖</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公章。</w:t>
      </w:r>
    </w:p>
    <w:p>
      <w:pPr>
        <w:pStyle w:val="2"/>
        <w:rPr>
          <w:rFonts w:hint="eastAsia" w:ascii="宋体" w:hAnsi="宋体" w:cs="宋体"/>
          <w:color w:val="auto"/>
          <w:sz w:val="24"/>
          <w:highlight w:val="none"/>
        </w:rPr>
      </w:pPr>
    </w:p>
    <w:p>
      <w:pPr>
        <w:rPr>
          <w:rFonts w:hint="eastAsia"/>
          <w:color w:val="auto"/>
          <w:highlight w:val="none"/>
        </w:rPr>
      </w:pPr>
    </w:p>
    <w:p>
      <w:pPr>
        <w:pStyle w:val="9"/>
        <w:spacing w:line="360" w:lineRule="auto"/>
        <w:ind w:firstLine="480" w:firstLineChars="200"/>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（盖章）：</w:t>
      </w:r>
    </w:p>
    <w:p>
      <w:pPr>
        <w:pStyle w:val="9"/>
        <w:spacing w:line="360" w:lineRule="auto"/>
        <w:rPr>
          <w:rFonts w:hint="eastAsia" w:ascii="宋体" w:hAnsi="宋体" w:eastAsia="宋体" w:cs="宋体"/>
          <w:bCs/>
          <w:color w:val="auto"/>
          <w:sz w:val="24"/>
          <w:szCs w:val="24"/>
          <w:highlight w:val="none"/>
        </w:rPr>
      </w:pPr>
    </w:p>
    <w:p>
      <w:pPr>
        <w:pStyle w:val="9"/>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法定代表人或委托代理人签字或盖章： </w:t>
      </w:r>
    </w:p>
    <w:p>
      <w:pPr>
        <w:pStyle w:val="9"/>
        <w:spacing w:line="360" w:lineRule="auto"/>
        <w:rPr>
          <w:rFonts w:hint="eastAsia" w:ascii="宋体" w:hAnsi="宋体" w:eastAsia="宋体" w:cs="宋体"/>
          <w:color w:val="auto"/>
          <w:sz w:val="24"/>
          <w:szCs w:val="24"/>
          <w:highlight w:val="none"/>
        </w:rPr>
      </w:pPr>
    </w:p>
    <w:p>
      <w:pPr>
        <w:pStyle w:val="9"/>
        <w:spacing w:line="360" w:lineRule="auto"/>
        <w:ind w:firstLine="480" w:firstLineChars="200"/>
        <w:jc w:val="both"/>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日期：</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pStyle w:val="18"/>
        <w:spacing w:before="75" w:beforeAutospacing="0" w:after="75" w:afterAutospacing="0" w:line="360" w:lineRule="auto"/>
        <w:jc w:val="center"/>
        <w:rPr>
          <w:rStyle w:val="25"/>
          <w:rFonts w:hint="eastAsia" w:cs="宋体"/>
          <w:b/>
          <w:bCs w:val="0"/>
          <w:color w:val="auto"/>
          <w:sz w:val="24"/>
          <w:szCs w:val="24"/>
          <w:highlight w:val="none"/>
        </w:rPr>
      </w:pPr>
    </w:p>
    <w:p>
      <w:pPr>
        <w:pStyle w:val="18"/>
        <w:spacing w:before="75" w:beforeAutospacing="0" w:after="75" w:afterAutospacing="0" w:line="360" w:lineRule="auto"/>
        <w:jc w:val="center"/>
        <w:rPr>
          <w:rStyle w:val="25"/>
          <w:rFonts w:hint="eastAsia" w:cs="宋体"/>
          <w:b/>
          <w:bCs w:val="0"/>
          <w:color w:val="auto"/>
          <w:sz w:val="24"/>
          <w:szCs w:val="24"/>
          <w:highlight w:val="none"/>
        </w:rPr>
      </w:pPr>
    </w:p>
    <w:p>
      <w:pPr>
        <w:pStyle w:val="18"/>
        <w:spacing w:before="75" w:beforeAutospacing="0" w:after="75" w:afterAutospacing="0" w:line="360" w:lineRule="auto"/>
        <w:jc w:val="center"/>
        <w:rPr>
          <w:rStyle w:val="25"/>
          <w:rFonts w:hint="eastAsia" w:cs="宋体"/>
          <w:b/>
          <w:bCs w:val="0"/>
          <w:color w:val="auto"/>
          <w:sz w:val="24"/>
          <w:szCs w:val="24"/>
          <w:highlight w:val="none"/>
          <w:lang w:val="en-US" w:eastAsia="zh-CN"/>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33 </w:t>
      </w:r>
      <w:r>
        <w:rPr>
          <w:rStyle w:val="25"/>
          <w:rFonts w:hint="eastAsia" w:cs="宋体"/>
          <w:b/>
          <w:bCs w:val="0"/>
          <w:color w:val="auto"/>
          <w:sz w:val="24"/>
          <w:szCs w:val="24"/>
          <w:highlight w:val="none"/>
        </w:rPr>
        <w:t xml:space="preserve"> </w:t>
      </w:r>
      <w:r>
        <w:rPr>
          <w:rStyle w:val="25"/>
          <w:rFonts w:hint="eastAsia" w:cs="宋体"/>
          <w:b/>
          <w:bCs w:val="0"/>
          <w:color w:val="auto"/>
          <w:sz w:val="24"/>
          <w:szCs w:val="24"/>
          <w:highlight w:val="none"/>
          <w:lang w:val="en-US" w:eastAsia="zh-CN"/>
        </w:rPr>
        <w:t>不拖欠农民工工资承诺书</w:t>
      </w:r>
    </w:p>
    <w:p>
      <w:pPr>
        <w:pStyle w:val="18"/>
        <w:spacing w:before="75" w:beforeAutospacing="0" w:after="75" w:afterAutospacing="0" w:line="360" w:lineRule="auto"/>
        <w:jc w:val="center"/>
        <w:rPr>
          <w:rStyle w:val="25"/>
          <w:rFonts w:hint="eastAsia" w:cs="宋体"/>
          <w:b/>
          <w:bCs w:val="0"/>
          <w:color w:val="auto"/>
          <w:sz w:val="24"/>
          <w:szCs w:val="24"/>
          <w:highlight w:val="none"/>
          <w:lang w:val="en-US" w:eastAsia="zh-CN"/>
        </w:rPr>
      </w:pPr>
    </w:p>
    <w:p>
      <w:pPr>
        <w:pStyle w:val="18"/>
        <w:spacing w:before="75" w:beforeAutospacing="0" w:after="75" w:afterAutospacing="0" w:line="360" w:lineRule="auto"/>
        <w:jc w:val="center"/>
        <w:rPr>
          <w:rStyle w:val="25"/>
          <w:rFonts w:hint="eastAsia" w:cs="宋体"/>
          <w:b/>
          <w:bCs w:val="0"/>
          <w:color w:val="auto"/>
          <w:sz w:val="24"/>
          <w:szCs w:val="24"/>
          <w:highlight w:val="none"/>
          <w:lang w:val="en-US" w:eastAsia="zh-CN"/>
        </w:rPr>
      </w:pPr>
    </w:p>
    <w:p>
      <w:pPr>
        <w:pStyle w:val="18"/>
        <w:spacing w:before="75" w:beforeAutospacing="0" w:after="75" w:afterAutospacing="0" w:line="360" w:lineRule="auto"/>
        <w:jc w:val="center"/>
        <w:rPr>
          <w:rStyle w:val="25"/>
          <w:rFonts w:hint="eastAsia" w:cs="宋体"/>
          <w:b/>
          <w:bCs w:val="0"/>
          <w:color w:val="auto"/>
          <w:sz w:val="24"/>
          <w:szCs w:val="24"/>
          <w:highlight w:val="none"/>
          <w:lang w:val="en-US" w:eastAsia="zh-CN"/>
        </w:rPr>
      </w:pPr>
    </w:p>
    <w:p>
      <w:pPr>
        <w:pStyle w:val="18"/>
        <w:spacing w:before="75" w:beforeAutospacing="0" w:after="75" w:afterAutospacing="0" w:line="360" w:lineRule="auto"/>
        <w:jc w:val="center"/>
        <w:rPr>
          <w:rStyle w:val="25"/>
          <w:rFonts w:hint="eastAsia" w:cs="宋体"/>
          <w:b/>
          <w:bCs w:val="0"/>
          <w:color w:val="auto"/>
          <w:sz w:val="24"/>
          <w:szCs w:val="24"/>
          <w:highlight w:val="none"/>
          <w:lang w:val="en-US" w:eastAsia="zh-CN"/>
        </w:rPr>
      </w:pPr>
      <w:r>
        <w:rPr>
          <w:rStyle w:val="25"/>
          <w:rFonts w:hint="eastAsia" w:cs="宋体"/>
          <w:b/>
          <w:bCs w:val="0"/>
          <w:color w:val="auto"/>
          <w:sz w:val="24"/>
          <w:szCs w:val="24"/>
          <w:highlight w:val="none"/>
          <w:lang w:val="en-US" w:eastAsia="zh-CN"/>
        </w:rPr>
        <w:t>（供应商自拟格式）</w:t>
      </w:r>
    </w:p>
    <w:p>
      <w:pPr>
        <w:pStyle w:val="18"/>
        <w:spacing w:before="75" w:beforeAutospacing="0" w:after="75" w:afterAutospacing="0" w:line="360" w:lineRule="auto"/>
        <w:jc w:val="center"/>
        <w:rPr>
          <w:rStyle w:val="25"/>
          <w:rFonts w:hint="eastAsia" w:cs="宋体"/>
          <w:b/>
          <w:bCs w:val="0"/>
          <w:color w:val="auto"/>
          <w:sz w:val="24"/>
          <w:szCs w:val="24"/>
          <w:highlight w:val="none"/>
          <w:lang w:val="en-US" w:eastAsia="zh-CN"/>
        </w:rPr>
      </w:pPr>
    </w:p>
    <w:p>
      <w:pPr>
        <w:pStyle w:val="18"/>
        <w:spacing w:before="75" w:beforeAutospacing="0" w:after="75" w:afterAutospacing="0" w:line="360" w:lineRule="auto"/>
        <w:jc w:val="center"/>
        <w:rPr>
          <w:rStyle w:val="25"/>
          <w:rFonts w:hint="eastAsia" w:cs="宋体"/>
          <w:b/>
          <w:bCs w:val="0"/>
          <w:color w:val="auto"/>
          <w:sz w:val="24"/>
          <w:szCs w:val="24"/>
          <w:highlight w:val="none"/>
          <w:lang w:val="en-US" w:eastAsia="zh-CN"/>
        </w:rPr>
      </w:pPr>
    </w:p>
    <w:p>
      <w:pPr>
        <w:pStyle w:val="18"/>
        <w:spacing w:before="75" w:beforeAutospacing="0" w:after="75" w:afterAutospacing="0" w:line="360" w:lineRule="auto"/>
        <w:jc w:val="center"/>
        <w:rPr>
          <w:rStyle w:val="25"/>
          <w:rFonts w:hint="eastAsia" w:cs="宋体"/>
          <w:b/>
          <w:bCs w:val="0"/>
          <w:color w:val="auto"/>
          <w:sz w:val="24"/>
          <w:szCs w:val="24"/>
          <w:highlight w:val="none"/>
          <w:lang w:val="en-US" w:eastAsia="zh-CN"/>
        </w:rPr>
      </w:pPr>
    </w:p>
    <w:p>
      <w:pPr>
        <w:pStyle w:val="18"/>
        <w:spacing w:before="75" w:beforeAutospacing="0" w:after="75" w:afterAutospacing="0" w:line="360" w:lineRule="auto"/>
        <w:jc w:val="center"/>
        <w:rPr>
          <w:rStyle w:val="25"/>
          <w:rFonts w:hint="eastAsia" w:cs="宋体"/>
          <w:b/>
          <w:bCs w:val="0"/>
          <w:color w:val="auto"/>
          <w:sz w:val="24"/>
          <w:szCs w:val="24"/>
          <w:highlight w:val="none"/>
          <w:lang w:val="en-US" w:eastAsia="zh-CN"/>
        </w:rPr>
      </w:pPr>
    </w:p>
    <w:p>
      <w:pPr>
        <w:pStyle w:val="18"/>
        <w:spacing w:before="75" w:beforeAutospacing="0" w:after="75" w:afterAutospacing="0" w:line="360" w:lineRule="auto"/>
        <w:jc w:val="center"/>
        <w:rPr>
          <w:rStyle w:val="25"/>
          <w:rFonts w:hint="eastAsia" w:cs="宋体"/>
          <w:b/>
          <w:bCs w:val="0"/>
          <w:color w:val="auto"/>
          <w:sz w:val="24"/>
          <w:szCs w:val="24"/>
          <w:highlight w:val="none"/>
          <w:lang w:val="en-US" w:eastAsia="zh-CN"/>
        </w:rPr>
      </w:pPr>
    </w:p>
    <w:p>
      <w:pPr>
        <w:pStyle w:val="9"/>
        <w:spacing w:line="360" w:lineRule="auto"/>
        <w:ind w:firstLine="480" w:firstLineChars="200"/>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（盖章）：</w:t>
      </w:r>
    </w:p>
    <w:p>
      <w:pPr>
        <w:pStyle w:val="9"/>
        <w:spacing w:line="360" w:lineRule="auto"/>
        <w:rPr>
          <w:rFonts w:hint="eastAsia" w:ascii="宋体" w:hAnsi="宋体" w:eastAsia="宋体" w:cs="宋体"/>
          <w:bCs/>
          <w:color w:val="auto"/>
          <w:sz w:val="24"/>
          <w:szCs w:val="24"/>
          <w:highlight w:val="none"/>
        </w:rPr>
      </w:pPr>
    </w:p>
    <w:p>
      <w:pPr>
        <w:pStyle w:val="9"/>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法定代表人或委托代理人签字或盖章： </w:t>
      </w:r>
    </w:p>
    <w:p>
      <w:pPr>
        <w:pStyle w:val="9"/>
        <w:spacing w:line="360" w:lineRule="auto"/>
        <w:rPr>
          <w:rFonts w:hint="eastAsia" w:ascii="宋体" w:hAnsi="宋体" w:eastAsia="宋体" w:cs="宋体"/>
          <w:color w:val="auto"/>
          <w:sz w:val="24"/>
          <w:szCs w:val="24"/>
          <w:highlight w:val="none"/>
        </w:rPr>
      </w:pPr>
    </w:p>
    <w:p>
      <w:pPr>
        <w:pStyle w:val="9"/>
        <w:spacing w:line="360" w:lineRule="auto"/>
        <w:ind w:firstLine="480" w:firstLineChars="200"/>
        <w:jc w:val="both"/>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日期：</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pStyle w:val="9"/>
        <w:spacing w:line="360" w:lineRule="auto"/>
        <w:ind w:firstLine="480" w:firstLineChars="200"/>
        <w:jc w:val="both"/>
        <w:rPr>
          <w:rFonts w:hint="eastAsia" w:ascii="宋体" w:hAnsi="宋体" w:eastAsia="宋体" w:cs="宋体"/>
          <w:color w:val="auto"/>
          <w:sz w:val="24"/>
          <w:szCs w:val="24"/>
          <w:highlight w:val="none"/>
        </w:rPr>
      </w:pPr>
    </w:p>
    <w:p>
      <w:pPr>
        <w:pStyle w:val="9"/>
        <w:spacing w:line="360" w:lineRule="auto"/>
        <w:ind w:firstLine="480" w:firstLineChars="200"/>
        <w:jc w:val="both"/>
        <w:rPr>
          <w:rFonts w:hint="eastAsia" w:ascii="宋体" w:hAnsi="宋体" w:eastAsia="宋体" w:cs="宋体"/>
          <w:color w:val="auto"/>
          <w:sz w:val="24"/>
          <w:szCs w:val="24"/>
          <w:highlight w:val="none"/>
        </w:rPr>
      </w:pPr>
    </w:p>
    <w:p>
      <w:pPr>
        <w:pStyle w:val="9"/>
        <w:spacing w:line="360" w:lineRule="auto"/>
        <w:ind w:firstLine="480" w:firstLineChars="200"/>
        <w:jc w:val="both"/>
        <w:rPr>
          <w:rFonts w:hint="eastAsia" w:ascii="宋体" w:hAnsi="宋体" w:eastAsia="宋体" w:cs="宋体"/>
          <w:color w:val="auto"/>
          <w:sz w:val="24"/>
          <w:szCs w:val="24"/>
          <w:highlight w:val="none"/>
        </w:rPr>
      </w:pPr>
    </w:p>
    <w:p>
      <w:pPr>
        <w:pStyle w:val="9"/>
        <w:spacing w:line="360" w:lineRule="auto"/>
        <w:ind w:firstLine="480" w:firstLineChars="200"/>
        <w:jc w:val="both"/>
        <w:rPr>
          <w:rFonts w:hint="eastAsia" w:ascii="宋体" w:hAnsi="宋体" w:eastAsia="宋体" w:cs="宋体"/>
          <w:color w:val="auto"/>
          <w:sz w:val="24"/>
          <w:szCs w:val="24"/>
          <w:highlight w:val="none"/>
        </w:rPr>
      </w:pPr>
    </w:p>
    <w:p>
      <w:pPr>
        <w:pStyle w:val="9"/>
        <w:spacing w:line="360" w:lineRule="auto"/>
        <w:ind w:firstLine="480" w:firstLineChars="200"/>
        <w:jc w:val="both"/>
        <w:rPr>
          <w:rFonts w:hint="eastAsia" w:ascii="宋体" w:hAnsi="宋体" w:eastAsia="宋体" w:cs="宋体"/>
          <w:color w:val="auto"/>
          <w:sz w:val="24"/>
          <w:szCs w:val="24"/>
          <w:highlight w:val="none"/>
        </w:rPr>
      </w:pPr>
    </w:p>
    <w:p>
      <w:pPr>
        <w:pStyle w:val="9"/>
        <w:spacing w:line="360" w:lineRule="auto"/>
        <w:ind w:firstLine="480" w:firstLineChars="200"/>
        <w:jc w:val="both"/>
        <w:rPr>
          <w:rFonts w:hint="eastAsia" w:ascii="宋体" w:hAnsi="宋体" w:eastAsia="宋体" w:cs="宋体"/>
          <w:color w:val="auto"/>
          <w:sz w:val="24"/>
          <w:szCs w:val="24"/>
          <w:highlight w:val="none"/>
        </w:rPr>
      </w:pPr>
    </w:p>
    <w:p>
      <w:pPr>
        <w:pStyle w:val="9"/>
        <w:spacing w:line="360" w:lineRule="auto"/>
        <w:ind w:firstLine="480" w:firstLineChars="200"/>
        <w:jc w:val="both"/>
        <w:rPr>
          <w:rFonts w:hint="eastAsia" w:ascii="宋体" w:hAnsi="宋体" w:eastAsia="宋体" w:cs="宋体"/>
          <w:color w:val="auto"/>
          <w:sz w:val="24"/>
          <w:szCs w:val="24"/>
          <w:highlight w:val="none"/>
        </w:rPr>
      </w:pPr>
    </w:p>
    <w:p>
      <w:pPr>
        <w:pStyle w:val="9"/>
        <w:spacing w:line="360" w:lineRule="auto"/>
        <w:ind w:firstLine="480" w:firstLineChars="200"/>
        <w:jc w:val="both"/>
        <w:rPr>
          <w:rFonts w:hint="eastAsia" w:ascii="宋体" w:hAnsi="宋体" w:eastAsia="宋体" w:cs="宋体"/>
          <w:color w:val="auto"/>
          <w:sz w:val="24"/>
          <w:szCs w:val="24"/>
          <w:highlight w:val="none"/>
        </w:rPr>
      </w:pPr>
    </w:p>
    <w:p>
      <w:pPr>
        <w:pStyle w:val="9"/>
        <w:spacing w:line="360" w:lineRule="auto"/>
        <w:ind w:firstLine="480" w:firstLineChars="200"/>
        <w:jc w:val="both"/>
        <w:rPr>
          <w:rFonts w:hint="eastAsia" w:ascii="宋体" w:hAnsi="宋体" w:eastAsia="宋体" w:cs="宋体"/>
          <w:color w:val="auto"/>
          <w:sz w:val="24"/>
          <w:szCs w:val="24"/>
          <w:highlight w:val="none"/>
        </w:rPr>
      </w:pPr>
    </w:p>
    <w:p>
      <w:pPr>
        <w:pStyle w:val="9"/>
        <w:spacing w:line="360" w:lineRule="auto"/>
        <w:ind w:firstLine="480" w:firstLineChars="200"/>
        <w:jc w:val="both"/>
        <w:rPr>
          <w:rFonts w:hint="eastAsia" w:ascii="宋体" w:hAnsi="宋体" w:eastAsia="宋体" w:cs="宋体"/>
          <w:color w:val="auto"/>
          <w:sz w:val="24"/>
          <w:szCs w:val="24"/>
          <w:highlight w:val="none"/>
        </w:rPr>
      </w:pPr>
    </w:p>
    <w:p>
      <w:pPr>
        <w:pStyle w:val="9"/>
        <w:spacing w:line="360" w:lineRule="auto"/>
        <w:ind w:firstLine="480" w:firstLineChars="200"/>
        <w:jc w:val="both"/>
        <w:rPr>
          <w:rFonts w:hint="eastAsia" w:ascii="宋体" w:hAnsi="宋体" w:eastAsia="宋体" w:cs="宋体"/>
          <w:color w:val="auto"/>
          <w:sz w:val="24"/>
          <w:szCs w:val="24"/>
          <w:highlight w:val="none"/>
        </w:rPr>
      </w:pPr>
    </w:p>
    <w:p>
      <w:pPr>
        <w:pStyle w:val="9"/>
        <w:spacing w:line="360" w:lineRule="auto"/>
        <w:ind w:firstLine="480" w:firstLineChars="200"/>
        <w:jc w:val="both"/>
        <w:rPr>
          <w:rFonts w:hint="eastAsia" w:ascii="宋体" w:hAnsi="宋体" w:eastAsia="宋体" w:cs="宋体"/>
          <w:color w:val="auto"/>
          <w:sz w:val="24"/>
          <w:szCs w:val="24"/>
          <w:highlight w:val="none"/>
          <w:lang w:val="en-US" w:eastAsia="zh-CN"/>
        </w:rPr>
      </w:pPr>
    </w:p>
    <w:p>
      <w:pPr>
        <w:pStyle w:val="18"/>
        <w:spacing w:before="75" w:beforeAutospacing="0" w:after="75" w:afterAutospacing="0" w:line="360" w:lineRule="auto"/>
        <w:jc w:val="center"/>
        <w:rPr>
          <w:rStyle w:val="25"/>
          <w:rFonts w:hint="eastAsia" w:cs="宋体"/>
          <w:b/>
          <w:bCs w:val="0"/>
          <w:color w:val="auto"/>
          <w:sz w:val="24"/>
          <w:szCs w:val="24"/>
          <w:highlight w:val="none"/>
          <w:lang w:val="en-US" w:eastAsia="zh-CN"/>
        </w:rPr>
      </w:pPr>
      <w:r>
        <w:rPr>
          <w:rStyle w:val="25"/>
          <w:rFonts w:hint="eastAsia" w:cs="宋体"/>
          <w:b/>
          <w:bCs w:val="0"/>
          <w:color w:val="auto"/>
          <w:sz w:val="24"/>
          <w:szCs w:val="24"/>
          <w:highlight w:val="none"/>
        </w:rPr>
        <w:t>格式</w:t>
      </w:r>
      <w:r>
        <w:rPr>
          <w:rStyle w:val="25"/>
          <w:rFonts w:hint="eastAsia" w:cs="宋体"/>
          <w:b/>
          <w:bCs w:val="0"/>
          <w:color w:val="auto"/>
          <w:sz w:val="24"/>
          <w:szCs w:val="24"/>
          <w:highlight w:val="none"/>
          <w:lang w:val="en-US" w:eastAsia="zh-CN"/>
        </w:rPr>
        <w:t xml:space="preserve">34 </w:t>
      </w:r>
      <w:r>
        <w:rPr>
          <w:rStyle w:val="25"/>
          <w:rFonts w:hint="eastAsia" w:cs="宋体"/>
          <w:b/>
          <w:bCs w:val="0"/>
          <w:color w:val="auto"/>
          <w:sz w:val="24"/>
          <w:szCs w:val="24"/>
          <w:highlight w:val="none"/>
        </w:rPr>
        <w:t xml:space="preserve"> </w:t>
      </w:r>
      <w:r>
        <w:rPr>
          <w:rStyle w:val="25"/>
          <w:rFonts w:hint="eastAsia" w:cs="宋体"/>
          <w:b/>
          <w:bCs w:val="0"/>
          <w:color w:val="auto"/>
          <w:sz w:val="24"/>
          <w:szCs w:val="24"/>
          <w:highlight w:val="none"/>
          <w:lang w:val="en-US" w:eastAsia="zh-CN"/>
        </w:rPr>
        <w:t>技术条款偏离表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06"/>
        <w:gridCol w:w="1690"/>
        <w:gridCol w:w="1620"/>
        <w:gridCol w:w="1800"/>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06"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69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服务内容及要求</w:t>
            </w:r>
          </w:p>
        </w:tc>
        <w:tc>
          <w:tcPr>
            <w:tcW w:w="162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招标要求</w:t>
            </w:r>
          </w:p>
        </w:tc>
        <w:tc>
          <w:tcPr>
            <w:tcW w:w="180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投标规格</w:t>
            </w:r>
          </w:p>
        </w:tc>
        <w:tc>
          <w:tcPr>
            <w:tcW w:w="1744"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rPr>
                <w:rFonts w:hint="eastAsia" w:ascii="宋体" w:hAnsi="宋体" w:eastAsia="宋体" w:cs="宋体"/>
                <w:color w:val="auto"/>
                <w:sz w:val="24"/>
                <w:highlight w:val="none"/>
              </w:rPr>
            </w:pPr>
          </w:p>
        </w:tc>
        <w:tc>
          <w:tcPr>
            <w:tcW w:w="1606" w:type="dxa"/>
            <w:noWrap w:val="0"/>
            <w:vAlign w:val="center"/>
          </w:tcPr>
          <w:p>
            <w:pPr>
              <w:rPr>
                <w:rFonts w:hint="eastAsia" w:ascii="宋体" w:hAnsi="宋体" w:eastAsia="宋体" w:cs="宋体"/>
                <w:color w:val="auto"/>
                <w:sz w:val="24"/>
                <w:highlight w:val="none"/>
              </w:rPr>
            </w:pPr>
          </w:p>
        </w:tc>
        <w:tc>
          <w:tcPr>
            <w:tcW w:w="1690" w:type="dxa"/>
            <w:noWrap w:val="0"/>
            <w:vAlign w:val="center"/>
          </w:tcPr>
          <w:p>
            <w:pPr>
              <w:rPr>
                <w:rFonts w:hint="eastAsia" w:ascii="宋体" w:hAnsi="宋体" w:eastAsia="宋体" w:cs="宋体"/>
                <w:color w:val="auto"/>
                <w:sz w:val="24"/>
                <w:highlight w:val="none"/>
              </w:rPr>
            </w:pPr>
          </w:p>
        </w:tc>
        <w:tc>
          <w:tcPr>
            <w:tcW w:w="1620" w:type="dxa"/>
            <w:noWrap w:val="0"/>
            <w:vAlign w:val="center"/>
          </w:tcPr>
          <w:p>
            <w:pPr>
              <w:rPr>
                <w:rFonts w:hint="eastAsia" w:ascii="宋体" w:hAnsi="宋体" w:eastAsia="宋体" w:cs="宋体"/>
                <w:color w:val="auto"/>
                <w:sz w:val="24"/>
                <w:highlight w:val="none"/>
              </w:rPr>
            </w:pPr>
          </w:p>
        </w:tc>
        <w:tc>
          <w:tcPr>
            <w:tcW w:w="1800" w:type="dxa"/>
            <w:noWrap w:val="0"/>
            <w:vAlign w:val="center"/>
          </w:tcPr>
          <w:p>
            <w:pPr>
              <w:rPr>
                <w:rFonts w:hint="eastAsia" w:ascii="宋体" w:hAnsi="宋体" w:eastAsia="宋体" w:cs="宋体"/>
                <w:color w:val="auto"/>
                <w:sz w:val="24"/>
                <w:highlight w:val="none"/>
              </w:rPr>
            </w:pPr>
          </w:p>
        </w:tc>
        <w:tc>
          <w:tcPr>
            <w:tcW w:w="1744" w:type="dxa"/>
            <w:noWrap w:val="0"/>
            <w:vAlign w:val="center"/>
          </w:tcPr>
          <w:p>
            <w:pPr>
              <w:rPr>
                <w:rFonts w:hint="eastAsia" w:ascii="宋体" w:hAnsi="宋体" w:eastAsia="宋体" w:cs="宋体"/>
                <w:color w:val="auto"/>
                <w:sz w:val="24"/>
                <w:highlight w:val="none"/>
              </w:rPr>
            </w:pPr>
          </w:p>
        </w:tc>
      </w:tr>
    </w:tbl>
    <w:p>
      <w:pPr>
        <w:spacing w:line="24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注：1、</w:t>
      </w:r>
      <w:r>
        <w:rPr>
          <w:rFonts w:hint="eastAsia" w:ascii="宋体" w:hAnsi="宋体" w:cs="宋体"/>
          <w:b w:val="0"/>
          <w:bCs/>
          <w:color w:val="auto"/>
          <w:sz w:val="24"/>
          <w:highlight w:val="none"/>
          <w:lang w:eastAsia="zh-CN"/>
        </w:rPr>
        <w:t>供应商</w:t>
      </w:r>
      <w:r>
        <w:rPr>
          <w:rFonts w:hint="eastAsia" w:ascii="宋体" w:hAnsi="宋体" w:eastAsia="宋体" w:cs="宋体"/>
          <w:b w:val="0"/>
          <w:bCs/>
          <w:color w:val="auto"/>
          <w:sz w:val="24"/>
          <w:highlight w:val="none"/>
        </w:rPr>
        <w:t>应对照技术规格及要求中的</w:t>
      </w:r>
      <w:r>
        <w:rPr>
          <w:rFonts w:hint="eastAsia" w:ascii="宋体" w:hAnsi="宋体" w:eastAsia="宋体" w:cs="宋体"/>
          <w:b w:val="0"/>
          <w:bCs/>
          <w:color w:val="auto"/>
          <w:sz w:val="24"/>
          <w:highlight w:val="none"/>
          <w:lang w:eastAsia="zh-CN"/>
        </w:rPr>
        <w:t>采购</w:t>
      </w:r>
      <w:r>
        <w:rPr>
          <w:rFonts w:hint="eastAsia" w:ascii="宋体" w:hAnsi="宋体" w:eastAsia="宋体" w:cs="宋体"/>
          <w:b w:val="0"/>
          <w:bCs/>
          <w:color w:val="auto"/>
          <w:sz w:val="24"/>
          <w:highlight w:val="none"/>
        </w:rPr>
        <w:t>项目要求，逐条说明所提供项目和服务已对</w:t>
      </w:r>
      <w:r>
        <w:rPr>
          <w:rFonts w:hint="eastAsia" w:ascii="宋体" w:hAnsi="宋体" w:cs="宋体"/>
          <w:b w:val="0"/>
          <w:bCs/>
          <w:color w:val="auto"/>
          <w:sz w:val="24"/>
          <w:highlight w:val="none"/>
          <w:lang w:eastAsia="zh-CN"/>
        </w:rPr>
        <w:t>竞争性磋商文件</w:t>
      </w:r>
      <w:r>
        <w:rPr>
          <w:rFonts w:hint="eastAsia" w:ascii="宋体" w:hAnsi="宋体" w:eastAsia="宋体" w:cs="宋体"/>
          <w:b w:val="0"/>
          <w:bCs/>
          <w:color w:val="auto"/>
          <w:sz w:val="24"/>
          <w:highlight w:val="none"/>
        </w:rPr>
        <w:t>的技术要求做出了实质性的</w:t>
      </w:r>
      <w:r>
        <w:rPr>
          <w:rFonts w:hint="eastAsia" w:ascii="宋体" w:hAnsi="宋体" w:cs="宋体"/>
          <w:b w:val="0"/>
          <w:bCs/>
          <w:color w:val="auto"/>
          <w:sz w:val="24"/>
          <w:highlight w:val="none"/>
          <w:lang w:eastAsia="zh-CN"/>
        </w:rPr>
        <w:t>投标</w:t>
      </w:r>
      <w:r>
        <w:rPr>
          <w:rFonts w:hint="eastAsia" w:ascii="宋体" w:hAnsi="宋体" w:eastAsia="宋体" w:cs="宋体"/>
          <w:b w:val="0"/>
          <w:bCs/>
          <w:color w:val="auto"/>
          <w:sz w:val="24"/>
          <w:highlight w:val="none"/>
        </w:rPr>
        <w:t>，并申明与技术规格条文的偏差和例外。特别对有具体技术要求的指标，</w:t>
      </w:r>
      <w:r>
        <w:rPr>
          <w:rFonts w:hint="eastAsia" w:ascii="宋体" w:hAnsi="宋体" w:cs="宋体"/>
          <w:b w:val="0"/>
          <w:bCs/>
          <w:color w:val="auto"/>
          <w:sz w:val="24"/>
          <w:highlight w:val="none"/>
          <w:lang w:eastAsia="zh-CN"/>
        </w:rPr>
        <w:t>供应商</w:t>
      </w:r>
      <w:r>
        <w:rPr>
          <w:rFonts w:hint="eastAsia" w:ascii="宋体" w:hAnsi="宋体" w:eastAsia="宋体" w:cs="宋体"/>
          <w:b w:val="0"/>
          <w:bCs/>
          <w:color w:val="auto"/>
          <w:sz w:val="24"/>
          <w:highlight w:val="none"/>
        </w:rPr>
        <w:t>必须提供所投标项目的具体参数值。</w:t>
      </w:r>
    </w:p>
    <w:p>
      <w:pPr>
        <w:spacing w:line="24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供应商</w:t>
      </w:r>
      <w:r>
        <w:rPr>
          <w:rFonts w:hint="eastAsia" w:ascii="宋体" w:hAnsi="宋体" w:eastAsia="宋体" w:cs="宋体"/>
          <w:b w:val="0"/>
          <w:bCs/>
          <w:color w:val="auto"/>
          <w:sz w:val="24"/>
          <w:highlight w:val="none"/>
        </w:rPr>
        <w:t>所提供项目和服务已对</w:t>
      </w:r>
      <w:r>
        <w:rPr>
          <w:rFonts w:hint="eastAsia" w:ascii="宋体" w:hAnsi="宋体" w:cs="宋体"/>
          <w:b w:val="0"/>
          <w:bCs/>
          <w:color w:val="auto"/>
          <w:sz w:val="24"/>
          <w:highlight w:val="none"/>
          <w:lang w:eastAsia="zh-CN"/>
        </w:rPr>
        <w:t>竞争性磋商文件</w:t>
      </w:r>
      <w:r>
        <w:rPr>
          <w:rFonts w:hint="eastAsia" w:ascii="宋体" w:hAnsi="宋体" w:eastAsia="宋体" w:cs="宋体"/>
          <w:b w:val="0"/>
          <w:bCs/>
          <w:color w:val="auto"/>
          <w:sz w:val="24"/>
          <w:highlight w:val="none"/>
        </w:rPr>
        <w:t>、技术规格及要求中的招标项目要求、技术规格和服务条件的偏离只能优于</w:t>
      </w:r>
      <w:r>
        <w:rPr>
          <w:rFonts w:hint="eastAsia" w:ascii="宋体" w:hAnsi="宋体" w:cs="宋体"/>
          <w:b w:val="0"/>
          <w:bCs/>
          <w:color w:val="auto"/>
          <w:sz w:val="24"/>
          <w:highlight w:val="none"/>
          <w:lang w:eastAsia="zh-CN"/>
        </w:rPr>
        <w:t>竞争性磋商文件</w:t>
      </w:r>
      <w:r>
        <w:rPr>
          <w:rFonts w:hint="eastAsia" w:ascii="宋体" w:hAnsi="宋体" w:eastAsia="宋体" w:cs="宋体"/>
          <w:b w:val="0"/>
          <w:bCs/>
          <w:color w:val="auto"/>
          <w:sz w:val="24"/>
          <w:highlight w:val="none"/>
        </w:rPr>
        <w:t>、技术规格及要求的招标项目要求，否则评标委员会有权按</w:t>
      </w:r>
      <w:r>
        <w:rPr>
          <w:rFonts w:hint="eastAsia" w:ascii="宋体" w:hAnsi="宋体" w:cs="宋体"/>
          <w:b w:val="0"/>
          <w:bCs/>
          <w:color w:val="auto"/>
          <w:sz w:val="24"/>
          <w:highlight w:val="none"/>
          <w:lang w:eastAsia="zh-CN"/>
        </w:rPr>
        <w:t>竞争性磋商文件</w:t>
      </w:r>
      <w:r>
        <w:rPr>
          <w:rFonts w:hint="eastAsia" w:ascii="宋体" w:hAnsi="宋体" w:eastAsia="宋体" w:cs="宋体"/>
          <w:b w:val="0"/>
          <w:bCs/>
          <w:color w:val="auto"/>
          <w:sz w:val="24"/>
          <w:highlight w:val="none"/>
        </w:rPr>
        <w:t>中相应规定作否决投标处理。</w:t>
      </w:r>
    </w:p>
    <w:p>
      <w:pPr>
        <w:spacing w:line="24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3、没有说明的其他条款将被认为完全满足本招标项目技术条款要求。</w:t>
      </w:r>
    </w:p>
    <w:p>
      <w:pPr>
        <w:spacing w:line="24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4、各</w:t>
      </w:r>
      <w:r>
        <w:rPr>
          <w:rFonts w:hint="eastAsia" w:ascii="宋体" w:hAnsi="宋体" w:cs="宋体"/>
          <w:b w:val="0"/>
          <w:bCs/>
          <w:color w:val="auto"/>
          <w:sz w:val="24"/>
          <w:highlight w:val="none"/>
          <w:lang w:eastAsia="zh-CN"/>
        </w:rPr>
        <w:t>供应商</w:t>
      </w:r>
      <w:r>
        <w:rPr>
          <w:rFonts w:hint="eastAsia" w:ascii="宋体" w:hAnsi="宋体" w:eastAsia="宋体" w:cs="宋体"/>
          <w:b w:val="0"/>
          <w:bCs/>
          <w:color w:val="auto"/>
          <w:sz w:val="24"/>
          <w:highlight w:val="none"/>
        </w:rPr>
        <w:t>按此表格式自行填写，表格不够时可自行添加。</w:t>
      </w:r>
    </w:p>
    <w:p>
      <w:pPr>
        <w:pStyle w:val="18"/>
        <w:spacing w:before="75" w:beforeAutospacing="0" w:after="75" w:afterAutospacing="0" w:line="360" w:lineRule="auto"/>
        <w:jc w:val="center"/>
        <w:rPr>
          <w:rStyle w:val="25"/>
          <w:rFonts w:hint="eastAsia" w:cs="宋体"/>
          <w:b/>
          <w:bCs w:val="0"/>
          <w:color w:val="auto"/>
          <w:sz w:val="24"/>
          <w:szCs w:val="24"/>
          <w:highlight w:val="none"/>
          <w:lang w:val="en-US" w:eastAsia="zh-CN"/>
        </w:rPr>
      </w:pPr>
    </w:p>
    <w:p>
      <w:pPr>
        <w:pStyle w:val="9"/>
        <w:spacing w:line="360" w:lineRule="auto"/>
        <w:ind w:firstLine="480" w:firstLineChars="200"/>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（盖章）：</w:t>
      </w:r>
    </w:p>
    <w:p>
      <w:pPr>
        <w:pStyle w:val="9"/>
        <w:spacing w:line="360" w:lineRule="auto"/>
        <w:rPr>
          <w:rFonts w:hint="eastAsia" w:ascii="宋体" w:hAnsi="宋体" w:eastAsia="宋体" w:cs="宋体"/>
          <w:bCs/>
          <w:color w:val="auto"/>
          <w:sz w:val="24"/>
          <w:szCs w:val="24"/>
          <w:highlight w:val="none"/>
        </w:rPr>
      </w:pPr>
    </w:p>
    <w:p>
      <w:pPr>
        <w:pStyle w:val="9"/>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法定代表人或委托代理人签字或盖章： </w:t>
      </w:r>
    </w:p>
    <w:p>
      <w:pPr>
        <w:pStyle w:val="9"/>
        <w:spacing w:line="360" w:lineRule="auto"/>
        <w:rPr>
          <w:rFonts w:hint="eastAsia" w:ascii="宋体" w:hAnsi="宋体" w:eastAsia="宋体" w:cs="宋体"/>
          <w:color w:val="auto"/>
          <w:sz w:val="24"/>
          <w:szCs w:val="24"/>
          <w:highlight w:val="none"/>
        </w:rPr>
      </w:pPr>
    </w:p>
    <w:p>
      <w:pPr>
        <w:pStyle w:val="9"/>
        <w:spacing w:line="360" w:lineRule="auto"/>
        <w:ind w:firstLine="480" w:firstLineChars="200"/>
        <w:jc w:val="both"/>
        <w:rPr>
          <w:rStyle w:val="25"/>
          <w:rFonts w:hint="eastAsia" w:cs="宋体"/>
          <w:b/>
          <w:bCs w:val="0"/>
          <w:color w:val="auto"/>
          <w:sz w:val="24"/>
          <w:szCs w:val="24"/>
          <w:highlight w:val="none"/>
          <w:lang w:val="en-US" w:eastAsia="zh-CN"/>
        </w:rPr>
      </w:pPr>
      <w:r>
        <w:rPr>
          <w:rFonts w:hint="eastAsia" w:hAnsi="宋体" w:cs="宋体"/>
          <w:color w:val="auto"/>
          <w:sz w:val="24"/>
          <w:szCs w:val="24"/>
          <w:highlight w:val="none"/>
          <w:lang w:eastAsia="zh-CN"/>
        </w:rPr>
        <w:t>日期：</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pStyle w:val="18"/>
        <w:spacing w:before="75" w:beforeAutospacing="0" w:after="75" w:afterAutospacing="0" w:line="240" w:lineRule="auto"/>
        <w:jc w:val="center"/>
        <w:rPr>
          <w:rStyle w:val="25"/>
          <w:rFonts w:hint="eastAsia" w:cs="宋体"/>
          <w:b/>
          <w:bCs w:val="0"/>
          <w:color w:val="auto"/>
          <w:sz w:val="28"/>
          <w:szCs w:val="28"/>
          <w:highlight w:val="none"/>
        </w:rPr>
      </w:pPr>
      <w:r>
        <w:rPr>
          <w:rStyle w:val="25"/>
          <w:rFonts w:hint="eastAsia" w:cs="宋体"/>
          <w:b/>
          <w:bCs w:val="0"/>
          <w:color w:val="auto"/>
          <w:sz w:val="28"/>
          <w:szCs w:val="28"/>
          <w:highlight w:val="none"/>
        </w:rPr>
        <w:t>第六章  评审标准（综合评分法）</w:t>
      </w:r>
    </w:p>
    <w:p>
      <w:pPr>
        <w:pStyle w:val="18"/>
        <w:spacing w:before="75" w:beforeAutospacing="0" w:after="75" w:afterAutospacing="0" w:line="240" w:lineRule="auto"/>
        <w:rPr>
          <w:rStyle w:val="25"/>
          <w:rFonts w:hint="eastAsia" w:cs="宋体"/>
          <w:b/>
          <w:bCs w:val="0"/>
          <w:color w:val="auto"/>
          <w:sz w:val="24"/>
          <w:szCs w:val="24"/>
          <w:highlight w:val="none"/>
        </w:rPr>
      </w:pPr>
      <w:r>
        <w:rPr>
          <w:rStyle w:val="25"/>
          <w:rFonts w:hint="eastAsia" w:cs="宋体"/>
          <w:b/>
          <w:bCs w:val="0"/>
          <w:color w:val="auto"/>
          <w:sz w:val="24"/>
          <w:szCs w:val="24"/>
          <w:highlight w:val="none"/>
        </w:rPr>
        <w:t>一、初审</w:t>
      </w:r>
    </w:p>
    <w:p>
      <w:pPr>
        <w:pStyle w:val="18"/>
        <w:spacing w:before="75" w:beforeAutospacing="0" w:after="75" w:afterAutospacing="0" w:line="240" w:lineRule="auto"/>
        <w:rPr>
          <w:rStyle w:val="25"/>
          <w:rFonts w:hint="eastAsia" w:cs="宋体"/>
          <w:b/>
          <w:bCs w:val="0"/>
          <w:color w:val="auto"/>
          <w:sz w:val="24"/>
          <w:szCs w:val="24"/>
          <w:highlight w:val="none"/>
        </w:rPr>
      </w:pPr>
      <w:r>
        <w:rPr>
          <w:rStyle w:val="25"/>
          <w:rFonts w:hint="eastAsia" w:cs="宋体"/>
          <w:b/>
          <w:bCs w:val="0"/>
          <w:color w:val="auto"/>
          <w:sz w:val="24"/>
          <w:szCs w:val="24"/>
          <w:highlight w:val="none"/>
        </w:rPr>
        <w:t>1、资格性审查</w:t>
      </w:r>
    </w:p>
    <w:tbl>
      <w:tblPr>
        <w:tblStyle w:val="22"/>
        <w:tblW w:w="9684"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6414"/>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4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评审因素</w:t>
            </w: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4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满足《中华人民共和国政府采购法》第二十二条规定</w:t>
            </w: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64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cs="宋体"/>
                <w:color w:val="auto"/>
                <w:sz w:val="24"/>
                <w:szCs w:val="24"/>
                <w:highlight w:val="none"/>
                <w:lang w:eastAsia="zh-CN"/>
              </w:rPr>
              <w:t>供应商</w:t>
            </w:r>
            <w:r>
              <w:rPr>
                <w:rFonts w:hint="eastAsia" w:cs="宋体"/>
                <w:color w:val="auto"/>
                <w:sz w:val="24"/>
                <w:szCs w:val="24"/>
                <w:highlight w:val="none"/>
              </w:rPr>
              <w:t>为中小企业/小微企业</w:t>
            </w: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提供 《中小企业声明函》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3"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64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根据《财政部关于在政府采购活动中查询及使用信用记录有关问题的通知》（财库﹝2016﹞125号）的要求，凡拟参加本次招标项目的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未被列入“信用中国”网站（www.creditchina.gov.cn）失信被执行人、重大税收违法案件当事人名单及中国政府采购网（www.ccgp.gov.cn）“政府采购严重违法失信行为信息记录”；</w:t>
            </w: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64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cs="宋体"/>
                <w:bCs/>
                <w:color w:val="auto"/>
                <w:kern w:val="0"/>
                <w:sz w:val="24"/>
                <w:szCs w:val="22"/>
                <w:highlight w:val="none"/>
                <w:lang w:val="en-US" w:eastAsia="zh-CN"/>
              </w:rPr>
              <w:t>具有建设行政主管部门颁发的建筑工程施工总承包叁级及以上资质或建筑装修装饰工程贰级及以上资质，并具有有效的安全生产许可证</w:t>
            </w: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8"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64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cs="宋体"/>
                <w:bCs/>
                <w:color w:val="auto"/>
                <w:kern w:val="0"/>
                <w:sz w:val="24"/>
                <w:szCs w:val="22"/>
                <w:highlight w:val="none"/>
                <w:lang w:val="en-US" w:eastAsia="zh-CN"/>
              </w:rPr>
              <w:t>拟派项目负责人应具有建设行政主管部门核发的建筑工程贰级及以上建造师注册证书，并取得安全生产考核合格证（A类或B类），同时提供可以证明证书在有效期内的相关资料。疆外申请人拟派的项目主要管理人员必须为建设工程企业信息登记册（建筑业企业）中相对应的已备案人员。</w:t>
            </w: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64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Cs/>
                <w:color w:val="auto"/>
                <w:kern w:val="0"/>
                <w:sz w:val="24"/>
                <w:szCs w:val="22"/>
                <w:highlight w:val="none"/>
                <w:lang w:val="en-US" w:eastAsia="zh-CN"/>
              </w:rPr>
              <w:t>疆外申请人应具有新疆维吾尔自治区住房和城乡建设厅出具的有效期内的《（2021）年新疆维吾尔自治区区外建设工程企业信息登记册（建筑业企业）》且登记册中具备本竞争性磋商采购公告要求的相应资质。</w:t>
            </w: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64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本项目不接受联合体</w:t>
            </w:r>
            <w:r>
              <w:rPr>
                <w:rFonts w:hint="eastAsia" w:ascii="宋体" w:hAnsi="宋体" w:cs="宋体"/>
                <w:color w:val="auto"/>
                <w:sz w:val="24"/>
                <w:highlight w:val="none"/>
                <w:lang w:eastAsia="zh-CN"/>
              </w:rPr>
              <w:t>供应商</w:t>
            </w: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符合本</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rPr>
              <w:t>规定</w:t>
            </w:r>
          </w:p>
        </w:tc>
      </w:tr>
    </w:tbl>
    <w:p>
      <w:pPr>
        <w:pStyle w:val="18"/>
        <w:spacing w:before="75" w:beforeAutospacing="0" w:after="75" w:afterAutospacing="0" w:line="360" w:lineRule="auto"/>
        <w:rPr>
          <w:rStyle w:val="25"/>
          <w:rFonts w:hint="eastAsia" w:cs="宋体"/>
          <w:b/>
          <w:bCs w:val="0"/>
          <w:color w:val="auto"/>
          <w:sz w:val="24"/>
          <w:szCs w:val="24"/>
          <w:highlight w:val="none"/>
        </w:rPr>
      </w:pPr>
      <w:r>
        <w:rPr>
          <w:rStyle w:val="25"/>
          <w:rFonts w:hint="eastAsia" w:cs="宋体"/>
          <w:b/>
          <w:bCs w:val="0"/>
          <w:color w:val="auto"/>
          <w:sz w:val="24"/>
          <w:szCs w:val="24"/>
          <w:highlight w:val="none"/>
        </w:rPr>
        <w:t>2、符合性审查</w:t>
      </w:r>
    </w:p>
    <w:tbl>
      <w:tblPr>
        <w:tblStyle w:val="22"/>
        <w:tblW w:w="8727"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963"/>
        <w:gridCol w:w="2161"/>
        <w:gridCol w:w="4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67" w:type="dxa"/>
            <w:noWrap w:val="0"/>
            <w:vAlign w:val="center"/>
          </w:tcPr>
          <w:p>
            <w:pPr>
              <w:spacing w:line="5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3124" w:type="dxa"/>
            <w:gridSpan w:val="2"/>
            <w:noWrap w:val="0"/>
            <w:vAlign w:val="center"/>
          </w:tcPr>
          <w:p>
            <w:pPr>
              <w:spacing w:line="5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评审因素</w:t>
            </w:r>
          </w:p>
        </w:tc>
        <w:tc>
          <w:tcPr>
            <w:tcW w:w="4936" w:type="dxa"/>
            <w:noWrap w:val="0"/>
            <w:vAlign w:val="center"/>
          </w:tcPr>
          <w:p>
            <w:pPr>
              <w:spacing w:line="5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667" w:type="dxa"/>
            <w:vMerge w:val="restart"/>
            <w:noWrap w:val="0"/>
            <w:vAlign w:val="center"/>
          </w:tcPr>
          <w:p>
            <w:pPr>
              <w:spacing w:line="5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963" w:type="dxa"/>
            <w:vMerge w:val="restart"/>
            <w:noWrap w:val="0"/>
            <w:vAlign w:val="center"/>
          </w:tcPr>
          <w:p>
            <w:pPr>
              <w:spacing w:line="5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有效性审查</w:t>
            </w:r>
          </w:p>
        </w:tc>
        <w:tc>
          <w:tcPr>
            <w:tcW w:w="21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highlight w:val="none"/>
              </w:rPr>
            </w:pPr>
            <w:r>
              <w:rPr>
                <w:rFonts w:hint="eastAsia" w:ascii="宋体" w:hAnsi="宋体" w:cs="宋体"/>
                <w:color w:val="auto"/>
                <w:sz w:val="24"/>
                <w:highlight w:val="none"/>
                <w:lang w:val="zh-CN"/>
              </w:rPr>
              <w:t>响应文件</w:t>
            </w:r>
            <w:r>
              <w:rPr>
                <w:rFonts w:hint="eastAsia" w:ascii="宋体" w:hAnsi="宋体" w:eastAsia="宋体" w:cs="宋体"/>
                <w:color w:val="auto"/>
                <w:sz w:val="24"/>
                <w:highlight w:val="none"/>
              </w:rPr>
              <w:t>签署</w:t>
            </w:r>
          </w:p>
        </w:tc>
        <w:tc>
          <w:tcPr>
            <w:tcW w:w="49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highlight w:val="none"/>
              </w:rPr>
            </w:pPr>
            <w:r>
              <w:rPr>
                <w:rFonts w:hint="eastAsia" w:ascii="宋体" w:hAnsi="宋体" w:cs="宋体"/>
                <w:color w:val="auto"/>
                <w:sz w:val="24"/>
                <w:szCs w:val="24"/>
                <w:highlight w:val="none"/>
                <w:lang w:val="zh-CN"/>
              </w:rPr>
              <w:t>响应文件</w:t>
            </w:r>
            <w:r>
              <w:rPr>
                <w:rFonts w:hint="eastAsia" w:ascii="宋体" w:hAnsi="宋体" w:eastAsia="宋体" w:cs="宋体"/>
                <w:color w:val="auto"/>
                <w:sz w:val="24"/>
                <w:szCs w:val="24"/>
                <w:highlight w:val="none"/>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667" w:type="dxa"/>
            <w:vMerge w:val="continue"/>
            <w:noWrap w:val="0"/>
            <w:vAlign w:val="center"/>
          </w:tcPr>
          <w:p>
            <w:pPr>
              <w:spacing w:line="500" w:lineRule="exact"/>
              <w:jc w:val="center"/>
              <w:rPr>
                <w:rFonts w:hint="eastAsia" w:ascii="宋体" w:hAnsi="宋体" w:eastAsia="宋体" w:cs="宋体"/>
                <w:color w:val="auto"/>
                <w:kern w:val="0"/>
                <w:sz w:val="24"/>
                <w:highlight w:val="none"/>
              </w:rPr>
            </w:pPr>
          </w:p>
        </w:tc>
        <w:tc>
          <w:tcPr>
            <w:tcW w:w="963" w:type="dxa"/>
            <w:vMerge w:val="continue"/>
            <w:noWrap w:val="0"/>
            <w:vAlign w:val="center"/>
          </w:tcPr>
          <w:p>
            <w:pPr>
              <w:spacing w:line="500" w:lineRule="exact"/>
              <w:jc w:val="center"/>
              <w:rPr>
                <w:rFonts w:hint="eastAsia" w:ascii="宋体" w:hAnsi="宋体" w:eastAsia="宋体" w:cs="宋体"/>
                <w:color w:val="auto"/>
                <w:kern w:val="0"/>
                <w:sz w:val="24"/>
                <w:highlight w:val="none"/>
              </w:rPr>
            </w:pPr>
          </w:p>
        </w:tc>
        <w:tc>
          <w:tcPr>
            <w:tcW w:w="21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法定代表人身份证明及授权委托书</w:t>
            </w:r>
          </w:p>
        </w:tc>
        <w:tc>
          <w:tcPr>
            <w:tcW w:w="49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法定代表人身份证明及授权委托书有效，且符合</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rPr>
              <w:t>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67" w:type="dxa"/>
            <w:vMerge w:val="restart"/>
            <w:noWrap w:val="0"/>
            <w:vAlign w:val="center"/>
          </w:tcPr>
          <w:p>
            <w:pPr>
              <w:spacing w:line="5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963" w:type="dxa"/>
            <w:vMerge w:val="restart"/>
            <w:noWrap w:val="0"/>
            <w:vAlign w:val="center"/>
          </w:tcPr>
          <w:p>
            <w:pPr>
              <w:spacing w:line="5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完整性审查</w:t>
            </w:r>
          </w:p>
        </w:tc>
        <w:tc>
          <w:tcPr>
            <w:tcW w:w="21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zh-CN"/>
              </w:rPr>
              <w:t>响应文件</w:t>
            </w:r>
            <w:r>
              <w:rPr>
                <w:rFonts w:hint="eastAsia" w:ascii="宋体" w:hAnsi="宋体" w:eastAsia="宋体" w:cs="宋体"/>
                <w:color w:val="auto"/>
                <w:sz w:val="24"/>
                <w:szCs w:val="24"/>
                <w:highlight w:val="none"/>
                <w:lang w:val="zh-CN"/>
              </w:rPr>
              <w:t>份数</w:t>
            </w:r>
          </w:p>
        </w:tc>
        <w:tc>
          <w:tcPr>
            <w:tcW w:w="49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zh-CN"/>
              </w:rPr>
              <w:t>响应文件</w:t>
            </w:r>
            <w:r>
              <w:rPr>
                <w:rFonts w:hint="eastAsia" w:ascii="宋体" w:hAnsi="宋体" w:eastAsia="宋体" w:cs="宋体"/>
                <w:color w:val="auto"/>
                <w:sz w:val="24"/>
                <w:szCs w:val="24"/>
                <w:highlight w:val="none"/>
                <w:lang w:val="zh-CN"/>
              </w:rPr>
              <w:t>正本、副本、电子版等</w:t>
            </w:r>
            <w:r>
              <w:rPr>
                <w:rFonts w:hint="eastAsia" w:ascii="宋体" w:hAnsi="宋体" w:cs="宋体"/>
                <w:color w:val="auto"/>
                <w:sz w:val="24"/>
                <w:szCs w:val="24"/>
                <w:highlight w:val="none"/>
                <w:lang w:val="zh-CN"/>
              </w:rPr>
              <w:t>响应文件</w:t>
            </w:r>
            <w:r>
              <w:rPr>
                <w:rFonts w:hint="eastAsia" w:ascii="宋体" w:hAnsi="宋体" w:eastAsia="宋体" w:cs="宋体"/>
                <w:color w:val="auto"/>
                <w:sz w:val="24"/>
                <w:szCs w:val="24"/>
                <w:highlight w:val="none"/>
                <w:lang w:val="zh-CN"/>
              </w:rPr>
              <w:t>数量符合</w:t>
            </w:r>
            <w:r>
              <w:rPr>
                <w:rFonts w:hint="eastAsia" w:ascii="宋体" w:hAnsi="宋体" w:cs="宋体"/>
                <w:color w:val="auto"/>
                <w:kern w:val="0"/>
                <w:sz w:val="24"/>
                <w:szCs w:val="24"/>
                <w:highlight w:val="none"/>
                <w:lang w:eastAsia="zh-CN"/>
              </w:rPr>
              <w:t>竞争性磋商文件</w:t>
            </w:r>
            <w:r>
              <w:rPr>
                <w:rFonts w:hint="eastAsia" w:ascii="宋体" w:hAnsi="宋体" w:eastAsia="宋体" w:cs="宋体"/>
                <w:color w:val="auto"/>
                <w:sz w:val="24"/>
                <w:szCs w:val="24"/>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67" w:type="dxa"/>
            <w:vMerge w:val="continue"/>
            <w:noWrap w:val="0"/>
            <w:vAlign w:val="center"/>
          </w:tcPr>
          <w:p>
            <w:pPr>
              <w:spacing w:line="500" w:lineRule="exact"/>
              <w:jc w:val="center"/>
              <w:rPr>
                <w:rFonts w:hint="eastAsia" w:ascii="宋体" w:hAnsi="宋体" w:eastAsia="宋体" w:cs="宋体"/>
                <w:color w:val="auto"/>
                <w:kern w:val="0"/>
                <w:sz w:val="24"/>
                <w:highlight w:val="none"/>
              </w:rPr>
            </w:pPr>
          </w:p>
        </w:tc>
        <w:tc>
          <w:tcPr>
            <w:tcW w:w="963" w:type="dxa"/>
            <w:vMerge w:val="continue"/>
            <w:noWrap w:val="0"/>
            <w:vAlign w:val="center"/>
          </w:tcPr>
          <w:p>
            <w:pPr>
              <w:spacing w:line="500" w:lineRule="exact"/>
              <w:jc w:val="center"/>
              <w:rPr>
                <w:rFonts w:hint="eastAsia" w:ascii="宋体" w:hAnsi="宋体" w:eastAsia="宋体" w:cs="宋体"/>
                <w:color w:val="auto"/>
                <w:kern w:val="0"/>
                <w:sz w:val="24"/>
                <w:highlight w:val="none"/>
              </w:rPr>
            </w:pPr>
          </w:p>
        </w:tc>
        <w:tc>
          <w:tcPr>
            <w:tcW w:w="2161" w:type="dxa"/>
            <w:noWrap w:val="0"/>
            <w:vAlign w:val="center"/>
          </w:tcPr>
          <w:p>
            <w:pPr>
              <w:spacing w:line="500" w:lineRule="exact"/>
              <w:rPr>
                <w:rFonts w:hint="eastAsia" w:ascii="宋体" w:hAnsi="宋体" w:eastAsia="宋体" w:cs="宋体"/>
                <w:color w:val="auto"/>
                <w:sz w:val="24"/>
                <w:highlight w:val="none"/>
                <w:lang w:val="zh-CN"/>
              </w:rPr>
            </w:pPr>
            <w:r>
              <w:rPr>
                <w:rFonts w:hint="eastAsia" w:ascii="宋体" w:hAnsi="宋体" w:cs="宋体"/>
                <w:color w:val="auto"/>
                <w:sz w:val="24"/>
                <w:highlight w:val="none"/>
                <w:lang w:val="zh-CN"/>
              </w:rPr>
              <w:t>响应文件</w:t>
            </w:r>
            <w:r>
              <w:rPr>
                <w:rFonts w:hint="eastAsia" w:ascii="宋体" w:hAnsi="宋体" w:eastAsia="宋体" w:cs="宋体"/>
                <w:color w:val="auto"/>
                <w:sz w:val="24"/>
                <w:highlight w:val="none"/>
                <w:lang w:val="zh-CN"/>
              </w:rPr>
              <w:t>内容</w:t>
            </w:r>
          </w:p>
        </w:tc>
        <w:tc>
          <w:tcPr>
            <w:tcW w:w="4936" w:type="dxa"/>
            <w:noWrap w:val="0"/>
            <w:vAlign w:val="center"/>
          </w:tcPr>
          <w:p>
            <w:pPr>
              <w:spacing w:line="500" w:lineRule="exact"/>
              <w:rPr>
                <w:rFonts w:hint="eastAsia" w:ascii="宋体" w:hAnsi="宋体" w:eastAsia="宋体" w:cs="宋体"/>
                <w:color w:val="auto"/>
                <w:sz w:val="24"/>
                <w:highlight w:val="none"/>
                <w:lang w:val="zh-CN"/>
              </w:rPr>
            </w:pPr>
            <w:r>
              <w:rPr>
                <w:rFonts w:hint="eastAsia" w:ascii="宋体" w:hAnsi="宋体" w:cs="宋体"/>
                <w:color w:val="auto"/>
                <w:sz w:val="24"/>
                <w:highlight w:val="none"/>
                <w:lang w:val="zh-CN"/>
              </w:rPr>
              <w:t>响应文件</w:t>
            </w:r>
            <w:r>
              <w:rPr>
                <w:rFonts w:hint="eastAsia" w:ascii="宋体" w:hAnsi="宋体" w:eastAsia="宋体" w:cs="宋体"/>
                <w:color w:val="auto"/>
                <w:sz w:val="24"/>
                <w:highlight w:val="none"/>
                <w:lang w:val="zh-CN"/>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67" w:type="dxa"/>
            <w:vMerge w:val="restart"/>
            <w:noWrap w:val="0"/>
            <w:vAlign w:val="center"/>
          </w:tcPr>
          <w:p>
            <w:pPr>
              <w:spacing w:line="5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963" w:type="dxa"/>
            <w:vMerge w:val="restart"/>
            <w:noWrap w:val="0"/>
            <w:vAlign w:val="center"/>
          </w:tcPr>
          <w:p>
            <w:pPr>
              <w:spacing w:line="500" w:lineRule="exact"/>
              <w:jc w:val="center"/>
              <w:rPr>
                <w:rFonts w:hint="eastAsia" w:ascii="宋体" w:hAnsi="宋体" w:eastAsia="宋体" w:cs="宋体"/>
                <w:color w:val="auto"/>
                <w:sz w:val="24"/>
                <w:highlight w:val="none"/>
                <w:lang w:val="zh-CN"/>
              </w:rPr>
            </w:pPr>
            <w:r>
              <w:rPr>
                <w:rFonts w:hint="eastAsia" w:ascii="宋体" w:hAnsi="宋体" w:cs="宋体"/>
                <w:color w:val="auto"/>
                <w:kern w:val="0"/>
                <w:sz w:val="24"/>
                <w:highlight w:val="none"/>
                <w:lang w:eastAsia="zh-CN"/>
              </w:rPr>
              <w:t>响应文件</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eastAsia="zh-CN"/>
              </w:rPr>
              <w:t>投标</w:t>
            </w:r>
            <w:r>
              <w:rPr>
                <w:rFonts w:hint="eastAsia" w:ascii="宋体" w:hAnsi="宋体" w:eastAsia="宋体" w:cs="宋体"/>
                <w:color w:val="auto"/>
                <w:kern w:val="0"/>
                <w:sz w:val="24"/>
                <w:highlight w:val="none"/>
              </w:rPr>
              <w:t>程度审查</w:t>
            </w:r>
          </w:p>
        </w:tc>
        <w:tc>
          <w:tcPr>
            <w:tcW w:w="2161" w:type="dxa"/>
            <w:noWrap w:val="0"/>
            <w:vAlign w:val="center"/>
          </w:tcPr>
          <w:p>
            <w:pPr>
              <w:spacing w:line="500" w:lineRule="exact"/>
              <w:rPr>
                <w:rFonts w:hint="eastAsia" w:ascii="宋体" w:hAnsi="宋体" w:eastAsia="宋体" w:cs="宋体"/>
                <w:color w:val="auto"/>
                <w:kern w:val="0"/>
                <w:sz w:val="24"/>
                <w:highlight w:val="none"/>
              </w:rPr>
            </w:pPr>
            <w:r>
              <w:rPr>
                <w:rFonts w:hint="eastAsia" w:ascii="宋体" w:hAnsi="宋体" w:cs="宋体"/>
                <w:color w:val="auto"/>
                <w:sz w:val="24"/>
                <w:highlight w:val="none"/>
                <w:lang w:val="zh-CN"/>
              </w:rPr>
              <w:t>响应文件</w:t>
            </w:r>
            <w:r>
              <w:rPr>
                <w:rFonts w:hint="eastAsia" w:ascii="宋体" w:hAnsi="宋体" w:eastAsia="宋体" w:cs="宋体"/>
                <w:color w:val="auto"/>
                <w:kern w:val="0"/>
                <w:sz w:val="24"/>
                <w:highlight w:val="none"/>
              </w:rPr>
              <w:t>内容</w:t>
            </w:r>
          </w:p>
        </w:tc>
        <w:tc>
          <w:tcPr>
            <w:tcW w:w="4936" w:type="dxa"/>
            <w:noWrap w:val="0"/>
            <w:vAlign w:val="center"/>
          </w:tcPr>
          <w:p>
            <w:pPr>
              <w:pStyle w:val="10"/>
              <w:spacing w:line="500" w:lineRule="exact"/>
              <w:ind w:left="0" w:left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对</w:t>
            </w:r>
            <w:r>
              <w:rPr>
                <w:rFonts w:hint="eastAsia" w:ascii="宋体" w:hAnsi="宋体" w:eastAsia="宋体" w:cs="宋体"/>
                <w:color w:val="auto"/>
                <w:kern w:val="0"/>
                <w:highlight w:val="none"/>
                <w:lang w:eastAsia="zh-CN"/>
              </w:rPr>
              <w:t>竞争性磋商文件</w:t>
            </w:r>
            <w:r>
              <w:rPr>
                <w:rFonts w:hint="eastAsia" w:ascii="宋体" w:hAnsi="宋体" w:eastAsia="宋体" w:cs="宋体"/>
                <w:color w:val="auto"/>
                <w:kern w:val="0"/>
                <w:highlight w:val="none"/>
              </w:rPr>
              <w:t>规定的内容全部做出</w:t>
            </w:r>
            <w:r>
              <w:rPr>
                <w:rFonts w:hint="eastAsia" w:ascii="宋体" w:hAnsi="宋体" w:eastAsia="宋体" w:cs="宋体"/>
                <w:color w:val="auto"/>
                <w:kern w:val="0"/>
                <w:highlight w:val="none"/>
                <w:lang w:eastAsia="zh-CN"/>
              </w:rPr>
              <w:t>投标</w:t>
            </w:r>
            <w:r>
              <w:rPr>
                <w:rFonts w:hint="eastAsia" w:ascii="宋体" w:hAnsi="宋体" w:eastAsia="宋体" w:cs="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67" w:type="dxa"/>
            <w:vMerge w:val="continue"/>
            <w:noWrap w:val="0"/>
            <w:vAlign w:val="center"/>
          </w:tcPr>
          <w:p>
            <w:pPr>
              <w:spacing w:line="500" w:lineRule="exact"/>
              <w:jc w:val="center"/>
              <w:rPr>
                <w:rFonts w:hint="eastAsia" w:ascii="宋体" w:hAnsi="宋体" w:eastAsia="宋体" w:cs="宋体"/>
                <w:color w:val="auto"/>
                <w:kern w:val="0"/>
                <w:sz w:val="24"/>
                <w:highlight w:val="none"/>
              </w:rPr>
            </w:pPr>
          </w:p>
        </w:tc>
        <w:tc>
          <w:tcPr>
            <w:tcW w:w="963" w:type="dxa"/>
            <w:vMerge w:val="continue"/>
            <w:noWrap w:val="0"/>
            <w:vAlign w:val="center"/>
          </w:tcPr>
          <w:p>
            <w:pPr>
              <w:spacing w:line="500" w:lineRule="exact"/>
              <w:rPr>
                <w:rFonts w:hint="eastAsia" w:ascii="宋体" w:hAnsi="宋体" w:eastAsia="宋体" w:cs="宋体"/>
                <w:color w:val="auto"/>
                <w:kern w:val="0"/>
                <w:sz w:val="24"/>
                <w:highlight w:val="none"/>
              </w:rPr>
            </w:pPr>
          </w:p>
        </w:tc>
        <w:tc>
          <w:tcPr>
            <w:tcW w:w="2161" w:type="dxa"/>
            <w:noWrap w:val="0"/>
            <w:vAlign w:val="center"/>
          </w:tcPr>
          <w:p>
            <w:pPr>
              <w:spacing w:line="500" w:lineRule="exac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服务</w:t>
            </w:r>
            <w:r>
              <w:rPr>
                <w:rFonts w:hint="eastAsia" w:ascii="宋体" w:hAnsi="宋体" w:eastAsia="宋体" w:cs="宋体"/>
                <w:color w:val="auto"/>
                <w:kern w:val="0"/>
                <w:sz w:val="24"/>
                <w:highlight w:val="none"/>
              </w:rPr>
              <w:t>技术</w:t>
            </w:r>
          </w:p>
        </w:tc>
        <w:tc>
          <w:tcPr>
            <w:tcW w:w="4936" w:type="dxa"/>
            <w:noWrap w:val="0"/>
            <w:vAlign w:val="center"/>
          </w:tcPr>
          <w:p>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满足</w:t>
            </w:r>
            <w:r>
              <w:rPr>
                <w:rFonts w:hint="eastAsia" w:ascii="宋体" w:hAnsi="宋体" w:cs="宋体"/>
                <w:color w:val="auto"/>
                <w:kern w:val="0"/>
                <w:sz w:val="24"/>
                <w:highlight w:val="none"/>
                <w:lang w:eastAsia="zh-CN"/>
              </w:rPr>
              <w:t>竞争性磋商文件</w:t>
            </w:r>
            <w:r>
              <w:rPr>
                <w:rFonts w:hint="eastAsia" w:ascii="宋体" w:hAnsi="宋体" w:eastAsia="宋体" w:cs="宋体"/>
                <w:color w:val="auto"/>
                <w:kern w:val="0"/>
                <w:sz w:val="24"/>
                <w:highlight w:val="none"/>
              </w:rPr>
              <w:t>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67" w:type="dxa"/>
            <w:vMerge w:val="continue"/>
            <w:noWrap w:val="0"/>
            <w:vAlign w:val="center"/>
          </w:tcPr>
          <w:p>
            <w:pPr>
              <w:spacing w:line="500" w:lineRule="exact"/>
              <w:jc w:val="center"/>
              <w:rPr>
                <w:rFonts w:hint="eastAsia" w:ascii="宋体" w:hAnsi="宋体" w:eastAsia="宋体" w:cs="宋体"/>
                <w:color w:val="auto"/>
                <w:kern w:val="0"/>
                <w:sz w:val="24"/>
                <w:highlight w:val="none"/>
              </w:rPr>
            </w:pPr>
          </w:p>
        </w:tc>
        <w:tc>
          <w:tcPr>
            <w:tcW w:w="963" w:type="dxa"/>
            <w:vMerge w:val="continue"/>
            <w:noWrap w:val="0"/>
            <w:vAlign w:val="center"/>
          </w:tcPr>
          <w:p>
            <w:pPr>
              <w:spacing w:line="500" w:lineRule="exact"/>
              <w:rPr>
                <w:rFonts w:hint="eastAsia" w:ascii="宋体" w:hAnsi="宋体" w:eastAsia="宋体" w:cs="宋体"/>
                <w:color w:val="auto"/>
                <w:kern w:val="0"/>
                <w:sz w:val="24"/>
                <w:highlight w:val="none"/>
              </w:rPr>
            </w:pPr>
          </w:p>
        </w:tc>
        <w:tc>
          <w:tcPr>
            <w:tcW w:w="2161" w:type="dxa"/>
            <w:noWrap w:val="0"/>
            <w:vAlign w:val="center"/>
          </w:tcPr>
          <w:p>
            <w:pPr>
              <w:pStyle w:val="18"/>
              <w:spacing w:before="75" w:beforeAutospacing="0" w:after="75" w:afterAutospacing="0" w:line="360" w:lineRule="auto"/>
              <w:jc w:val="left"/>
              <w:rPr>
                <w:rFonts w:hint="eastAsia" w:ascii="宋体" w:hAnsi="宋体" w:eastAsia="宋体" w:cs="宋体"/>
                <w:color w:val="auto"/>
                <w:kern w:val="0"/>
                <w:sz w:val="24"/>
                <w:highlight w:val="none"/>
                <w:lang w:eastAsia="zh-CN"/>
              </w:rPr>
            </w:pPr>
            <w:r>
              <w:rPr>
                <w:rStyle w:val="25"/>
                <w:rFonts w:hint="eastAsia" w:ascii="Times New Roman" w:hAnsi="Times New Roman" w:cs="宋体"/>
                <w:b w:val="0"/>
                <w:bCs/>
                <w:color w:val="auto"/>
                <w:sz w:val="24"/>
                <w:szCs w:val="24"/>
                <w:highlight w:val="none"/>
                <w:lang w:eastAsia="zh-CN"/>
              </w:rPr>
              <w:t>工期</w:t>
            </w:r>
          </w:p>
        </w:tc>
        <w:tc>
          <w:tcPr>
            <w:tcW w:w="4936" w:type="dxa"/>
            <w:noWrap w:val="0"/>
            <w:vAlign w:val="center"/>
          </w:tcPr>
          <w:p>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满足</w:t>
            </w:r>
            <w:r>
              <w:rPr>
                <w:rFonts w:hint="eastAsia" w:ascii="宋体" w:hAnsi="宋体" w:cs="宋体"/>
                <w:color w:val="auto"/>
                <w:kern w:val="0"/>
                <w:sz w:val="24"/>
                <w:highlight w:val="none"/>
                <w:lang w:eastAsia="zh-CN"/>
              </w:rPr>
              <w:t>竞争性磋商文件</w:t>
            </w:r>
            <w:r>
              <w:rPr>
                <w:rFonts w:hint="eastAsia" w:ascii="宋体" w:hAnsi="宋体" w:eastAsia="宋体" w:cs="宋体"/>
                <w:color w:val="auto"/>
                <w:sz w:val="24"/>
                <w:highlight w:val="none"/>
                <w:lang w:val="zh-CN"/>
              </w:rPr>
              <w:t>规定</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67" w:type="dxa"/>
            <w:vMerge w:val="continue"/>
            <w:noWrap w:val="0"/>
            <w:vAlign w:val="center"/>
          </w:tcPr>
          <w:p>
            <w:pPr>
              <w:spacing w:line="500" w:lineRule="exact"/>
              <w:jc w:val="center"/>
              <w:rPr>
                <w:rFonts w:hint="eastAsia" w:ascii="宋体" w:hAnsi="宋体" w:eastAsia="宋体" w:cs="宋体"/>
                <w:color w:val="auto"/>
                <w:kern w:val="0"/>
                <w:sz w:val="24"/>
                <w:highlight w:val="none"/>
              </w:rPr>
            </w:pPr>
          </w:p>
        </w:tc>
        <w:tc>
          <w:tcPr>
            <w:tcW w:w="963" w:type="dxa"/>
            <w:vMerge w:val="continue"/>
            <w:noWrap w:val="0"/>
            <w:vAlign w:val="center"/>
          </w:tcPr>
          <w:p>
            <w:pPr>
              <w:spacing w:line="500" w:lineRule="exact"/>
              <w:rPr>
                <w:rFonts w:hint="eastAsia" w:ascii="宋体" w:hAnsi="宋体" w:eastAsia="宋体" w:cs="宋体"/>
                <w:color w:val="auto"/>
                <w:kern w:val="0"/>
                <w:sz w:val="24"/>
                <w:highlight w:val="none"/>
              </w:rPr>
            </w:pPr>
          </w:p>
        </w:tc>
        <w:tc>
          <w:tcPr>
            <w:tcW w:w="2161" w:type="dxa"/>
            <w:noWrap w:val="0"/>
            <w:vAlign w:val="center"/>
          </w:tcPr>
          <w:p>
            <w:pPr>
              <w:pStyle w:val="18"/>
              <w:spacing w:before="75" w:beforeAutospacing="0" w:after="75" w:afterAutospacing="0" w:line="360" w:lineRule="auto"/>
              <w:jc w:val="left"/>
              <w:rPr>
                <w:rFonts w:hint="eastAsia" w:ascii="宋体" w:hAnsi="宋体" w:eastAsia="宋体" w:cs="宋体"/>
                <w:color w:val="auto"/>
                <w:kern w:val="0"/>
                <w:sz w:val="24"/>
                <w:highlight w:val="none"/>
                <w:lang w:eastAsia="zh-CN"/>
              </w:rPr>
            </w:pPr>
            <w:r>
              <w:rPr>
                <w:rStyle w:val="25"/>
                <w:rFonts w:hint="eastAsia" w:ascii="Times New Roman" w:hAnsi="Times New Roman" w:cs="宋体"/>
                <w:b w:val="0"/>
                <w:bCs/>
                <w:color w:val="auto"/>
                <w:sz w:val="24"/>
                <w:szCs w:val="24"/>
                <w:highlight w:val="none"/>
                <w:lang w:eastAsia="zh-CN"/>
              </w:rPr>
              <w:t>缺陷责任期</w:t>
            </w:r>
          </w:p>
        </w:tc>
        <w:tc>
          <w:tcPr>
            <w:tcW w:w="4936" w:type="dxa"/>
            <w:noWrap w:val="0"/>
            <w:vAlign w:val="center"/>
          </w:tcPr>
          <w:p>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满足</w:t>
            </w:r>
            <w:r>
              <w:rPr>
                <w:rFonts w:hint="eastAsia" w:ascii="宋体" w:hAnsi="宋体" w:cs="宋体"/>
                <w:color w:val="auto"/>
                <w:kern w:val="0"/>
                <w:sz w:val="24"/>
                <w:highlight w:val="none"/>
                <w:lang w:eastAsia="zh-CN"/>
              </w:rPr>
              <w:t>竞争性磋商文件</w:t>
            </w:r>
            <w:r>
              <w:rPr>
                <w:rFonts w:hint="eastAsia" w:ascii="宋体" w:hAnsi="宋体" w:eastAsia="宋体" w:cs="宋体"/>
                <w:color w:val="auto"/>
                <w:sz w:val="24"/>
                <w:highlight w:val="none"/>
                <w:lang w:val="zh-CN"/>
              </w:rPr>
              <w:t>规定</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7" w:type="dxa"/>
            <w:vMerge w:val="continue"/>
            <w:noWrap w:val="0"/>
            <w:vAlign w:val="center"/>
          </w:tcPr>
          <w:p>
            <w:pPr>
              <w:spacing w:line="500" w:lineRule="exact"/>
              <w:jc w:val="center"/>
              <w:rPr>
                <w:rFonts w:hint="eastAsia" w:ascii="宋体" w:hAnsi="宋体" w:eastAsia="宋体" w:cs="宋体"/>
                <w:color w:val="auto"/>
                <w:kern w:val="0"/>
                <w:sz w:val="24"/>
                <w:highlight w:val="none"/>
              </w:rPr>
            </w:pPr>
          </w:p>
        </w:tc>
        <w:tc>
          <w:tcPr>
            <w:tcW w:w="963" w:type="dxa"/>
            <w:vMerge w:val="continue"/>
            <w:noWrap w:val="0"/>
            <w:vAlign w:val="center"/>
          </w:tcPr>
          <w:p>
            <w:pPr>
              <w:spacing w:line="500" w:lineRule="exact"/>
              <w:rPr>
                <w:rFonts w:hint="eastAsia" w:ascii="宋体" w:hAnsi="宋体" w:eastAsia="宋体" w:cs="宋体"/>
                <w:color w:val="auto"/>
                <w:sz w:val="24"/>
                <w:highlight w:val="none"/>
                <w:lang w:val="zh-CN"/>
              </w:rPr>
            </w:pPr>
          </w:p>
        </w:tc>
        <w:tc>
          <w:tcPr>
            <w:tcW w:w="2161" w:type="dxa"/>
            <w:noWrap w:val="0"/>
            <w:vAlign w:val="center"/>
          </w:tcPr>
          <w:p>
            <w:pPr>
              <w:spacing w:line="500" w:lineRule="exact"/>
              <w:rPr>
                <w:rFonts w:hint="eastAsia" w:ascii="宋体" w:hAnsi="宋体" w:eastAsia="宋体" w:cs="宋体"/>
                <w:color w:val="auto"/>
                <w:kern w:val="0"/>
                <w:sz w:val="24"/>
                <w:highlight w:val="none"/>
              </w:rPr>
            </w:pPr>
            <w:r>
              <w:rPr>
                <w:rFonts w:hint="eastAsia" w:ascii="宋体" w:hAnsi="宋体" w:cs="宋体"/>
                <w:color w:val="auto"/>
                <w:sz w:val="24"/>
                <w:highlight w:val="none"/>
                <w:lang w:val="zh-CN"/>
              </w:rPr>
              <w:t>响应文件</w:t>
            </w:r>
            <w:r>
              <w:rPr>
                <w:rFonts w:hint="eastAsia" w:ascii="宋体" w:hAnsi="宋体" w:eastAsia="宋体" w:cs="宋体"/>
                <w:color w:val="auto"/>
                <w:kern w:val="0"/>
                <w:sz w:val="24"/>
                <w:highlight w:val="none"/>
              </w:rPr>
              <w:t>有效期</w:t>
            </w:r>
          </w:p>
        </w:tc>
        <w:tc>
          <w:tcPr>
            <w:tcW w:w="4936" w:type="dxa"/>
            <w:noWrap w:val="0"/>
            <w:vAlign w:val="center"/>
          </w:tcPr>
          <w:p>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满足</w:t>
            </w:r>
            <w:r>
              <w:rPr>
                <w:rFonts w:hint="eastAsia" w:ascii="宋体" w:hAnsi="宋体" w:cs="宋体"/>
                <w:color w:val="auto"/>
                <w:kern w:val="0"/>
                <w:sz w:val="24"/>
                <w:highlight w:val="none"/>
                <w:lang w:eastAsia="zh-CN"/>
              </w:rPr>
              <w:t>竞争性磋商文件</w:t>
            </w:r>
            <w:r>
              <w:rPr>
                <w:rFonts w:hint="eastAsia" w:ascii="宋体" w:hAnsi="宋体" w:eastAsia="宋体" w:cs="宋体"/>
                <w:color w:val="auto"/>
                <w:sz w:val="24"/>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dxa"/>
            <w:vMerge w:val="continue"/>
            <w:tcBorders>
              <w:bottom w:val="single" w:color="auto" w:sz="4" w:space="0"/>
            </w:tcBorders>
            <w:noWrap w:val="0"/>
            <w:vAlign w:val="center"/>
          </w:tcPr>
          <w:p>
            <w:pPr>
              <w:spacing w:line="500" w:lineRule="exact"/>
              <w:jc w:val="center"/>
              <w:rPr>
                <w:rFonts w:hint="eastAsia" w:ascii="宋体" w:hAnsi="宋体" w:eastAsia="宋体" w:cs="宋体"/>
                <w:color w:val="auto"/>
                <w:kern w:val="0"/>
                <w:sz w:val="24"/>
                <w:highlight w:val="none"/>
              </w:rPr>
            </w:pPr>
          </w:p>
        </w:tc>
        <w:tc>
          <w:tcPr>
            <w:tcW w:w="963" w:type="dxa"/>
            <w:vMerge w:val="continue"/>
            <w:tcBorders>
              <w:bottom w:val="single" w:color="auto" w:sz="4" w:space="0"/>
            </w:tcBorders>
            <w:noWrap w:val="0"/>
            <w:vAlign w:val="center"/>
          </w:tcPr>
          <w:p>
            <w:pPr>
              <w:spacing w:line="500" w:lineRule="exact"/>
              <w:rPr>
                <w:rFonts w:hint="eastAsia" w:ascii="宋体" w:hAnsi="宋体" w:eastAsia="宋体" w:cs="宋体"/>
                <w:color w:val="auto"/>
                <w:sz w:val="24"/>
                <w:highlight w:val="none"/>
                <w:lang w:val="zh-CN"/>
              </w:rPr>
            </w:pPr>
          </w:p>
        </w:tc>
        <w:tc>
          <w:tcPr>
            <w:tcW w:w="2161" w:type="dxa"/>
            <w:tcBorders>
              <w:bottom w:val="single" w:color="auto" w:sz="4" w:space="0"/>
            </w:tcBorders>
            <w:noWrap w:val="0"/>
            <w:vAlign w:val="center"/>
          </w:tcPr>
          <w:p>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w:t>
            </w:r>
          </w:p>
        </w:tc>
        <w:tc>
          <w:tcPr>
            <w:tcW w:w="4936" w:type="dxa"/>
            <w:tcBorders>
              <w:bottom w:val="single" w:color="auto" w:sz="4" w:space="0"/>
            </w:tcBorders>
            <w:noWrap w:val="0"/>
            <w:vAlign w:val="center"/>
          </w:tcPr>
          <w:p>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满足</w:t>
            </w:r>
            <w:r>
              <w:rPr>
                <w:rFonts w:hint="eastAsia" w:ascii="宋体" w:hAnsi="宋体" w:cs="宋体"/>
                <w:color w:val="auto"/>
                <w:kern w:val="0"/>
                <w:sz w:val="24"/>
                <w:highlight w:val="none"/>
                <w:lang w:eastAsia="zh-CN"/>
              </w:rPr>
              <w:t>竞争性磋商文件</w:t>
            </w:r>
            <w:r>
              <w:rPr>
                <w:rFonts w:hint="eastAsia" w:ascii="宋体" w:hAnsi="宋体" w:eastAsia="宋体" w:cs="宋体"/>
                <w:color w:val="auto"/>
                <w:kern w:val="0"/>
                <w:sz w:val="24"/>
                <w:highlight w:val="none"/>
              </w:rPr>
              <w:t>相关</w:t>
            </w:r>
            <w:r>
              <w:rPr>
                <w:rFonts w:hint="eastAsia" w:ascii="宋体" w:hAnsi="宋体" w:eastAsia="宋体" w:cs="宋体"/>
                <w:color w:val="auto"/>
                <w:sz w:val="24"/>
                <w:highlight w:val="none"/>
                <w:lang w:val="zh-CN"/>
              </w:rPr>
              <w:t>规定。</w:t>
            </w:r>
          </w:p>
        </w:tc>
      </w:tr>
    </w:tbl>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注：以上评审内容，有一项不通过者，视为</w:t>
      </w:r>
      <w:r>
        <w:rPr>
          <w:rFonts w:hint="eastAsia" w:ascii="宋体" w:hAnsi="宋体" w:cs="宋体"/>
          <w:b/>
          <w:color w:val="auto"/>
          <w:sz w:val="24"/>
          <w:highlight w:val="none"/>
          <w:lang w:eastAsia="zh-CN"/>
        </w:rPr>
        <w:t>供应商</w:t>
      </w:r>
      <w:r>
        <w:rPr>
          <w:rFonts w:hint="eastAsia" w:ascii="宋体" w:hAnsi="宋体" w:eastAsia="宋体" w:cs="宋体"/>
          <w:b/>
          <w:color w:val="auto"/>
          <w:sz w:val="24"/>
          <w:highlight w:val="none"/>
        </w:rPr>
        <w:t>初步评审不通过，未通过初审的其</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将按照无效</w:t>
      </w:r>
      <w:r>
        <w:rPr>
          <w:rFonts w:hint="eastAsia" w:ascii="宋体" w:hAnsi="宋体" w:cs="宋体"/>
          <w:b/>
          <w:color w:val="auto"/>
          <w:sz w:val="24"/>
          <w:highlight w:val="none"/>
          <w:lang w:eastAsia="zh-CN"/>
        </w:rPr>
        <w:t>投标</w:t>
      </w:r>
      <w:r>
        <w:rPr>
          <w:rFonts w:hint="eastAsia" w:ascii="宋体" w:hAnsi="宋体" w:eastAsia="宋体" w:cs="宋体"/>
          <w:b/>
          <w:color w:val="auto"/>
          <w:sz w:val="24"/>
          <w:highlight w:val="none"/>
        </w:rPr>
        <w:t>处理。</w:t>
      </w:r>
    </w:p>
    <w:p>
      <w:pPr>
        <w:pStyle w:val="14"/>
        <w:rPr>
          <w:rFonts w:hint="eastAsia" w:ascii="宋体" w:hAnsi="宋体" w:eastAsia="宋体" w:cs="宋体"/>
          <w:b/>
          <w:color w:val="auto"/>
          <w:sz w:val="24"/>
          <w:highlight w:val="none"/>
        </w:rPr>
      </w:pPr>
    </w:p>
    <w:p>
      <w:pPr>
        <w:pStyle w:val="14"/>
        <w:rPr>
          <w:rFonts w:hint="eastAsia" w:ascii="宋体" w:hAnsi="宋体" w:eastAsia="宋体" w:cs="宋体"/>
          <w:b/>
          <w:color w:val="auto"/>
          <w:sz w:val="24"/>
          <w:highlight w:val="none"/>
        </w:rPr>
      </w:pPr>
    </w:p>
    <w:p>
      <w:pPr>
        <w:pStyle w:val="14"/>
        <w:rPr>
          <w:rFonts w:hint="eastAsia" w:ascii="宋体" w:hAnsi="宋体" w:eastAsia="宋体" w:cs="宋体"/>
          <w:b/>
          <w:color w:val="auto"/>
          <w:sz w:val="24"/>
          <w:highlight w:val="none"/>
        </w:rPr>
      </w:pPr>
    </w:p>
    <w:p>
      <w:pPr>
        <w:pStyle w:val="14"/>
        <w:rPr>
          <w:rFonts w:hint="eastAsia" w:ascii="宋体" w:hAnsi="宋体" w:eastAsia="宋体" w:cs="宋体"/>
          <w:b/>
          <w:color w:val="auto"/>
          <w:sz w:val="24"/>
          <w:highlight w:val="none"/>
        </w:rPr>
      </w:pPr>
    </w:p>
    <w:p>
      <w:pPr>
        <w:pStyle w:val="14"/>
        <w:rPr>
          <w:rFonts w:hint="eastAsia" w:ascii="宋体" w:hAnsi="宋体" w:eastAsia="宋体" w:cs="宋体"/>
          <w:b/>
          <w:color w:val="auto"/>
          <w:sz w:val="24"/>
          <w:highlight w:val="none"/>
        </w:rPr>
      </w:pPr>
    </w:p>
    <w:p>
      <w:pPr>
        <w:pStyle w:val="18"/>
        <w:spacing w:before="75" w:beforeAutospacing="0" w:after="75" w:afterAutospacing="0" w:line="240" w:lineRule="auto"/>
        <w:rPr>
          <w:rStyle w:val="25"/>
          <w:rFonts w:hint="eastAsia" w:eastAsia="宋体" w:cs="宋体"/>
          <w:b/>
          <w:bCs w:val="0"/>
          <w:color w:val="auto"/>
          <w:sz w:val="24"/>
          <w:szCs w:val="24"/>
          <w:highlight w:val="none"/>
          <w:lang w:eastAsia="zh-CN"/>
        </w:rPr>
      </w:pPr>
      <w:r>
        <w:rPr>
          <w:rStyle w:val="25"/>
          <w:rFonts w:hint="eastAsia" w:cs="宋体"/>
          <w:b/>
          <w:bCs w:val="0"/>
          <w:color w:val="auto"/>
          <w:sz w:val="24"/>
          <w:szCs w:val="24"/>
          <w:highlight w:val="none"/>
          <w:lang w:eastAsia="zh-CN"/>
        </w:rPr>
        <w:t>二</w:t>
      </w:r>
      <w:r>
        <w:rPr>
          <w:rStyle w:val="25"/>
          <w:rFonts w:hint="eastAsia" w:cs="宋体"/>
          <w:b/>
          <w:bCs w:val="0"/>
          <w:color w:val="auto"/>
          <w:sz w:val="24"/>
          <w:szCs w:val="24"/>
          <w:highlight w:val="none"/>
        </w:rPr>
        <w:t>、评审内容</w:t>
      </w:r>
    </w:p>
    <w:tbl>
      <w:tblPr>
        <w:tblStyle w:val="22"/>
        <w:tblpPr w:leftFromText="180" w:rightFromText="180" w:vertAnchor="text" w:horzAnchor="page" w:tblpX="655" w:tblpY="435"/>
        <w:tblOverlap w:val="never"/>
        <w:tblW w:w="10770" w:type="dxa"/>
        <w:tblInd w:w="0" w:type="dxa"/>
        <w:tblLayout w:type="fixed"/>
        <w:tblCellMar>
          <w:top w:w="0" w:type="dxa"/>
          <w:left w:w="108" w:type="dxa"/>
          <w:bottom w:w="0" w:type="dxa"/>
          <w:right w:w="108" w:type="dxa"/>
        </w:tblCellMar>
      </w:tblPr>
      <w:tblGrid>
        <w:gridCol w:w="735"/>
        <w:gridCol w:w="1770"/>
        <w:gridCol w:w="7455"/>
        <w:gridCol w:w="810"/>
      </w:tblGrid>
      <w:tr>
        <w:tblPrEx>
          <w:tblCellMar>
            <w:top w:w="0" w:type="dxa"/>
            <w:left w:w="108" w:type="dxa"/>
            <w:bottom w:w="0" w:type="dxa"/>
            <w:right w:w="108" w:type="dxa"/>
          </w:tblCellMar>
        </w:tblPrEx>
        <w:trPr>
          <w:trHeight w:val="698"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77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评审内容</w:t>
            </w:r>
          </w:p>
        </w:tc>
        <w:tc>
          <w:tcPr>
            <w:tcW w:w="74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评分标准说明</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分值</w:t>
            </w:r>
          </w:p>
        </w:tc>
      </w:tr>
      <w:tr>
        <w:tblPrEx>
          <w:tblCellMar>
            <w:top w:w="0" w:type="dxa"/>
            <w:left w:w="108" w:type="dxa"/>
            <w:bottom w:w="0" w:type="dxa"/>
            <w:right w:w="108" w:type="dxa"/>
          </w:tblCellMar>
        </w:tblPrEx>
        <w:trPr>
          <w:trHeight w:val="1385" w:hRule="atLeast"/>
        </w:trPr>
        <w:tc>
          <w:tcPr>
            <w:tcW w:w="735"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770"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商务</w:t>
            </w:r>
            <w:r>
              <w:rPr>
                <w:rFonts w:hint="eastAsia" w:ascii="宋体" w:hAnsi="宋体" w:eastAsia="宋体" w:cs="宋体"/>
                <w:color w:val="auto"/>
                <w:kern w:val="0"/>
                <w:sz w:val="24"/>
                <w:szCs w:val="24"/>
                <w:highlight w:val="none"/>
              </w:rPr>
              <w:t>报价</w:t>
            </w:r>
          </w:p>
          <w:p>
            <w:pPr>
              <w:widowControl/>
              <w:spacing w:line="24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0分</w:t>
            </w:r>
            <w:r>
              <w:rPr>
                <w:rFonts w:hint="eastAsia" w:ascii="宋体" w:hAnsi="宋体" w:eastAsia="宋体" w:cs="宋体"/>
                <w:color w:val="auto"/>
                <w:kern w:val="0"/>
                <w:sz w:val="24"/>
                <w:szCs w:val="24"/>
                <w:highlight w:val="none"/>
                <w:lang w:eastAsia="zh-CN"/>
              </w:rPr>
              <w:t>）</w:t>
            </w:r>
          </w:p>
        </w:tc>
        <w:tc>
          <w:tcPr>
            <w:tcW w:w="7455" w:type="dxa"/>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满足</w:t>
            </w:r>
            <w:r>
              <w:rPr>
                <w:rFonts w:hint="eastAsia" w:ascii="宋体" w:hAnsi="宋体" w:cs="宋体"/>
                <w:color w:val="auto"/>
                <w:kern w:val="0"/>
                <w:sz w:val="24"/>
                <w:szCs w:val="24"/>
                <w:highlight w:val="none"/>
                <w:lang w:val="en-US" w:eastAsia="zh-CN"/>
              </w:rPr>
              <w:t>竞争性磋商文件</w:t>
            </w:r>
            <w:r>
              <w:rPr>
                <w:rFonts w:hint="eastAsia" w:ascii="宋体" w:hAnsi="宋体" w:eastAsia="宋体" w:cs="宋体"/>
                <w:color w:val="auto"/>
                <w:kern w:val="0"/>
                <w:sz w:val="24"/>
                <w:szCs w:val="24"/>
                <w:highlight w:val="none"/>
                <w:lang w:val="en-US" w:eastAsia="zh-CN"/>
              </w:rPr>
              <w:t>要求且投标价格最低的投标报价为评标基准价，其价格分为满分。其他投标</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的价格分统一按照下列公式计算：</w:t>
            </w:r>
          </w:p>
          <w:p>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投标报价得分=(评标基准价／</w:t>
            </w:r>
            <w:r>
              <w:rPr>
                <w:rFonts w:hint="eastAsia" w:ascii="宋体" w:hAnsi="宋体" w:cs="宋体"/>
                <w:color w:val="auto"/>
                <w:kern w:val="0"/>
                <w:sz w:val="24"/>
                <w:szCs w:val="24"/>
                <w:highlight w:val="none"/>
                <w:lang w:val="en-US" w:eastAsia="zh-CN"/>
              </w:rPr>
              <w:t>最后</w:t>
            </w:r>
            <w:r>
              <w:rPr>
                <w:rFonts w:hint="eastAsia" w:ascii="宋体" w:hAnsi="宋体" w:eastAsia="宋体" w:cs="宋体"/>
                <w:color w:val="auto"/>
                <w:kern w:val="0"/>
                <w:sz w:val="24"/>
                <w:szCs w:val="24"/>
                <w:highlight w:val="none"/>
                <w:lang w:val="en-US" w:eastAsia="zh-CN"/>
              </w:rPr>
              <w:t>报价)×30%×100</w:t>
            </w:r>
          </w:p>
          <w:p>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注：1、报价得分精确到小数点后两位；</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2、无效投标的报价不计入价格分值的计算。</w:t>
            </w:r>
            <w:r>
              <w:rPr>
                <w:rFonts w:hint="eastAsia" w:ascii="宋体" w:hAnsi="宋体" w:eastAsia="宋体" w:cs="宋体"/>
                <w:color w:val="auto"/>
                <w:kern w:val="2"/>
                <w:sz w:val="24"/>
                <w:szCs w:val="24"/>
                <w:highlight w:val="none"/>
                <w:lang w:val="en-US" w:eastAsia="zh-CN" w:bidi="ar-SA"/>
              </w:rPr>
              <w:t xml:space="preserve">      </w:t>
            </w:r>
          </w:p>
        </w:tc>
        <w:tc>
          <w:tcPr>
            <w:tcW w:w="810"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0-30</w:t>
            </w:r>
          </w:p>
        </w:tc>
      </w:tr>
      <w:tr>
        <w:tblPrEx>
          <w:tblCellMar>
            <w:top w:w="0" w:type="dxa"/>
            <w:left w:w="108" w:type="dxa"/>
            <w:bottom w:w="0" w:type="dxa"/>
            <w:right w:w="108" w:type="dxa"/>
          </w:tblCellMar>
        </w:tblPrEx>
        <w:trPr>
          <w:trHeight w:val="1385" w:hRule="atLeast"/>
        </w:trPr>
        <w:tc>
          <w:tcPr>
            <w:tcW w:w="735"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177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kern w:val="0"/>
                <w:sz w:val="24"/>
                <w:highlight w:val="yellow"/>
              </w:rPr>
            </w:pPr>
            <w:r>
              <w:rPr>
                <w:rFonts w:hint="eastAsia" w:ascii="宋体" w:hAnsi="宋体" w:cs="宋体"/>
                <w:color w:val="auto"/>
                <w:kern w:val="0"/>
                <w:sz w:val="24"/>
                <w:highlight w:val="yellow"/>
              </w:rPr>
              <w:t>信用查询</w:t>
            </w:r>
          </w:p>
          <w:p>
            <w:pPr>
              <w:widowControl/>
              <w:spacing w:line="240" w:lineRule="auto"/>
              <w:jc w:val="center"/>
              <w:rPr>
                <w:rFonts w:hint="eastAsia" w:ascii="宋体" w:hAnsi="宋体" w:eastAsia="宋体" w:cs="宋体"/>
                <w:color w:val="auto"/>
                <w:kern w:val="0"/>
                <w:sz w:val="24"/>
                <w:szCs w:val="24"/>
                <w:highlight w:val="yellow"/>
              </w:rPr>
            </w:pPr>
            <w:r>
              <w:rPr>
                <w:rFonts w:hint="eastAsia" w:ascii="宋体" w:hAnsi="宋体" w:cs="宋体"/>
                <w:color w:val="auto"/>
                <w:kern w:val="0"/>
                <w:sz w:val="24"/>
                <w:highlight w:val="yellow"/>
              </w:rPr>
              <w:t>（5分）</w:t>
            </w:r>
          </w:p>
        </w:tc>
        <w:tc>
          <w:tcPr>
            <w:tcW w:w="7455" w:type="dxa"/>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kern w:val="0"/>
                <w:sz w:val="24"/>
                <w:szCs w:val="24"/>
                <w:highlight w:val="yellow"/>
                <w:lang w:val="en-US" w:eastAsia="zh-CN"/>
              </w:rPr>
            </w:pPr>
            <w:r>
              <w:rPr>
                <w:rFonts w:hint="eastAsia" w:ascii="宋体" w:hAnsi="宋体" w:eastAsia="宋体" w:cs="宋体"/>
                <w:color w:val="auto"/>
                <w:kern w:val="0"/>
                <w:sz w:val="24"/>
                <w:szCs w:val="24"/>
                <w:highlight w:val="yellow"/>
                <w:lang w:val="en-US" w:eastAsia="zh-CN"/>
              </w:rPr>
              <w:t>根据供应商所提供由信合联服（网址</w:t>
            </w:r>
            <w:r>
              <w:rPr>
                <w:rFonts w:hint="eastAsia" w:ascii="宋体" w:hAnsi="宋体" w:eastAsia="宋体" w:cs="宋体"/>
                <w:color w:val="auto"/>
                <w:kern w:val="0"/>
                <w:sz w:val="24"/>
                <w:szCs w:val="24"/>
                <w:highlight w:val="yellow"/>
                <w:lang w:val="en-US" w:eastAsia="zh-CN"/>
              </w:rPr>
              <w:drawing>
                <wp:inline distT="0" distB="0" distL="114300" distR="114300">
                  <wp:extent cx="190500" cy="142875"/>
                  <wp:effectExtent l="0" t="0" r="0" b="9525"/>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0"/>
                          <a:stretch>
                            <a:fillRect/>
                          </a:stretch>
                        </pic:blipFill>
                        <pic:spPr>
                          <a:xfrm>
                            <a:off x="0" y="0"/>
                            <a:ext cx="190500" cy="142875"/>
                          </a:xfrm>
                          <a:prstGeom prst="rect">
                            <a:avLst/>
                          </a:prstGeom>
                          <a:noFill/>
                          <a:ln>
                            <a:noFill/>
                          </a:ln>
                        </pic:spPr>
                      </pic:pic>
                    </a:graphicData>
                  </a:graphic>
                </wp:inline>
              </w:drawing>
            </w:r>
            <w:r>
              <w:rPr>
                <w:rFonts w:hint="eastAsia" w:ascii="宋体" w:hAnsi="宋体" w:eastAsia="宋体" w:cs="宋体"/>
                <w:color w:val="auto"/>
                <w:kern w:val="0"/>
                <w:sz w:val="24"/>
                <w:szCs w:val="24"/>
                <w:highlight w:val="yellow"/>
                <w:lang w:val="en-US" w:eastAsia="zh-CN"/>
              </w:rPr>
              <w:t>http://www.xhlfzx.com.cn/，克拉玛依市信用办备案认可信用服务机构）出具的信用报告所评定信用等级评分：</w:t>
            </w:r>
            <w:r>
              <w:rPr>
                <w:rFonts w:hint="eastAsia" w:ascii="宋体" w:hAnsi="宋体" w:eastAsia="宋体" w:cs="宋体"/>
                <w:color w:val="auto"/>
                <w:kern w:val="0"/>
                <w:sz w:val="24"/>
                <w:szCs w:val="24"/>
                <w:highlight w:val="yellow"/>
                <w:lang w:val="en-US" w:eastAsia="zh-CN"/>
              </w:rPr>
              <w:br w:type="textWrapping"/>
            </w:r>
            <w:r>
              <w:rPr>
                <w:rFonts w:hint="eastAsia" w:ascii="宋体" w:hAnsi="宋体" w:eastAsia="宋体" w:cs="宋体"/>
                <w:color w:val="auto"/>
                <w:kern w:val="0"/>
                <w:sz w:val="24"/>
                <w:szCs w:val="24"/>
                <w:highlight w:val="yellow"/>
                <w:lang w:val="en-US" w:eastAsia="zh-CN"/>
              </w:rPr>
              <w:t>1、信用等级为AAA级，得5分；   2、信用等级为AA级，得4.5分；</w:t>
            </w:r>
            <w:r>
              <w:rPr>
                <w:rFonts w:hint="eastAsia" w:ascii="宋体" w:hAnsi="宋体" w:eastAsia="宋体" w:cs="宋体"/>
                <w:color w:val="auto"/>
                <w:kern w:val="0"/>
                <w:sz w:val="24"/>
                <w:szCs w:val="24"/>
                <w:highlight w:val="yellow"/>
                <w:lang w:val="en-US" w:eastAsia="zh-CN"/>
              </w:rPr>
              <w:br w:type="textWrapping"/>
            </w:r>
            <w:r>
              <w:rPr>
                <w:rFonts w:hint="eastAsia" w:ascii="宋体" w:hAnsi="宋体" w:eastAsia="宋体" w:cs="宋体"/>
                <w:color w:val="auto"/>
                <w:kern w:val="0"/>
                <w:sz w:val="24"/>
                <w:szCs w:val="24"/>
                <w:highlight w:val="yellow"/>
                <w:lang w:val="en-US" w:eastAsia="zh-CN"/>
              </w:rPr>
              <w:t>3、信用等级为A级，得4分；     4、信用等级为BBB级，得3.5分；</w:t>
            </w:r>
            <w:r>
              <w:rPr>
                <w:rFonts w:hint="eastAsia" w:ascii="宋体" w:hAnsi="宋体" w:eastAsia="宋体" w:cs="宋体"/>
                <w:color w:val="auto"/>
                <w:kern w:val="0"/>
                <w:sz w:val="24"/>
                <w:szCs w:val="24"/>
                <w:highlight w:val="yellow"/>
                <w:lang w:val="en-US" w:eastAsia="zh-CN"/>
              </w:rPr>
              <w:br w:type="textWrapping"/>
            </w:r>
            <w:r>
              <w:rPr>
                <w:rFonts w:hint="eastAsia" w:ascii="宋体" w:hAnsi="宋体" w:eastAsia="宋体" w:cs="宋体"/>
                <w:color w:val="auto"/>
                <w:kern w:val="0"/>
                <w:sz w:val="24"/>
                <w:szCs w:val="24"/>
                <w:highlight w:val="yellow"/>
                <w:lang w:val="en-US" w:eastAsia="zh-CN"/>
              </w:rPr>
              <w:t>5、信用等级为BB级，得3分；    6、信用等级为B级，得2.5分；</w:t>
            </w:r>
            <w:r>
              <w:rPr>
                <w:rFonts w:hint="eastAsia" w:ascii="宋体" w:hAnsi="宋体" w:eastAsia="宋体" w:cs="宋体"/>
                <w:color w:val="auto"/>
                <w:kern w:val="0"/>
                <w:sz w:val="24"/>
                <w:szCs w:val="24"/>
                <w:highlight w:val="yellow"/>
                <w:lang w:val="en-US" w:eastAsia="zh-CN"/>
              </w:rPr>
              <w:br w:type="textWrapping"/>
            </w:r>
            <w:r>
              <w:rPr>
                <w:rFonts w:hint="eastAsia" w:ascii="宋体" w:hAnsi="宋体" w:eastAsia="宋体" w:cs="宋体"/>
                <w:color w:val="auto"/>
                <w:kern w:val="0"/>
                <w:sz w:val="24"/>
                <w:szCs w:val="24"/>
                <w:highlight w:val="yellow"/>
                <w:lang w:val="en-US" w:eastAsia="zh-CN"/>
              </w:rPr>
              <w:t>7、信用等级为CCC级，得2分；   8、信用等级为CC级，得1.5分；</w:t>
            </w:r>
            <w:r>
              <w:rPr>
                <w:rFonts w:hint="eastAsia" w:ascii="宋体" w:hAnsi="宋体" w:eastAsia="宋体" w:cs="宋体"/>
                <w:color w:val="auto"/>
                <w:kern w:val="0"/>
                <w:sz w:val="24"/>
                <w:szCs w:val="24"/>
                <w:highlight w:val="yellow"/>
                <w:lang w:val="en-US" w:eastAsia="zh-CN"/>
              </w:rPr>
              <w:br w:type="textWrapping"/>
            </w:r>
            <w:r>
              <w:rPr>
                <w:rFonts w:hint="eastAsia" w:ascii="宋体" w:hAnsi="宋体" w:eastAsia="宋体" w:cs="宋体"/>
                <w:color w:val="auto"/>
                <w:kern w:val="0"/>
                <w:sz w:val="24"/>
                <w:szCs w:val="24"/>
                <w:highlight w:val="yellow"/>
                <w:lang w:val="en-US" w:eastAsia="zh-CN"/>
              </w:rPr>
              <w:t>9、信用等级为C级，得1分；     10、信用等级为D级，得0分；</w:t>
            </w:r>
            <w:r>
              <w:rPr>
                <w:rFonts w:hint="eastAsia" w:ascii="宋体" w:hAnsi="宋体" w:eastAsia="宋体" w:cs="宋体"/>
                <w:color w:val="auto"/>
                <w:kern w:val="0"/>
                <w:sz w:val="24"/>
                <w:szCs w:val="24"/>
                <w:highlight w:val="yellow"/>
                <w:lang w:val="en-US" w:eastAsia="zh-CN"/>
              </w:rPr>
              <w:br w:type="textWrapping"/>
            </w:r>
            <w:r>
              <w:rPr>
                <w:rFonts w:hint="eastAsia" w:ascii="宋体" w:hAnsi="宋体" w:eastAsia="宋体" w:cs="宋体"/>
                <w:color w:val="auto"/>
                <w:kern w:val="0"/>
                <w:sz w:val="24"/>
                <w:szCs w:val="24"/>
                <w:highlight w:val="yellow"/>
                <w:lang w:val="en-US" w:eastAsia="zh-CN"/>
              </w:rPr>
              <w:t>11、未提供信用报告的，此项不得分。</w:t>
            </w:r>
          </w:p>
        </w:tc>
        <w:tc>
          <w:tcPr>
            <w:tcW w:w="810" w:type="dxa"/>
            <w:tcBorders>
              <w:top w:val="nil"/>
              <w:left w:val="nil"/>
              <w:bottom w:val="single" w:color="auto" w:sz="4" w:space="0"/>
              <w:right w:val="single" w:color="auto" w:sz="4" w:space="0"/>
            </w:tcBorders>
            <w:noWrap w:val="0"/>
            <w:vAlign w:val="center"/>
          </w:tcPr>
          <w:p>
            <w:pPr>
              <w:widowControl/>
              <w:spacing w:line="240" w:lineRule="auto"/>
              <w:jc w:val="center"/>
              <w:rPr>
                <w:rFonts w:hint="default" w:ascii="宋体" w:hAnsi="宋体" w:eastAsia="宋体" w:cs="宋体"/>
                <w:color w:val="auto"/>
                <w:sz w:val="24"/>
                <w:szCs w:val="24"/>
                <w:highlight w:val="yellow"/>
                <w:lang w:val="en-US" w:eastAsia="zh-CN"/>
              </w:rPr>
            </w:pPr>
            <w:r>
              <w:rPr>
                <w:rFonts w:hint="eastAsia" w:ascii="宋体" w:hAnsi="宋体" w:cs="宋体"/>
                <w:color w:val="auto"/>
                <w:sz w:val="24"/>
                <w:szCs w:val="24"/>
                <w:highlight w:val="yellow"/>
                <w:lang w:val="en-US" w:eastAsia="zh-CN"/>
              </w:rPr>
              <w:t>0-5</w:t>
            </w:r>
          </w:p>
        </w:tc>
      </w:tr>
      <w:tr>
        <w:tblPrEx>
          <w:tblCellMar>
            <w:top w:w="0" w:type="dxa"/>
            <w:left w:w="108" w:type="dxa"/>
            <w:bottom w:w="0" w:type="dxa"/>
            <w:right w:w="108" w:type="dxa"/>
          </w:tblCellMar>
        </w:tblPrEx>
        <w:trPr>
          <w:trHeight w:val="87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1770"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yellow"/>
                <w:lang w:eastAsia="zh-CN"/>
              </w:rPr>
              <w:t>综合实力</w:t>
            </w:r>
            <w:r>
              <w:rPr>
                <w:rFonts w:hint="eastAsia" w:ascii="宋体" w:hAnsi="宋体" w:eastAsia="宋体" w:cs="宋体"/>
                <w:color w:val="auto"/>
                <w:sz w:val="24"/>
                <w:szCs w:val="24"/>
                <w:highlight w:val="yellow"/>
                <w:lang w:val="en-US" w:eastAsia="zh-CN"/>
              </w:rPr>
              <w:t xml:space="preserve">   </w:t>
            </w:r>
            <w:r>
              <w:rPr>
                <w:rFonts w:hint="eastAsia" w:ascii="宋体" w:hAnsi="宋体" w:eastAsia="宋体" w:cs="宋体"/>
                <w:color w:val="auto"/>
                <w:sz w:val="24"/>
                <w:szCs w:val="24"/>
                <w:highlight w:val="yellow"/>
                <w:lang w:eastAsia="zh-CN"/>
              </w:rPr>
              <w:t>（</w:t>
            </w:r>
            <w:r>
              <w:rPr>
                <w:rFonts w:hint="eastAsia" w:ascii="宋体" w:hAnsi="宋体" w:eastAsia="宋体" w:cs="宋体"/>
                <w:color w:val="auto"/>
                <w:sz w:val="24"/>
                <w:szCs w:val="24"/>
                <w:highlight w:val="yellow"/>
                <w:lang w:val="en-US" w:eastAsia="zh-CN"/>
              </w:rPr>
              <w:t>1</w:t>
            </w:r>
            <w:r>
              <w:rPr>
                <w:rFonts w:hint="eastAsia" w:ascii="宋体" w:hAnsi="宋体" w:cs="宋体"/>
                <w:color w:val="auto"/>
                <w:sz w:val="24"/>
                <w:szCs w:val="24"/>
                <w:highlight w:val="yellow"/>
                <w:lang w:val="en-US" w:eastAsia="zh-CN"/>
              </w:rPr>
              <w:t>0</w:t>
            </w:r>
            <w:r>
              <w:rPr>
                <w:rFonts w:hint="eastAsia" w:ascii="宋体" w:hAnsi="宋体" w:eastAsia="宋体" w:cs="宋体"/>
                <w:color w:val="auto"/>
                <w:sz w:val="24"/>
                <w:szCs w:val="24"/>
                <w:highlight w:val="yellow"/>
                <w:lang w:val="en-US" w:eastAsia="zh-CN"/>
              </w:rPr>
              <w:t>分</w:t>
            </w:r>
            <w:r>
              <w:rPr>
                <w:rFonts w:hint="eastAsia" w:ascii="宋体" w:hAnsi="宋体" w:eastAsia="宋体" w:cs="宋体"/>
                <w:color w:val="auto"/>
                <w:sz w:val="24"/>
                <w:szCs w:val="24"/>
                <w:highlight w:val="yellow"/>
                <w:lang w:eastAsia="zh-CN"/>
              </w:rPr>
              <w:t>）</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color w:val="auto"/>
                <w:kern w:val="2"/>
                <w:sz w:val="24"/>
                <w:szCs w:val="24"/>
                <w:highlight w:val="yellow"/>
                <w:lang w:val="en-US" w:eastAsia="zh-CN" w:bidi="ar-SA"/>
              </w:rPr>
            </w:pPr>
            <w:r>
              <w:rPr>
                <w:rFonts w:hint="eastAsia" w:ascii="宋体" w:hAnsi="宋体" w:eastAsia="宋体" w:cs="宋体"/>
                <w:b w:val="0"/>
                <w:bCs w:val="0"/>
                <w:color w:val="auto"/>
                <w:sz w:val="24"/>
                <w:szCs w:val="24"/>
                <w:highlight w:val="yellow"/>
                <w:lang w:val="en-US" w:eastAsia="zh-CN"/>
              </w:rPr>
              <w:t>近三年（2018年1月1日至今）承担过类似项目业绩，每具有一个业绩得</w:t>
            </w:r>
            <w:r>
              <w:rPr>
                <w:rFonts w:hint="eastAsia" w:ascii="宋体" w:hAnsi="宋体" w:cs="宋体"/>
                <w:b w:val="0"/>
                <w:bCs w:val="0"/>
                <w:color w:val="auto"/>
                <w:sz w:val="24"/>
                <w:szCs w:val="24"/>
                <w:highlight w:val="yellow"/>
                <w:lang w:val="en-US" w:eastAsia="zh-CN"/>
              </w:rPr>
              <w:t>1</w:t>
            </w:r>
            <w:r>
              <w:rPr>
                <w:rFonts w:hint="eastAsia" w:ascii="宋体" w:hAnsi="宋体" w:eastAsia="宋体" w:cs="宋体"/>
                <w:b w:val="0"/>
                <w:bCs w:val="0"/>
                <w:color w:val="auto"/>
                <w:sz w:val="24"/>
                <w:szCs w:val="24"/>
                <w:highlight w:val="yellow"/>
                <w:lang w:val="en-US" w:eastAsia="zh-CN"/>
              </w:rPr>
              <w:t>分，需按要求附业绩证明资料，否则不得分。本项最多得</w:t>
            </w:r>
            <w:r>
              <w:rPr>
                <w:rFonts w:hint="eastAsia" w:ascii="宋体" w:hAnsi="宋体" w:cs="宋体"/>
                <w:b w:val="0"/>
                <w:bCs w:val="0"/>
                <w:color w:val="auto"/>
                <w:sz w:val="24"/>
                <w:szCs w:val="24"/>
                <w:highlight w:val="yellow"/>
                <w:lang w:val="en-US" w:eastAsia="zh-CN"/>
              </w:rPr>
              <w:t>5</w:t>
            </w:r>
            <w:r>
              <w:rPr>
                <w:rFonts w:hint="eastAsia" w:ascii="宋体" w:hAnsi="宋体" w:eastAsia="宋体" w:cs="宋体"/>
                <w:b w:val="0"/>
                <w:bCs w:val="0"/>
                <w:color w:val="auto"/>
                <w:sz w:val="24"/>
                <w:szCs w:val="24"/>
                <w:highlight w:val="yellow"/>
                <w:lang w:val="en-US" w:eastAsia="zh-CN"/>
              </w:rPr>
              <w:t>分。</w:t>
            </w:r>
          </w:p>
        </w:tc>
        <w:tc>
          <w:tcPr>
            <w:tcW w:w="810" w:type="dxa"/>
            <w:tcBorders>
              <w:top w:val="nil"/>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auto"/>
                <w:kern w:val="2"/>
                <w:sz w:val="24"/>
                <w:szCs w:val="24"/>
                <w:highlight w:val="yellow"/>
                <w:lang w:val="en-US" w:eastAsia="zh-CN" w:bidi="ar-SA"/>
              </w:rPr>
            </w:pPr>
            <w:r>
              <w:rPr>
                <w:rFonts w:hint="eastAsia" w:ascii="宋体" w:hAnsi="宋体" w:eastAsia="宋体" w:cs="宋体"/>
                <w:b w:val="0"/>
                <w:bCs w:val="0"/>
                <w:color w:val="auto"/>
                <w:sz w:val="24"/>
                <w:szCs w:val="24"/>
                <w:highlight w:val="yellow"/>
                <w:lang w:val="en-US" w:eastAsia="zh-CN"/>
              </w:rPr>
              <w:t>0-</w:t>
            </w:r>
            <w:r>
              <w:rPr>
                <w:rFonts w:hint="eastAsia" w:ascii="宋体" w:hAnsi="宋体" w:cs="宋体"/>
                <w:b w:val="0"/>
                <w:bCs w:val="0"/>
                <w:color w:val="auto"/>
                <w:sz w:val="24"/>
                <w:szCs w:val="24"/>
                <w:highlight w:val="yellow"/>
                <w:lang w:val="en-US" w:eastAsia="zh-CN"/>
              </w:rPr>
              <w:t>5</w:t>
            </w:r>
          </w:p>
        </w:tc>
      </w:tr>
      <w:tr>
        <w:tblPrEx>
          <w:tblCellMar>
            <w:top w:w="0" w:type="dxa"/>
            <w:left w:w="108" w:type="dxa"/>
            <w:bottom w:w="0" w:type="dxa"/>
            <w:right w:w="108" w:type="dxa"/>
          </w:tblCellMar>
        </w:tblPrEx>
        <w:trPr>
          <w:trHeight w:val="87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770" w:type="dxa"/>
            <w:vMerge w:val="continue"/>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yellow"/>
                <w:lang w:eastAsia="zh-CN"/>
              </w:rPr>
            </w:pPr>
          </w:p>
        </w:tc>
        <w:tc>
          <w:tcPr>
            <w:tcW w:w="74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b w:val="0"/>
                <w:bCs w:val="0"/>
                <w:color w:val="auto"/>
                <w:sz w:val="24"/>
                <w:szCs w:val="24"/>
                <w:highlight w:val="yellow"/>
                <w:lang w:val="en-US" w:eastAsia="zh-CN"/>
              </w:rPr>
            </w:pPr>
            <w:r>
              <w:rPr>
                <w:rFonts w:hint="eastAsia" w:ascii="宋体" w:hAnsi="宋体" w:cs="宋体"/>
                <w:color w:val="auto"/>
                <w:kern w:val="0"/>
                <w:sz w:val="24"/>
                <w:highlight w:val="yellow"/>
                <w:lang w:eastAsia="zh-CN"/>
              </w:rPr>
              <w:t>供应商提供</w:t>
            </w:r>
            <w:r>
              <w:rPr>
                <w:rFonts w:hint="eastAsia" w:ascii="宋体" w:hAnsi="宋体" w:cs="宋体"/>
                <w:color w:val="auto"/>
                <w:kern w:val="0"/>
                <w:sz w:val="24"/>
                <w:highlight w:val="yellow"/>
              </w:rPr>
              <w:t>ISO9001 质量管理体系认证证书、</w:t>
            </w:r>
            <w:r>
              <w:rPr>
                <w:rFonts w:hint="eastAsia" w:ascii="宋体" w:hAnsi="宋体" w:eastAsia="宋体" w:cs="宋体"/>
                <w:color w:val="auto"/>
                <w:sz w:val="24"/>
                <w:szCs w:val="24"/>
                <w:highlight w:val="yellow"/>
              </w:rPr>
              <w:t>ISO14001环境管理体系认证</w:t>
            </w:r>
            <w:r>
              <w:rPr>
                <w:rFonts w:hint="eastAsia" w:ascii="宋体" w:hAnsi="宋体" w:eastAsia="宋体" w:cs="宋体"/>
                <w:color w:val="auto"/>
                <w:sz w:val="24"/>
                <w:szCs w:val="24"/>
                <w:highlight w:val="yellow"/>
                <w:lang w:eastAsia="zh-CN"/>
              </w:rPr>
              <w:t>、</w:t>
            </w:r>
            <w:r>
              <w:rPr>
                <w:rFonts w:hint="eastAsia" w:ascii="宋体" w:hAnsi="宋体" w:cs="宋体"/>
                <w:color w:val="auto"/>
                <w:kern w:val="0"/>
                <w:sz w:val="24"/>
                <w:highlight w:val="yellow"/>
              </w:rPr>
              <w:t>ISO</w:t>
            </w:r>
            <w:r>
              <w:rPr>
                <w:rFonts w:hint="eastAsia" w:ascii="宋体" w:hAnsi="宋体" w:cs="宋体"/>
                <w:color w:val="auto"/>
                <w:kern w:val="0"/>
                <w:sz w:val="24"/>
                <w:highlight w:val="yellow"/>
                <w:lang w:val="en-US" w:eastAsia="zh-CN"/>
              </w:rPr>
              <w:t>45</w:t>
            </w:r>
            <w:r>
              <w:rPr>
                <w:rFonts w:hint="eastAsia" w:ascii="宋体" w:hAnsi="宋体" w:cs="宋体"/>
                <w:color w:val="auto"/>
                <w:kern w:val="0"/>
                <w:sz w:val="24"/>
                <w:highlight w:val="yellow"/>
              </w:rPr>
              <w:t>001</w:t>
            </w:r>
            <w:r>
              <w:rPr>
                <w:rFonts w:hint="eastAsia" w:ascii="宋体" w:hAnsi="宋体" w:eastAsia="宋体" w:cs="宋体"/>
                <w:color w:val="auto"/>
                <w:sz w:val="24"/>
                <w:szCs w:val="24"/>
                <w:highlight w:val="yellow"/>
              </w:rPr>
              <w:t>职业健康安全管理体系认证</w:t>
            </w:r>
            <w:r>
              <w:rPr>
                <w:rFonts w:hint="eastAsia" w:ascii="宋体" w:hAnsi="宋体" w:eastAsia="宋体" w:cs="宋体"/>
                <w:color w:val="auto"/>
                <w:sz w:val="24"/>
                <w:szCs w:val="24"/>
                <w:highlight w:val="yellow"/>
                <w:lang w:eastAsia="zh-CN"/>
              </w:rPr>
              <w:t>，齐全得</w:t>
            </w:r>
            <w:r>
              <w:rPr>
                <w:rFonts w:hint="eastAsia" w:ascii="宋体" w:hAnsi="宋体" w:eastAsia="宋体" w:cs="宋体"/>
                <w:color w:val="auto"/>
                <w:sz w:val="24"/>
                <w:szCs w:val="24"/>
                <w:highlight w:val="yellow"/>
                <w:lang w:val="en-US" w:eastAsia="zh-CN"/>
              </w:rPr>
              <w:t>2分；</w:t>
            </w:r>
            <w:r>
              <w:rPr>
                <w:rFonts w:hint="eastAsia" w:ascii="宋体" w:hAnsi="宋体" w:eastAsia="宋体" w:cs="宋体"/>
                <w:color w:val="auto"/>
                <w:sz w:val="24"/>
                <w:szCs w:val="24"/>
                <w:highlight w:val="yellow"/>
                <w:lang w:eastAsia="zh-CN"/>
              </w:rPr>
              <w:t>缺项不得分；未提供证书，得</w:t>
            </w:r>
            <w:r>
              <w:rPr>
                <w:rFonts w:hint="eastAsia" w:ascii="宋体" w:hAnsi="宋体" w:eastAsia="宋体" w:cs="宋体"/>
                <w:color w:val="auto"/>
                <w:sz w:val="24"/>
                <w:szCs w:val="24"/>
                <w:highlight w:val="yellow"/>
                <w:lang w:val="en-US" w:eastAsia="zh-CN"/>
              </w:rPr>
              <w:t>0分。</w:t>
            </w:r>
          </w:p>
        </w:tc>
        <w:tc>
          <w:tcPr>
            <w:tcW w:w="810" w:type="dxa"/>
            <w:tcBorders>
              <w:top w:val="nil"/>
              <w:left w:val="nil"/>
              <w:bottom w:val="single" w:color="auto" w:sz="4" w:space="0"/>
              <w:right w:val="single" w:color="auto" w:sz="4" w:space="0"/>
            </w:tcBorders>
            <w:noWrap w:val="0"/>
            <w:vAlign w:val="center"/>
          </w:tcPr>
          <w:p>
            <w:pPr>
              <w:spacing w:line="300" w:lineRule="exact"/>
              <w:jc w:val="center"/>
              <w:rPr>
                <w:rFonts w:hint="default" w:ascii="宋体" w:hAnsi="宋体" w:eastAsia="宋体" w:cs="宋体"/>
                <w:b w:val="0"/>
                <w:bCs w:val="0"/>
                <w:color w:val="auto"/>
                <w:sz w:val="24"/>
                <w:szCs w:val="24"/>
                <w:highlight w:val="yellow"/>
                <w:lang w:val="en-US" w:eastAsia="zh-CN"/>
              </w:rPr>
            </w:pPr>
            <w:r>
              <w:rPr>
                <w:rFonts w:hint="eastAsia" w:ascii="宋体" w:hAnsi="宋体" w:cs="宋体"/>
                <w:b w:val="0"/>
                <w:bCs w:val="0"/>
                <w:color w:val="auto"/>
                <w:sz w:val="24"/>
                <w:szCs w:val="24"/>
                <w:highlight w:val="yellow"/>
                <w:lang w:val="en-US" w:eastAsia="zh-CN"/>
              </w:rPr>
              <w:t>0-2</w:t>
            </w:r>
          </w:p>
        </w:tc>
      </w:tr>
      <w:tr>
        <w:tblPrEx>
          <w:tblCellMar>
            <w:top w:w="0" w:type="dxa"/>
            <w:left w:w="108" w:type="dxa"/>
            <w:bottom w:w="0" w:type="dxa"/>
            <w:right w:w="108" w:type="dxa"/>
          </w:tblCellMar>
        </w:tblPrEx>
        <w:trPr>
          <w:trHeight w:val="60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1770" w:type="dxa"/>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yellow"/>
              </w:rPr>
            </w:pPr>
          </w:p>
        </w:tc>
        <w:tc>
          <w:tcPr>
            <w:tcW w:w="74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val="0"/>
                <w:color w:val="auto"/>
                <w:kern w:val="2"/>
                <w:sz w:val="24"/>
                <w:szCs w:val="24"/>
                <w:highlight w:val="yellow"/>
                <w:lang w:val="en-US" w:eastAsia="zh-CN" w:bidi="ar-SA"/>
              </w:rPr>
            </w:pPr>
            <w:r>
              <w:rPr>
                <w:rFonts w:hint="eastAsia" w:ascii="宋体" w:hAnsi="宋体" w:cs="宋体"/>
                <w:b w:val="0"/>
                <w:bCs w:val="0"/>
                <w:color w:val="auto"/>
                <w:kern w:val="2"/>
                <w:sz w:val="24"/>
                <w:szCs w:val="24"/>
                <w:highlight w:val="yellow"/>
                <w:lang w:val="en-US" w:eastAsia="zh-CN" w:bidi="ar-SA"/>
              </w:rPr>
              <w:t>供应商</w:t>
            </w:r>
            <w:r>
              <w:rPr>
                <w:rFonts w:hint="eastAsia" w:ascii="宋体" w:hAnsi="宋体" w:eastAsia="宋体" w:cs="宋体"/>
                <w:b w:val="0"/>
                <w:bCs w:val="0"/>
                <w:color w:val="auto"/>
                <w:kern w:val="2"/>
                <w:sz w:val="24"/>
                <w:szCs w:val="24"/>
                <w:highlight w:val="yellow"/>
                <w:lang w:val="en-US" w:eastAsia="zh-CN" w:bidi="ar-SA"/>
              </w:rPr>
              <w:t>实力较强，设备及专业人员较多者得</w:t>
            </w:r>
            <w:r>
              <w:rPr>
                <w:rFonts w:hint="eastAsia" w:ascii="宋体" w:hAnsi="宋体" w:cs="宋体"/>
                <w:b w:val="0"/>
                <w:bCs w:val="0"/>
                <w:color w:val="auto"/>
                <w:kern w:val="2"/>
                <w:sz w:val="24"/>
                <w:szCs w:val="24"/>
                <w:highlight w:val="yellow"/>
                <w:lang w:val="en-US" w:eastAsia="zh-CN" w:bidi="ar-SA"/>
              </w:rPr>
              <w:t>2</w:t>
            </w:r>
            <w:r>
              <w:rPr>
                <w:rFonts w:hint="eastAsia" w:ascii="宋体" w:hAnsi="宋体" w:eastAsia="宋体" w:cs="宋体"/>
                <w:b w:val="0"/>
                <w:bCs w:val="0"/>
                <w:color w:val="auto"/>
                <w:kern w:val="2"/>
                <w:sz w:val="24"/>
                <w:szCs w:val="24"/>
                <w:highlight w:val="yellow"/>
                <w:lang w:val="en-US" w:eastAsia="zh-CN" w:bidi="ar-SA"/>
              </w:rPr>
              <w:t>-</w:t>
            </w:r>
            <w:r>
              <w:rPr>
                <w:rFonts w:hint="eastAsia" w:ascii="宋体" w:hAnsi="宋体" w:cs="宋体"/>
                <w:b w:val="0"/>
                <w:bCs w:val="0"/>
                <w:color w:val="auto"/>
                <w:kern w:val="2"/>
                <w:sz w:val="24"/>
                <w:szCs w:val="24"/>
                <w:highlight w:val="yellow"/>
                <w:lang w:val="en-US" w:eastAsia="zh-CN" w:bidi="ar-SA"/>
              </w:rPr>
              <w:t>3</w:t>
            </w:r>
            <w:r>
              <w:rPr>
                <w:rFonts w:hint="eastAsia" w:ascii="宋体" w:hAnsi="宋体" w:eastAsia="宋体" w:cs="宋体"/>
                <w:b w:val="0"/>
                <w:bCs w:val="0"/>
                <w:color w:val="auto"/>
                <w:kern w:val="2"/>
                <w:sz w:val="24"/>
                <w:szCs w:val="24"/>
                <w:highlight w:val="yellow"/>
                <w:lang w:val="en-US" w:eastAsia="zh-CN" w:bidi="ar-SA"/>
              </w:rPr>
              <w:t>，一般者得1-2分。（提供专业技术人员专业技能证明材料及公司为技术人员缴纳社保的证明材料）</w:t>
            </w:r>
          </w:p>
        </w:tc>
        <w:tc>
          <w:tcPr>
            <w:tcW w:w="810" w:type="dxa"/>
            <w:tcBorders>
              <w:top w:val="nil"/>
              <w:left w:val="nil"/>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auto"/>
                <w:kern w:val="2"/>
                <w:sz w:val="24"/>
                <w:szCs w:val="24"/>
                <w:highlight w:val="yellow"/>
                <w:lang w:val="en-US" w:eastAsia="zh-CN" w:bidi="ar-SA"/>
              </w:rPr>
            </w:pPr>
            <w:r>
              <w:rPr>
                <w:rFonts w:hint="eastAsia" w:ascii="宋体" w:hAnsi="宋体" w:cs="宋体"/>
                <w:b w:val="0"/>
                <w:bCs w:val="0"/>
                <w:color w:val="auto"/>
                <w:kern w:val="2"/>
                <w:sz w:val="24"/>
                <w:szCs w:val="24"/>
                <w:highlight w:val="yellow"/>
                <w:lang w:val="en-US" w:eastAsia="zh-CN" w:bidi="ar-SA"/>
              </w:rPr>
              <w:t>1</w:t>
            </w:r>
            <w:r>
              <w:rPr>
                <w:rFonts w:hint="eastAsia" w:ascii="宋体" w:hAnsi="宋体" w:eastAsia="宋体" w:cs="宋体"/>
                <w:b w:val="0"/>
                <w:bCs w:val="0"/>
                <w:color w:val="auto"/>
                <w:kern w:val="2"/>
                <w:sz w:val="24"/>
                <w:szCs w:val="24"/>
                <w:highlight w:val="yellow"/>
                <w:lang w:val="en-US" w:eastAsia="zh-CN" w:bidi="ar-SA"/>
              </w:rPr>
              <w:t>-</w:t>
            </w:r>
            <w:r>
              <w:rPr>
                <w:rFonts w:hint="eastAsia" w:ascii="宋体" w:hAnsi="宋体" w:cs="宋体"/>
                <w:b w:val="0"/>
                <w:bCs w:val="0"/>
                <w:color w:val="auto"/>
                <w:kern w:val="2"/>
                <w:sz w:val="24"/>
                <w:szCs w:val="24"/>
                <w:highlight w:val="yellow"/>
                <w:lang w:val="en-US" w:eastAsia="zh-CN" w:bidi="ar-SA"/>
              </w:rPr>
              <w:t>3</w:t>
            </w:r>
          </w:p>
        </w:tc>
      </w:tr>
      <w:tr>
        <w:tblPrEx>
          <w:tblCellMar>
            <w:top w:w="0" w:type="dxa"/>
            <w:left w:w="108" w:type="dxa"/>
            <w:bottom w:w="0" w:type="dxa"/>
            <w:right w:w="108" w:type="dxa"/>
          </w:tblCellMar>
        </w:tblPrEx>
        <w:trPr>
          <w:trHeight w:val="1023"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施工组织设计</w:t>
            </w:r>
            <w:r>
              <w:rPr>
                <w:rFonts w:hint="eastAsia" w:ascii="宋体" w:hAnsi="宋体" w:eastAsia="宋体" w:cs="宋体"/>
                <w:color w:val="auto"/>
                <w:kern w:val="0"/>
                <w:sz w:val="24"/>
                <w:szCs w:val="24"/>
                <w:highlight w:val="none"/>
                <w:lang w:val="en-US" w:eastAsia="zh-CN"/>
              </w:rPr>
              <w:t>(6分）</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rPr>
              <w:t>施工部署是否全面、主要工序衔接是否合理，关键节点控制措施是否可行</w:t>
            </w:r>
          </w:p>
        </w:tc>
        <w:tc>
          <w:tcPr>
            <w:tcW w:w="8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0-6</w:t>
            </w:r>
          </w:p>
        </w:tc>
      </w:tr>
      <w:tr>
        <w:tblPrEx>
          <w:tblCellMar>
            <w:top w:w="0" w:type="dxa"/>
            <w:left w:w="108" w:type="dxa"/>
            <w:bottom w:w="0" w:type="dxa"/>
            <w:right w:w="108" w:type="dxa"/>
          </w:tblCellMar>
        </w:tblPrEx>
        <w:trPr>
          <w:trHeight w:val="959"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施工机械设备投入（</w:t>
            </w:r>
            <w:r>
              <w:rPr>
                <w:rFonts w:hint="eastAsia" w:ascii="宋体" w:hAnsi="宋体" w:eastAsia="宋体" w:cs="宋体"/>
                <w:color w:val="auto"/>
                <w:kern w:val="0"/>
                <w:sz w:val="24"/>
                <w:szCs w:val="24"/>
                <w:highlight w:val="none"/>
                <w:lang w:val="en-US" w:eastAsia="zh-CN"/>
              </w:rPr>
              <w:t>6分</w:t>
            </w:r>
            <w:r>
              <w:rPr>
                <w:rFonts w:hint="eastAsia" w:ascii="宋体" w:hAnsi="宋体" w:eastAsia="宋体" w:cs="宋体"/>
                <w:color w:val="auto"/>
                <w:kern w:val="0"/>
                <w:sz w:val="24"/>
                <w:szCs w:val="24"/>
                <w:highlight w:val="none"/>
                <w:lang w:eastAsia="zh-CN"/>
              </w:rPr>
              <w:t>）</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rPr>
              <w:t>主要针对施工机械投入与施工进度计划是否相呼应且能满足工序衔接的要求及施工机械搭配周全是否合理</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0-6</w:t>
            </w:r>
          </w:p>
        </w:tc>
      </w:tr>
      <w:tr>
        <w:tblPrEx>
          <w:tblCellMar>
            <w:top w:w="0" w:type="dxa"/>
            <w:left w:w="108" w:type="dxa"/>
            <w:bottom w:w="0" w:type="dxa"/>
            <w:right w:w="108" w:type="dxa"/>
          </w:tblCellMar>
        </w:tblPrEx>
        <w:trPr>
          <w:trHeight w:val="739"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劳动力安排计划及其保证措施（</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rPr>
              <w:t>主要针对调配投入计划合理性及劳动力安排计划</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0-6</w:t>
            </w:r>
          </w:p>
        </w:tc>
      </w:tr>
      <w:tr>
        <w:tblPrEx>
          <w:tblCellMar>
            <w:top w:w="0" w:type="dxa"/>
            <w:left w:w="108" w:type="dxa"/>
            <w:bottom w:w="0" w:type="dxa"/>
            <w:right w:w="108" w:type="dxa"/>
          </w:tblCellMar>
        </w:tblPrEx>
        <w:trPr>
          <w:trHeight w:val="949"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材料(周转材料)投入计划（</w:t>
            </w:r>
            <w:r>
              <w:rPr>
                <w:rFonts w:hint="eastAsia" w:ascii="宋体" w:hAnsi="宋体" w:eastAsia="宋体" w:cs="宋体"/>
                <w:b w:val="0"/>
                <w:bCs/>
                <w:color w:val="auto"/>
                <w:sz w:val="24"/>
                <w:szCs w:val="24"/>
                <w:highlight w:val="none"/>
                <w:lang w:val="en-US" w:eastAsia="zh-CN"/>
              </w:rPr>
              <w:t>6分</w:t>
            </w:r>
            <w:r>
              <w:rPr>
                <w:rFonts w:hint="eastAsia" w:ascii="宋体" w:hAnsi="宋体" w:eastAsia="宋体" w:cs="宋体"/>
                <w:b w:val="0"/>
                <w:bCs/>
                <w:color w:val="auto"/>
                <w:sz w:val="24"/>
                <w:szCs w:val="24"/>
                <w:highlight w:val="none"/>
                <w:lang w:eastAsia="zh-CN"/>
              </w:rPr>
              <w:t>）</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rPr>
              <w:t>主要针对调配投入计划的合理性,材料组织供应计划及保证措施及是否与施工进度计划相呼应</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0-6</w:t>
            </w:r>
          </w:p>
        </w:tc>
      </w:tr>
      <w:tr>
        <w:tblPrEx>
          <w:tblCellMar>
            <w:top w:w="0" w:type="dxa"/>
            <w:left w:w="108" w:type="dxa"/>
            <w:bottom w:w="0" w:type="dxa"/>
            <w:right w:w="108" w:type="dxa"/>
          </w:tblCellMar>
        </w:tblPrEx>
        <w:trPr>
          <w:trHeight w:val="96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管理人员投入（6分）</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rPr>
              <w:t>主要针对项目管理人员对工程实际配置是否合理，项目管理人员配置是否能够满足该工程管理需要</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0-6</w:t>
            </w:r>
          </w:p>
        </w:tc>
      </w:tr>
      <w:tr>
        <w:tblPrEx>
          <w:tblCellMar>
            <w:top w:w="0" w:type="dxa"/>
            <w:left w:w="108" w:type="dxa"/>
            <w:bottom w:w="0" w:type="dxa"/>
            <w:right w:w="108" w:type="dxa"/>
          </w:tblCellMar>
        </w:tblPrEx>
        <w:trPr>
          <w:trHeight w:val="982"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施工技术方案（</w:t>
            </w:r>
            <w:r>
              <w:rPr>
                <w:rFonts w:hint="eastAsia" w:ascii="宋体" w:hAnsi="宋体" w:eastAsia="宋体" w:cs="宋体"/>
                <w:color w:val="auto"/>
                <w:kern w:val="0"/>
                <w:sz w:val="24"/>
                <w:szCs w:val="24"/>
                <w:highlight w:val="none"/>
                <w:lang w:val="en-US" w:eastAsia="zh-CN"/>
              </w:rPr>
              <w:t>6分</w:t>
            </w:r>
            <w:r>
              <w:rPr>
                <w:rFonts w:hint="eastAsia" w:ascii="宋体" w:hAnsi="宋体" w:eastAsia="宋体" w:cs="宋体"/>
                <w:color w:val="auto"/>
                <w:kern w:val="0"/>
                <w:sz w:val="24"/>
                <w:szCs w:val="24"/>
                <w:highlight w:val="none"/>
                <w:lang w:eastAsia="zh-CN"/>
              </w:rPr>
              <w:t>）</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rPr>
              <w:t>主要针对施工技术方案的合理性,施工部署全面性、是否对本项目的针对性强,对工程施工具有较强的指导性</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0-6</w:t>
            </w:r>
          </w:p>
        </w:tc>
      </w:tr>
      <w:tr>
        <w:tblPrEx>
          <w:tblCellMar>
            <w:top w:w="0" w:type="dxa"/>
            <w:left w:w="108" w:type="dxa"/>
            <w:bottom w:w="0" w:type="dxa"/>
            <w:right w:w="108" w:type="dxa"/>
          </w:tblCellMar>
        </w:tblPrEx>
        <w:trPr>
          <w:trHeight w:val="101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2</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施工进度计划（</w:t>
            </w:r>
            <w:r>
              <w:rPr>
                <w:rFonts w:hint="eastAsia" w:ascii="宋体" w:hAnsi="宋体" w:eastAsia="宋体" w:cs="宋体"/>
                <w:color w:val="auto"/>
                <w:kern w:val="0"/>
                <w:sz w:val="24"/>
                <w:szCs w:val="24"/>
                <w:highlight w:val="none"/>
                <w:lang w:val="en-US" w:eastAsia="zh-CN"/>
              </w:rPr>
              <w:t>6分</w:t>
            </w:r>
            <w:r>
              <w:rPr>
                <w:rFonts w:hint="eastAsia" w:ascii="宋体" w:hAnsi="宋体" w:eastAsia="宋体" w:cs="宋体"/>
                <w:color w:val="auto"/>
                <w:kern w:val="0"/>
                <w:sz w:val="24"/>
                <w:szCs w:val="24"/>
                <w:highlight w:val="none"/>
                <w:lang w:eastAsia="zh-CN"/>
              </w:rPr>
              <w:t>）</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rPr>
              <w:t>主要针对工程总进度计划是否合理且留有余地、对施工进度安排是否有切实可行的保证措施</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0-6</w:t>
            </w:r>
          </w:p>
        </w:tc>
      </w:tr>
      <w:tr>
        <w:tblPrEx>
          <w:tblCellMar>
            <w:top w:w="0" w:type="dxa"/>
            <w:left w:w="108" w:type="dxa"/>
            <w:bottom w:w="0" w:type="dxa"/>
            <w:right w:w="108" w:type="dxa"/>
          </w:tblCellMar>
        </w:tblPrEx>
        <w:trPr>
          <w:trHeight w:val="121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质量安全文明施工保证措施（</w:t>
            </w:r>
            <w:r>
              <w:rPr>
                <w:rFonts w:hint="eastAsia" w:ascii="宋体" w:hAnsi="宋体" w:eastAsia="宋体" w:cs="宋体"/>
                <w:color w:val="auto"/>
                <w:kern w:val="0"/>
                <w:sz w:val="24"/>
                <w:szCs w:val="24"/>
                <w:highlight w:val="none"/>
                <w:lang w:val="en-US" w:eastAsia="zh-CN"/>
              </w:rPr>
              <w:t>6分</w:t>
            </w:r>
            <w:r>
              <w:rPr>
                <w:rFonts w:hint="eastAsia" w:ascii="宋体" w:hAnsi="宋体" w:eastAsia="宋体" w:cs="宋体"/>
                <w:color w:val="auto"/>
                <w:kern w:val="0"/>
                <w:sz w:val="24"/>
                <w:szCs w:val="24"/>
                <w:highlight w:val="none"/>
                <w:lang w:eastAsia="zh-CN"/>
              </w:rPr>
              <w:t>）</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rPr>
              <w:t>主要针对是否有具体可行的质量、安全、文明保证措施，具体的违约责任、管理机构及管理制度是否健全、质量检测能力与手段是否完善</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0-6</w:t>
            </w:r>
          </w:p>
        </w:tc>
      </w:tr>
      <w:tr>
        <w:tblPrEx>
          <w:tblCellMar>
            <w:top w:w="0" w:type="dxa"/>
            <w:left w:w="108" w:type="dxa"/>
            <w:bottom w:w="0" w:type="dxa"/>
            <w:right w:w="108" w:type="dxa"/>
          </w:tblCellMar>
        </w:tblPrEx>
        <w:trPr>
          <w:trHeight w:val="896"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技术难点及相应解决方案</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5分</w:t>
            </w:r>
            <w:r>
              <w:rPr>
                <w:rFonts w:hint="eastAsia" w:ascii="宋体" w:hAnsi="宋体" w:eastAsia="宋体" w:cs="宋体"/>
                <w:color w:val="auto"/>
                <w:kern w:val="0"/>
                <w:sz w:val="24"/>
                <w:szCs w:val="24"/>
                <w:highlight w:val="none"/>
                <w:lang w:eastAsia="zh-CN"/>
              </w:rPr>
              <w:t>）</w:t>
            </w:r>
          </w:p>
        </w:tc>
        <w:tc>
          <w:tcPr>
            <w:tcW w:w="7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rPr>
              <w:t>主要针对技术难点及相应解决方案、施工重点难点解决的方案</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0-5</w:t>
            </w:r>
          </w:p>
        </w:tc>
      </w:tr>
      <w:tr>
        <w:tblPrEx>
          <w:tblCellMar>
            <w:top w:w="0" w:type="dxa"/>
            <w:left w:w="108" w:type="dxa"/>
            <w:bottom w:w="0" w:type="dxa"/>
            <w:right w:w="108" w:type="dxa"/>
          </w:tblCellMar>
        </w:tblPrEx>
        <w:trPr>
          <w:trHeight w:val="1322"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cs="宋体"/>
                <w:b w:val="0"/>
                <w:bCs/>
                <w:color w:val="auto"/>
                <w:kern w:val="0"/>
                <w:sz w:val="24"/>
                <w:szCs w:val="24"/>
                <w:highlight w:val="none"/>
                <w:lang w:eastAsia="zh-CN"/>
              </w:rPr>
              <w:t>响应文件</w:t>
            </w:r>
            <w:r>
              <w:rPr>
                <w:rFonts w:hint="eastAsia" w:ascii="宋体" w:hAnsi="宋体" w:eastAsia="宋体" w:cs="宋体"/>
                <w:b w:val="0"/>
                <w:bCs/>
                <w:color w:val="auto"/>
                <w:kern w:val="0"/>
                <w:sz w:val="24"/>
                <w:szCs w:val="24"/>
                <w:highlight w:val="none"/>
              </w:rPr>
              <w:t>编制质量（</w:t>
            </w:r>
            <w:r>
              <w:rPr>
                <w:rFonts w:hint="eastAsia" w:ascii="宋体" w:hAnsi="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rPr>
              <w:t>分）</w:t>
            </w:r>
          </w:p>
        </w:tc>
        <w:tc>
          <w:tcPr>
            <w:tcW w:w="7455"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根据</w:t>
            </w:r>
            <w:r>
              <w:rPr>
                <w:rFonts w:hint="eastAsia" w:ascii="宋体" w:hAnsi="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条款和要求认真组织编写</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及相关工作。</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编制水平高，技术方案内容详细完整的得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分；基本清楚的得</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分；不清楚的不得分。</w:t>
            </w:r>
          </w:p>
        </w:tc>
        <w:tc>
          <w:tcPr>
            <w:tcW w:w="810"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2</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报价政策性扣减的相关说明：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1、关于小微企业：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1.1按&lt;关于印发《政府采购促进中小企业发展</w:t>
      </w:r>
      <w:r>
        <w:rPr>
          <w:rFonts w:hint="eastAsia" w:ascii="宋体" w:hAnsi="宋体" w:eastAsia="宋体" w:cs="宋体"/>
          <w:b/>
          <w:color w:val="auto"/>
          <w:sz w:val="24"/>
          <w:szCs w:val="24"/>
          <w:highlight w:val="none"/>
          <w:lang w:eastAsia="zh-CN"/>
        </w:rPr>
        <w:t>管理</w:t>
      </w:r>
      <w:r>
        <w:rPr>
          <w:rFonts w:hint="eastAsia" w:ascii="宋体" w:hAnsi="宋体" w:eastAsia="宋体" w:cs="宋体"/>
          <w:b/>
          <w:color w:val="auto"/>
          <w:sz w:val="24"/>
          <w:szCs w:val="24"/>
          <w:highlight w:val="none"/>
        </w:rPr>
        <w:t>办法》的通知&gt;（财库〔20</w:t>
      </w: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46</w:t>
      </w:r>
      <w:r>
        <w:rPr>
          <w:rFonts w:hint="eastAsia" w:ascii="宋体" w:hAnsi="宋体" w:eastAsia="宋体" w:cs="宋体"/>
          <w:b/>
          <w:color w:val="auto"/>
          <w:sz w:val="24"/>
          <w:szCs w:val="24"/>
          <w:highlight w:val="none"/>
        </w:rPr>
        <w:t>号）之规定，中小企业的标准为：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1.1.1提供本企业承担的服务，或者提供其他中小企业</w:t>
      </w:r>
      <w:r>
        <w:rPr>
          <w:rFonts w:hint="eastAsia" w:ascii="宋体" w:hAnsi="宋体" w:eastAsia="宋体" w:cs="宋体"/>
          <w:b/>
          <w:color w:val="auto"/>
          <w:sz w:val="24"/>
          <w:szCs w:val="24"/>
          <w:highlight w:val="none"/>
          <w:lang w:eastAsia="zh-CN"/>
        </w:rPr>
        <w:t>的服务</w:t>
      </w:r>
      <w:r>
        <w:rPr>
          <w:rFonts w:hint="eastAsia" w:ascii="宋体" w:hAnsi="宋体" w:eastAsia="宋体" w:cs="宋体"/>
          <w:b/>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1.1.2本规定所称中小企业划分标准，是指国务院有关部门根据企业从业人员、营业收入、资产总额等指标制定的中小企业划型标准（工信部联企业〔2011〕300号）。</w:t>
      </w:r>
    </w:p>
    <w:p>
      <w:pPr>
        <w:spacing w:line="360" w:lineRule="auto"/>
        <w:rPr>
          <w:rFonts w:hint="eastAsia" w:ascii="黑体" w:hAnsi="黑体" w:eastAsia="黑体" w:cs="黑体"/>
          <w:b/>
          <w:color w:val="auto"/>
          <w:sz w:val="21"/>
          <w:szCs w:val="21"/>
          <w:highlight w:val="none"/>
        </w:rPr>
      </w:pPr>
      <w:r>
        <w:rPr>
          <w:rFonts w:hint="eastAsia" w:ascii="宋体" w:hAnsi="宋体" w:eastAsia="宋体" w:cs="宋体"/>
          <w:b/>
          <w:color w:val="auto"/>
          <w:sz w:val="24"/>
          <w:szCs w:val="24"/>
          <w:highlight w:val="none"/>
        </w:rPr>
        <w:t>1.1.3小型、微型企业提供有中型企业</w:t>
      </w:r>
      <w:r>
        <w:rPr>
          <w:rFonts w:hint="eastAsia" w:ascii="宋体" w:hAnsi="宋体" w:eastAsia="宋体" w:cs="宋体"/>
          <w:b/>
          <w:color w:val="auto"/>
          <w:sz w:val="24"/>
          <w:szCs w:val="24"/>
          <w:highlight w:val="none"/>
          <w:lang w:eastAsia="zh-CN"/>
        </w:rPr>
        <w:t>服务</w:t>
      </w:r>
      <w:r>
        <w:rPr>
          <w:rFonts w:hint="eastAsia" w:ascii="宋体" w:hAnsi="宋体" w:eastAsia="宋体" w:cs="宋体"/>
          <w:b/>
          <w:color w:val="auto"/>
          <w:sz w:val="24"/>
          <w:szCs w:val="24"/>
          <w:highlight w:val="none"/>
        </w:rPr>
        <w:t>的，视同为中型企业；小型、微型、中型企业提供有大型企业</w:t>
      </w:r>
      <w:r>
        <w:rPr>
          <w:rFonts w:hint="eastAsia" w:ascii="宋体" w:hAnsi="宋体" w:eastAsia="宋体" w:cs="宋体"/>
          <w:b/>
          <w:color w:val="auto"/>
          <w:sz w:val="24"/>
          <w:szCs w:val="24"/>
          <w:highlight w:val="none"/>
          <w:lang w:eastAsia="zh-CN"/>
        </w:rPr>
        <w:t>服务</w:t>
      </w:r>
      <w:r>
        <w:rPr>
          <w:rFonts w:hint="eastAsia" w:ascii="宋体" w:hAnsi="宋体" w:eastAsia="宋体" w:cs="宋体"/>
          <w:b/>
          <w:color w:val="auto"/>
          <w:sz w:val="24"/>
          <w:szCs w:val="24"/>
          <w:highlight w:val="none"/>
        </w:rPr>
        <w:t>的，视同为大型企业。</w:t>
      </w:r>
    </w:p>
    <w:p>
      <w:pPr>
        <w:jc w:val="center"/>
        <w:rPr>
          <w:rFonts w:hint="eastAsia"/>
          <w:b/>
          <w:bCs/>
          <w:color w:val="auto"/>
          <w:sz w:val="36"/>
          <w:szCs w:val="36"/>
          <w:highlight w:val="none"/>
          <w:lang w:val="en-US" w:eastAsia="zh-CN"/>
        </w:rPr>
      </w:pPr>
    </w:p>
    <w:p>
      <w:pPr>
        <w:jc w:val="center"/>
        <w:rPr>
          <w:rFonts w:hint="eastAsia"/>
          <w:b/>
          <w:bCs/>
          <w:color w:val="auto"/>
          <w:sz w:val="36"/>
          <w:szCs w:val="36"/>
          <w:highlight w:val="none"/>
          <w:lang w:val="en-US" w:eastAsia="zh-CN"/>
        </w:rPr>
      </w:pPr>
    </w:p>
    <w:p>
      <w:pPr>
        <w:jc w:val="center"/>
        <w:rPr>
          <w:rFonts w:hint="eastAsia"/>
          <w:b/>
          <w:bCs/>
          <w:color w:val="auto"/>
          <w:sz w:val="36"/>
          <w:szCs w:val="36"/>
          <w:highlight w:val="none"/>
          <w:lang w:val="en-US" w:eastAsia="zh-CN"/>
        </w:rPr>
      </w:pPr>
    </w:p>
    <w:p>
      <w:pPr>
        <w:jc w:val="center"/>
        <w:rPr>
          <w:rFonts w:hint="eastAsia"/>
          <w:b/>
          <w:bCs/>
          <w:color w:val="auto"/>
          <w:sz w:val="36"/>
          <w:szCs w:val="36"/>
          <w:highlight w:val="none"/>
          <w:lang w:val="en-US" w:eastAsia="zh-CN"/>
        </w:rPr>
      </w:pPr>
    </w:p>
    <w:p>
      <w:pPr>
        <w:jc w:val="center"/>
        <w:rPr>
          <w:rFonts w:hint="eastAsia"/>
          <w:b/>
          <w:bCs/>
          <w:color w:val="auto"/>
          <w:sz w:val="36"/>
          <w:szCs w:val="36"/>
          <w:highlight w:val="none"/>
          <w:lang w:val="en-US" w:eastAsia="zh-CN"/>
        </w:rPr>
      </w:pPr>
    </w:p>
    <w:p>
      <w:pPr>
        <w:jc w:val="center"/>
        <w:rPr>
          <w:rFonts w:hint="eastAsia"/>
          <w:b/>
          <w:bCs/>
          <w:color w:val="auto"/>
          <w:sz w:val="36"/>
          <w:szCs w:val="36"/>
          <w:highlight w:val="none"/>
          <w:lang w:val="en-US" w:eastAsia="zh-CN"/>
        </w:rPr>
      </w:pPr>
    </w:p>
    <w:p>
      <w:pPr>
        <w:jc w:val="both"/>
        <w:rPr>
          <w:rFonts w:hint="eastAsia"/>
          <w:b/>
          <w:bCs/>
          <w:color w:val="auto"/>
          <w:sz w:val="36"/>
          <w:szCs w:val="36"/>
          <w:highlight w:val="none"/>
          <w:lang w:val="en-US" w:eastAsia="zh-CN"/>
        </w:rPr>
      </w:pPr>
    </w:p>
    <w:p>
      <w:pPr>
        <w:jc w:val="center"/>
        <w:rPr>
          <w:rFonts w:hint="default" w:eastAsia="宋体"/>
          <w:b/>
          <w:bCs/>
          <w:color w:val="auto"/>
          <w:sz w:val="28"/>
          <w:szCs w:val="28"/>
          <w:highlight w:val="none"/>
          <w:lang w:val="en-US" w:eastAsia="zh-CN"/>
        </w:rPr>
      </w:pPr>
      <w:r>
        <w:rPr>
          <w:rFonts w:hint="eastAsia"/>
          <w:b/>
          <w:bCs/>
          <w:color w:val="auto"/>
          <w:sz w:val="28"/>
          <w:szCs w:val="28"/>
          <w:highlight w:val="none"/>
          <w:lang w:val="en-US" w:eastAsia="zh-CN"/>
        </w:rPr>
        <w:t>品牌推荐</w:t>
      </w:r>
    </w:p>
    <w:tbl>
      <w:tblPr>
        <w:tblStyle w:val="23"/>
        <w:tblW w:w="935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2100"/>
        <w:gridCol w:w="1483"/>
        <w:gridCol w:w="1750"/>
        <w:gridCol w:w="166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50" w:type="dxa"/>
            <w:vMerge w:val="restart"/>
            <w:noWrap w:val="0"/>
            <w:vAlign w:val="center"/>
          </w:tcPr>
          <w:p>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序号</w:t>
            </w:r>
          </w:p>
        </w:tc>
        <w:tc>
          <w:tcPr>
            <w:tcW w:w="2100" w:type="dxa"/>
            <w:vMerge w:val="restart"/>
            <w:noWrap w:val="0"/>
            <w:vAlign w:val="center"/>
          </w:tcPr>
          <w:p>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名称</w:t>
            </w:r>
          </w:p>
        </w:tc>
        <w:tc>
          <w:tcPr>
            <w:tcW w:w="4900" w:type="dxa"/>
            <w:gridSpan w:val="3"/>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推荐品牌</w:t>
            </w:r>
          </w:p>
        </w:tc>
        <w:tc>
          <w:tcPr>
            <w:tcW w:w="18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50" w:type="dxa"/>
            <w:vMerge w:val="continue"/>
            <w:noWrap w:val="0"/>
            <w:vAlign w:val="center"/>
          </w:tcPr>
          <w:p>
            <w:pPr>
              <w:jc w:val="center"/>
              <w:rPr>
                <w:color w:val="auto"/>
                <w:highlight w:val="none"/>
                <w:vertAlign w:val="baseline"/>
              </w:rPr>
            </w:pPr>
          </w:p>
        </w:tc>
        <w:tc>
          <w:tcPr>
            <w:tcW w:w="2100" w:type="dxa"/>
            <w:vMerge w:val="continue"/>
            <w:noWrap w:val="0"/>
            <w:vAlign w:val="center"/>
          </w:tcPr>
          <w:p>
            <w:pPr>
              <w:jc w:val="center"/>
              <w:rPr>
                <w:color w:val="auto"/>
                <w:highlight w:val="none"/>
                <w:vertAlign w:val="baseline"/>
              </w:rPr>
            </w:pPr>
          </w:p>
        </w:tc>
        <w:tc>
          <w:tcPr>
            <w:tcW w:w="1483" w:type="dxa"/>
            <w:noWrap w:val="0"/>
            <w:vAlign w:val="center"/>
          </w:tcPr>
          <w:p>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750" w:type="dxa"/>
            <w:noWrap w:val="0"/>
            <w:vAlign w:val="center"/>
          </w:tcPr>
          <w:p>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1667" w:type="dxa"/>
            <w:noWrap w:val="0"/>
            <w:vAlign w:val="center"/>
          </w:tcPr>
          <w:p>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1800" w:type="dxa"/>
            <w:noWrap w:val="0"/>
            <w:vAlign w:val="center"/>
          </w:tcPr>
          <w:p>
            <w:pPr>
              <w:jc w:val="center"/>
              <w:rPr>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1</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地墙、墙砖</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强辉</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东鹏</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冠珠陶瓷</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内墙乳胶漆</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华润</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三棵树</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立邦</w:t>
            </w:r>
          </w:p>
        </w:tc>
        <w:tc>
          <w:tcPr>
            <w:tcW w:w="1800" w:type="dxa"/>
            <w:noWrap w:val="0"/>
            <w:vAlign w:val="center"/>
          </w:tcPr>
          <w:p>
            <w:pPr>
              <w:spacing w:line="240" w:lineRule="auto"/>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外墙漆</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亚士漆</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三棵树</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立邦</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真石漆</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嘉丽士</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锐涂士</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宇鑫龙邦</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5</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矿棉板</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阿姆斯壮</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龙牌</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星牌</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木饰面板、吸音板</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大王椰</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丽音</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音艺</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7</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石膏板</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龙牌</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泰山牌</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拉法基</w:t>
            </w:r>
          </w:p>
        </w:tc>
        <w:tc>
          <w:tcPr>
            <w:tcW w:w="18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12mm以上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8</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石材</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金阳光石业</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新泰远大</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富华石业</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9</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铝合金集成吊顶</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方大</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现代</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华狮龙</w:t>
            </w:r>
          </w:p>
        </w:tc>
        <w:tc>
          <w:tcPr>
            <w:tcW w:w="18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0.8mm 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10</w:t>
            </w:r>
          </w:p>
        </w:tc>
        <w:tc>
          <w:tcPr>
            <w:tcW w:w="2100"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断桥铝合金窗</w:t>
            </w:r>
          </w:p>
        </w:tc>
        <w:tc>
          <w:tcPr>
            <w:tcW w:w="1483"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中铝</w:t>
            </w:r>
          </w:p>
        </w:tc>
        <w:tc>
          <w:tcPr>
            <w:tcW w:w="1750"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海螺</w:t>
            </w:r>
          </w:p>
        </w:tc>
        <w:tc>
          <w:tcPr>
            <w:tcW w:w="1667"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中油</w:t>
            </w:r>
          </w:p>
        </w:tc>
        <w:tc>
          <w:tcPr>
            <w:tcW w:w="1800"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70系列，含隐纱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11</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铝合金型材门</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金盾</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龙鼎</w:t>
            </w:r>
          </w:p>
        </w:tc>
        <w:tc>
          <w:tcPr>
            <w:tcW w:w="1667" w:type="dxa"/>
            <w:noWrap w:val="0"/>
            <w:vAlign w:val="center"/>
          </w:tcPr>
          <w:p>
            <w:pPr>
              <w:jc w:val="center"/>
              <w:rPr>
                <w:rFonts w:hint="eastAsia"/>
                <w:color w:val="auto"/>
                <w:highlight w:val="none"/>
                <w:vertAlign w:val="baseline"/>
                <w:lang w:val="en-US" w:eastAsia="zh-CN"/>
              </w:rPr>
            </w:pPr>
          </w:p>
        </w:tc>
        <w:tc>
          <w:tcPr>
            <w:tcW w:w="18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70系列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玻璃</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耀玻</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洛玻</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南玻</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13</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实木门</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冠家</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TATA</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爱心</w:t>
            </w:r>
          </w:p>
        </w:tc>
        <w:tc>
          <w:tcPr>
            <w:tcW w:w="18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含门套线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14</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PP-R给水管</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联塑</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金牛</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金德</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16</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卫生洁具</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科勒</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东鹏</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龙尔</w:t>
            </w:r>
          </w:p>
        </w:tc>
        <w:tc>
          <w:tcPr>
            <w:tcW w:w="18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包括水龙头等所有配件。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17</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阀门</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上海良工</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上海丰一</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上海精工</w:t>
            </w:r>
          </w:p>
        </w:tc>
        <w:tc>
          <w:tcPr>
            <w:tcW w:w="1800" w:type="dxa"/>
            <w:noWrap w:val="0"/>
            <w:vAlign w:val="top"/>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18</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 xml:space="preserve">电力电缆 </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特变电工</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江苏上上</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浙江万马</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19</w:t>
            </w:r>
          </w:p>
        </w:tc>
        <w:tc>
          <w:tcPr>
            <w:tcW w:w="210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配电箱</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奎开</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特变电工</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新疆新特顺</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20</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电器元件</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施耐德</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西门子</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ABB</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21</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照明灯具</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飞利浦</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欧普</w:t>
            </w:r>
          </w:p>
        </w:tc>
        <w:tc>
          <w:tcPr>
            <w:tcW w:w="1667"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雷氏</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22</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开关、插座</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欧普</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雷氏</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西门子</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23</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网络高清摄像机</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海康</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大华</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宇视</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ascii="Calibri" w:hAnsi="Calibri"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24</w:t>
            </w:r>
          </w:p>
        </w:tc>
        <w:tc>
          <w:tcPr>
            <w:tcW w:w="2100"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综合布线</w:t>
            </w:r>
          </w:p>
        </w:tc>
        <w:tc>
          <w:tcPr>
            <w:tcW w:w="1483"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TCL</w:t>
            </w:r>
          </w:p>
        </w:tc>
        <w:tc>
          <w:tcPr>
            <w:tcW w:w="1750"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领迅</w:t>
            </w:r>
          </w:p>
        </w:tc>
        <w:tc>
          <w:tcPr>
            <w:tcW w:w="1667"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康普</w:t>
            </w:r>
          </w:p>
        </w:tc>
        <w:tc>
          <w:tcPr>
            <w:tcW w:w="1800"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25</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无线AP</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华为</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华三</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迪普</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26</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散热器</w:t>
            </w:r>
          </w:p>
        </w:tc>
        <w:tc>
          <w:tcPr>
            <w:tcW w:w="1483"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北国之春</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陇星</w:t>
            </w:r>
          </w:p>
        </w:tc>
        <w:tc>
          <w:tcPr>
            <w:tcW w:w="1667"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嘉禾</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27</w:t>
            </w:r>
          </w:p>
        </w:tc>
        <w:tc>
          <w:tcPr>
            <w:tcW w:w="2100"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热空气幕</w:t>
            </w:r>
          </w:p>
        </w:tc>
        <w:tc>
          <w:tcPr>
            <w:tcW w:w="1483"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格力</w:t>
            </w:r>
          </w:p>
        </w:tc>
        <w:tc>
          <w:tcPr>
            <w:tcW w:w="1750"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美的</w:t>
            </w:r>
          </w:p>
        </w:tc>
        <w:tc>
          <w:tcPr>
            <w:tcW w:w="1667"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海尔</w:t>
            </w:r>
          </w:p>
        </w:tc>
        <w:tc>
          <w:tcPr>
            <w:tcW w:w="1800" w:type="dxa"/>
            <w:noWrap w:val="0"/>
            <w:vAlign w:val="center"/>
          </w:tcPr>
          <w:p>
            <w:pPr>
              <w:jc w:val="center"/>
              <w:rPr>
                <w:rFonts w:hint="eastAsia" w:ascii="Calibri" w:hAnsi="Calibri" w:eastAsia="宋体" w:cs="Times New Roman"/>
                <w:color w:val="auto"/>
                <w:kern w:val="2"/>
                <w:sz w:val="21"/>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28</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电热水器</w:t>
            </w:r>
          </w:p>
        </w:tc>
        <w:tc>
          <w:tcPr>
            <w:tcW w:w="1483"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A.O.史密斯</w:t>
            </w:r>
          </w:p>
        </w:tc>
        <w:tc>
          <w:tcPr>
            <w:tcW w:w="175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卡萨帝</w:t>
            </w:r>
          </w:p>
        </w:tc>
        <w:tc>
          <w:tcPr>
            <w:tcW w:w="1667"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博世BOSCH</w:t>
            </w:r>
          </w:p>
        </w:tc>
        <w:tc>
          <w:tcPr>
            <w:tcW w:w="1800" w:type="dxa"/>
            <w:noWrap w:val="0"/>
            <w:vAlign w:val="center"/>
          </w:tcPr>
          <w:p>
            <w:pPr>
              <w:jc w:val="center"/>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29</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热计量装置</w:t>
            </w:r>
          </w:p>
        </w:tc>
        <w:tc>
          <w:tcPr>
            <w:tcW w:w="6700" w:type="dxa"/>
            <w:gridSpan w:val="4"/>
            <w:noWrap w:val="0"/>
            <w:vAlign w:val="center"/>
          </w:tcPr>
          <w:p>
            <w:pPr>
              <w:jc w:val="left"/>
              <w:rPr>
                <w:rFonts w:hint="eastAsia"/>
                <w:color w:val="auto"/>
                <w:highlight w:val="none"/>
                <w:vertAlign w:val="baseline"/>
                <w:lang w:val="en-US" w:eastAsia="zh-CN"/>
              </w:rPr>
            </w:pPr>
            <w:r>
              <w:rPr>
                <w:rFonts w:hint="eastAsia"/>
                <w:color w:val="auto"/>
                <w:highlight w:val="none"/>
                <w:vertAlign w:val="baseline"/>
                <w:lang w:val="en-US" w:eastAsia="zh-CN"/>
              </w:rPr>
              <w:t>选用经供热公司认可的产品并在投标附表中列出。成交后如发现所选产品不符合供热公司的要求，采购人有权另行选择符合要求的产品、设备、材料，成交人必须按照采购人选择的产品进行购买，价差不予调整。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550" w:type="dxa"/>
            <w:noWrap w:val="0"/>
            <w:vAlign w:val="center"/>
          </w:tcPr>
          <w:p>
            <w:pPr>
              <w:jc w:val="center"/>
              <w:rPr>
                <w:rFonts w:hint="default"/>
                <w:color w:val="auto"/>
                <w:highlight w:val="none"/>
                <w:vertAlign w:val="baseline"/>
                <w:lang w:val="en-US" w:eastAsia="zh-CN"/>
              </w:rPr>
            </w:pPr>
            <w:r>
              <w:rPr>
                <w:rFonts w:hint="eastAsia"/>
                <w:color w:val="auto"/>
                <w:highlight w:val="none"/>
                <w:vertAlign w:val="baseline"/>
                <w:lang w:val="en-US" w:eastAsia="zh-CN"/>
              </w:rPr>
              <w:t>30</w:t>
            </w:r>
          </w:p>
        </w:tc>
        <w:tc>
          <w:tcPr>
            <w:tcW w:w="2100" w:type="dxa"/>
            <w:noWrap w:val="0"/>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火灾自动报警系统</w:t>
            </w:r>
          </w:p>
        </w:tc>
        <w:tc>
          <w:tcPr>
            <w:tcW w:w="6700" w:type="dxa"/>
            <w:gridSpan w:val="4"/>
            <w:noWrap w:val="0"/>
            <w:vAlign w:val="center"/>
          </w:tcPr>
          <w:p>
            <w:pPr>
              <w:jc w:val="left"/>
              <w:rPr>
                <w:rFonts w:hint="eastAsia"/>
                <w:color w:val="auto"/>
                <w:highlight w:val="none"/>
                <w:vertAlign w:val="baseline"/>
                <w:lang w:val="en-US" w:eastAsia="zh-CN"/>
              </w:rPr>
            </w:pPr>
            <w:r>
              <w:rPr>
                <w:rFonts w:hint="eastAsia"/>
                <w:color w:val="auto"/>
                <w:highlight w:val="none"/>
                <w:vertAlign w:val="baseline"/>
                <w:lang w:val="en-US" w:eastAsia="zh-CN"/>
              </w:rPr>
              <w:t>选用经消防部门认可的产品并在投标附表中列出。成交后如发现所选产品不符合消防部门的要求，采购人有权另行选择符合消防部门要求的产品、设备、材料，成交人必须按照采购人选择的产品进行购买，价差不予调整。</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1、以上推荐品牌，各</w:t>
      </w:r>
      <w:r>
        <w:rPr>
          <w:rFonts w:hint="eastAsia" w:asciiTheme="minorEastAsia" w:hAnsiTheme="minorEastAsia" w:eastAsiaTheme="minorEastAsia" w:cstheme="minorEastAsia"/>
          <w:b w:val="0"/>
          <w:bCs w:val="0"/>
          <w:color w:val="auto"/>
          <w:sz w:val="24"/>
          <w:highlight w:val="none"/>
          <w:lang w:eastAsia="zh-CN"/>
        </w:rPr>
        <w:t>供应商</w:t>
      </w:r>
      <w:r>
        <w:rPr>
          <w:rFonts w:hint="eastAsia" w:asciiTheme="minorEastAsia" w:hAnsiTheme="minorEastAsia" w:eastAsiaTheme="minorEastAsia" w:cstheme="minorEastAsia"/>
          <w:b w:val="0"/>
          <w:bCs w:val="0"/>
          <w:color w:val="auto"/>
          <w:sz w:val="24"/>
          <w:highlight w:val="none"/>
          <w:lang w:val="en-US" w:eastAsia="zh-CN"/>
        </w:rPr>
        <w:t>均</w:t>
      </w:r>
      <w:r>
        <w:rPr>
          <w:rFonts w:hint="eastAsia" w:asciiTheme="minorEastAsia" w:hAnsiTheme="minorEastAsia" w:eastAsiaTheme="minorEastAsia" w:cstheme="minorEastAsia"/>
          <w:b w:val="0"/>
          <w:bCs w:val="0"/>
          <w:color w:val="auto"/>
          <w:sz w:val="24"/>
          <w:highlight w:val="none"/>
        </w:rPr>
        <w:t>须</w:t>
      </w:r>
      <w:r>
        <w:rPr>
          <w:rFonts w:hint="eastAsia" w:asciiTheme="minorEastAsia" w:hAnsiTheme="minorEastAsia" w:eastAsiaTheme="minorEastAsia" w:cstheme="minorEastAsia"/>
          <w:b w:val="0"/>
          <w:bCs w:val="0"/>
          <w:color w:val="auto"/>
          <w:sz w:val="24"/>
          <w:highlight w:val="none"/>
          <w:lang w:val="en-US" w:eastAsia="zh-CN"/>
        </w:rPr>
        <w:t>按中档及以上档次进行报价及采购。</w:t>
      </w:r>
      <w:r>
        <w:rPr>
          <w:rFonts w:hint="eastAsia" w:asciiTheme="minorEastAsia" w:hAnsiTheme="minorEastAsia" w:eastAsiaTheme="minorEastAsia" w:cstheme="minorEastAsia"/>
          <w:b w:val="0"/>
          <w:bCs w:val="0"/>
          <w:color w:val="auto"/>
          <w:sz w:val="24"/>
          <w:highlight w:val="none"/>
        </w:rPr>
        <w:t>若</w:t>
      </w:r>
      <w:r>
        <w:rPr>
          <w:rFonts w:hint="eastAsia" w:asciiTheme="minorEastAsia" w:hAnsiTheme="minorEastAsia" w:eastAsiaTheme="minorEastAsia" w:cstheme="minorEastAsia"/>
          <w:b w:val="0"/>
          <w:bCs w:val="0"/>
          <w:color w:val="auto"/>
          <w:sz w:val="24"/>
          <w:highlight w:val="none"/>
          <w:lang w:val="en-US" w:eastAsia="zh-CN"/>
        </w:rPr>
        <w:t>未按要求进行报价及采购</w:t>
      </w:r>
      <w:r>
        <w:rPr>
          <w:rFonts w:hint="eastAsia" w:asciiTheme="minorEastAsia" w:hAnsiTheme="minorEastAsia" w:eastAsiaTheme="minorEastAsia" w:cstheme="minorEastAsia"/>
          <w:b w:val="0"/>
          <w:bCs w:val="0"/>
          <w:color w:val="auto"/>
          <w:sz w:val="24"/>
          <w:highlight w:val="none"/>
        </w:rPr>
        <w:t>，施工时</w:t>
      </w:r>
      <w:r>
        <w:rPr>
          <w:rFonts w:hint="eastAsia" w:asciiTheme="minorEastAsia" w:hAnsiTheme="minorEastAsia" w:eastAsiaTheme="minorEastAsia" w:cstheme="minorEastAsia"/>
          <w:b w:val="0"/>
          <w:bCs w:val="0"/>
          <w:color w:val="auto"/>
          <w:sz w:val="24"/>
          <w:highlight w:val="none"/>
          <w:lang w:eastAsia="zh-CN"/>
        </w:rPr>
        <w:t>采购人</w:t>
      </w:r>
      <w:r>
        <w:rPr>
          <w:rFonts w:hint="eastAsia" w:asciiTheme="minorEastAsia" w:hAnsiTheme="minorEastAsia" w:eastAsiaTheme="minorEastAsia" w:cstheme="minorEastAsia"/>
          <w:b w:val="0"/>
          <w:bCs w:val="0"/>
          <w:color w:val="auto"/>
          <w:sz w:val="24"/>
          <w:highlight w:val="none"/>
        </w:rPr>
        <w:t>将选用最高档次产品，其价差不予调整。</w:t>
      </w:r>
    </w:p>
    <w:p>
      <w:pPr>
        <w:keepNext w:val="0"/>
        <w:keepLines w:val="0"/>
        <w:pageBreakBefore w:val="0"/>
        <w:kinsoku/>
        <w:wordWrap/>
        <w:overflowPunct/>
        <w:topLinePunct w:val="0"/>
        <w:autoSpaceDE/>
        <w:autoSpaceDN/>
        <w:bidi w:val="0"/>
        <w:adjustRightInd/>
        <w:snapToGrid/>
        <w:spacing w:line="360" w:lineRule="auto"/>
        <w:ind w:left="-359" w:leftChars="-171" w:firstLine="480" w:firstLineChars="200"/>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2、各</w:t>
      </w:r>
      <w:r>
        <w:rPr>
          <w:rFonts w:hint="eastAsia" w:asciiTheme="minorEastAsia" w:hAnsiTheme="minorEastAsia" w:eastAsiaTheme="minorEastAsia" w:cstheme="minorEastAsia"/>
          <w:b w:val="0"/>
          <w:bCs w:val="0"/>
          <w:color w:val="auto"/>
          <w:sz w:val="24"/>
          <w:highlight w:val="none"/>
          <w:lang w:eastAsia="zh-CN"/>
        </w:rPr>
        <w:t>供应商</w:t>
      </w:r>
      <w:r>
        <w:rPr>
          <w:rFonts w:hint="eastAsia" w:asciiTheme="minorEastAsia" w:hAnsiTheme="minorEastAsia" w:eastAsiaTheme="minorEastAsia" w:cstheme="minorEastAsia"/>
          <w:b w:val="0"/>
          <w:bCs w:val="0"/>
          <w:color w:val="auto"/>
          <w:sz w:val="24"/>
          <w:highlight w:val="none"/>
        </w:rPr>
        <w:t>在</w:t>
      </w:r>
      <w:r>
        <w:rPr>
          <w:rFonts w:hint="eastAsia" w:asciiTheme="minorEastAsia" w:hAnsiTheme="minorEastAsia" w:eastAsiaTheme="minorEastAsia" w:cstheme="minorEastAsia"/>
          <w:b w:val="0"/>
          <w:bCs w:val="0"/>
          <w:color w:val="auto"/>
          <w:sz w:val="24"/>
          <w:highlight w:val="none"/>
          <w:lang w:val="en-US" w:eastAsia="zh-CN"/>
        </w:rPr>
        <w:t>以上</w:t>
      </w:r>
      <w:r>
        <w:rPr>
          <w:rFonts w:hint="eastAsia" w:asciiTheme="minorEastAsia" w:hAnsiTheme="minorEastAsia" w:eastAsiaTheme="minorEastAsia" w:cstheme="minorEastAsia"/>
          <w:b w:val="0"/>
          <w:bCs w:val="0"/>
          <w:color w:val="auto"/>
          <w:sz w:val="24"/>
          <w:highlight w:val="none"/>
        </w:rPr>
        <w:t>推荐品牌中任选1种品牌进行报价</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 xml:space="preserve"> 无论选择何种</w:t>
      </w:r>
      <w:r>
        <w:rPr>
          <w:rFonts w:hint="eastAsia" w:asciiTheme="minorEastAsia" w:hAnsiTheme="minorEastAsia" w:eastAsiaTheme="minorEastAsia" w:cstheme="minorEastAsia"/>
          <w:b w:val="0"/>
          <w:bCs w:val="0"/>
          <w:color w:val="auto"/>
          <w:sz w:val="24"/>
          <w:highlight w:val="none"/>
          <w:lang w:val="en-US" w:eastAsia="zh-CN"/>
        </w:rPr>
        <w:t>品牌</w:t>
      </w:r>
      <w:r>
        <w:rPr>
          <w:rFonts w:hint="eastAsia" w:asciiTheme="minorEastAsia" w:hAnsiTheme="minorEastAsia" w:eastAsiaTheme="minorEastAsia" w:cstheme="minorEastAsia"/>
          <w:b w:val="0"/>
          <w:bCs w:val="0"/>
          <w:color w:val="auto"/>
          <w:sz w:val="24"/>
          <w:highlight w:val="none"/>
        </w:rPr>
        <w:t>，该材料价格均只报一次价格，不因后期使用致使材料品牌变化而调整价格。各</w:t>
      </w:r>
      <w:r>
        <w:rPr>
          <w:rFonts w:hint="eastAsia" w:asciiTheme="minorEastAsia" w:hAnsiTheme="minorEastAsia" w:eastAsiaTheme="minorEastAsia" w:cstheme="minorEastAsia"/>
          <w:b w:val="0"/>
          <w:bCs w:val="0"/>
          <w:color w:val="auto"/>
          <w:sz w:val="24"/>
          <w:highlight w:val="none"/>
          <w:lang w:eastAsia="zh-CN"/>
        </w:rPr>
        <w:t>供应商</w:t>
      </w:r>
      <w:r>
        <w:rPr>
          <w:rFonts w:hint="eastAsia" w:asciiTheme="minorEastAsia" w:hAnsiTheme="minorEastAsia" w:eastAsiaTheme="minorEastAsia" w:cstheme="minorEastAsia"/>
          <w:b w:val="0"/>
          <w:bCs w:val="0"/>
          <w:color w:val="auto"/>
          <w:sz w:val="24"/>
          <w:highlight w:val="none"/>
        </w:rPr>
        <w:t>选择的品牌应在本地区有厂家分公司（含办事处）或有正规授权代理的经销商，便于维修保养等售后服务。各</w:t>
      </w:r>
      <w:r>
        <w:rPr>
          <w:rFonts w:hint="eastAsia" w:asciiTheme="minorEastAsia" w:hAnsiTheme="minorEastAsia" w:eastAsiaTheme="minorEastAsia" w:cstheme="minorEastAsia"/>
          <w:b w:val="0"/>
          <w:bCs w:val="0"/>
          <w:color w:val="auto"/>
          <w:sz w:val="24"/>
          <w:highlight w:val="none"/>
          <w:lang w:eastAsia="zh-CN"/>
        </w:rPr>
        <w:t>供应商</w:t>
      </w:r>
      <w:r>
        <w:rPr>
          <w:rFonts w:hint="eastAsia" w:asciiTheme="minorEastAsia" w:hAnsiTheme="minorEastAsia" w:eastAsiaTheme="minorEastAsia" w:cstheme="minorEastAsia"/>
          <w:b w:val="0"/>
          <w:bCs w:val="0"/>
          <w:color w:val="auto"/>
          <w:sz w:val="24"/>
          <w:highlight w:val="none"/>
        </w:rPr>
        <w:t>自报品牌并在</w:t>
      </w:r>
      <w:r>
        <w:rPr>
          <w:rFonts w:hint="eastAsia" w:asciiTheme="minorEastAsia" w:hAnsiTheme="minorEastAsia" w:eastAsiaTheme="minorEastAsia" w:cstheme="minorEastAsia"/>
          <w:b w:val="0"/>
          <w:bCs w:val="0"/>
          <w:color w:val="auto"/>
          <w:sz w:val="24"/>
          <w:highlight w:val="none"/>
          <w:lang w:eastAsia="zh-CN"/>
        </w:rPr>
        <w:t>响应文件</w:t>
      </w:r>
      <w:r>
        <w:rPr>
          <w:rFonts w:hint="eastAsia" w:asciiTheme="minorEastAsia" w:hAnsiTheme="minorEastAsia" w:eastAsiaTheme="minorEastAsia" w:cstheme="minorEastAsia"/>
          <w:b w:val="0"/>
          <w:bCs w:val="0"/>
          <w:color w:val="auto"/>
          <w:sz w:val="24"/>
          <w:highlight w:val="none"/>
        </w:rPr>
        <w:t>中列出材料品牌、型号、规格（包括厚度）、材质、生产厂家等，板材还须列出所选品牌系列号及品种名称，列入</w:t>
      </w:r>
      <w:r>
        <w:rPr>
          <w:rFonts w:hint="eastAsia" w:asciiTheme="minorEastAsia" w:hAnsiTheme="minorEastAsia" w:eastAsiaTheme="minorEastAsia" w:cstheme="minorEastAsia"/>
          <w:b w:val="0"/>
          <w:bCs w:val="0"/>
          <w:color w:val="auto"/>
          <w:sz w:val="24"/>
          <w:highlight w:val="none"/>
          <w:lang w:eastAsia="zh-CN"/>
        </w:rPr>
        <w:t>响应文件</w:t>
      </w:r>
      <w:r>
        <w:rPr>
          <w:rFonts w:hint="eastAsia" w:asciiTheme="minorEastAsia" w:hAnsiTheme="minorEastAsia" w:eastAsiaTheme="minorEastAsia" w:cstheme="minorEastAsia"/>
          <w:b w:val="0"/>
          <w:bCs w:val="0"/>
          <w:color w:val="auto"/>
          <w:sz w:val="24"/>
          <w:highlight w:val="none"/>
        </w:rPr>
        <w:t>附表</w:t>
      </w:r>
      <w:r>
        <w:rPr>
          <w:rFonts w:hint="eastAsia" w:asciiTheme="minorEastAsia" w:hAnsiTheme="minorEastAsia" w:eastAsiaTheme="minorEastAsia" w:cstheme="minorEastAsia"/>
          <w:b w:val="0"/>
          <w:bCs w:val="0"/>
          <w:color w:val="auto"/>
          <w:sz w:val="24"/>
          <w:highlight w:val="none"/>
          <w:lang w:eastAsia="zh-CN"/>
        </w:rPr>
        <w:t>《主要材料价格表》</w:t>
      </w:r>
      <w:r>
        <w:rPr>
          <w:rFonts w:hint="eastAsia" w:asciiTheme="minorEastAsia" w:hAnsiTheme="minorEastAsia" w:eastAsiaTheme="minorEastAsia" w:cstheme="minorEastAsia"/>
          <w:b w:val="0"/>
          <w:bCs w:val="0"/>
          <w:color w:val="auto"/>
          <w:sz w:val="24"/>
          <w:highlight w:val="none"/>
        </w:rPr>
        <w:t>中。若未报出，施工时</w:t>
      </w:r>
      <w:r>
        <w:rPr>
          <w:rFonts w:hint="eastAsia" w:asciiTheme="minorEastAsia" w:hAnsiTheme="minorEastAsia" w:eastAsiaTheme="minorEastAsia" w:cstheme="minorEastAsia"/>
          <w:b w:val="0"/>
          <w:bCs w:val="0"/>
          <w:color w:val="auto"/>
          <w:sz w:val="24"/>
          <w:highlight w:val="none"/>
          <w:lang w:eastAsia="zh-CN"/>
        </w:rPr>
        <w:t>采购人</w:t>
      </w:r>
      <w:r>
        <w:rPr>
          <w:rFonts w:hint="eastAsia" w:asciiTheme="minorEastAsia" w:hAnsiTheme="minorEastAsia" w:eastAsiaTheme="minorEastAsia" w:cstheme="minorEastAsia"/>
          <w:b w:val="0"/>
          <w:bCs w:val="0"/>
          <w:color w:val="auto"/>
          <w:sz w:val="24"/>
          <w:highlight w:val="none"/>
        </w:rPr>
        <w:t>将选用最高档次产品，其价差不予调整。</w:t>
      </w:r>
    </w:p>
    <w:p>
      <w:pPr>
        <w:keepNext w:val="0"/>
        <w:keepLines w:val="0"/>
        <w:pageBreakBefore w:val="0"/>
        <w:kinsoku/>
        <w:wordWrap/>
        <w:overflowPunct/>
        <w:topLinePunct w:val="0"/>
        <w:autoSpaceDE/>
        <w:autoSpaceDN/>
        <w:bidi w:val="0"/>
        <w:adjustRightInd/>
        <w:snapToGrid/>
        <w:spacing w:line="360" w:lineRule="auto"/>
        <w:ind w:left="-359" w:leftChars="-171" w:firstLine="480" w:firstLineChars="200"/>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3</w:t>
      </w:r>
      <w:r>
        <w:rPr>
          <w:rFonts w:hint="eastAsia" w:asciiTheme="minorEastAsia" w:hAnsiTheme="minorEastAsia" w:eastAsiaTheme="minorEastAsia" w:cstheme="minorEastAsia"/>
          <w:b w:val="0"/>
          <w:bCs w:val="0"/>
          <w:color w:val="auto"/>
          <w:sz w:val="24"/>
          <w:highlight w:val="none"/>
        </w:rPr>
        <w:t>、所有材料、设备未报出材料品牌、型号、规格（包括厚度）、材质、生产厂家以及所选品牌系列号及品种名称等内容</w:t>
      </w:r>
      <w:r>
        <w:rPr>
          <w:rFonts w:hint="eastAsia" w:asciiTheme="minorEastAsia" w:hAnsiTheme="minorEastAsia" w:eastAsiaTheme="minorEastAsia" w:cstheme="minorEastAsia"/>
          <w:b w:val="0"/>
          <w:bCs w:val="0"/>
          <w:color w:val="auto"/>
          <w:sz w:val="24"/>
          <w:highlight w:val="none"/>
          <w:lang w:eastAsia="zh-CN"/>
        </w:rPr>
        <w:t>的</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b w:val="0"/>
          <w:bCs w:val="0"/>
          <w:color w:val="auto"/>
          <w:sz w:val="24"/>
          <w:highlight w:val="none"/>
          <w:lang w:eastAsia="zh-CN"/>
        </w:rPr>
        <w:t>采购人</w:t>
      </w:r>
      <w:r>
        <w:rPr>
          <w:rFonts w:hint="eastAsia" w:asciiTheme="minorEastAsia" w:hAnsiTheme="minorEastAsia" w:eastAsiaTheme="minorEastAsia" w:cstheme="minorEastAsia"/>
          <w:b w:val="0"/>
          <w:bCs w:val="0"/>
          <w:color w:val="auto"/>
          <w:sz w:val="24"/>
          <w:highlight w:val="none"/>
        </w:rPr>
        <w:t>有权按该材料（或设备）的最好品牌、最高档次产品予以确认，</w:t>
      </w:r>
      <w:r>
        <w:rPr>
          <w:rFonts w:hint="eastAsia" w:asciiTheme="minorEastAsia" w:hAnsiTheme="minorEastAsia" w:eastAsiaTheme="minorEastAsia" w:cstheme="minorEastAsia"/>
          <w:b w:val="0"/>
          <w:bCs w:val="0"/>
          <w:color w:val="auto"/>
          <w:sz w:val="24"/>
          <w:highlight w:val="none"/>
          <w:lang w:eastAsia="zh-CN"/>
        </w:rPr>
        <w:t>成交</w:t>
      </w:r>
      <w:r>
        <w:rPr>
          <w:rFonts w:hint="eastAsia" w:asciiTheme="minorEastAsia" w:hAnsiTheme="minorEastAsia" w:eastAsiaTheme="minorEastAsia" w:cstheme="minorEastAsia"/>
          <w:b w:val="0"/>
          <w:bCs w:val="0"/>
          <w:color w:val="auto"/>
          <w:sz w:val="24"/>
          <w:highlight w:val="none"/>
        </w:rPr>
        <w:t>人必须按</w:t>
      </w:r>
      <w:r>
        <w:rPr>
          <w:rFonts w:hint="eastAsia" w:asciiTheme="minorEastAsia" w:hAnsiTheme="minorEastAsia" w:eastAsiaTheme="minorEastAsia" w:cstheme="minorEastAsia"/>
          <w:b w:val="0"/>
          <w:bCs w:val="0"/>
          <w:color w:val="auto"/>
          <w:sz w:val="24"/>
          <w:highlight w:val="none"/>
          <w:lang w:eastAsia="zh-CN"/>
        </w:rPr>
        <w:t>采购人</w:t>
      </w:r>
      <w:r>
        <w:rPr>
          <w:rFonts w:hint="eastAsia" w:asciiTheme="minorEastAsia" w:hAnsiTheme="minorEastAsia" w:eastAsiaTheme="minorEastAsia" w:cstheme="minorEastAsia"/>
          <w:b w:val="0"/>
          <w:bCs w:val="0"/>
          <w:color w:val="auto"/>
          <w:sz w:val="24"/>
          <w:highlight w:val="none"/>
        </w:rPr>
        <w:t>确认的品牌、档次予以购买，价差部分不调整。</w:t>
      </w:r>
      <w:r>
        <w:rPr>
          <w:rFonts w:hint="eastAsia" w:asciiTheme="minorEastAsia" w:hAnsiTheme="minorEastAsia" w:eastAsiaTheme="minorEastAsia" w:cstheme="minorEastAsia"/>
          <w:b w:val="0"/>
          <w:bCs w:val="0"/>
          <w:color w:val="auto"/>
          <w:sz w:val="24"/>
          <w:highlight w:val="none"/>
          <w:lang w:eastAsia="zh-CN"/>
        </w:rPr>
        <w:t>成交</w:t>
      </w:r>
      <w:r>
        <w:rPr>
          <w:rFonts w:hint="eastAsia" w:asciiTheme="minorEastAsia" w:hAnsiTheme="minorEastAsia" w:eastAsiaTheme="minorEastAsia" w:cstheme="minorEastAsia"/>
          <w:b w:val="0"/>
          <w:bCs w:val="0"/>
          <w:color w:val="auto"/>
          <w:sz w:val="24"/>
          <w:highlight w:val="none"/>
        </w:rPr>
        <w:t>人不得以采购不到或其它理由拒绝</w:t>
      </w:r>
      <w:r>
        <w:rPr>
          <w:rFonts w:hint="eastAsia" w:asciiTheme="minorEastAsia" w:hAnsiTheme="minorEastAsia" w:eastAsiaTheme="minorEastAsia" w:cstheme="minorEastAsia"/>
          <w:b w:val="0"/>
          <w:bCs w:val="0"/>
          <w:color w:val="auto"/>
          <w:sz w:val="24"/>
          <w:highlight w:val="none"/>
          <w:lang w:eastAsia="zh-CN"/>
        </w:rPr>
        <w:t>采购人</w:t>
      </w:r>
      <w:r>
        <w:rPr>
          <w:rFonts w:hint="eastAsia" w:asciiTheme="minorEastAsia" w:hAnsiTheme="minorEastAsia" w:eastAsiaTheme="minorEastAsia" w:cstheme="minorEastAsia"/>
          <w:b w:val="0"/>
          <w:bCs w:val="0"/>
          <w:color w:val="auto"/>
          <w:sz w:val="24"/>
          <w:highlight w:val="none"/>
        </w:rPr>
        <w:t>所定材料（或设备），且不得延误工期，否则将承担违约责任。</w:t>
      </w:r>
    </w:p>
    <w:p>
      <w:pPr>
        <w:keepNext w:val="0"/>
        <w:keepLines w:val="0"/>
        <w:pageBreakBefore w:val="0"/>
        <w:kinsoku/>
        <w:wordWrap/>
        <w:overflowPunct/>
        <w:topLinePunct w:val="0"/>
        <w:autoSpaceDE/>
        <w:autoSpaceDN/>
        <w:bidi w:val="0"/>
        <w:adjustRightInd/>
        <w:snapToGrid/>
        <w:spacing w:line="360" w:lineRule="auto"/>
        <w:ind w:left="-359" w:leftChars="-171" w:firstLine="480" w:firstLineChars="200"/>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4</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b w:val="0"/>
          <w:bCs w:val="0"/>
          <w:color w:val="auto"/>
          <w:sz w:val="24"/>
          <w:highlight w:val="none"/>
          <w:lang w:eastAsia="zh-CN"/>
        </w:rPr>
        <w:t>采购人</w:t>
      </w:r>
      <w:r>
        <w:rPr>
          <w:rFonts w:hint="eastAsia" w:asciiTheme="minorEastAsia" w:hAnsiTheme="minorEastAsia" w:eastAsiaTheme="minorEastAsia" w:cstheme="minorEastAsia"/>
          <w:b w:val="0"/>
          <w:bCs w:val="0"/>
          <w:color w:val="auto"/>
          <w:sz w:val="24"/>
          <w:highlight w:val="none"/>
        </w:rPr>
        <w:t>未推荐品牌的材料、设备，</w:t>
      </w:r>
      <w:r>
        <w:rPr>
          <w:rFonts w:hint="eastAsia" w:asciiTheme="minorEastAsia" w:hAnsiTheme="minorEastAsia" w:eastAsiaTheme="minorEastAsia" w:cstheme="minorEastAsia"/>
          <w:b w:val="0"/>
          <w:bCs w:val="0"/>
          <w:color w:val="auto"/>
          <w:sz w:val="24"/>
          <w:highlight w:val="none"/>
          <w:lang w:eastAsia="zh-CN"/>
        </w:rPr>
        <w:t>供应商</w:t>
      </w:r>
      <w:r>
        <w:rPr>
          <w:rFonts w:hint="eastAsia" w:asciiTheme="minorEastAsia" w:hAnsiTheme="minorEastAsia" w:eastAsiaTheme="minorEastAsia" w:cstheme="minorEastAsia"/>
          <w:b w:val="0"/>
          <w:bCs w:val="0"/>
          <w:color w:val="auto"/>
          <w:sz w:val="24"/>
          <w:highlight w:val="none"/>
        </w:rPr>
        <w:t>应根据市场情况自行选择符合设计要求的合格的免检产品，并在</w:t>
      </w:r>
      <w:r>
        <w:rPr>
          <w:rFonts w:hint="eastAsia" w:asciiTheme="minorEastAsia" w:hAnsiTheme="minorEastAsia" w:eastAsiaTheme="minorEastAsia" w:cstheme="minorEastAsia"/>
          <w:b w:val="0"/>
          <w:bCs w:val="0"/>
          <w:color w:val="auto"/>
          <w:sz w:val="24"/>
          <w:highlight w:val="none"/>
          <w:lang w:eastAsia="zh-CN"/>
        </w:rPr>
        <w:t>响应文件</w:t>
      </w:r>
      <w:r>
        <w:rPr>
          <w:rFonts w:hint="eastAsia" w:asciiTheme="minorEastAsia" w:hAnsiTheme="minorEastAsia" w:eastAsiaTheme="minorEastAsia" w:cstheme="minorEastAsia"/>
          <w:b w:val="0"/>
          <w:bCs w:val="0"/>
          <w:color w:val="auto"/>
          <w:sz w:val="24"/>
          <w:highlight w:val="none"/>
        </w:rPr>
        <w:t>附表</w:t>
      </w:r>
      <w:r>
        <w:rPr>
          <w:rFonts w:hint="eastAsia" w:asciiTheme="minorEastAsia" w:hAnsiTheme="minorEastAsia" w:eastAsiaTheme="minorEastAsia" w:cstheme="minorEastAsia"/>
          <w:b w:val="0"/>
          <w:bCs w:val="0"/>
          <w:color w:val="auto"/>
          <w:sz w:val="24"/>
          <w:highlight w:val="none"/>
          <w:lang w:eastAsia="zh-CN"/>
        </w:rPr>
        <w:t>《主要材料价格表》</w:t>
      </w:r>
      <w:r>
        <w:rPr>
          <w:rFonts w:hint="eastAsia" w:asciiTheme="minorEastAsia" w:hAnsiTheme="minorEastAsia" w:eastAsiaTheme="minorEastAsia" w:cstheme="minorEastAsia"/>
          <w:b w:val="0"/>
          <w:bCs w:val="0"/>
          <w:color w:val="auto"/>
          <w:sz w:val="24"/>
          <w:highlight w:val="none"/>
        </w:rPr>
        <w:t>中列出材料、设备的品牌、型号、规格（包括厚度）、材质、生产厂家以及所选品牌系列号参品种名称等内容，一旦</w:t>
      </w:r>
      <w:r>
        <w:rPr>
          <w:rFonts w:hint="eastAsia" w:asciiTheme="minorEastAsia" w:hAnsiTheme="minorEastAsia" w:eastAsiaTheme="minorEastAsia" w:cstheme="minorEastAsia"/>
          <w:b w:val="0"/>
          <w:bCs w:val="0"/>
          <w:color w:val="auto"/>
          <w:sz w:val="24"/>
          <w:highlight w:val="none"/>
          <w:lang w:eastAsia="zh-CN"/>
        </w:rPr>
        <w:t>成交</w:t>
      </w:r>
      <w:r>
        <w:rPr>
          <w:rFonts w:hint="eastAsia" w:asciiTheme="minorEastAsia" w:hAnsiTheme="minorEastAsia" w:eastAsiaTheme="minorEastAsia" w:cstheme="minorEastAsia"/>
          <w:b w:val="0"/>
          <w:bCs w:val="0"/>
          <w:color w:val="auto"/>
          <w:sz w:val="24"/>
          <w:highlight w:val="none"/>
        </w:rPr>
        <w:t>不予调整。未报出以上内容的，</w:t>
      </w:r>
      <w:r>
        <w:rPr>
          <w:rFonts w:hint="eastAsia" w:asciiTheme="minorEastAsia" w:hAnsiTheme="minorEastAsia" w:eastAsiaTheme="minorEastAsia" w:cstheme="minorEastAsia"/>
          <w:b w:val="0"/>
          <w:bCs w:val="0"/>
          <w:color w:val="auto"/>
          <w:sz w:val="24"/>
          <w:highlight w:val="none"/>
          <w:lang w:eastAsia="zh-CN"/>
        </w:rPr>
        <w:t>采购人</w:t>
      </w:r>
      <w:r>
        <w:rPr>
          <w:rFonts w:hint="eastAsia" w:asciiTheme="minorEastAsia" w:hAnsiTheme="minorEastAsia" w:eastAsiaTheme="minorEastAsia" w:cstheme="minorEastAsia"/>
          <w:b w:val="0"/>
          <w:bCs w:val="0"/>
          <w:color w:val="auto"/>
          <w:sz w:val="24"/>
          <w:highlight w:val="none"/>
        </w:rPr>
        <w:t>有权按该材料（或设备）的最好品牌、最高档次产品予以确认，</w:t>
      </w:r>
      <w:r>
        <w:rPr>
          <w:rFonts w:hint="eastAsia" w:asciiTheme="minorEastAsia" w:hAnsiTheme="minorEastAsia" w:eastAsiaTheme="minorEastAsia" w:cstheme="minorEastAsia"/>
          <w:b w:val="0"/>
          <w:bCs w:val="0"/>
          <w:color w:val="auto"/>
          <w:sz w:val="24"/>
          <w:highlight w:val="none"/>
          <w:lang w:eastAsia="zh-CN"/>
        </w:rPr>
        <w:t>成交</w:t>
      </w:r>
      <w:r>
        <w:rPr>
          <w:rFonts w:hint="eastAsia" w:asciiTheme="minorEastAsia" w:hAnsiTheme="minorEastAsia" w:eastAsiaTheme="minorEastAsia" w:cstheme="minorEastAsia"/>
          <w:b w:val="0"/>
          <w:bCs w:val="0"/>
          <w:color w:val="auto"/>
          <w:sz w:val="24"/>
          <w:highlight w:val="none"/>
        </w:rPr>
        <w:t>人必须按</w:t>
      </w:r>
      <w:r>
        <w:rPr>
          <w:rFonts w:hint="eastAsia" w:asciiTheme="minorEastAsia" w:hAnsiTheme="minorEastAsia" w:eastAsiaTheme="minorEastAsia" w:cstheme="minorEastAsia"/>
          <w:b w:val="0"/>
          <w:bCs w:val="0"/>
          <w:color w:val="auto"/>
          <w:sz w:val="24"/>
          <w:highlight w:val="none"/>
          <w:lang w:eastAsia="zh-CN"/>
        </w:rPr>
        <w:t>采购人</w:t>
      </w:r>
      <w:r>
        <w:rPr>
          <w:rFonts w:hint="eastAsia" w:asciiTheme="minorEastAsia" w:hAnsiTheme="minorEastAsia" w:eastAsiaTheme="minorEastAsia" w:cstheme="minorEastAsia"/>
          <w:b w:val="0"/>
          <w:bCs w:val="0"/>
          <w:color w:val="auto"/>
          <w:sz w:val="24"/>
          <w:highlight w:val="none"/>
        </w:rPr>
        <w:t>确认的品牌、档次予以购买，价差部分不予调整。</w:t>
      </w:r>
    </w:p>
    <w:p>
      <w:pPr>
        <w:keepNext w:val="0"/>
        <w:keepLines w:val="0"/>
        <w:pageBreakBefore w:val="0"/>
        <w:kinsoku/>
        <w:wordWrap/>
        <w:overflowPunct/>
        <w:topLinePunct w:val="0"/>
        <w:autoSpaceDE/>
        <w:autoSpaceDN/>
        <w:bidi w:val="0"/>
        <w:adjustRightInd/>
        <w:snapToGrid/>
        <w:spacing w:line="360" w:lineRule="auto"/>
        <w:ind w:left="-359" w:leftChars="-171" w:firstLine="480" w:firstLineChars="200"/>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5</w:t>
      </w:r>
      <w:r>
        <w:rPr>
          <w:rFonts w:hint="eastAsia" w:asciiTheme="minorEastAsia" w:hAnsiTheme="minorEastAsia" w:eastAsiaTheme="minorEastAsia" w:cstheme="minorEastAsia"/>
          <w:b w:val="0"/>
          <w:bCs w:val="0"/>
          <w:color w:val="auto"/>
          <w:sz w:val="24"/>
          <w:highlight w:val="none"/>
        </w:rPr>
        <w:t>、所有装饰材料必须是通过3C认证的环保材料。</w:t>
      </w:r>
    </w:p>
    <w:p>
      <w:pPr>
        <w:keepNext w:val="0"/>
        <w:keepLines w:val="0"/>
        <w:pageBreakBefore w:val="0"/>
        <w:kinsoku/>
        <w:wordWrap/>
        <w:overflowPunct/>
        <w:topLinePunct w:val="0"/>
        <w:autoSpaceDE/>
        <w:autoSpaceDN/>
        <w:bidi w:val="0"/>
        <w:adjustRightInd/>
        <w:snapToGrid/>
        <w:spacing w:line="360" w:lineRule="auto"/>
        <w:ind w:left="-359" w:leftChars="-171" w:firstLine="480" w:firstLineChars="200"/>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6</w:t>
      </w:r>
      <w:r>
        <w:rPr>
          <w:rFonts w:hint="eastAsia" w:asciiTheme="minorEastAsia" w:hAnsiTheme="minorEastAsia" w:eastAsiaTheme="minorEastAsia" w:cstheme="minorEastAsia"/>
          <w:b w:val="0"/>
          <w:bCs w:val="0"/>
          <w:color w:val="auto"/>
          <w:sz w:val="24"/>
          <w:highlight w:val="none"/>
        </w:rPr>
        <w:t>、所有材料进场必须向</w:t>
      </w:r>
      <w:r>
        <w:rPr>
          <w:rFonts w:hint="eastAsia" w:asciiTheme="minorEastAsia" w:hAnsiTheme="minorEastAsia" w:eastAsiaTheme="minorEastAsia" w:cstheme="minorEastAsia"/>
          <w:b w:val="0"/>
          <w:bCs w:val="0"/>
          <w:color w:val="auto"/>
          <w:sz w:val="24"/>
          <w:highlight w:val="none"/>
          <w:lang w:eastAsia="zh-CN"/>
        </w:rPr>
        <w:t>采购人</w:t>
      </w:r>
      <w:r>
        <w:rPr>
          <w:rFonts w:hint="eastAsia" w:asciiTheme="minorEastAsia" w:hAnsiTheme="minorEastAsia" w:eastAsiaTheme="minorEastAsia" w:cstheme="minorEastAsia"/>
          <w:b w:val="0"/>
          <w:bCs w:val="0"/>
          <w:color w:val="auto"/>
          <w:sz w:val="24"/>
          <w:highlight w:val="none"/>
        </w:rPr>
        <w:t>及现场监理人员报验，报验合格并经同意后方可进场，未执行以上程序的，将对承包人罚款1000元/次。</w:t>
      </w:r>
    </w:p>
    <w:p>
      <w:pPr>
        <w:keepNext w:val="0"/>
        <w:keepLines w:val="0"/>
        <w:pageBreakBefore w:val="0"/>
        <w:kinsoku/>
        <w:wordWrap/>
        <w:overflowPunct/>
        <w:topLinePunct w:val="0"/>
        <w:autoSpaceDE/>
        <w:autoSpaceDN/>
        <w:bidi w:val="0"/>
        <w:adjustRightInd/>
        <w:snapToGrid/>
        <w:spacing w:line="360" w:lineRule="auto"/>
        <w:ind w:left="-359" w:leftChars="-171" w:firstLine="482" w:firstLineChars="200"/>
        <w:textAlignment w:val="auto"/>
        <w:rPr>
          <w:rFonts w:hint="eastAsia" w:asciiTheme="minorEastAsia" w:hAnsiTheme="minorEastAsia" w:eastAsiaTheme="minorEastAsia" w:cstheme="minorEastAsia"/>
          <w:b/>
          <w:bCs/>
          <w:color w:val="auto"/>
          <w:sz w:val="24"/>
          <w:highlight w:val="none"/>
        </w:rPr>
      </w:pPr>
    </w:p>
    <w:sectPr>
      <w:headerReference r:id="rId7" w:type="default"/>
      <w:footerReference r:id="rId8" w:type="default"/>
      <w:pgSz w:w="11906" w:h="16838"/>
      <w:pgMar w:top="1440" w:right="1486" w:bottom="1440" w:left="16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 w:name="方正大标宋简体">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282"/>
        <w:tab w:val="clear" w:pos="4153"/>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eastAsia="方正大标宋简体"/>
        <w:color w:val="000000"/>
        <w:spacing w:val="20"/>
        <w:sz w:val="32"/>
      </w:rPr>
      <w:drawing>
        <wp:inline distT="0" distB="0" distL="114300" distR="114300">
          <wp:extent cx="4498975" cy="594360"/>
          <wp:effectExtent l="0" t="0" r="9525" b="2540"/>
          <wp:docPr id="2"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pPr>
    <w:r>
      <w:rPr>
        <w:rFonts w:hint="eastAsia" w:eastAsia="方正大标宋简体"/>
        <w:color w:val="000000"/>
        <w:spacing w:val="20"/>
        <w:sz w:val="32"/>
      </w:rPr>
      <w:drawing>
        <wp:inline distT="0" distB="0" distL="114300" distR="114300">
          <wp:extent cx="4498975" cy="594360"/>
          <wp:effectExtent l="0" t="0" r="15875" b="15240"/>
          <wp:docPr id="4" name="图片 4"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DD8D1"/>
    <w:multiLevelType w:val="singleLevel"/>
    <w:tmpl w:val="B24DD8D1"/>
    <w:lvl w:ilvl="0" w:tentative="0">
      <w:start w:val="4"/>
      <w:numFmt w:val="chineseCounting"/>
      <w:suff w:val="space"/>
      <w:lvlText w:val="第%1章"/>
      <w:lvlJc w:val="left"/>
      <w:rPr>
        <w:rFonts w:hint="eastAsia"/>
      </w:rPr>
    </w:lvl>
  </w:abstractNum>
  <w:abstractNum w:abstractNumId="1">
    <w:nsid w:val="C0610207"/>
    <w:multiLevelType w:val="singleLevel"/>
    <w:tmpl w:val="C0610207"/>
    <w:lvl w:ilvl="0" w:tentative="0">
      <w:start w:val="3"/>
      <w:numFmt w:val="decimal"/>
      <w:suff w:val="nothing"/>
      <w:lvlText w:val="%1、"/>
      <w:lvlJc w:val="left"/>
    </w:lvl>
  </w:abstractNum>
  <w:abstractNum w:abstractNumId="2">
    <w:nsid w:val="CACFEF74"/>
    <w:multiLevelType w:val="singleLevel"/>
    <w:tmpl w:val="CACFEF74"/>
    <w:lvl w:ilvl="0" w:tentative="0">
      <w:start w:val="2"/>
      <w:numFmt w:val="chineseCounting"/>
      <w:suff w:val="nothing"/>
      <w:lvlText w:val="%1、"/>
      <w:lvlJc w:val="left"/>
      <w:rPr>
        <w:rFonts w:hint="eastAsia"/>
      </w:rPr>
    </w:lvl>
  </w:abstractNum>
  <w:abstractNum w:abstractNumId="3">
    <w:nsid w:val="0000000E"/>
    <w:multiLevelType w:val="multilevel"/>
    <w:tmpl w:val="0000000E"/>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rPr>
        <w:rFonts w:hint="default" w:ascii="Arial" w:hAnsi="Arial" w:eastAsia="宋体" w:cs="Arial"/>
        <w:b/>
        <w:sz w:val="30"/>
      </w:rPr>
    </w:lvl>
    <w:lvl w:ilvl="2" w:tentative="0">
      <w:start w:val="1"/>
      <w:numFmt w:val="decimal"/>
      <w:lvlText w:val="%1.%2.%3"/>
      <w:lvlJc w:val="left"/>
      <w:pPr>
        <w:tabs>
          <w:tab w:val="left" w:pos="720"/>
        </w:tabs>
        <w:ind w:left="720" w:hanging="720"/>
      </w:pPr>
      <w:rPr>
        <w:rFonts w:hint="default" w:ascii="Arial" w:hAnsi="Arial"/>
        <w:i w:val="0"/>
        <w:iCs w:val="0"/>
        <w:color w:val="auto"/>
        <w:sz w:val="24"/>
        <w:szCs w:val="24"/>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83C604A"/>
    <w:multiLevelType w:val="singleLevel"/>
    <w:tmpl w:val="183C604A"/>
    <w:lvl w:ilvl="0" w:tentative="0">
      <w:start w:val="1"/>
      <w:numFmt w:val="japaneseCounting"/>
      <w:pStyle w:val="111"/>
      <w:lvlText w:val="%1、"/>
      <w:lvlJc w:val="left"/>
      <w:pPr>
        <w:tabs>
          <w:tab w:val="left" w:pos="960"/>
        </w:tabs>
        <w:ind w:left="960" w:hanging="480"/>
      </w:pPr>
      <w:rPr>
        <w:rFonts w:hint="eastAsia"/>
        <w:b/>
      </w:rPr>
    </w:lvl>
  </w:abstractNum>
  <w:abstractNum w:abstractNumId="5">
    <w:nsid w:val="2F1B08F0"/>
    <w:multiLevelType w:val="singleLevel"/>
    <w:tmpl w:val="2F1B08F0"/>
    <w:lvl w:ilvl="0" w:tentative="0">
      <w:start w:val="5"/>
      <w:numFmt w:val="chineseCounting"/>
      <w:suff w:val="nothing"/>
      <w:lvlText w:val="%1、"/>
      <w:lvlJc w:val="left"/>
      <w:rPr>
        <w:rFonts w:hint="eastAsia"/>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04A95"/>
    <w:rsid w:val="0004637B"/>
    <w:rsid w:val="000C1451"/>
    <w:rsid w:val="00145F98"/>
    <w:rsid w:val="001A7343"/>
    <w:rsid w:val="002B66EF"/>
    <w:rsid w:val="003913B3"/>
    <w:rsid w:val="004543AC"/>
    <w:rsid w:val="004D1134"/>
    <w:rsid w:val="005C05DB"/>
    <w:rsid w:val="006F5F12"/>
    <w:rsid w:val="007A62B9"/>
    <w:rsid w:val="007C4110"/>
    <w:rsid w:val="007D0169"/>
    <w:rsid w:val="009364C7"/>
    <w:rsid w:val="009B3ACF"/>
    <w:rsid w:val="00A7582F"/>
    <w:rsid w:val="00AF4A54"/>
    <w:rsid w:val="00C243E1"/>
    <w:rsid w:val="00C82A1E"/>
    <w:rsid w:val="00CE2CF9"/>
    <w:rsid w:val="00D4613E"/>
    <w:rsid w:val="00DE7270"/>
    <w:rsid w:val="00F428D9"/>
    <w:rsid w:val="00F43FB0"/>
    <w:rsid w:val="00F735C3"/>
    <w:rsid w:val="00FC1421"/>
    <w:rsid w:val="00FC2C02"/>
    <w:rsid w:val="010C2763"/>
    <w:rsid w:val="01911C3A"/>
    <w:rsid w:val="01D03419"/>
    <w:rsid w:val="02254726"/>
    <w:rsid w:val="02CB14FD"/>
    <w:rsid w:val="02D5578F"/>
    <w:rsid w:val="02E70D03"/>
    <w:rsid w:val="02FE4054"/>
    <w:rsid w:val="034C425B"/>
    <w:rsid w:val="036544B5"/>
    <w:rsid w:val="03E728BA"/>
    <w:rsid w:val="0445600A"/>
    <w:rsid w:val="04524A87"/>
    <w:rsid w:val="04ED5290"/>
    <w:rsid w:val="05225518"/>
    <w:rsid w:val="052D3690"/>
    <w:rsid w:val="054A6C41"/>
    <w:rsid w:val="05694F94"/>
    <w:rsid w:val="05803578"/>
    <w:rsid w:val="05B14CE0"/>
    <w:rsid w:val="05B2713E"/>
    <w:rsid w:val="05E1620A"/>
    <w:rsid w:val="05FE785D"/>
    <w:rsid w:val="0654387B"/>
    <w:rsid w:val="06765E66"/>
    <w:rsid w:val="06D41C21"/>
    <w:rsid w:val="077925AF"/>
    <w:rsid w:val="0779350E"/>
    <w:rsid w:val="078F5429"/>
    <w:rsid w:val="07B776EC"/>
    <w:rsid w:val="08131858"/>
    <w:rsid w:val="08132F25"/>
    <w:rsid w:val="082133C2"/>
    <w:rsid w:val="082D4884"/>
    <w:rsid w:val="0859195C"/>
    <w:rsid w:val="086C2D34"/>
    <w:rsid w:val="086E1303"/>
    <w:rsid w:val="091D7D3D"/>
    <w:rsid w:val="092C5936"/>
    <w:rsid w:val="096545A8"/>
    <w:rsid w:val="09B661C4"/>
    <w:rsid w:val="09C868C3"/>
    <w:rsid w:val="09CD0B80"/>
    <w:rsid w:val="0A5D2DE6"/>
    <w:rsid w:val="0AA2391D"/>
    <w:rsid w:val="0AD70C7B"/>
    <w:rsid w:val="0AE439D8"/>
    <w:rsid w:val="0AF865C8"/>
    <w:rsid w:val="0B073E1A"/>
    <w:rsid w:val="0B2B6482"/>
    <w:rsid w:val="0B4D27F3"/>
    <w:rsid w:val="0B5110C1"/>
    <w:rsid w:val="0B642816"/>
    <w:rsid w:val="0B9E1856"/>
    <w:rsid w:val="0BA6622A"/>
    <w:rsid w:val="0BAF49D6"/>
    <w:rsid w:val="0BDC599B"/>
    <w:rsid w:val="0BE86DE5"/>
    <w:rsid w:val="0BF333DE"/>
    <w:rsid w:val="0C5B33A4"/>
    <w:rsid w:val="0C7E476D"/>
    <w:rsid w:val="0CAC6AE2"/>
    <w:rsid w:val="0CFD1662"/>
    <w:rsid w:val="0D1D3E02"/>
    <w:rsid w:val="0D57349D"/>
    <w:rsid w:val="0D855EF0"/>
    <w:rsid w:val="0E4568EC"/>
    <w:rsid w:val="0F27402B"/>
    <w:rsid w:val="0F2A659F"/>
    <w:rsid w:val="0F3C4A39"/>
    <w:rsid w:val="0F3F5F4E"/>
    <w:rsid w:val="0F8060D8"/>
    <w:rsid w:val="0FB02B1B"/>
    <w:rsid w:val="0FDF1E12"/>
    <w:rsid w:val="103A378D"/>
    <w:rsid w:val="10946E6A"/>
    <w:rsid w:val="10B469E5"/>
    <w:rsid w:val="10D761CC"/>
    <w:rsid w:val="11244F9E"/>
    <w:rsid w:val="112911A1"/>
    <w:rsid w:val="1157112B"/>
    <w:rsid w:val="11BB0A89"/>
    <w:rsid w:val="11C06CF8"/>
    <w:rsid w:val="11F54AF7"/>
    <w:rsid w:val="12153798"/>
    <w:rsid w:val="12216482"/>
    <w:rsid w:val="12543DC0"/>
    <w:rsid w:val="125A35B7"/>
    <w:rsid w:val="126536D4"/>
    <w:rsid w:val="127169F1"/>
    <w:rsid w:val="129317A0"/>
    <w:rsid w:val="130E6277"/>
    <w:rsid w:val="13166603"/>
    <w:rsid w:val="134F4AF0"/>
    <w:rsid w:val="13A02ADE"/>
    <w:rsid w:val="13AD3A0E"/>
    <w:rsid w:val="13D81E60"/>
    <w:rsid w:val="14606C13"/>
    <w:rsid w:val="146D7BF3"/>
    <w:rsid w:val="14723763"/>
    <w:rsid w:val="149B16E7"/>
    <w:rsid w:val="149B5650"/>
    <w:rsid w:val="14A52008"/>
    <w:rsid w:val="14BF5B27"/>
    <w:rsid w:val="14CF20B4"/>
    <w:rsid w:val="15110159"/>
    <w:rsid w:val="15506BD7"/>
    <w:rsid w:val="15833361"/>
    <w:rsid w:val="15C9701E"/>
    <w:rsid w:val="1604041B"/>
    <w:rsid w:val="16123E99"/>
    <w:rsid w:val="16281EEF"/>
    <w:rsid w:val="16554559"/>
    <w:rsid w:val="1672357B"/>
    <w:rsid w:val="169A2546"/>
    <w:rsid w:val="169B262C"/>
    <w:rsid w:val="16A04D57"/>
    <w:rsid w:val="16A77652"/>
    <w:rsid w:val="16C50573"/>
    <w:rsid w:val="16E73E61"/>
    <w:rsid w:val="16F169C4"/>
    <w:rsid w:val="175224E3"/>
    <w:rsid w:val="17617037"/>
    <w:rsid w:val="17DC2CCB"/>
    <w:rsid w:val="17F05399"/>
    <w:rsid w:val="18571F2A"/>
    <w:rsid w:val="186758E5"/>
    <w:rsid w:val="18A30349"/>
    <w:rsid w:val="18EF514D"/>
    <w:rsid w:val="191A6AE8"/>
    <w:rsid w:val="192846A2"/>
    <w:rsid w:val="1978016B"/>
    <w:rsid w:val="198454BD"/>
    <w:rsid w:val="19990759"/>
    <w:rsid w:val="19E3432C"/>
    <w:rsid w:val="19FC5F79"/>
    <w:rsid w:val="1A027C60"/>
    <w:rsid w:val="1A0C394D"/>
    <w:rsid w:val="1A2D67AB"/>
    <w:rsid w:val="1AAB25D1"/>
    <w:rsid w:val="1ACC15FD"/>
    <w:rsid w:val="1B0E6E75"/>
    <w:rsid w:val="1B295E11"/>
    <w:rsid w:val="1B325CD4"/>
    <w:rsid w:val="1B662789"/>
    <w:rsid w:val="1BD3618F"/>
    <w:rsid w:val="1BEC51B7"/>
    <w:rsid w:val="1BF5246D"/>
    <w:rsid w:val="1BF652F6"/>
    <w:rsid w:val="1C6023B1"/>
    <w:rsid w:val="1C7409FF"/>
    <w:rsid w:val="1C85238F"/>
    <w:rsid w:val="1CB37D25"/>
    <w:rsid w:val="1CF343A2"/>
    <w:rsid w:val="1CFF4083"/>
    <w:rsid w:val="1D0C3C26"/>
    <w:rsid w:val="1D345522"/>
    <w:rsid w:val="1D4D2172"/>
    <w:rsid w:val="1D55454C"/>
    <w:rsid w:val="1D7E00C0"/>
    <w:rsid w:val="1D88366B"/>
    <w:rsid w:val="1DB90575"/>
    <w:rsid w:val="1DC126BB"/>
    <w:rsid w:val="1DD57700"/>
    <w:rsid w:val="1E215FDE"/>
    <w:rsid w:val="1E220F01"/>
    <w:rsid w:val="1E2E2BB7"/>
    <w:rsid w:val="1E434975"/>
    <w:rsid w:val="1E434F96"/>
    <w:rsid w:val="1E562334"/>
    <w:rsid w:val="1E944B92"/>
    <w:rsid w:val="1EA872CE"/>
    <w:rsid w:val="1EDB0A97"/>
    <w:rsid w:val="1EE513F5"/>
    <w:rsid w:val="1F0A28F0"/>
    <w:rsid w:val="1F4E14CA"/>
    <w:rsid w:val="2014032E"/>
    <w:rsid w:val="20B635E6"/>
    <w:rsid w:val="20F61559"/>
    <w:rsid w:val="21414DB3"/>
    <w:rsid w:val="21415CFC"/>
    <w:rsid w:val="21426AE9"/>
    <w:rsid w:val="217D2BB5"/>
    <w:rsid w:val="21AE1B87"/>
    <w:rsid w:val="21C064D7"/>
    <w:rsid w:val="21C65B59"/>
    <w:rsid w:val="21C929F2"/>
    <w:rsid w:val="21F53B28"/>
    <w:rsid w:val="220A59AB"/>
    <w:rsid w:val="220E3B94"/>
    <w:rsid w:val="22125231"/>
    <w:rsid w:val="224949D4"/>
    <w:rsid w:val="22834EAB"/>
    <w:rsid w:val="22C7398B"/>
    <w:rsid w:val="22D63908"/>
    <w:rsid w:val="22DC15BA"/>
    <w:rsid w:val="22F828FE"/>
    <w:rsid w:val="232504D6"/>
    <w:rsid w:val="233D1A53"/>
    <w:rsid w:val="23A17677"/>
    <w:rsid w:val="23C7467A"/>
    <w:rsid w:val="23D4358A"/>
    <w:rsid w:val="241A480F"/>
    <w:rsid w:val="242F4817"/>
    <w:rsid w:val="244B5A97"/>
    <w:rsid w:val="24A82444"/>
    <w:rsid w:val="24EC4A83"/>
    <w:rsid w:val="255631E3"/>
    <w:rsid w:val="25780E35"/>
    <w:rsid w:val="259F3930"/>
    <w:rsid w:val="25AC4D35"/>
    <w:rsid w:val="25B178DC"/>
    <w:rsid w:val="25CB2F75"/>
    <w:rsid w:val="25F960F8"/>
    <w:rsid w:val="268826D5"/>
    <w:rsid w:val="27561B28"/>
    <w:rsid w:val="2773426F"/>
    <w:rsid w:val="27886E89"/>
    <w:rsid w:val="27A70420"/>
    <w:rsid w:val="27B06C6C"/>
    <w:rsid w:val="27B06FCF"/>
    <w:rsid w:val="28457FB5"/>
    <w:rsid w:val="28753EE9"/>
    <w:rsid w:val="287B664A"/>
    <w:rsid w:val="28A52EDC"/>
    <w:rsid w:val="28AD32F0"/>
    <w:rsid w:val="29080C51"/>
    <w:rsid w:val="29435D2B"/>
    <w:rsid w:val="29791DCD"/>
    <w:rsid w:val="297E391D"/>
    <w:rsid w:val="298B2EE5"/>
    <w:rsid w:val="298F232A"/>
    <w:rsid w:val="29DA7026"/>
    <w:rsid w:val="29F53FB2"/>
    <w:rsid w:val="2A090D87"/>
    <w:rsid w:val="2A244C20"/>
    <w:rsid w:val="2A4968EE"/>
    <w:rsid w:val="2A9343A6"/>
    <w:rsid w:val="2B0173AB"/>
    <w:rsid w:val="2B3718B2"/>
    <w:rsid w:val="2B3A6FC3"/>
    <w:rsid w:val="2BD87616"/>
    <w:rsid w:val="2BF8558E"/>
    <w:rsid w:val="2CD56C8F"/>
    <w:rsid w:val="2D0C02CC"/>
    <w:rsid w:val="2D126DF1"/>
    <w:rsid w:val="2D5351FC"/>
    <w:rsid w:val="2D5908CD"/>
    <w:rsid w:val="2D5E4D46"/>
    <w:rsid w:val="2D602003"/>
    <w:rsid w:val="2D6523D8"/>
    <w:rsid w:val="2D7F224E"/>
    <w:rsid w:val="2D967312"/>
    <w:rsid w:val="2DD7286F"/>
    <w:rsid w:val="2DD91672"/>
    <w:rsid w:val="2E1961AA"/>
    <w:rsid w:val="2E295DE0"/>
    <w:rsid w:val="2E4A7A07"/>
    <w:rsid w:val="2EA07BA0"/>
    <w:rsid w:val="2EB173AA"/>
    <w:rsid w:val="2EDE6E31"/>
    <w:rsid w:val="2F1E6A16"/>
    <w:rsid w:val="2F5D38AD"/>
    <w:rsid w:val="2F606488"/>
    <w:rsid w:val="2F625C39"/>
    <w:rsid w:val="2F7553B8"/>
    <w:rsid w:val="2F7C1E40"/>
    <w:rsid w:val="30271F81"/>
    <w:rsid w:val="303E4FF2"/>
    <w:rsid w:val="304402EC"/>
    <w:rsid w:val="30995164"/>
    <w:rsid w:val="30E10B24"/>
    <w:rsid w:val="310F5FF1"/>
    <w:rsid w:val="31103CC5"/>
    <w:rsid w:val="31254CE6"/>
    <w:rsid w:val="312A523C"/>
    <w:rsid w:val="31CF0897"/>
    <w:rsid w:val="32092F90"/>
    <w:rsid w:val="325B28B4"/>
    <w:rsid w:val="325D7DA5"/>
    <w:rsid w:val="329E7049"/>
    <w:rsid w:val="32AA7298"/>
    <w:rsid w:val="32B64752"/>
    <w:rsid w:val="32EC46AE"/>
    <w:rsid w:val="32FA4805"/>
    <w:rsid w:val="3337155F"/>
    <w:rsid w:val="33476C8B"/>
    <w:rsid w:val="338479CA"/>
    <w:rsid w:val="33E17280"/>
    <w:rsid w:val="33F41838"/>
    <w:rsid w:val="34262EEC"/>
    <w:rsid w:val="3482173C"/>
    <w:rsid w:val="348E24BF"/>
    <w:rsid w:val="34B61100"/>
    <w:rsid w:val="34D072D8"/>
    <w:rsid w:val="35082429"/>
    <w:rsid w:val="351E7E01"/>
    <w:rsid w:val="3549083A"/>
    <w:rsid w:val="356D1D0A"/>
    <w:rsid w:val="3575434F"/>
    <w:rsid w:val="35851FE3"/>
    <w:rsid w:val="35AE67C3"/>
    <w:rsid w:val="35BF7AA7"/>
    <w:rsid w:val="35F76A56"/>
    <w:rsid w:val="361A6EE2"/>
    <w:rsid w:val="36760224"/>
    <w:rsid w:val="368C4693"/>
    <w:rsid w:val="377E1242"/>
    <w:rsid w:val="38174D98"/>
    <w:rsid w:val="38423024"/>
    <w:rsid w:val="38432806"/>
    <w:rsid w:val="386C3253"/>
    <w:rsid w:val="387E162E"/>
    <w:rsid w:val="38946770"/>
    <w:rsid w:val="38B926C6"/>
    <w:rsid w:val="38DE4102"/>
    <w:rsid w:val="39273A0B"/>
    <w:rsid w:val="392D66BE"/>
    <w:rsid w:val="39674E4A"/>
    <w:rsid w:val="39764776"/>
    <w:rsid w:val="3A1311C1"/>
    <w:rsid w:val="3A5E671F"/>
    <w:rsid w:val="3A6D4693"/>
    <w:rsid w:val="3A7C1F9C"/>
    <w:rsid w:val="3A8E2C22"/>
    <w:rsid w:val="3AE1482F"/>
    <w:rsid w:val="3B151D0B"/>
    <w:rsid w:val="3B52521D"/>
    <w:rsid w:val="3B6F4D8C"/>
    <w:rsid w:val="3B923FA3"/>
    <w:rsid w:val="3BB02649"/>
    <w:rsid w:val="3BBB5450"/>
    <w:rsid w:val="3BD24A47"/>
    <w:rsid w:val="3C99635F"/>
    <w:rsid w:val="3CC45F1F"/>
    <w:rsid w:val="3CC84F02"/>
    <w:rsid w:val="3D025B0E"/>
    <w:rsid w:val="3D562F1D"/>
    <w:rsid w:val="3D74487C"/>
    <w:rsid w:val="3D7539F3"/>
    <w:rsid w:val="3DC82FD8"/>
    <w:rsid w:val="3DDF67D0"/>
    <w:rsid w:val="3E0C00F0"/>
    <w:rsid w:val="3E0F73CC"/>
    <w:rsid w:val="3E42694D"/>
    <w:rsid w:val="3E495851"/>
    <w:rsid w:val="3E5D523F"/>
    <w:rsid w:val="3EE81FF5"/>
    <w:rsid w:val="3EFB141B"/>
    <w:rsid w:val="3F1467FE"/>
    <w:rsid w:val="3F4F411A"/>
    <w:rsid w:val="3F6661C1"/>
    <w:rsid w:val="3F6D5B6B"/>
    <w:rsid w:val="3FBF210B"/>
    <w:rsid w:val="4014633F"/>
    <w:rsid w:val="404317E9"/>
    <w:rsid w:val="40457CAE"/>
    <w:rsid w:val="406146D8"/>
    <w:rsid w:val="409669D1"/>
    <w:rsid w:val="40EB2E13"/>
    <w:rsid w:val="40FA112F"/>
    <w:rsid w:val="4122648C"/>
    <w:rsid w:val="41416411"/>
    <w:rsid w:val="414F1DA9"/>
    <w:rsid w:val="417646D2"/>
    <w:rsid w:val="41912A36"/>
    <w:rsid w:val="419868C9"/>
    <w:rsid w:val="426962D8"/>
    <w:rsid w:val="42E47289"/>
    <w:rsid w:val="43404386"/>
    <w:rsid w:val="43671615"/>
    <w:rsid w:val="4386482E"/>
    <w:rsid w:val="43CF3C4F"/>
    <w:rsid w:val="43E060FD"/>
    <w:rsid w:val="44100E01"/>
    <w:rsid w:val="44184330"/>
    <w:rsid w:val="44DC1442"/>
    <w:rsid w:val="44EC6252"/>
    <w:rsid w:val="4515400F"/>
    <w:rsid w:val="451B3A25"/>
    <w:rsid w:val="451B4863"/>
    <w:rsid w:val="452E3BC6"/>
    <w:rsid w:val="452F68DC"/>
    <w:rsid w:val="45AC50DC"/>
    <w:rsid w:val="45B1308C"/>
    <w:rsid w:val="45D476C4"/>
    <w:rsid w:val="45FC62AA"/>
    <w:rsid w:val="464F674F"/>
    <w:rsid w:val="466D7EFE"/>
    <w:rsid w:val="46C35DCC"/>
    <w:rsid w:val="46C77EC2"/>
    <w:rsid w:val="46FF5F7E"/>
    <w:rsid w:val="4707418B"/>
    <w:rsid w:val="475520D3"/>
    <w:rsid w:val="47656C02"/>
    <w:rsid w:val="47ED46F9"/>
    <w:rsid w:val="481F1B55"/>
    <w:rsid w:val="4829584F"/>
    <w:rsid w:val="484218D8"/>
    <w:rsid w:val="488D1D8D"/>
    <w:rsid w:val="491B279C"/>
    <w:rsid w:val="49670B39"/>
    <w:rsid w:val="49791217"/>
    <w:rsid w:val="49866E95"/>
    <w:rsid w:val="49C835D4"/>
    <w:rsid w:val="4A1323A4"/>
    <w:rsid w:val="4A48032F"/>
    <w:rsid w:val="4ADD4B78"/>
    <w:rsid w:val="4B5E76A1"/>
    <w:rsid w:val="4BAE6F21"/>
    <w:rsid w:val="4C401B1A"/>
    <w:rsid w:val="4C496920"/>
    <w:rsid w:val="4C53699B"/>
    <w:rsid w:val="4C72322F"/>
    <w:rsid w:val="4C8B0BFB"/>
    <w:rsid w:val="4CC05F7E"/>
    <w:rsid w:val="4CE6474C"/>
    <w:rsid w:val="4CF86D6E"/>
    <w:rsid w:val="4D014DD1"/>
    <w:rsid w:val="4D0633FC"/>
    <w:rsid w:val="4D20658B"/>
    <w:rsid w:val="4D957224"/>
    <w:rsid w:val="4DAA211C"/>
    <w:rsid w:val="4DD54EA2"/>
    <w:rsid w:val="4E21054A"/>
    <w:rsid w:val="4E59431C"/>
    <w:rsid w:val="4E676CB8"/>
    <w:rsid w:val="4E852BE3"/>
    <w:rsid w:val="4E8B7676"/>
    <w:rsid w:val="4EAC7E0E"/>
    <w:rsid w:val="4EB51578"/>
    <w:rsid w:val="4EC452A9"/>
    <w:rsid w:val="4ED31909"/>
    <w:rsid w:val="4ED951DA"/>
    <w:rsid w:val="4EE42F66"/>
    <w:rsid w:val="4F271559"/>
    <w:rsid w:val="4F353064"/>
    <w:rsid w:val="4F8943AA"/>
    <w:rsid w:val="4F9F022F"/>
    <w:rsid w:val="4FB20DA5"/>
    <w:rsid w:val="4FB40A09"/>
    <w:rsid w:val="4FC34284"/>
    <w:rsid w:val="50004A95"/>
    <w:rsid w:val="50163FB0"/>
    <w:rsid w:val="501F5272"/>
    <w:rsid w:val="50477DA0"/>
    <w:rsid w:val="508B783F"/>
    <w:rsid w:val="508D4AF5"/>
    <w:rsid w:val="50A27666"/>
    <w:rsid w:val="50E53587"/>
    <w:rsid w:val="50FB7CD3"/>
    <w:rsid w:val="510760DA"/>
    <w:rsid w:val="514E39D3"/>
    <w:rsid w:val="518C4349"/>
    <w:rsid w:val="51AA1D87"/>
    <w:rsid w:val="51AF3936"/>
    <w:rsid w:val="526A2C4A"/>
    <w:rsid w:val="52B50F48"/>
    <w:rsid w:val="52E55335"/>
    <w:rsid w:val="52EC3699"/>
    <w:rsid w:val="530E6D12"/>
    <w:rsid w:val="53345E6A"/>
    <w:rsid w:val="53390B7F"/>
    <w:rsid w:val="53563FF9"/>
    <w:rsid w:val="535649D0"/>
    <w:rsid w:val="53AB1466"/>
    <w:rsid w:val="53B41CA6"/>
    <w:rsid w:val="546D01CE"/>
    <w:rsid w:val="548824F8"/>
    <w:rsid w:val="54A45761"/>
    <w:rsid w:val="54F04832"/>
    <w:rsid w:val="551E5264"/>
    <w:rsid w:val="559D4932"/>
    <w:rsid w:val="55BE43D3"/>
    <w:rsid w:val="55BE482F"/>
    <w:rsid w:val="55E17773"/>
    <w:rsid w:val="55EE16DA"/>
    <w:rsid w:val="56A033DC"/>
    <w:rsid w:val="56D12583"/>
    <w:rsid w:val="56FB0D6B"/>
    <w:rsid w:val="5705211A"/>
    <w:rsid w:val="57055CC2"/>
    <w:rsid w:val="573C78BF"/>
    <w:rsid w:val="573F7601"/>
    <w:rsid w:val="575533B2"/>
    <w:rsid w:val="575B6F5B"/>
    <w:rsid w:val="5765201D"/>
    <w:rsid w:val="57BA5DA3"/>
    <w:rsid w:val="58211389"/>
    <w:rsid w:val="58B1365B"/>
    <w:rsid w:val="58CD73F0"/>
    <w:rsid w:val="59127FE9"/>
    <w:rsid w:val="5A015A2F"/>
    <w:rsid w:val="5A142BFD"/>
    <w:rsid w:val="5A4254FD"/>
    <w:rsid w:val="5A48541C"/>
    <w:rsid w:val="5A7551F0"/>
    <w:rsid w:val="5A8A1FC2"/>
    <w:rsid w:val="5AE21575"/>
    <w:rsid w:val="5B7C4952"/>
    <w:rsid w:val="5BC26346"/>
    <w:rsid w:val="5C42398A"/>
    <w:rsid w:val="5C863894"/>
    <w:rsid w:val="5C9F5FE6"/>
    <w:rsid w:val="5CC6255F"/>
    <w:rsid w:val="5CED1068"/>
    <w:rsid w:val="5CFE6618"/>
    <w:rsid w:val="5D1F019A"/>
    <w:rsid w:val="5D590671"/>
    <w:rsid w:val="5D9C0ED5"/>
    <w:rsid w:val="5DB804CA"/>
    <w:rsid w:val="5DDA1C46"/>
    <w:rsid w:val="5E035BD3"/>
    <w:rsid w:val="5E060EB8"/>
    <w:rsid w:val="5E763B07"/>
    <w:rsid w:val="5EE01142"/>
    <w:rsid w:val="5EFF14E7"/>
    <w:rsid w:val="5F03760E"/>
    <w:rsid w:val="5F7A5417"/>
    <w:rsid w:val="5FA319FB"/>
    <w:rsid w:val="6009431E"/>
    <w:rsid w:val="6070030D"/>
    <w:rsid w:val="60777475"/>
    <w:rsid w:val="609864D9"/>
    <w:rsid w:val="60C232FF"/>
    <w:rsid w:val="61C775EF"/>
    <w:rsid w:val="61EB3465"/>
    <w:rsid w:val="626F75E7"/>
    <w:rsid w:val="627D53FA"/>
    <w:rsid w:val="62CB5E4F"/>
    <w:rsid w:val="62F359D6"/>
    <w:rsid w:val="633C31B5"/>
    <w:rsid w:val="637C311D"/>
    <w:rsid w:val="6389514D"/>
    <w:rsid w:val="63AE7336"/>
    <w:rsid w:val="63BA4248"/>
    <w:rsid w:val="63D938D4"/>
    <w:rsid w:val="64227BA4"/>
    <w:rsid w:val="643E340B"/>
    <w:rsid w:val="64836707"/>
    <w:rsid w:val="64D80755"/>
    <w:rsid w:val="65834054"/>
    <w:rsid w:val="660E5151"/>
    <w:rsid w:val="6620296E"/>
    <w:rsid w:val="66342430"/>
    <w:rsid w:val="663B2B1C"/>
    <w:rsid w:val="66510F74"/>
    <w:rsid w:val="665A3023"/>
    <w:rsid w:val="667201BA"/>
    <w:rsid w:val="66777625"/>
    <w:rsid w:val="66B628AE"/>
    <w:rsid w:val="66FC541B"/>
    <w:rsid w:val="670B5D1A"/>
    <w:rsid w:val="675B67D9"/>
    <w:rsid w:val="677F4B3D"/>
    <w:rsid w:val="67FA74EE"/>
    <w:rsid w:val="680B0026"/>
    <w:rsid w:val="680E169B"/>
    <w:rsid w:val="681964FA"/>
    <w:rsid w:val="683E4589"/>
    <w:rsid w:val="68415476"/>
    <w:rsid w:val="68492A7C"/>
    <w:rsid w:val="68647CB3"/>
    <w:rsid w:val="689C6B36"/>
    <w:rsid w:val="68C93FF6"/>
    <w:rsid w:val="68CB1BEB"/>
    <w:rsid w:val="68D37201"/>
    <w:rsid w:val="68E02B96"/>
    <w:rsid w:val="68E049FC"/>
    <w:rsid w:val="68EB6B16"/>
    <w:rsid w:val="6920170E"/>
    <w:rsid w:val="69286C48"/>
    <w:rsid w:val="69323432"/>
    <w:rsid w:val="698C1A55"/>
    <w:rsid w:val="69A86E39"/>
    <w:rsid w:val="6A1D089E"/>
    <w:rsid w:val="6A7745C6"/>
    <w:rsid w:val="6A9B436E"/>
    <w:rsid w:val="6A9F3F4A"/>
    <w:rsid w:val="6AB86F81"/>
    <w:rsid w:val="6ABE6D4A"/>
    <w:rsid w:val="6B221F70"/>
    <w:rsid w:val="6B273CA9"/>
    <w:rsid w:val="6B3D6CEB"/>
    <w:rsid w:val="6B4D6FB4"/>
    <w:rsid w:val="6B5E18B7"/>
    <w:rsid w:val="6B682826"/>
    <w:rsid w:val="6B8E6D9B"/>
    <w:rsid w:val="6BA12726"/>
    <w:rsid w:val="6BB1672B"/>
    <w:rsid w:val="6BBA52E0"/>
    <w:rsid w:val="6BC3504B"/>
    <w:rsid w:val="6BD3293F"/>
    <w:rsid w:val="6BF91EC4"/>
    <w:rsid w:val="6C1950FF"/>
    <w:rsid w:val="6C532962"/>
    <w:rsid w:val="6C5F3CA6"/>
    <w:rsid w:val="6C875CB5"/>
    <w:rsid w:val="6CAB2050"/>
    <w:rsid w:val="6CAB6425"/>
    <w:rsid w:val="6D034513"/>
    <w:rsid w:val="6D122BBB"/>
    <w:rsid w:val="6D510F2F"/>
    <w:rsid w:val="6D5F3A64"/>
    <w:rsid w:val="6D6D0877"/>
    <w:rsid w:val="6DC70081"/>
    <w:rsid w:val="6DDD3216"/>
    <w:rsid w:val="6DE90B45"/>
    <w:rsid w:val="6E071417"/>
    <w:rsid w:val="6E326006"/>
    <w:rsid w:val="6E781027"/>
    <w:rsid w:val="6E82366F"/>
    <w:rsid w:val="6F055931"/>
    <w:rsid w:val="6F114EF6"/>
    <w:rsid w:val="6F53446B"/>
    <w:rsid w:val="6F5C44AA"/>
    <w:rsid w:val="6F75478E"/>
    <w:rsid w:val="6F756F32"/>
    <w:rsid w:val="6F895FB2"/>
    <w:rsid w:val="6FA468BA"/>
    <w:rsid w:val="6FCD682F"/>
    <w:rsid w:val="6FCF7432"/>
    <w:rsid w:val="6FD31939"/>
    <w:rsid w:val="6FD70B24"/>
    <w:rsid w:val="6FE5416F"/>
    <w:rsid w:val="6FEA0DFA"/>
    <w:rsid w:val="6FF1049F"/>
    <w:rsid w:val="6FF32CA6"/>
    <w:rsid w:val="6FF54FF0"/>
    <w:rsid w:val="705D27D9"/>
    <w:rsid w:val="706B05DA"/>
    <w:rsid w:val="709E0DDB"/>
    <w:rsid w:val="70A42908"/>
    <w:rsid w:val="70EC20C7"/>
    <w:rsid w:val="71367E46"/>
    <w:rsid w:val="7146759E"/>
    <w:rsid w:val="71654FF4"/>
    <w:rsid w:val="71730D49"/>
    <w:rsid w:val="71AB4D47"/>
    <w:rsid w:val="71B757FE"/>
    <w:rsid w:val="7202479D"/>
    <w:rsid w:val="726101EA"/>
    <w:rsid w:val="726D248E"/>
    <w:rsid w:val="72D120BA"/>
    <w:rsid w:val="72D276DF"/>
    <w:rsid w:val="72DB6CFD"/>
    <w:rsid w:val="72E05AF8"/>
    <w:rsid w:val="731C4376"/>
    <w:rsid w:val="734667EB"/>
    <w:rsid w:val="73523CEF"/>
    <w:rsid w:val="7356479C"/>
    <w:rsid w:val="73D246EC"/>
    <w:rsid w:val="73DE5772"/>
    <w:rsid w:val="7426150B"/>
    <w:rsid w:val="74286306"/>
    <w:rsid w:val="746747CA"/>
    <w:rsid w:val="748E2D2D"/>
    <w:rsid w:val="74924809"/>
    <w:rsid w:val="74BE6B10"/>
    <w:rsid w:val="75092E76"/>
    <w:rsid w:val="753516CB"/>
    <w:rsid w:val="75374C37"/>
    <w:rsid w:val="753C0B87"/>
    <w:rsid w:val="75AC62C6"/>
    <w:rsid w:val="76085DD4"/>
    <w:rsid w:val="760E348E"/>
    <w:rsid w:val="762510B4"/>
    <w:rsid w:val="765E0BCF"/>
    <w:rsid w:val="76697E19"/>
    <w:rsid w:val="76815405"/>
    <w:rsid w:val="76882DB9"/>
    <w:rsid w:val="782E4FAE"/>
    <w:rsid w:val="78566A72"/>
    <w:rsid w:val="78581C90"/>
    <w:rsid w:val="7869107C"/>
    <w:rsid w:val="78963C8F"/>
    <w:rsid w:val="78A732CA"/>
    <w:rsid w:val="78F05E31"/>
    <w:rsid w:val="797C3D9D"/>
    <w:rsid w:val="79BC2823"/>
    <w:rsid w:val="79CB6C85"/>
    <w:rsid w:val="79F4337C"/>
    <w:rsid w:val="7A164076"/>
    <w:rsid w:val="7A4347BA"/>
    <w:rsid w:val="7A4754B0"/>
    <w:rsid w:val="7AB94A6E"/>
    <w:rsid w:val="7ADE22DC"/>
    <w:rsid w:val="7AEC5514"/>
    <w:rsid w:val="7B875D8F"/>
    <w:rsid w:val="7B8E1711"/>
    <w:rsid w:val="7B9C38F8"/>
    <w:rsid w:val="7B9F63FE"/>
    <w:rsid w:val="7BA34456"/>
    <w:rsid w:val="7BF51348"/>
    <w:rsid w:val="7CB72F89"/>
    <w:rsid w:val="7CC457D0"/>
    <w:rsid w:val="7CDE5B83"/>
    <w:rsid w:val="7CEA7748"/>
    <w:rsid w:val="7CF35C79"/>
    <w:rsid w:val="7D31246A"/>
    <w:rsid w:val="7D6876FE"/>
    <w:rsid w:val="7D6A6880"/>
    <w:rsid w:val="7D7E3E51"/>
    <w:rsid w:val="7E517B74"/>
    <w:rsid w:val="7E534872"/>
    <w:rsid w:val="7E675A04"/>
    <w:rsid w:val="7E803C59"/>
    <w:rsid w:val="7EA85BB6"/>
    <w:rsid w:val="7ED15A38"/>
    <w:rsid w:val="7F154C2D"/>
    <w:rsid w:val="7F201F9A"/>
    <w:rsid w:val="7F5D7D6E"/>
    <w:rsid w:val="7F983C98"/>
    <w:rsid w:val="7FA36220"/>
    <w:rsid w:val="7FC27DFD"/>
    <w:rsid w:val="7FC7650A"/>
    <w:rsid w:val="7FDE7E2F"/>
    <w:rsid w:val="7FEF4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0"/>
    <w:pPr>
      <w:keepNext/>
      <w:keepLines/>
      <w:numPr>
        <w:ilvl w:val="1"/>
        <w:numId w:val="1"/>
      </w:numPr>
      <w:spacing w:before="260" w:after="260" w:line="416" w:lineRule="auto"/>
      <w:jc w:val="center"/>
      <w:outlineLvl w:val="1"/>
    </w:pPr>
    <w:rPr>
      <w:rFonts w:ascii="Arial" w:hAnsi="Arial" w:eastAsia="隶书" w:cs="Times New Roman"/>
      <w:b/>
      <w:bCs/>
      <w:sz w:val="30"/>
      <w:szCs w:val="32"/>
    </w:rPr>
  </w:style>
  <w:style w:type="paragraph" w:styleId="5">
    <w:name w:val="heading 3"/>
    <w:basedOn w:val="1"/>
    <w:next w:val="1"/>
    <w:qFormat/>
    <w:uiPriority w:val="0"/>
    <w:pPr>
      <w:keepNext/>
      <w:keepLines/>
      <w:spacing w:before="260" w:after="260" w:line="415" w:lineRule="auto"/>
      <w:outlineLvl w:val="2"/>
    </w:pPr>
    <w:rPr>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6">
    <w:name w:val="Normal Indent"/>
    <w:basedOn w:val="1"/>
    <w:qFormat/>
    <w:uiPriority w:val="0"/>
    <w:pPr>
      <w:widowControl/>
      <w:ind w:firstLine="420"/>
      <w:jc w:val="left"/>
    </w:pPr>
    <w:rPr>
      <w:rFonts w:ascii="Calibri" w:hAnsi="Calibri" w:cs="黑体"/>
      <w:szCs w:val="22"/>
    </w:rPr>
  </w:style>
  <w:style w:type="paragraph" w:styleId="7">
    <w:name w:val="annotation text"/>
    <w:basedOn w:val="1"/>
    <w:qFormat/>
    <w:uiPriority w:val="0"/>
    <w:pPr>
      <w:jc w:val="left"/>
    </w:pPr>
  </w:style>
  <w:style w:type="paragraph" w:styleId="8">
    <w:name w:val="Body Text Indent"/>
    <w:basedOn w:val="1"/>
    <w:next w:val="1"/>
    <w:qFormat/>
    <w:uiPriority w:val="0"/>
    <w:pPr>
      <w:spacing w:line="360" w:lineRule="auto"/>
    </w:pPr>
    <w:rPr>
      <w:rFonts w:ascii="仿宋体" w:eastAsia="仿宋体"/>
      <w:sz w:val="24"/>
    </w:rPr>
  </w:style>
  <w:style w:type="paragraph" w:styleId="9">
    <w:name w:val="Plain Text"/>
    <w:basedOn w:val="1"/>
    <w:unhideWhenUsed/>
    <w:qFormat/>
    <w:uiPriority w:val="99"/>
    <w:rPr>
      <w:rFonts w:ascii="宋体" w:hAnsi="Courier New" w:cs="Courier New"/>
      <w:szCs w:val="21"/>
    </w:rPr>
  </w:style>
  <w:style w:type="paragraph" w:styleId="10">
    <w:name w:val="Date"/>
    <w:basedOn w:val="1"/>
    <w:next w:val="1"/>
    <w:qFormat/>
    <w:uiPriority w:val="0"/>
    <w:pPr>
      <w:ind w:left="100" w:leftChars="2500"/>
    </w:pPr>
    <w:rPr>
      <w:rFonts w:ascii="华文仿宋" w:hAnsi="华文仿宋" w:eastAsia="华文仿宋"/>
      <w:sz w:val="24"/>
    </w:rPr>
  </w:style>
  <w:style w:type="paragraph" w:styleId="11">
    <w:name w:val="Body Text Indent 2"/>
    <w:basedOn w:val="1"/>
    <w:qFormat/>
    <w:uiPriority w:val="0"/>
    <w:pPr>
      <w:spacing w:line="360" w:lineRule="auto"/>
      <w:ind w:left="839" w:hanging="839" w:hangingChars="355"/>
    </w:pPr>
    <w:rPr>
      <w:b/>
      <w:sz w:val="24"/>
    </w:rPr>
  </w:style>
  <w:style w:type="paragraph" w:styleId="12">
    <w:name w:val="Balloon Text"/>
    <w:basedOn w:val="1"/>
    <w:link w:val="40"/>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99"/>
    <w:pPr>
      <w:spacing w:after="120" w:line="480" w:lineRule="auto"/>
    </w:pPr>
    <w:rPr>
      <w:rFonts w:ascii="Calibri" w:hAnsi="Calibri"/>
      <w:kern w:val="0"/>
      <w:sz w:val="20"/>
    </w:rPr>
  </w:style>
  <w:style w:type="paragraph" w:styleId="16">
    <w:name w:val="List Continue 2"/>
    <w:basedOn w:val="1"/>
    <w:qFormat/>
    <w:uiPriority w:val="0"/>
    <w:pPr>
      <w:spacing w:after="120"/>
      <w:ind w:left="840" w:leftChars="400"/>
    </w:p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Body Text First Indent"/>
    <w:basedOn w:val="2"/>
    <w:qFormat/>
    <w:uiPriority w:val="0"/>
    <w:pPr>
      <w:ind w:firstLine="420" w:firstLineChars="100"/>
    </w:pPr>
    <w:rPr>
      <w:szCs w:val="21"/>
    </w:rPr>
  </w:style>
  <w:style w:type="paragraph" w:styleId="21">
    <w:name w:val="Body Text First Indent 2"/>
    <w:basedOn w:val="8"/>
    <w:qFormat/>
    <w:uiPriority w:val="99"/>
    <w:pPr>
      <w:ind w:firstLine="420" w:firstLineChars="200"/>
    </w:pPr>
  </w:style>
  <w:style w:type="table" w:styleId="23">
    <w:name w:val="Table Grid"/>
    <w:basedOn w:val="22"/>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2687D0"/>
      <w:u w:val="single"/>
    </w:rPr>
  </w:style>
  <w:style w:type="character" w:styleId="28">
    <w:name w:val="HTML Definition"/>
    <w:basedOn w:val="24"/>
    <w:qFormat/>
    <w:uiPriority w:val="0"/>
    <w:rPr>
      <w:i/>
    </w:rPr>
  </w:style>
  <w:style w:type="character" w:styleId="29">
    <w:name w:val="Hyperlink"/>
    <w:basedOn w:val="24"/>
    <w:semiHidden/>
    <w:unhideWhenUsed/>
    <w:qFormat/>
    <w:uiPriority w:val="99"/>
    <w:rPr>
      <w:color w:val="0000FF"/>
      <w:u w:val="single"/>
    </w:rPr>
  </w:style>
  <w:style w:type="character" w:styleId="30">
    <w:name w:val="HTML Code"/>
    <w:basedOn w:val="24"/>
    <w:qFormat/>
    <w:uiPriority w:val="0"/>
    <w:rPr>
      <w:rFonts w:ascii="Consolas" w:hAnsi="Consolas" w:eastAsia="Consolas" w:cs="Consolas"/>
      <w:sz w:val="21"/>
      <w:szCs w:val="21"/>
    </w:rPr>
  </w:style>
  <w:style w:type="character" w:styleId="31">
    <w:name w:val="HTML Keyboard"/>
    <w:basedOn w:val="24"/>
    <w:qFormat/>
    <w:uiPriority w:val="0"/>
    <w:rPr>
      <w:rFonts w:hint="default" w:ascii="Consolas" w:hAnsi="Consolas" w:eastAsia="Consolas" w:cs="Consolas"/>
      <w:sz w:val="21"/>
      <w:szCs w:val="21"/>
    </w:rPr>
  </w:style>
  <w:style w:type="character" w:styleId="32">
    <w:name w:val="HTML Sample"/>
    <w:basedOn w:val="24"/>
    <w:qFormat/>
    <w:uiPriority w:val="0"/>
    <w:rPr>
      <w:rFonts w:hint="default" w:ascii="Consolas" w:hAnsi="Consolas" w:eastAsia="Consolas" w:cs="Consolas"/>
      <w:sz w:val="21"/>
      <w:szCs w:val="21"/>
    </w:rPr>
  </w:style>
  <w:style w:type="paragraph" w:customStyle="1" w:styleId="33">
    <w:name w:val="默认段落字体 Para Char"/>
    <w:basedOn w:val="1"/>
    <w:qFormat/>
    <w:uiPriority w:val="0"/>
    <w:pPr>
      <w:adjustRightInd w:val="0"/>
      <w:spacing w:line="360" w:lineRule="auto"/>
    </w:p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6">
    <w:name w:val="列出段落1"/>
    <w:basedOn w:val="1"/>
    <w:qFormat/>
    <w:uiPriority w:val="34"/>
    <w:pPr>
      <w:ind w:firstLine="420" w:firstLineChars="200"/>
    </w:pPr>
  </w:style>
  <w:style w:type="character" w:customStyle="1" w:styleId="37">
    <w:name w:val="font11"/>
    <w:basedOn w:val="24"/>
    <w:qFormat/>
    <w:uiPriority w:val="0"/>
    <w:rPr>
      <w:rFonts w:hint="default" w:ascii="Times New Roman" w:hAnsi="Times New Roman" w:cs="Times New Roman"/>
      <w:color w:val="000000"/>
      <w:sz w:val="24"/>
      <w:szCs w:val="24"/>
      <w:u w:val="none"/>
    </w:rPr>
  </w:style>
  <w:style w:type="character" w:customStyle="1" w:styleId="38">
    <w:name w:val="font31"/>
    <w:basedOn w:val="24"/>
    <w:qFormat/>
    <w:uiPriority w:val="0"/>
    <w:rPr>
      <w:rFonts w:hint="eastAsia" w:ascii="宋体" w:hAnsi="宋体" w:eastAsia="宋体" w:cs="宋体"/>
      <w:color w:val="000000"/>
      <w:sz w:val="24"/>
      <w:szCs w:val="24"/>
      <w:u w:val="none"/>
    </w:rPr>
  </w:style>
  <w:style w:type="paragraph" w:customStyle="1" w:styleId="39">
    <w:name w:val="WPS Plain"/>
    <w:qFormat/>
    <w:uiPriority w:val="0"/>
    <w:rPr>
      <w:rFonts w:ascii="Times New Roman" w:hAnsi="Times New Roman" w:eastAsia="宋体" w:cs="Times New Roman"/>
      <w:lang w:val="en-US" w:eastAsia="zh-CN" w:bidi="ar-SA"/>
    </w:rPr>
  </w:style>
  <w:style w:type="character" w:customStyle="1" w:styleId="40">
    <w:name w:val="批注框文本 Char"/>
    <w:basedOn w:val="24"/>
    <w:link w:val="12"/>
    <w:qFormat/>
    <w:uiPriority w:val="0"/>
    <w:rPr>
      <w:kern w:val="2"/>
      <w:sz w:val="18"/>
      <w:szCs w:val="18"/>
    </w:rPr>
  </w:style>
  <w:style w:type="paragraph" w:customStyle="1" w:styleId="4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2">
    <w:name w:val="apple-converted-space"/>
    <w:basedOn w:val="24"/>
    <w:qFormat/>
    <w:uiPriority w:val="0"/>
  </w:style>
  <w:style w:type="paragraph" w:customStyle="1" w:styleId="43">
    <w:name w:val="Table Paragraph"/>
    <w:basedOn w:val="1"/>
    <w:qFormat/>
    <w:uiPriority w:val="1"/>
    <w:rPr>
      <w:rFonts w:ascii="宋体" w:hAnsi="宋体" w:cs="宋体"/>
      <w:lang w:val="zh-CN" w:bidi="zh-CN"/>
    </w:rPr>
  </w:style>
  <w:style w:type="paragraph" w:customStyle="1" w:styleId="44">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45">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46">
    <w:name w:val="Intense Reference"/>
    <w:basedOn w:val="24"/>
    <w:qFormat/>
    <w:uiPriority w:val="32"/>
    <w:rPr>
      <w:b/>
      <w:bCs/>
      <w:smallCaps/>
      <w:color w:val="C0504D"/>
      <w:spacing w:val="5"/>
      <w:u w:val="single"/>
    </w:rPr>
  </w:style>
  <w:style w:type="paragraph" w:styleId="47">
    <w:name w:val="List Paragraph"/>
    <w:basedOn w:val="1"/>
    <w:qFormat/>
    <w:uiPriority w:val="34"/>
    <w:pPr>
      <w:ind w:firstLine="420" w:firstLineChars="200"/>
    </w:pPr>
    <w:rPr>
      <w:rFonts w:ascii="Calibri" w:hAnsi="Calibri" w:eastAsia="宋体"/>
      <w:sz w:val="21"/>
      <w:szCs w:val="22"/>
    </w:rPr>
  </w:style>
  <w:style w:type="character" w:customStyle="1" w:styleId="48">
    <w:name w:val="明显参考1"/>
    <w:basedOn w:val="24"/>
    <w:qFormat/>
    <w:uiPriority w:val="32"/>
    <w:rPr>
      <w:b/>
      <w:bCs/>
      <w:smallCaps/>
      <w:color w:val="C0504D"/>
      <w:spacing w:val="5"/>
      <w:u w:val="single"/>
    </w:rPr>
  </w:style>
  <w:style w:type="paragraph" w:customStyle="1" w:styleId="49">
    <w:name w:val="表格文字"/>
    <w:basedOn w:val="1"/>
    <w:qFormat/>
    <w:uiPriority w:val="0"/>
    <w:pPr>
      <w:jc w:val="left"/>
    </w:pPr>
    <w:rPr>
      <w:bCs/>
      <w:spacing w:val="10"/>
      <w:sz w:val="24"/>
    </w:rPr>
  </w:style>
  <w:style w:type="character" w:customStyle="1" w:styleId="50">
    <w:name w:val="cm-header"/>
    <w:basedOn w:val="24"/>
    <w:qFormat/>
    <w:uiPriority w:val="0"/>
    <w:rPr>
      <w:b/>
    </w:rPr>
  </w:style>
  <w:style w:type="character" w:customStyle="1" w:styleId="51">
    <w:name w:val="cm-header1"/>
    <w:basedOn w:val="24"/>
    <w:qFormat/>
    <w:uiPriority w:val="0"/>
    <w:rPr>
      <w:color w:val="AA00AA"/>
    </w:rPr>
  </w:style>
  <w:style w:type="character" w:customStyle="1" w:styleId="52">
    <w:name w:val="cm-em"/>
    <w:basedOn w:val="24"/>
    <w:qFormat/>
    <w:uiPriority w:val="0"/>
    <w:rPr>
      <w:i/>
    </w:rPr>
  </w:style>
  <w:style w:type="character" w:customStyle="1" w:styleId="53">
    <w:name w:val="search"/>
    <w:basedOn w:val="24"/>
    <w:qFormat/>
    <w:uiPriority w:val="0"/>
  </w:style>
  <w:style w:type="character" w:customStyle="1" w:styleId="54">
    <w:name w:val="search1"/>
    <w:basedOn w:val="24"/>
    <w:qFormat/>
    <w:uiPriority w:val="0"/>
  </w:style>
  <w:style w:type="character" w:customStyle="1" w:styleId="55">
    <w:name w:val="cm-string"/>
    <w:basedOn w:val="24"/>
    <w:qFormat/>
    <w:uiPriority w:val="0"/>
    <w:rPr>
      <w:color w:val="AA1111"/>
    </w:rPr>
  </w:style>
  <w:style w:type="character" w:customStyle="1" w:styleId="56">
    <w:name w:val="last-child"/>
    <w:basedOn w:val="24"/>
    <w:qFormat/>
    <w:uiPriority w:val="0"/>
  </w:style>
  <w:style w:type="character" w:customStyle="1" w:styleId="57">
    <w:name w:val="cm-error"/>
    <w:basedOn w:val="24"/>
    <w:qFormat/>
    <w:uiPriority w:val="0"/>
    <w:rPr>
      <w:color w:val="FF0000"/>
    </w:rPr>
  </w:style>
  <w:style w:type="character" w:customStyle="1" w:styleId="58">
    <w:name w:val="codemirror-matchingbracket"/>
    <w:basedOn w:val="24"/>
    <w:qFormat/>
    <w:uiPriority w:val="0"/>
    <w:rPr>
      <w:color w:val="00FF00"/>
    </w:rPr>
  </w:style>
  <w:style w:type="character" w:customStyle="1" w:styleId="59">
    <w:name w:val="caret4"/>
    <w:basedOn w:val="24"/>
    <w:qFormat/>
    <w:uiPriority w:val="0"/>
  </w:style>
  <w:style w:type="character" w:customStyle="1" w:styleId="60">
    <w:name w:val="codemirror-nonmatchingbracket"/>
    <w:basedOn w:val="24"/>
    <w:qFormat/>
    <w:uiPriority w:val="0"/>
    <w:rPr>
      <w:color w:val="FF2222"/>
    </w:rPr>
  </w:style>
  <w:style w:type="character" w:customStyle="1" w:styleId="61">
    <w:name w:val="cm-link"/>
    <w:basedOn w:val="24"/>
    <w:qFormat/>
    <w:uiPriority w:val="0"/>
    <w:rPr>
      <w:color w:val="0000CC"/>
    </w:rPr>
  </w:style>
  <w:style w:type="character" w:customStyle="1" w:styleId="62">
    <w:name w:val="current"/>
    <w:basedOn w:val="24"/>
    <w:qFormat/>
    <w:uiPriority w:val="0"/>
    <w:rPr>
      <w:color w:val="FFFFFF"/>
      <w:bdr w:val="single" w:color="197AFF" w:sz="6" w:space="0"/>
      <w:shd w:val="clear" w:fill="197AFF"/>
    </w:rPr>
  </w:style>
  <w:style w:type="character" w:customStyle="1" w:styleId="63">
    <w:name w:val="current1"/>
    <w:basedOn w:val="24"/>
    <w:qFormat/>
    <w:uiPriority w:val="0"/>
    <w:rPr>
      <w:color w:val="FFFFFF"/>
      <w:bdr w:val="single" w:color="197AFF" w:sz="6" w:space="0"/>
      <w:shd w:val="clear" w:fill="197AFF"/>
    </w:rPr>
  </w:style>
  <w:style w:type="character" w:customStyle="1" w:styleId="64">
    <w:name w:val="current2"/>
    <w:basedOn w:val="24"/>
    <w:qFormat/>
    <w:uiPriority w:val="0"/>
    <w:rPr>
      <w:color w:val="197AFF"/>
      <w:shd w:val="clear" w:fill="EBECF0"/>
    </w:rPr>
  </w:style>
  <w:style w:type="character" w:customStyle="1" w:styleId="65">
    <w:name w:val="cm-strong"/>
    <w:basedOn w:val="24"/>
    <w:qFormat/>
    <w:uiPriority w:val="0"/>
    <w:rPr>
      <w:b/>
    </w:rPr>
  </w:style>
  <w:style w:type="character" w:customStyle="1" w:styleId="66">
    <w:name w:val="icon-zcy86"/>
    <w:basedOn w:val="24"/>
    <w:qFormat/>
    <w:uiPriority w:val="0"/>
    <w:rPr>
      <w:color w:val="EEEEEE"/>
    </w:rPr>
  </w:style>
  <w:style w:type="character" w:customStyle="1" w:styleId="67">
    <w:name w:val="error"/>
    <w:basedOn w:val="24"/>
    <w:qFormat/>
    <w:uiPriority w:val="0"/>
    <w:rPr>
      <w:color w:val="FF625C"/>
    </w:rPr>
  </w:style>
  <w:style w:type="character" w:customStyle="1" w:styleId="68">
    <w:name w:val="error1"/>
    <w:basedOn w:val="24"/>
    <w:qFormat/>
    <w:uiPriority w:val="0"/>
    <w:rPr>
      <w:color w:val="FF625C"/>
    </w:rPr>
  </w:style>
  <w:style w:type="character" w:customStyle="1" w:styleId="69">
    <w:name w:val="next-item"/>
    <w:basedOn w:val="24"/>
    <w:qFormat/>
    <w:uiPriority w:val="0"/>
    <w:rPr>
      <w:color w:val="333333"/>
      <w:bdr w:val="single" w:color="CCD0D6" w:sz="6" w:space="0"/>
    </w:rPr>
  </w:style>
  <w:style w:type="character" w:customStyle="1" w:styleId="70">
    <w:name w:val="cm-qualifier"/>
    <w:basedOn w:val="24"/>
    <w:qFormat/>
    <w:uiPriority w:val="0"/>
    <w:rPr>
      <w:color w:val="555555"/>
    </w:rPr>
  </w:style>
  <w:style w:type="character" w:customStyle="1" w:styleId="71">
    <w:name w:val="modal-title40"/>
    <w:basedOn w:val="24"/>
    <w:qFormat/>
    <w:uiPriority w:val="0"/>
    <w:rPr>
      <w:b/>
      <w:sz w:val="30"/>
      <w:szCs w:val="30"/>
    </w:rPr>
  </w:style>
  <w:style w:type="character" w:customStyle="1" w:styleId="72">
    <w:name w:val="danger6"/>
    <w:basedOn w:val="24"/>
    <w:qFormat/>
    <w:uiPriority w:val="0"/>
    <w:rPr>
      <w:color w:val="FF2200"/>
    </w:rPr>
  </w:style>
  <w:style w:type="character" w:customStyle="1" w:styleId="73">
    <w:name w:val="danger7"/>
    <w:basedOn w:val="24"/>
    <w:qFormat/>
    <w:uiPriority w:val="0"/>
    <w:rPr>
      <w:color w:val="FF2200"/>
    </w:rPr>
  </w:style>
  <w:style w:type="character" w:customStyle="1" w:styleId="74">
    <w:name w:val="success6"/>
    <w:basedOn w:val="24"/>
    <w:qFormat/>
    <w:uiPriority w:val="0"/>
    <w:rPr>
      <w:color w:val="2DC12D"/>
    </w:rPr>
  </w:style>
  <w:style w:type="character" w:customStyle="1" w:styleId="75">
    <w:name w:val="success7"/>
    <w:basedOn w:val="24"/>
    <w:qFormat/>
    <w:uiPriority w:val="0"/>
    <w:rPr>
      <w:color w:val="2DC12D"/>
    </w:rPr>
  </w:style>
  <w:style w:type="character" w:customStyle="1" w:styleId="76">
    <w:name w:val="cm-comment"/>
    <w:basedOn w:val="24"/>
    <w:qFormat/>
    <w:uiPriority w:val="0"/>
    <w:rPr>
      <w:color w:val="AA5500"/>
    </w:rPr>
  </w:style>
  <w:style w:type="character" w:customStyle="1" w:styleId="77">
    <w:name w:val="cm-variable-2"/>
    <w:basedOn w:val="24"/>
    <w:qFormat/>
    <w:uiPriority w:val="0"/>
    <w:rPr>
      <w:color w:val="0055AA"/>
    </w:rPr>
  </w:style>
  <w:style w:type="character" w:customStyle="1" w:styleId="78">
    <w:name w:val="mark"/>
    <w:basedOn w:val="24"/>
    <w:qFormat/>
    <w:uiPriority w:val="0"/>
    <w:rPr>
      <w:bdr w:val="single" w:color="CCD0D6" w:sz="6" w:space="0"/>
      <w:shd w:val="clear" w:fill="FFFFFF"/>
    </w:rPr>
  </w:style>
  <w:style w:type="character" w:customStyle="1" w:styleId="79">
    <w:name w:val="mark1"/>
    <w:basedOn w:val="24"/>
    <w:qFormat/>
    <w:uiPriority w:val="0"/>
    <w:rPr>
      <w:bdr w:val="single" w:color="2D88CD" w:sz="6" w:space="0"/>
      <w:shd w:val="clear" w:fill="2D88CD"/>
    </w:rPr>
  </w:style>
  <w:style w:type="character" w:customStyle="1" w:styleId="80">
    <w:name w:val="parallel4"/>
    <w:basedOn w:val="24"/>
    <w:qFormat/>
    <w:uiPriority w:val="0"/>
  </w:style>
  <w:style w:type="character" w:customStyle="1" w:styleId="81">
    <w:name w:val="name4"/>
    <w:basedOn w:val="24"/>
    <w:qFormat/>
    <w:uiPriority w:val="0"/>
    <w:rPr>
      <w:color w:val="32465A"/>
    </w:rPr>
  </w:style>
  <w:style w:type="character" w:customStyle="1" w:styleId="82">
    <w:name w:val="edui-unclickable"/>
    <w:basedOn w:val="24"/>
    <w:qFormat/>
    <w:uiPriority w:val="0"/>
    <w:rPr>
      <w:color w:val="808080"/>
    </w:rPr>
  </w:style>
  <w:style w:type="character" w:customStyle="1" w:styleId="83">
    <w:name w:val="edui-clickable"/>
    <w:basedOn w:val="24"/>
    <w:qFormat/>
    <w:uiPriority w:val="0"/>
    <w:rPr>
      <w:color w:val="0000FF"/>
      <w:u w:val="single"/>
    </w:rPr>
  </w:style>
  <w:style w:type="character" w:customStyle="1" w:styleId="84">
    <w:name w:val="codemirror-selected"/>
    <w:basedOn w:val="24"/>
    <w:qFormat/>
    <w:uiPriority w:val="0"/>
    <w:rPr>
      <w:shd w:val="clear" w:fill="D2DCF8"/>
    </w:rPr>
  </w:style>
  <w:style w:type="character" w:customStyle="1" w:styleId="85">
    <w:name w:val="codemirror-selected1"/>
    <w:basedOn w:val="24"/>
    <w:qFormat/>
    <w:uiPriority w:val="0"/>
    <w:rPr>
      <w:shd w:val="clear" w:fill="D9D9D9"/>
    </w:rPr>
  </w:style>
  <w:style w:type="character" w:customStyle="1" w:styleId="86">
    <w:name w:val="cm-keyword"/>
    <w:basedOn w:val="24"/>
    <w:qFormat/>
    <w:uiPriority w:val="0"/>
    <w:rPr>
      <w:color w:val="770088"/>
    </w:rPr>
  </w:style>
  <w:style w:type="character" w:customStyle="1" w:styleId="87">
    <w:name w:val="cm-atom"/>
    <w:basedOn w:val="24"/>
    <w:qFormat/>
    <w:uiPriority w:val="0"/>
    <w:rPr>
      <w:color w:val="221199"/>
    </w:rPr>
  </w:style>
  <w:style w:type="character" w:customStyle="1" w:styleId="88">
    <w:name w:val="cm-bracket"/>
    <w:basedOn w:val="24"/>
    <w:qFormat/>
    <w:uiPriority w:val="0"/>
    <w:rPr>
      <w:color w:val="CCCC77"/>
    </w:rPr>
  </w:style>
  <w:style w:type="character" w:customStyle="1" w:styleId="89">
    <w:name w:val="cm-number"/>
    <w:basedOn w:val="24"/>
    <w:qFormat/>
    <w:uiPriority w:val="0"/>
    <w:rPr>
      <w:color w:val="116644"/>
    </w:rPr>
  </w:style>
  <w:style w:type="character" w:customStyle="1" w:styleId="90">
    <w:name w:val="cm-def"/>
    <w:basedOn w:val="24"/>
    <w:qFormat/>
    <w:uiPriority w:val="0"/>
    <w:rPr>
      <w:color w:val="0000FF"/>
    </w:rPr>
  </w:style>
  <w:style w:type="character" w:customStyle="1" w:styleId="91">
    <w:name w:val="cm-property"/>
    <w:basedOn w:val="24"/>
    <w:qFormat/>
    <w:uiPriority w:val="0"/>
    <w:rPr>
      <w:color w:val="000000"/>
    </w:rPr>
  </w:style>
  <w:style w:type="character" w:customStyle="1" w:styleId="92">
    <w:name w:val="cm-variable"/>
    <w:basedOn w:val="24"/>
    <w:qFormat/>
    <w:uiPriority w:val="0"/>
    <w:rPr>
      <w:color w:val="000000"/>
    </w:rPr>
  </w:style>
  <w:style w:type="character" w:customStyle="1" w:styleId="93">
    <w:name w:val="cm-tag"/>
    <w:basedOn w:val="24"/>
    <w:qFormat/>
    <w:uiPriority w:val="0"/>
    <w:rPr>
      <w:color w:val="117700"/>
    </w:rPr>
  </w:style>
  <w:style w:type="character" w:customStyle="1" w:styleId="94">
    <w:name w:val="cm-operator"/>
    <w:basedOn w:val="24"/>
    <w:qFormat/>
    <w:uiPriority w:val="0"/>
    <w:rPr>
      <w:color w:val="000000"/>
    </w:rPr>
  </w:style>
  <w:style w:type="character" w:customStyle="1" w:styleId="95">
    <w:name w:val="cm-variable-3"/>
    <w:basedOn w:val="24"/>
    <w:qFormat/>
    <w:uiPriority w:val="0"/>
    <w:rPr>
      <w:color w:val="008855"/>
    </w:rPr>
  </w:style>
  <w:style w:type="character" w:customStyle="1" w:styleId="96">
    <w:name w:val="cm-string-2"/>
    <w:basedOn w:val="24"/>
    <w:qFormat/>
    <w:uiPriority w:val="0"/>
    <w:rPr>
      <w:color w:val="FF5500"/>
    </w:rPr>
  </w:style>
  <w:style w:type="character" w:customStyle="1" w:styleId="97">
    <w:name w:val="cm-meta"/>
    <w:basedOn w:val="24"/>
    <w:qFormat/>
    <w:uiPriority w:val="0"/>
    <w:rPr>
      <w:color w:val="555555"/>
    </w:rPr>
  </w:style>
  <w:style w:type="character" w:customStyle="1" w:styleId="98">
    <w:name w:val="cm-builtin"/>
    <w:basedOn w:val="24"/>
    <w:qFormat/>
    <w:uiPriority w:val="0"/>
    <w:rPr>
      <w:color w:val="3300AA"/>
    </w:rPr>
  </w:style>
  <w:style w:type="character" w:customStyle="1" w:styleId="99">
    <w:name w:val="cm-attribute"/>
    <w:basedOn w:val="24"/>
    <w:qFormat/>
    <w:uiPriority w:val="0"/>
    <w:rPr>
      <w:color w:val="0000CC"/>
    </w:rPr>
  </w:style>
  <w:style w:type="character" w:customStyle="1" w:styleId="100">
    <w:name w:val="cm-quote"/>
    <w:basedOn w:val="24"/>
    <w:qFormat/>
    <w:uiPriority w:val="0"/>
    <w:rPr>
      <w:color w:val="009900"/>
    </w:rPr>
  </w:style>
  <w:style w:type="character" w:customStyle="1" w:styleId="101">
    <w:name w:val="cm-hr"/>
    <w:basedOn w:val="24"/>
    <w:qFormat/>
    <w:uiPriority w:val="0"/>
    <w:rPr>
      <w:color w:val="999999"/>
    </w:rPr>
  </w:style>
  <w:style w:type="character" w:customStyle="1" w:styleId="102">
    <w:name w:val="cm-emstrong"/>
    <w:basedOn w:val="24"/>
    <w:qFormat/>
    <w:uiPriority w:val="0"/>
    <w:rPr>
      <w:b/>
      <w:i/>
    </w:rPr>
  </w:style>
  <w:style w:type="character" w:customStyle="1" w:styleId="103">
    <w:name w:val="success"/>
    <w:basedOn w:val="24"/>
    <w:qFormat/>
    <w:uiPriority w:val="0"/>
    <w:rPr>
      <w:color w:val="2DC12D"/>
    </w:rPr>
  </w:style>
  <w:style w:type="character" w:customStyle="1" w:styleId="104">
    <w:name w:val="success1"/>
    <w:basedOn w:val="24"/>
    <w:qFormat/>
    <w:uiPriority w:val="0"/>
    <w:rPr>
      <w:color w:val="2DC12D"/>
    </w:rPr>
  </w:style>
  <w:style w:type="character" w:customStyle="1" w:styleId="105">
    <w:name w:val="danger"/>
    <w:basedOn w:val="24"/>
    <w:qFormat/>
    <w:uiPriority w:val="0"/>
    <w:rPr>
      <w:color w:val="FF2200"/>
    </w:rPr>
  </w:style>
  <w:style w:type="character" w:customStyle="1" w:styleId="106">
    <w:name w:val="danger1"/>
    <w:basedOn w:val="24"/>
    <w:qFormat/>
    <w:uiPriority w:val="0"/>
    <w:rPr>
      <w:color w:val="FF2200"/>
    </w:rPr>
  </w:style>
  <w:style w:type="paragraph" w:customStyle="1" w:styleId="107">
    <w:name w:val="Normal"/>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08">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09">
    <w:name w:val="中文正文、"/>
    <w:basedOn w:val="1"/>
    <w:qFormat/>
    <w:uiPriority w:val="0"/>
    <w:pPr>
      <w:spacing w:line="360" w:lineRule="auto"/>
      <w:ind w:firstLine="420" w:firstLineChars="200"/>
      <w:jc w:val="left"/>
    </w:pPr>
    <w:rPr>
      <w:rFonts w:eastAsia="宋体"/>
      <w:szCs w:val="21"/>
    </w:rPr>
  </w:style>
  <w:style w:type="paragraph" w:customStyle="1" w:styleId="110">
    <w:name w:val="5555"/>
    <w:basedOn w:val="1"/>
    <w:qFormat/>
    <w:uiPriority w:val="0"/>
    <w:pPr>
      <w:autoSpaceDE w:val="0"/>
      <w:autoSpaceDN w:val="0"/>
      <w:adjustRightInd w:val="0"/>
      <w:spacing w:line="360" w:lineRule="auto"/>
      <w:ind w:firstLine="420" w:firstLineChars="200"/>
      <w:jc w:val="left"/>
    </w:pPr>
    <w:rPr>
      <w:rFonts w:ascii="宋体" w:hAnsi="宋体" w:eastAsia="仿宋"/>
      <w:b/>
      <w:sz w:val="24"/>
      <w:szCs w:val="21"/>
    </w:rPr>
  </w:style>
  <w:style w:type="paragraph" w:customStyle="1" w:styleId="111">
    <w:name w:val="Item List in Table"/>
    <w:basedOn w:val="1"/>
    <w:qFormat/>
    <w:uiPriority w:val="0"/>
    <w:pPr>
      <w:numPr>
        <w:ilvl w:val="0"/>
        <w:numId w:val="2"/>
      </w:numPr>
      <w:tabs>
        <w:tab w:val="left" w:pos="420"/>
        <w:tab w:val="clear" w:pos="960"/>
      </w:tabs>
      <w:jc w:val="left"/>
    </w:pPr>
    <w:rPr>
      <w:rFonts w:ascii="Times New Roman" w:hAnsi="Times New Roman" w:eastAsia="宋体" w:cs="Times New Roman"/>
      <w:szCs w:val="24"/>
    </w:rPr>
  </w:style>
  <w:style w:type="paragraph" w:customStyle="1" w:styleId="112">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11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91</Pages>
  <Words>48431</Words>
  <Characters>53103</Characters>
  <Lines>197</Lines>
  <Paragraphs>55</Paragraphs>
  <TotalTime>7</TotalTime>
  <ScaleCrop>false</ScaleCrop>
  <LinksUpToDate>false</LinksUpToDate>
  <CharactersWithSpaces>55113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大眼萌</cp:lastModifiedBy>
  <cp:lastPrinted>2019-06-06T11:13:00Z</cp:lastPrinted>
  <dcterms:modified xsi:type="dcterms:W3CDTF">2021-10-15T11:05:35Z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5BF13C4073B74C8EAEE30131ECFA0BF5</vt:lpwstr>
  </property>
</Properties>
</file>