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cs="宋体"/>
          <w:b/>
          <w:sz w:val="52"/>
          <w:szCs w:val="52"/>
        </w:rPr>
      </w:pPr>
      <w:r>
        <w:rPr>
          <w:rFonts w:hint="default" w:ascii="宋体" w:hAnsi="宋体" w:cs="宋体"/>
          <w:b/>
          <w:sz w:val="48"/>
          <w:szCs w:val="48"/>
          <w:lang w:val="en-US"/>
        </w:rPr>
        <w:t>巴楚县</w:t>
      </w:r>
      <w:r>
        <w:rPr>
          <w:rFonts w:hint="eastAsia" w:ascii="宋体" w:hAnsi="宋体" w:cs="宋体"/>
          <w:b/>
          <w:sz w:val="48"/>
          <w:szCs w:val="48"/>
          <w:lang w:val="en-US" w:eastAsia="zh-CN"/>
        </w:rPr>
        <w:t>锦绣社区就业服务中心改造</w:t>
      </w:r>
      <w:r>
        <w:rPr>
          <w:rFonts w:hint="default" w:ascii="宋体" w:hAnsi="宋体" w:cs="宋体"/>
          <w:b/>
          <w:sz w:val="48"/>
          <w:szCs w:val="48"/>
          <w:lang w:val="en-US"/>
        </w:rPr>
        <w:t>项目</w:t>
      </w:r>
      <w:r>
        <w:rPr>
          <w:rFonts w:hint="eastAsia" w:ascii="宋体" w:hAnsi="宋体" w:cs="宋体"/>
          <w:b/>
          <w:sz w:val="52"/>
          <w:szCs w:val="52"/>
        </w:rPr>
        <w:t>竞争性磋商文件</w:t>
      </w:r>
    </w:p>
    <w:p>
      <w:pPr>
        <w:pStyle w:val="8"/>
        <w:rPr>
          <w:rFonts w:hint="eastAsia"/>
          <w:lang w:eastAsia="zh-CN"/>
        </w:rPr>
      </w:pPr>
    </w:p>
    <w:p>
      <w:pPr>
        <w:pStyle w:val="7"/>
        <w:ind w:firstLine="1606" w:firstLineChars="500"/>
        <w:jc w:val="both"/>
        <w:rPr>
          <w:rFonts w:cs="宋体"/>
          <w:b/>
          <w:sz w:val="48"/>
          <w:szCs w:val="48"/>
        </w:rPr>
      </w:pPr>
      <w:r>
        <w:rPr>
          <w:rFonts w:hint="eastAsia" w:cs="宋体"/>
          <w:b/>
          <w:sz w:val="32"/>
          <w:szCs w:val="32"/>
        </w:rPr>
        <w:t xml:space="preserve">项目编号：KSBCX(CS) </w:t>
      </w:r>
      <w:r>
        <w:rPr>
          <w:rFonts w:hint="eastAsia" w:cs="宋体"/>
          <w:b/>
          <w:color w:val="auto"/>
          <w:sz w:val="32"/>
          <w:szCs w:val="32"/>
          <w:highlight w:val="none"/>
        </w:rPr>
        <w:t>2021-</w:t>
      </w:r>
      <w:r>
        <w:rPr>
          <w:rFonts w:hint="eastAsia" w:cs="宋体"/>
          <w:b/>
          <w:color w:val="auto"/>
          <w:sz w:val="32"/>
          <w:szCs w:val="32"/>
          <w:highlight w:val="none"/>
          <w:lang w:val="en-US" w:eastAsia="zh-CN"/>
        </w:rPr>
        <w:t>16</w:t>
      </w:r>
      <w:r>
        <w:rPr>
          <w:rFonts w:hint="eastAsia" w:cs="宋体"/>
          <w:b/>
          <w:sz w:val="32"/>
          <w:szCs w:val="32"/>
        </w:rPr>
        <w:t>号</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hint="default" w:ascii="宋体" w:hAnsi="宋体" w:eastAsia="宋体" w:cs="宋体"/>
          <w:b/>
          <w:bCs/>
          <w:kern w:val="0"/>
          <w:sz w:val="28"/>
          <w:szCs w:val="28"/>
          <w:lang w:val="en-US" w:eastAsia="zh-CN"/>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rPr>
        <w:t>巴楚县</w:t>
      </w:r>
      <w:r>
        <w:rPr>
          <w:rFonts w:hint="eastAsia" w:ascii="宋体" w:hAnsi="宋体" w:cs="宋体"/>
          <w:b/>
          <w:bCs/>
          <w:color w:val="000000"/>
          <w:kern w:val="0"/>
          <w:sz w:val="28"/>
          <w:szCs w:val="28"/>
          <w:u w:val="single"/>
          <w:lang w:val="en-US" w:eastAsia="zh-CN"/>
        </w:rPr>
        <w:t>阿纳库勒乡锦绣社区</w:t>
      </w:r>
    </w:p>
    <w:p>
      <w:pPr>
        <w:ind w:firstLine="843" w:firstLineChars="300"/>
        <w:rPr>
          <w:rFonts w:hint="default" w:ascii="宋体" w:hAnsi="宋体" w:eastAsia="宋体" w:cs="宋体"/>
          <w:b/>
          <w:bCs/>
          <w:kern w:val="0"/>
          <w:sz w:val="28"/>
          <w:szCs w:val="28"/>
          <w:highlight w:val="none"/>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highlight w:val="none"/>
          <w:lang w:val="en-US" w:eastAsia="zh-CN"/>
        </w:rPr>
        <w:t>赵祖钰</w:t>
      </w:r>
    </w:p>
    <w:p>
      <w:pPr>
        <w:ind w:firstLine="843" w:firstLineChars="300"/>
        <w:rPr>
          <w:highlight w:val="none"/>
        </w:rPr>
      </w:pPr>
      <w:r>
        <w:rPr>
          <w:rFonts w:hint="eastAsia" w:ascii="宋体" w:hAnsi="宋体" w:cs="宋体"/>
          <w:b/>
          <w:bCs/>
          <w:kern w:val="0"/>
          <w:sz w:val="28"/>
          <w:szCs w:val="28"/>
          <w:highlight w:val="none"/>
        </w:rPr>
        <w:t>联系电话：</w:t>
      </w:r>
      <w:r>
        <w:rPr>
          <w:rFonts w:hint="eastAsia" w:ascii="宋体" w:hAnsi="宋体" w:cs="宋体"/>
          <w:b/>
          <w:bCs/>
          <w:color w:val="000000"/>
          <w:kern w:val="0"/>
          <w:sz w:val="28"/>
          <w:szCs w:val="28"/>
          <w:highlight w:val="none"/>
          <w:u w:val="single"/>
          <w:lang w:val="en-US" w:eastAsia="zh-CN"/>
        </w:rPr>
        <w:t>19999285908</w:t>
      </w:r>
    </w:p>
    <w:p>
      <w:pPr>
        <w:autoSpaceDE w:val="0"/>
        <w:autoSpaceDN w:val="0"/>
        <w:spacing w:line="600" w:lineRule="exact"/>
        <w:ind w:firstLine="843" w:firstLineChars="300"/>
        <w:rPr>
          <w:rFonts w:hint="default" w:ascii="宋体" w:hAnsi="宋体" w:eastAsia="宋体" w:cs="宋体"/>
          <w:b/>
          <w:bCs/>
          <w:kern w:val="0"/>
          <w:sz w:val="28"/>
          <w:szCs w:val="28"/>
          <w:u w:val="single"/>
          <w:lang w:val="en-US" w:eastAsia="zh-CN"/>
        </w:rPr>
      </w:pPr>
    </w:p>
    <w:p>
      <w:pPr>
        <w:autoSpaceDE w:val="0"/>
        <w:autoSpaceDN w:val="0"/>
        <w:spacing w:line="600" w:lineRule="exact"/>
        <w:ind w:firstLine="1124" w:firstLineChars="400"/>
        <w:rPr>
          <w:rFonts w:ascii="宋体" w:hAnsi="宋体" w:cs="宋体"/>
          <w:b/>
          <w:bCs/>
          <w:color w:val="000000"/>
          <w:kern w:val="0"/>
          <w:sz w:val="28"/>
          <w:szCs w:val="28"/>
        </w:rPr>
      </w:pP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3" w:firstLineChars="300"/>
        <w:rPr>
          <w:rFonts w:ascii="宋体" w:hAnsi="宋体" w:cs="宋体"/>
          <w:b/>
          <w:bCs/>
          <w:sz w:val="28"/>
          <w:szCs w:val="28"/>
          <w:u w:val="single"/>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0998-6210619</w:t>
      </w:r>
    </w:p>
    <w:p>
      <w:pPr>
        <w:autoSpaceDE w:val="0"/>
        <w:autoSpaceDN w:val="0"/>
        <w:adjustRightInd w:val="0"/>
        <w:spacing w:line="480" w:lineRule="auto"/>
        <w:rPr>
          <w:rFonts w:ascii="宋体" w:cs="宋体"/>
          <w:b/>
          <w:color w:val="000000"/>
          <w:kern w:val="0"/>
          <w:sz w:val="30"/>
          <w:szCs w:val="30"/>
        </w:rPr>
      </w:pPr>
    </w:p>
    <w:p>
      <w:pPr>
        <w:ind w:firstLine="2409" w:firstLineChars="800"/>
        <w:rPr>
          <w:rFonts w:ascii="微软雅黑 Light" w:hAnsi="微软雅黑 Light" w:eastAsia="微软雅黑 Light" w:cs="微软雅黑 Light"/>
          <w:bCs/>
          <w:sz w:val="36"/>
          <w:szCs w:val="36"/>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rPr>
        <w:t>日期：</w:t>
      </w:r>
      <w:r>
        <w:rPr>
          <w:rFonts w:hint="eastAsia" w:ascii="宋体" w:cs="宋体"/>
          <w:b/>
          <w:bCs/>
          <w:color w:val="000000"/>
          <w:kern w:val="0"/>
          <w:sz w:val="30"/>
          <w:szCs w:val="30"/>
          <w:u w:val="single"/>
        </w:rPr>
        <w:t>2021年</w:t>
      </w:r>
      <w:r>
        <w:rPr>
          <w:rFonts w:hint="eastAsia" w:ascii="宋体" w:cs="宋体"/>
          <w:b/>
          <w:bCs/>
          <w:color w:val="000000"/>
          <w:kern w:val="0"/>
          <w:sz w:val="30"/>
          <w:szCs w:val="30"/>
          <w:u w:val="single"/>
          <w:lang w:val="en-US" w:eastAsia="zh-CN"/>
        </w:rPr>
        <w:t>10</w:t>
      </w:r>
      <w:r>
        <w:rPr>
          <w:rFonts w:hint="eastAsia" w:ascii="宋体" w:cs="宋体"/>
          <w:b/>
          <w:bCs/>
          <w:color w:val="000000"/>
          <w:kern w:val="0"/>
          <w:sz w:val="30"/>
          <w:szCs w:val="30"/>
          <w:u w:val="single"/>
        </w:rPr>
        <w:t>月</w:t>
      </w:r>
      <w:r>
        <w:rPr>
          <w:rFonts w:hint="eastAsia" w:ascii="宋体" w:cs="宋体"/>
          <w:b/>
          <w:bCs/>
          <w:color w:val="000000"/>
          <w:kern w:val="0"/>
          <w:sz w:val="30"/>
          <w:szCs w:val="30"/>
          <w:u w:val="single"/>
          <w:lang w:val="en-US" w:eastAsia="zh-CN"/>
        </w:rPr>
        <w:t>18</w:t>
      </w:r>
      <w:r>
        <w:rPr>
          <w:rFonts w:hint="eastAsia" w:ascii="宋体" w:cs="宋体"/>
          <w:b/>
          <w:bCs/>
          <w:color w:val="000000"/>
          <w:kern w:val="0"/>
          <w:sz w:val="30"/>
          <w:szCs w:val="30"/>
          <w:u w:val="single"/>
        </w:rPr>
        <w:t>日</w:t>
      </w:r>
    </w:p>
    <w:p>
      <w:pPr>
        <w:pStyle w:val="14"/>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14"/>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b/>
        </w:rPr>
        <w:t>错误！未定义书签。</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b/>
        </w:rPr>
        <w:t>错误！未定义书签。</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16197"/>
      <w:bookmarkStart w:id="3" w:name="_Toc518923059"/>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rPr>
      </w:pPr>
      <w:bookmarkStart w:id="4" w:name="_Toc216582805"/>
      <w:bookmarkStart w:id="5" w:name="_Toc520356143"/>
      <w:bookmarkStart w:id="6" w:name="_Toc518923060"/>
      <w:bookmarkStart w:id="7" w:name="_Toc9485"/>
      <w:bookmarkStart w:id="8" w:name="_Toc29867"/>
      <w:bookmarkStart w:id="9" w:name="_Toc25430_WPSOffice_Level1"/>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518923061"/>
      <w:bookmarkStart w:id="11" w:name="_Toc12013"/>
      <w:bookmarkStart w:id="12" w:name="_Toc4676_WPSOffice_Level2"/>
      <w:bookmarkStart w:id="13" w:name="_Toc16905_WPSOffice_Level2"/>
      <w:bookmarkStart w:id="14" w:name="_Toc520356144"/>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1"/>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1"/>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1"/>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518923062"/>
      <w:bookmarkStart w:id="16" w:name="_Toc2643"/>
      <w:bookmarkStart w:id="17" w:name="_Toc11482_WPSOffice_Level2"/>
      <w:bookmarkStart w:id="18" w:name="_Toc11813_WPSOffice_Level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8601_WPSOffice_Level2"/>
      <w:bookmarkStart w:id="20" w:name="_Toc8946_WPSOffice_Level2"/>
      <w:bookmarkStart w:id="21" w:name="_Toc518923063"/>
      <w:bookmarkStart w:id="22" w:name="_Toc28166"/>
      <w:bookmarkStart w:id="23" w:name="_Toc520356145"/>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518923064"/>
      <w:bookmarkStart w:id="25" w:name="_Toc32365"/>
      <w:bookmarkStart w:id="26" w:name="_Toc8368_WPSOffice_Level2"/>
      <w:bookmarkStart w:id="27" w:name="_Toc1523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28" w:name="_Toc809"/>
      <w:bookmarkStart w:id="29" w:name="_Toc520356146"/>
      <w:bookmarkStart w:id="30" w:name="_Toc216582806"/>
      <w:bookmarkStart w:id="31" w:name="_Toc518923065"/>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22990"/>
      <w:bookmarkStart w:id="35" w:name="_Toc520356147"/>
      <w:bookmarkStart w:id="36" w:name="_Toc15218_WPSOffice_Level2"/>
      <w:bookmarkStart w:id="37" w:name="_Toc518923066"/>
      <w:bookmarkStart w:id="38" w:name="_Toc15303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2"/>
        </w:numPr>
        <w:tabs>
          <w:tab w:val="left" w:pos="0"/>
        </w:tabs>
        <w:spacing w:line="400" w:lineRule="exact"/>
        <w:ind w:left="993" w:firstLine="0"/>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29081_WPSOffice_Level2"/>
      <w:bookmarkStart w:id="41" w:name="_Toc21314"/>
      <w:bookmarkStart w:id="42" w:name="_Toc518923067"/>
      <w:bookmarkStart w:id="43" w:name="_Toc90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9694_WPSOffice_Level2"/>
      <w:bookmarkStart w:id="47" w:name="_Toc518923068"/>
      <w:bookmarkStart w:id="48" w:name="_Toc31699_WPSOffice_Level2"/>
      <w:bookmarkStart w:id="49" w:name="_Toc10994"/>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520356150"/>
      <w:bookmarkStart w:id="52" w:name="_Toc518923069"/>
      <w:bookmarkStart w:id="53" w:name="_Toc26563"/>
      <w:bookmarkStart w:id="54" w:name="_Toc216582807"/>
      <w:bookmarkStart w:id="55" w:name="_Toc4436_WPSOffice_Level1"/>
      <w:bookmarkStart w:id="56" w:name="_Toc25389"/>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20686_WPSOffice_Level2"/>
      <w:bookmarkStart w:id="58" w:name="_Toc520356151"/>
      <w:bookmarkStart w:id="59" w:name="_Toc13590_WPSOffice_Level2"/>
      <w:bookmarkStart w:id="60" w:name="_Toc6728"/>
      <w:bookmarkStart w:id="61" w:name="_Toc518923070"/>
      <w:bookmarkStart w:id="62" w:name="_Toc51636702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Toc516367022"/>
      <w:bookmarkStart w:id="64" w:name="_Ref467306676"/>
      <w:bookmarkStart w:id="65" w:name="_Ref467306195"/>
      <w:bookmarkStart w:id="66" w:name="_Toc15487"/>
      <w:bookmarkStart w:id="67" w:name="_Toc520356152"/>
      <w:bookmarkStart w:id="68" w:name="_Toc518923071"/>
      <w:bookmarkStart w:id="69" w:name="_Toc31935_WPSOffice_Level2"/>
      <w:bookmarkStart w:id="70" w:name="_Toc28579_WPSOffice_Level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10751_WPSOffice_Level2"/>
      <w:bookmarkStart w:id="73" w:name="_Toc5768_WPSOffice_Level2"/>
      <w:bookmarkStart w:id="74" w:name="_Toc2671"/>
      <w:bookmarkStart w:id="75" w:name="_Toc508185920"/>
      <w:bookmarkStart w:id="76" w:name="_Toc520356153"/>
      <w:bookmarkStart w:id="77" w:name="_Toc516367023"/>
      <w:bookmarkStart w:id="78" w:name="_Toc518923072"/>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8529"/>
      <w:bookmarkStart w:id="82" w:name="_Toc518923073"/>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Ref467306513"/>
      <w:bookmarkStart w:id="86" w:name="_Toc520356156"/>
      <w:bookmarkStart w:id="87" w:name="_Toc518923074"/>
      <w:bookmarkStart w:id="88" w:name="_Toc16199"/>
      <w:bookmarkStart w:id="89" w:name="_Toc25748_WPSOffice_Level2"/>
      <w:bookmarkStart w:id="90" w:name="_Toc24125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520356157"/>
      <w:bookmarkStart w:id="95" w:name="_Toc20355"/>
      <w:bookmarkStart w:id="96" w:name="_Toc518923076"/>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13034_WPSOffice_Level2"/>
      <w:bookmarkStart w:id="101" w:name="_Toc518923077"/>
      <w:bookmarkStart w:id="102" w:name="_Toc31308_WPSOffice_Level2"/>
      <w:bookmarkStart w:id="103" w:name="_Toc27303"/>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4" w:name="_Toc216582808"/>
      <w:bookmarkStart w:id="105" w:name="_Toc518923078"/>
      <w:bookmarkStart w:id="106" w:name="_Toc22303"/>
      <w:bookmarkStart w:id="107" w:name="_Toc9633"/>
      <w:bookmarkStart w:id="108" w:name="_Toc30674_WPSOffice_Level1"/>
      <w:bookmarkStart w:id="109" w:name="_Toc520356159"/>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520356160"/>
      <w:bookmarkStart w:id="111" w:name="_Toc24004_WPSOffice_Level2"/>
      <w:bookmarkStart w:id="112" w:name="_Toc22654_WPSOffice_Level2"/>
      <w:bookmarkStart w:id="113" w:name="_Toc518923079"/>
      <w:bookmarkStart w:id="114" w:name="_Toc13247"/>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518923080"/>
      <w:bookmarkStart w:id="116" w:name="_Toc14358_WPSOffice_Level2"/>
      <w:bookmarkStart w:id="117" w:name="_Toc520356161"/>
      <w:bookmarkStart w:id="118" w:name="_Toc178_WPSOffice_Level2"/>
      <w:bookmarkStart w:id="119" w:name="_Toc25787"/>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17985_WPSOffice_Level2"/>
      <w:bookmarkStart w:id="121" w:name="_Toc518923081"/>
      <w:bookmarkStart w:id="122" w:name="_Toc26522_WPSOffice_Level2"/>
      <w:bookmarkStart w:id="123" w:name="_Toc13921"/>
      <w:bookmarkStart w:id="124" w:name="_Toc52035616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520356163"/>
      <w:bookmarkStart w:id="126" w:name="_Toc10257"/>
      <w:bookmarkStart w:id="127" w:name="_Toc216582809"/>
      <w:bookmarkStart w:id="128" w:name="_Toc518923082"/>
    </w:p>
    <w:p>
      <w:pPr>
        <w:pStyle w:val="4"/>
        <w:spacing w:before="0" w:line="400" w:lineRule="exact"/>
        <w:ind w:left="1079" w:leftChars="257" w:hanging="540"/>
        <w:rPr>
          <w:rFonts w:cs="宋体" w:asciiTheme="minorEastAsia" w:hAnsiTheme="minorEastAsia" w:eastAsiaTheme="minorEastAsia"/>
        </w:rPr>
      </w:pPr>
      <w:bookmarkStart w:id="129" w:name="_Toc6601_WPSOffice_Level1"/>
      <w:bookmarkStart w:id="130" w:name="_Toc5445"/>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520356164"/>
      <w:bookmarkStart w:id="132" w:name="_Toc518923083"/>
      <w:bookmarkStart w:id="133" w:name="_Toc8653"/>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21320_WPSOffice_Level2"/>
      <w:bookmarkStart w:id="138" w:name="_Toc4350_WPSOffice_Level2"/>
      <w:bookmarkStart w:id="139" w:name="_Toc518923084"/>
      <w:bookmarkStart w:id="140" w:name="_Toc34"/>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6842"/>
      <w:bookmarkStart w:id="143" w:name="_Toc17843_WPSOffice_Level2"/>
      <w:bookmarkStart w:id="144" w:name="_Toc518923085"/>
      <w:bookmarkStart w:id="145" w:name="_Toc31689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6346_WPSOffice_Level2"/>
      <w:bookmarkStart w:id="149" w:name="_Toc26452_WPSOffice_Level2"/>
      <w:bookmarkStart w:id="150" w:name="_Toc8603"/>
      <w:bookmarkStart w:id="151" w:name="_Toc518923086"/>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847" w:leftChars="99" w:hanging="640" w:hangingChars="267"/>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25255"/>
      <w:bookmarkStart w:id="153" w:name="_Toc518923087"/>
      <w:bookmarkStart w:id="154" w:name="_Toc25236_WPSOffice_Level2"/>
      <w:bookmarkStart w:id="155" w:name="_Toc11645_WPSOffice_Level2"/>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3"/>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518923088"/>
      <w:bookmarkStart w:id="157" w:name="_Toc14330_WPSOffice_Level2"/>
      <w:bookmarkStart w:id="158" w:name="_Toc20835"/>
      <w:bookmarkStart w:id="159" w:name="_Toc22743_WPSOffice_Level2"/>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1"/>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1"/>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1"/>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1、价格因素：</w:t>
      </w:r>
      <w:r>
        <w:rPr>
          <w:rFonts w:hint="eastAsia" w:cs="宋体" w:asciiTheme="minorEastAsia" w:hAnsiTheme="minorEastAsia" w:eastAsiaTheme="minorEastAsia"/>
          <w:sz w:val="24"/>
          <w:highlight w:val="none"/>
          <w:lang w:val="en-US" w:eastAsia="zh-CN"/>
        </w:rPr>
        <w:t>40</w:t>
      </w:r>
      <w:r>
        <w:rPr>
          <w:rFonts w:hint="eastAsia" w:cs="宋体" w:asciiTheme="minorEastAsia" w:hAnsiTheme="minorEastAsia" w:eastAsiaTheme="minorEastAsia"/>
          <w:sz w:val="24"/>
          <w:highlight w:val="none"/>
        </w:rPr>
        <w:t>分（</w:t>
      </w:r>
      <w:r>
        <w:rPr>
          <w:rFonts w:hint="eastAsia" w:ascii="宋体" w:hAnsi="宋体" w:cs="宋体"/>
          <w:kern w:val="0"/>
          <w:sz w:val="24"/>
          <w:szCs w:val="20"/>
          <w:highlight w:val="none"/>
        </w:rPr>
        <w:t>综合评分法中的价格分统一采用低价优先法计算，即满足招标文件要求且投标价格最低的投标报价为评标基准价，</w:t>
      </w:r>
      <w:r>
        <w:rPr>
          <w:rFonts w:hint="eastAsia"/>
          <w:sz w:val="22"/>
          <w:szCs w:val="22"/>
          <w:highlight w:val="none"/>
        </w:rPr>
        <w:t>其价格分为满分</w:t>
      </w:r>
      <w:r>
        <w:rPr>
          <w:rFonts w:hint="eastAsia"/>
          <w:sz w:val="22"/>
          <w:szCs w:val="22"/>
          <w:highlight w:val="none"/>
          <w:lang w:val="en-US" w:eastAsia="zh-CN"/>
        </w:rPr>
        <w:t>40</w:t>
      </w:r>
      <w:r>
        <w:rPr>
          <w:rFonts w:hint="eastAsia"/>
          <w:sz w:val="22"/>
          <w:szCs w:val="22"/>
          <w:highlight w:val="none"/>
        </w:rPr>
        <w:t>分，其投标报价得分=(评标基准价／投标报价)×价格权值×100</w:t>
      </w:r>
      <w:r>
        <w:rPr>
          <w:rFonts w:hint="eastAsia" w:cs="宋体" w:asciiTheme="minorEastAsia" w:hAnsiTheme="minorEastAsia" w:eastAsiaTheme="minorEastAsia"/>
          <w:sz w:val="24"/>
          <w:highlight w:val="none"/>
        </w:rPr>
        <w:t>）</w:t>
      </w:r>
    </w:p>
    <w:p>
      <w:pPr>
        <w:pStyle w:val="11"/>
        <w:spacing w:line="400" w:lineRule="exact"/>
        <w:ind w:left="718" w:leftChars="342" w:firstLine="240" w:firstLineChars="1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2、商务因素及技术因素：</w:t>
      </w:r>
      <w:r>
        <w:rPr>
          <w:rFonts w:hint="eastAsia" w:cs="宋体" w:asciiTheme="minorEastAsia" w:hAnsiTheme="minorEastAsia" w:eastAsiaTheme="minorEastAsia"/>
          <w:sz w:val="24"/>
          <w:szCs w:val="24"/>
          <w:highlight w:val="none"/>
          <w:lang w:val="en-US" w:eastAsia="zh-CN"/>
        </w:rPr>
        <w:t>60</w:t>
      </w:r>
      <w:r>
        <w:rPr>
          <w:rFonts w:hint="eastAsia" w:cs="宋体" w:asciiTheme="minorEastAsia" w:hAnsiTheme="minorEastAsia" w:eastAsiaTheme="minorEastAsia"/>
          <w:sz w:val="24"/>
          <w:szCs w:val="24"/>
          <w:highlight w:val="none"/>
        </w:rPr>
        <w:t>分</w:t>
      </w:r>
    </w:p>
    <w:p>
      <w:pPr>
        <w:pStyle w:val="11"/>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1"/>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rPr>
        <w:t>23.4</w:t>
      </w:r>
      <w:r>
        <w:rPr>
          <w:rFonts w:hint="eastAsia" w:cs="宋体" w:asciiTheme="minorEastAsia" w:hAnsiTheme="minorEastAsia" w:eastAsiaTheme="minorEastAsia"/>
          <w:sz w:val="24"/>
          <w:szCs w:val="24"/>
          <w:highlight w:val="none"/>
        </w:rPr>
        <w:t xml:space="preserve">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5823"/>
      <w:bookmarkStart w:id="163" w:name="_Toc21686_WPSOffice_Level2"/>
      <w:bookmarkStart w:id="164" w:name="_Toc518923089"/>
      <w:bookmarkStart w:id="165" w:name="_Toc27560_WPSOffice_Level2"/>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518923090"/>
      <w:bookmarkStart w:id="167" w:name="_Toc4205_WPSOffice_Level2"/>
      <w:bookmarkStart w:id="168" w:name="_Toc16649_WPSOffice_Level2"/>
      <w:bookmarkStart w:id="169" w:name="_Toc23660"/>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518923091"/>
      <w:bookmarkStart w:id="172" w:name="_Toc10964"/>
      <w:bookmarkStart w:id="173" w:name="_Toc216582810"/>
      <w:bookmarkStart w:id="174" w:name="_Toc4193_WPSOffice_Level1"/>
      <w:bookmarkStart w:id="175" w:name="_Toc15697"/>
    </w:p>
    <w:p>
      <w:pPr>
        <w:pStyle w:val="2"/>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518923092"/>
      <w:bookmarkStart w:id="177" w:name="_Toc520356170"/>
      <w:bookmarkStart w:id="178" w:name="_Toc32578"/>
      <w:bookmarkStart w:id="179" w:name="_Toc31921_WPSOffice_Level2"/>
      <w:bookmarkStart w:id="180" w:name="_Ref467307010"/>
      <w:bookmarkStart w:id="181" w:name="_Toc4749_WPSOffice_Level2"/>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518923093"/>
      <w:bookmarkStart w:id="184" w:name="_Toc10555"/>
      <w:bookmarkStart w:id="185" w:name="_Toc3689_WPSOffice_Level2"/>
      <w:bookmarkStart w:id="186" w:name="_Toc2420_WPSOffice_Level2"/>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Ref467306874"/>
      <w:bookmarkStart w:id="188" w:name="_Toc520356173"/>
      <w:bookmarkStart w:id="189" w:name="_Toc17138"/>
      <w:bookmarkStart w:id="190" w:name="_Toc620_WPSOffice_Level2"/>
      <w:bookmarkStart w:id="191" w:name="_Toc518923094"/>
      <w:bookmarkStart w:id="192" w:name="_Toc17336_WPSOffice_Level2"/>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18072"/>
      <w:bookmarkStart w:id="195" w:name="_Toc22810_WPSOffice_Level2"/>
      <w:bookmarkStart w:id="196" w:name="_Toc518923095"/>
      <w:bookmarkStart w:id="197" w:name="_Toc7273_WPSOffice_Level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Ref467307062"/>
      <w:bookmarkStart w:id="199" w:name="_Toc9717_WPSOffice_Level2"/>
      <w:bookmarkStart w:id="200" w:name="_Toc518923096"/>
      <w:bookmarkStart w:id="201" w:name="_Ref467306978"/>
      <w:bookmarkStart w:id="202" w:name="_Toc16952"/>
      <w:bookmarkStart w:id="203" w:name="_Ref467306377"/>
      <w:bookmarkStart w:id="204" w:name="_Ref467307204"/>
      <w:bookmarkStart w:id="205" w:name="_Toc23285_WPSOffice_Level2"/>
      <w:bookmarkStart w:id="206" w:name="_Toc520356175"/>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Toc520356176"/>
      <w:bookmarkStart w:id="208" w:name="_Ref467307090"/>
      <w:bookmarkStart w:id="209"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10642_WPSOffice_Level2"/>
      <w:bookmarkStart w:id="211" w:name="_Toc518923097"/>
      <w:bookmarkStart w:id="212" w:name="_Toc4302"/>
      <w:bookmarkStart w:id="213" w:name="_Toc4147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518923098"/>
      <w:bookmarkStart w:id="215" w:name="_Toc8476"/>
      <w:bookmarkStart w:id="216" w:name="_Toc21635_WPSOffice_Level2"/>
      <w:bookmarkStart w:id="217" w:name="_Toc12960_WPSOffice_Level2"/>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518923099"/>
      <w:bookmarkStart w:id="219" w:name="_Toc30567_WPSOffice_Level2"/>
      <w:bookmarkStart w:id="220" w:name="_Toc9330_WPSOffice_Level2"/>
      <w:bookmarkStart w:id="221" w:name="_Toc31411"/>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5233_WPSOffice_Level2"/>
      <w:bookmarkStart w:id="223" w:name="_Toc9469_WPSOffice_Level2"/>
      <w:bookmarkStart w:id="224" w:name="_Toc518923100"/>
      <w:bookmarkStart w:id="225" w:name="_Toc4701"/>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518923101"/>
      <w:bookmarkStart w:id="227" w:name="_Toc21055"/>
      <w:bookmarkStart w:id="228" w:name="_Toc27811_WPSOffice_Level2"/>
      <w:bookmarkStart w:id="229" w:name="_Toc27272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22"/>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22"/>
        <w:rPr>
          <w:rFonts w:asciiTheme="minorEastAsia" w:hAnsiTheme="minorEastAsia" w:eastAsiaTheme="minorEastAsia"/>
        </w:rPr>
      </w:pPr>
      <w:r>
        <w:rPr>
          <w:rFonts w:hint="eastAsia" w:asciiTheme="minorEastAsia" w:hAnsiTheme="minorEastAsia" w:eastAsiaTheme="minorEastAsia"/>
        </w:rPr>
        <w:t>（一）质疑人的姓名或者名称；</w:t>
      </w:r>
    </w:p>
    <w:p>
      <w:pPr>
        <w:pStyle w:val="22"/>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22"/>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22"/>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22"/>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2084_WPSOffice_Level1"/>
      <w:bookmarkStart w:id="231" w:name="_Toc3584_WPSOffice_Level1"/>
      <w:bookmarkStart w:id="232" w:name="_Toc23883"/>
      <w:bookmarkStart w:id="233" w:name="_Toc518923103"/>
      <w:bookmarkStart w:id="234" w:name="_Toc21504_WPSOffice_Level1"/>
      <w:bookmarkStart w:id="235" w:name="_Toc18483"/>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1"/>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1"/>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1"/>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1"/>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1"/>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1"/>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1"/>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1"/>
        <w:spacing w:line="240" w:lineRule="atLeast"/>
        <w:ind w:left="1079" w:leftChars="257" w:hanging="540"/>
        <w:rPr>
          <w:rFonts w:cs="宋体" w:asciiTheme="minorEastAsia" w:hAnsiTheme="minorEastAsia" w:eastAsiaTheme="minorEastAsia"/>
          <w:sz w:val="24"/>
        </w:rPr>
      </w:pP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1"/>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1"/>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518923104"/>
      <w:bookmarkStart w:id="237" w:name="_Toc10323_WPSOffice_Level1"/>
      <w:bookmarkStart w:id="238" w:name="_Toc391_WPSOffice_Level1"/>
      <w:bookmarkStart w:id="239" w:name="_Toc25500_WPSOffice_Level1"/>
      <w:bookmarkStart w:id="240" w:name="_Toc27788"/>
      <w:bookmarkStart w:id="241" w:name="_Toc9904"/>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rPr>
      </w:pPr>
      <w:bookmarkStart w:id="242" w:name="_Toc11516_WPSOffice_Level1"/>
      <w:bookmarkStart w:id="243" w:name="_Toc30995"/>
      <w:bookmarkStart w:id="244" w:name="_Toc20933_WPSOffice_Level1"/>
      <w:bookmarkStart w:id="245" w:name="_Toc13630"/>
      <w:bookmarkStart w:id="246" w:name="_Toc27405_WPSOffice_Level1"/>
      <w:bookmarkStart w:id="247" w:name="_Toc515904842"/>
      <w:bookmarkStart w:id="248" w:name="_Toc518923105"/>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0654_WPSOffice_Level1"/>
      <w:bookmarkStart w:id="250" w:name="_Toc11823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w:t>
      </w:r>
      <w:r>
        <w:rPr>
          <w:rFonts w:hint="eastAsia" w:cs="宋体" w:asciiTheme="minorEastAsia" w:hAnsiTheme="minorEastAsia" w:eastAsiaTheme="minorEastAsia"/>
          <w:sz w:val="24"/>
          <w:lang w:val="en-US" w:eastAsia="zh-CN"/>
        </w:rPr>
        <w:t>10</w:t>
      </w:r>
      <w:r>
        <w:rPr>
          <w:rFonts w:hint="eastAsia" w:cs="宋体" w:asciiTheme="minorEastAsia" w:hAnsiTheme="minorEastAsia" w:eastAsiaTheme="minorEastAsia"/>
          <w:sz w:val="24"/>
        </w:rPr>
        <w:t>%数额为元（大写），币种为。（即主合同履约保证金金额）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7886_WPSOffice_Level1"/>
      <w:bookmarkStart w:id="252" w:name="_Toc389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13180_WPSOffice_Level1"/>
      <w:bookmarkStart w:id="254" w:name="_Toc6638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14402_WPSOffice_Level1"/>
      <w:bookmarkStart w:id="256" w:name="_Toc32368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15921_WPSOffice_Level1"/>
      <w:bookmarkStart w:id="258" w:name="_Toc23917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2970_WPSOffice_Level1"/>
      <w:bookmarkStart w:id="260" w:name="_Toc6543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3482_WPSOffice_Level1"/>
      <w:bookmarkStart w:id="262" w:name="_Toc548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1808"/>
      <w:bookmarkStart w:id="264" w:name="_Toc518923106"/>
      <w:bookmarkStart w:id="265" w:name="_Toc22577_WPSOffice_Level1"/>
      <w:bookmarkStart w:id="266" w:name="_Toc216582812"/>
      <w:bookmarkStart w:id="267" w:name="_Toc6923"/>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268" w:name="_Toc27612"/>
      <w:bookmarkStart w:id="269" w:name="_Toc18694"/>
      <w:bookmarkStart w:id="270" w:name="_Toc6762_WPSOffice_Level2"/>
      <w:bookmarkStart w:id="271" w:name="_Toc18974"/>
      <w:bookmarkStart w:id="272" w:name="_Toc975"/>
      <w:bookmarkStart w:id="273" w:name="_Toc30069"/>
      <w:bookmarkStart w:id="274" w:name="_Toc515647803"/>
      <w:bookmarkStart w:id="275" w:name="_Toc25620_WPSOffice_Level2"/>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Toc520356217"/>
      <w:bookmarkStart w:id="279" w:name="_Ref467988698"/>
      <w:bookmarkStart w:id="280" w:name="_Toc480942349"/>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282" w:name="_Toc21614"/>
      <w:bookmarkStart w:id="283" w:name="_Toc16568"/>
      <w:bookmarkStart w:id="284" w:name="_Toc30524"/>
      <w:bookmarkStart w:id="285" w:name="_Toc11138"/>
      <w:bookmarkStart w:id="286" w:name="_Toc515647804"/>
      <w:bookmarkStart w:id="287" w:name="_Toc30630"/>
      <w:bookmarkStart w:id="288" w:name="_Toc3620"/>
      <w:bookmarkStart w:id="289" w:name="_Toc14118"/>
      <w:bookmarkStart w:id="290" w:name="_Toc16750"/>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1"/>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autoSpaceDE w:val="0"/>
        <w:autoSpaceDN w:val="0"/>
        <w:spacing w:line="360" w:lineRule="auto"/>
        <w:rPr>
          <w:rFonts w:ascii="仿宋" w:hAnsi="仿宋" w:eastAsia="仿宋" w:cs="仿宋"/>
          <w:sz w:val="28"/>
          <w:szCs w:val="28"/>
          <w:highlight w:val="yellow"/>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巴楚县锦绣社区就业服务中心改造项目</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磋商文件编号：KSBCX(CS) 2021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rPr>
        <w:t>号</w:t>
      </w:r>
    </w:p>
    <w:tbl>
      <w:tblPr>
        <w:tblStyle w:val="18"/>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巴楚县锦绣社区就业服务中心改造项目</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u w:val="single"/>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1"/>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1"/>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1"/>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int="eastAsia"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left="1079" w:leftChars="257" w:hanging="54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巴楚县锦绣社区就业服务中心改造项目</w:t>
      </w:r>
      <w:r>
        <w:rPr>
          <w:rFonts w:hint="eastAsia" w:ascii="仿宋" w:hAnsi="仿宋" w:eastAsia="仿宋" w:cs="仿宋"/>
          <w:sz w:val="28"/>
          <w:szCs w:val="28"/>
        </w:rPr>
        <w:t>　</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　</w:t>
      </w:r>
    </w:p>
    <w:p>
      <w:pPr>
        <w:tabs>
          <w:tab w:val="left" w:pos="1800"/>
          <w:tab w:val="left" w:pos="5580"/>
        </w:tabs>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磋商文件编号：KSBCX(CS) 2021-</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号</w:t>
      </w:r>
    </w:p>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2"/>
        <w:rPr>
          <w:rFonts w:ascii="仿宋" w:hAnsi="仿宋" w:eastAsia="仿宋" w:cs="仿宋"/>
          <w:sz w:val="28"/>
          <w:szCs w:val="28"/>
        </w:rPr>
      </w:pPr>
    </w:p>
    <w:tbl>
      <w:tblPr>
        <w:tblStyle w:val="18"/>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巴楚县锦绣社区就业服务中心改造项目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1"/>
        <w:tabs>
          <w:tab w:val="left" w:pos="5580"/>
        </w:tabs>
        <w:spacing w:line="240" w:lineRule="atLeast"/>
        <w:ind w:left="1079" w:leftChars="257" w:hanging="540"/>
        <w:rPr>
          <w:rFonts w:cs="宋体" w:asciiTheme="minorEastAsia" w:hAnsiTheme="minorEastAsia" w:eastAsiaTheme="minorEastAsia"/>
          <w:sz w:val="24"/>
          <w:u w:val="single"/>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1"/>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1"/>
        <w:tabs>
          <w:tab w:val="left" w:pos="5580"/>
        </w:tabs>
        <w:spacing w:line="240" w:lineRule="atLeast"/>
        <w:ind w:left="741" w:leftChars="353"/>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1"/>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1"/>
        <w:tabs>
          <w:tab w:val="left" w:pos="5580"/>
        </w:tabs>
        <w:spacing w:line="240" w:lineRule="atLeast"/>
        <w:ind w:left="1079" w:leftChars="257" w:hanging="540"/>
        <w:jc w:val="center"/>
        <w:rPr>
          <w:rFonts w:hAnsi="宋体" w:cs="宋体"/>
          <w:b/>
          <w:sz w:val="24"/>
        </w:rPr>
      </w:pPr>
    </w:p>
    <w:p>
      <w:pPr>
        <w:pStyle w:val="11"/>
        <w:tabs>
          <w:tab w:val="left" w:pos="5580"/>
        </w:tabs>
        <w:spacing w:line="240" w:lineRule="atLeast"/>
        <w:ind w:left="1079" w:leftChars="257" w:hanging="540"/>
        <w:rPr>
          <w:rFonts w:hAnsi="宋体" w:cs="宋体"/>
          <w:b/>
          <w:sz w:val="24"/>
        </w:rPr>
      </w:pPr>
    </w:p>
    <w:p>
      <w:pPr>
        <w:pStyle w:val="11"/>
        <w:tabs>
          <w:tab w:val="left" w:pos="5580"/>
        </w:tabs>
        <w:spacing w:line="240" w:lineRule="atLeast"/>
        <w:ind w:left="1079" w:leftChars="257" w:hanging="540"/>
        <w:rPr>
          <w:rFonts w:hAnsi="宋体" w:cs="宋体"/>
          <w:b/>
          <w:sz w:val="24"/>
        </w:rPr>
      </w:pPr>
    </w:p>
    <w:p>
      <w:pPr>
        <w:pStyle w:val="11"/>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16184"/>
      <w:bookmarkStart w:id="294" w:name="_Toc28979"/>
      <w:bookmarkStart w:id="295" w:name="_Toc32302"/>
      <w:bookmarkStart w:id="296" w:name="_Toc1957"/>
      <w:bookmarkStart w:id="297" w:name="_Toc29899"/>
      <w:bookmarkStart w:id="298" w:name="_Toc3087"/>
      <w:bookmarkStart w:id="299" w:name="_Toc17577"/>
      <w:bookmarkStart w:id="300" w:name="_Toc6475"/>
      <w:bookmarkStart w:id="301" w:name="_Toc515647805"/>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1"/>
        <w:tabs>
          <w:tab w:val="left" w:pos="5580"/>
        </w:tabs>
        <w:rPr>
          <w:rFonts w:cs="宋体" w:asciiTheme="minorEastAsia" w:hAnsiTheme="minorEastAsia" w:eastAsiaTheme="minorEastAsia"/>
          <w:sz w:val="24"/>
        </w:rPr>
      </w:pPr>
    </w:p>
    <w:p>
      <w:pPr>
        <w:pStyle w:val="11"/>
        <w:tabs>
          <w:tab w:val="left" w:pos="5580"/>
        </w:tabs>
        <w:rPr>
          <w:rFonts w:cs="宋体" w:asciiTheme="minorEastAsia" w:hAnsiTheme="minorEastAsia" w:eastAsiaTheme="minorEastAsia"/>
          <w:sz w:val="24"/>
        </w:rPr>
      </w:pPr>
    </w:p>
    <w:p>
      <w:pPr>
        <w:pStyle w:val="11"/>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1"/>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1"/>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1"/>
        <w:tabs>
          <w:tab w:val="left" w:pos="5580"/>
        </w:tabs>
        <w:spacing w:line="240" w:lineRule="atLeast"/>
        <w:rPr>
          <w:rFonts w:cs="宋体" w:asciiTheme="minorEastAsia" w:hAnsiTheme="minorEastAsia" w:eastAsiaTheme="minorEastAsia"/>
          <w:sz w:val="24"/>
        </w:rPr>
      </w:pPr>
      <w:bookmarkStart w:id="302" w:name="_Toc7039"/>
      <w:bookmarkStart w:id="303" w:name="_Toc515647808"/>
      <w:bookmarkStart w:id="304" w:name="_Toc32520"/>
    </w:p>
    <w:p>
      <w:pPr>
        <w:pStyle w:val="11"/>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05" w:name="_Toc13107"/>
      <w:bookmarkStart w:id="306" w:name="_Toc1083"/>
      <w:bookmarkStart w:id="307" w:name="_Toc6829"/>
      <w:bookmarkStart w:id="308" w:name="_Toc21867"/>
      <w:bookmarkStart w:id="309" w:name="_Toc16640"/>
      <w:bookmarkStart w:id="310" w:name="_Toc22472"/>
      <w:bookmarkStart w:id="311" w:name="_Toc515647807"/>
      <w:bookmarkStart w:id="312" w:name="_Toc5436"/>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1"/>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8410"/>
      <w:bookmarkStart w:id="314" w:name="_Toc515647809"/>
      <w:bookmarkStart w:id="315" w:name="_Toc15480"/>
      <w:bookmarkStart w:id="316" w:name="_Toc4923"/>
      <w:bookmarkStart w:id="317" w:name="_Toc10290"/>
      <w:bookmarkStart w:id="318" w:name="_Toc28445"/>
      <w:bookmarkStart w:id="319" w:name="_Toc22138"/>
      <w:bookmarkStart w:id="320" w:name="_Toc11047"/>
    </w:p>
    <w:p>
      <w:pPr>
        <w:spacing w:line="460" w:lineRule="exact"/>
        <w:ind w:firstLine="480" w:firstLineChars="200"/>
        <w:rPr>
          <w:rFonts w:cs="宋体" w:asciiTheme="minorEastAsia" w:hAnsiTheme="minorEastAsia" w:eastAsiaTheme="minorEastAsia"/>
          <w:b/>
          <w:kern w:val="0"/>
          <w:sz w:val="24"/>
          <w:szCs w:val="20"/>
        </w:rPr>
      </w:pPr>
    </w:p>
    <w:p>
      <w:pPr>
        <w:pStyle w:val="11"/>
        <w:tabs>
          <w:tab w:val="left" w:pos="5580"/>
        </w:tabs>
        <w:spacing w:line="240" w:lineRule="atLeast"/>
        <w:ind w:left="539" w:leftChars="257"/>
        <w:rPr>
          <w:rFonts w:cs="宋体" w:asciiTheme="minorEastAsia" w:hAnsiTheme="minorEastAsia" w:eastAsiaTheme="minorEastAsia"/>
          <w:b/>
          <w:kern w:val="0"/>
          <w:sz w:val="24"/>
        </w:rPr>
      </w:pPr>
    </w:p>
    <w:p>
      <w:pPr>
        <w:pStyle w:val="11"/>
        <w:tabs>
          <w:tab w:val="left" w:pos="5580"/>
        </w:tabs>
        <w:spacing w:line="240" w:lineRule="atLeast"/>
        <w:ind w:left="539" w:leftChars="257"/>
        <w:rPr>
          <w:rFonts w:cs="宋体" w:asciiTheme="minorEastAsia" w:hAnsiTheme="minorEastAsia" w:eastAsiaTheme="minorEastAsia"/>
          <w:b/>
          <w:kern w:val="0"/>
          <w:sz w:val="24"/>
        </w:rPr>
      </w:pPr>
    </w:p>
    <w:p>
      <w:pPr>
        <w:pStyle w:val="11"/>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4"/>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18"/>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政府采购磋商担保函（本项目不适用）（响应文件格式三）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pStyle w:val="22"/>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5167"/>
      <w:bookmarkStart w:id="322" w:name="_Toc31179"/>
      <w:bookmarkStart w:id="323" w:name="_Toc22500"/>
      <w:bookmarkStart w:id="324" w:name="_Toc15031"/>
      <w:bookmarkStart w:id="325" w:name="_Toc6113"/>
      <w:bookmarkStart w:id="326" w:name="_Toc8873"/>
      <w:bookmarkStart w:id="327" w:name="_Toc23044"/>
      <w:bookmarkStart w:id="328" w:name="_Toc2502"/>
      <w:bookmarkStart w:id="329" w:name="_Toc515647814"/>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330" w:name="_Toc27589"/>
      <w:bookmarkStart w:id="331" w:name="_Toc518923111"/>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5  社会保障资金的缴纳记录</w:t>
      </w:r>
      <w:bookmarkEnd w:id="330"/>
      <w:bookmarkEnd w:id="331"/>
    </w:p>
    <w:p>
      <w:pPr>
        <w:pStyle w:val="11"/>
        <w:tabs>
          <w:tab w:val="left" w:pos="5580"/>
        </w:tabs>
        <w:spacing w:line="240" w:lineRule="atLeast"/>
        <w:ind w:left="1079" w:leftChars="257" w:hanging="540"/>
        <w:jc w:val="center"/>
        <w:rPr>
          <w:rFonts w:hAnsi="宋体" w:cs="宋体"/>
          <w:b/>
          <w:sz w:val="24"/>
        </w:rPr>
      </w:pPr>
    </w:p>
    <w:p>
      <w:pPr>
        <w:pStyle w:val="11"/>
        <w:tabs>
          <w:tab w:val="left" w:pos="5580"/>
        </w:tabs>
        <w:spacing w:line="240" w:lineRule="atLeast"/>
        <w:ind w:left="540"/>
        <w:rPr>
          <w:rFonts w:hAnsi="宋体" w:cs="宋体"/>
          <w:b/>
          <w:sz w:val="24"/>
        </w:rPr>
      </w:pPr>
    </w:p>
    <w:p>
      <w:pPr>
        <w:pStyle w:val="11"/>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1"/>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515647812"/>
      <w:bookmarkStart w:id="333" w:name="_Toc6008"/>
      <w:bookmarkStart w:id="334" w:name="_Toc1137"/>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1"/>
        <w:tabs>
          <w:tab w:val="left" w:pos="5580"/>
        </w:tabs>
        <w:spacing w:line="360" w:lineRule="exact"/>
        <w:ind w:left="1079" w:leftChars="257" w:hanging="540"/>
        <w:jc w:val="center"/>
        <w:rPr>
          <w:rFonts w:cs="宋体" w:asciiTheme="minorEastAsia" w:hAnsiTheme="minorEastAsia" w:eastAsiaTheme="minorEastAsia"/>
          <w:b/>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1"/>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335" w:name="_Toc15456"/>
      <w:bookmarkStart w:id="336" w:name="_Toc11862"/>
      <w:bookmarkStart w:id="337" w:name="_Toc24488"/>
      <w:bookmarkStart w:id="338" w:name="_Toc17207"/>
      <w:bookmarkStart w:id="339" w:name="_Toc32295"/>
      <w:bookmarkStart w:id="340" w:name="_Toc29703"/>
      <w:bookmarkStart w:id="341" w:name="_Toc11163"/>
      <w:bookmarkStart w:id="342" w:name="_Toc12185"/>
      <w:bookmarkStart w:id="343" w:name="_Toc515647813"/>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1"/>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24428"/>
      <w:bookmarkStart w:id="345" w:name="_Toc515647811"/>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1"/>
        <w:tabs>
          <w:tab w:val="left" w:pos="5580"/>
        </w:tabs>
        <w:spacing w:line="240" w:lineRule="atLeast"/>
        <w:ind w:left="1079" w:leftChars="257" w:hanging="540"/>
        <w:jc w:val="center"/>
        <w:rPr>
          <w:rFonts w:ascii="仿宋" w:hAnsi="仿宋" w:eastAsia="仿宋" w:cs="仿宋"/>
          <w:b/>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1"/>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1"/>
        <w:tabs>
          <w:tab w:val="left" w:pos="5580"/>
        </w:tabs>
        <w:spacing w:line="240" w:lineRule="atLeast"/>
        <w:ind w:left="1079" w:leftChars="257" w:hanging="540"/>
        <w:rPr>
          <w:rFonts w:ascii="仿宋" w:hAnsi="仿宋" w:eastAsia="仿宋" w:cs="仿宋"/>
          <w:color w:val="000000"/>
          <w:sz w:val="24"/>
        </w:rPr>
      </w:pPr>
    </w:p>
    <w:p>
      <w:pPr>
        <w:pStyle w:val="5"/>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1"/>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1"/>
        <w:tabs>
          <w:tab w:val="left" w:pos="5580"/>
        </w:tabs>
        <w:spacing w:line="360" w:lineRule="exact"/>
        <w:rPr>
          <w:rFonts w:cs="宋体" w:asciiTheme="minorEastAsia" w:hAnsiTheme="minorEastAsia" w:eastAsiaTheme="minorEastAsia"/>
          <w:b/>
          <w:kern w:val="0"/>
          <w:sz w:val="24"/>
        </w:rPr>
      </w:pPr>
      <w:bookmarkStart w:id="349" w:name="_Toc9513_WPSOffice_Level2"/>
      <w:bookmarkStart w:id="350" w:name="_Toc6295"/>
      <w:bookmarkStart w:id="351" w:name="_Toc23485"/>
      <w:bookmarkStart w:id="352" w:name="_Toc5279"/>
      <w:bookmarkStart w:id="353" w:name="_Toc24267_WPSOffice_Level2"/>
      <w:bookmarkStart w:id="354" w:name="_Toc515647817"/>
      <w:bookmarkStart w:id="355" w:name="_Toc5068"/>
      <w:bookmarkStart w:id="356" w:name="_Toc23960"/>
      <w:bookmarkStart w:id="357" w:name="_Toc26170"/>
      <w:bookmarkStart w:id="358" w:name="_Toc14915"/>
      <w:bookmarkStart w:id="359" w:name="_Toc2041"/>
    </w:p>
    <w:p>
      <w:pPr>
        <w:pStyle w:val="11"/>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1"/>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1"/>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1、磋商响应函（响应文件格式五）</w:t>
      </w:r>
    </w:p>
    <w:p>
      <w:pPr>
        <w:pStyle w:val="11"/>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2、技术规格偏离表（响应文件格式九）</w:t>
      </w:r>
    </w:p>
    <w:p>
      <w:pPr>
        <w:pStyle w:val="11"/>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3、商务条款偏离表（响应文件格式十）</w:t>
      </w:r>
    </w:p>
    <w:p>
      <w:pPr>
        <w:pStyle w:val="11"/>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4、符合《政府采购促进中小企业发展暂行办法》、《关于政府采购支持监狱企业发展有关问题的通知》和《三部门联合发布关于促进残疾人就业政府采购政策的通知》价格扣减条件的供应商须提交）</w:t>
      </w:r>
    </w:p>
    <w:p>
      <w:pPr>
        <w:pStyle w:val="11"/>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1"/>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1"/>
        <w:spacing w:line="360" w:lineRule="exact"/>
        <w:ind w:firstLine="720" w:firstLineChars="300"/>
        <w:outlineLvl w:val="1"/>
        <w:rPr>
          <w:rFonts w:cs="宋体" w:asciiTheme="minorEastAsia" w:hAnsiTheme="minorEastAsia" w:eastAsiaTheme="minorEastAsia"/>
          <w:sz w:val="24"/>
          <w:highlight w:val="none"/>
        </w:rPr>
      </w:pPr>
      <w:bookmarkStart w:id="364" w:name="_Toc12463_WPSOffice_Level2"/>
      <w:bookmarkStart w:id="365" w:name="_Toc2617_WPSOffice_Level2"/>
      <w:r>
        <w:rPr>
          <w:rFonts w:hint="eastAsia" w:cs="宋体" w:asciiTheme="minorEastAsia" w:hAnsiTheme="minorEastAsia" w:eastAsiaTheme="minorEastAsia"/>
          <w:sz w:val="24"/>
          <w:highlight w:val="none"/>
        </w:rPr>
        <w:t>5-3《残疾人福利性单位声明函》（响应文件格式十三）</w:t>
      </w:r>
      <w:bookmarkEnd w:id="364"/>
      <w:bookmarkEnd w:id="365"/>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1"/>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1"/>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1"/>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368" w:name="_Hlt520356243"/>
      <w:bookmarkEnd w:id="368"/>
      <w:bookmarkStart w:id="369" w:name="_Hlt520355938"/>
      <w:bookmarkEnd w:id="369"/>
      <w:bookmarkStart w:id="370" w:name="_Toc518923117"/>
      <w:bookmarkStart w:id="371" w:name="_Toc24886"/>
      <w:bookmarkStart w:id="372" w:name="_Toc216582817"/>
      <w:bookmarkStart w:id="373" w:name="_Toc1399"/>
      <w:bookmarkStart w:id="374" w:name="_Toc13833"/>
      <w:bookmarkStart w:id="375" w:name="_Toc23925"/>
      <w:bookmarkStart w:id="376" w:name="_Toc515647820"/>
      <w:bookmarkStart w:id="377" w:name="_Toc24837"/>
      <w:bookmarkStart w:id="378" w:name="_Toc22563"/>
      <w:bookmarkStart w:id="379" w:name="_Toc28959"/>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1"/>
        <w:spacing w:line="360" w:lineRule="exact"/>
        <w:ind w:left="1080" w:leftChars="257" w:hanging="540"/>
        <w:rPr>
          <w:rFonts w:cs="宋体" w:asciiTheme="minorEastAsia" w:hAnsiTheme="minorEastAsia" w:eastAsiaTheme="minorEastAsia"/>
          <w:sz w:val="24"/>
        </w:rPr>
      </w:pPr>
    </w:p>
    <w:tbl>
      <w:tblPr>
        <w:tblStyle w:val="18"/>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bl>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lang w:val="en-US" w:eastAsia="zh-CN"/>
        </w:rPr>
        <w:t xml:space="preserve">          </w:t>
      </w:r>
    </w:p>
    <w:p>
      <w:pPr>
        <w:pStyle w:val="11"/>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1"/>
        <w:tabs>
          <w:tab w:val="left" w:pos="5580"/>
        </w:tabs>
        <w:spacing w:line="360" w:lineRule="exact"/>
        <w:rPr>
          <w:rFonts w:cs="宋体" w:asciiTheme="minorEastAsia" w:hAnsiTheme="minorEastAsia" w:eastAsiaTheme="minorEastAsia"/>
          <w:sz w:val="24"/>
          <w:u w:val="single"/>
        </w:rPr>
      </w:pPr>
    </w:p>
    <w:p>
      <w:pPr>
        <w:pStyle w:val="11"/>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382" w:name="_Toc216582818"/>
      <w:bookmarkStart w:id="383" w:name="_Toc21009"/>
      <w:bookmarkStart w:id="384" w:name="_Toc4280"/>
      <w:bookmarkStart w:id="385" w:name="_Toc23"/>
      <w:bookmarkStart w:id="386" w:name="_Toc1980"/>
      <w:bookmarkStart w:id="387" w:name="_Toc515647821"/>
      <w:bookmarkStart w:id="388" w:name="_Toc28674"/>
      <w:bookmarkStart w:id="389" w:name="_Toc4342"/>
      <w:r>
        <w:rPr>
          <w:rFonts w:hint="eastAsia" w:cs="宋体" w:asciiTheme="minorEastAsia" w:hAnsiTheme="minorEastAsia" w:eastAsiaTheme="minorEastAsia"/>
          <w:sz w:val="24"/>
        </w:rPr>
        <w:t>3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1"/>
        <w:spacing w:line="360" w:lineRule="exact"/>
        <w:ind w:left="1080" w:leftChars="257" w:hanging="540"/>
        <w:rPr>
          <w:rFonts w:cs="宋体" w:asciiTheme="minorEastAsia" w:hAnsiTheme="minorEastAsia" w:eastAsiaTheme="minorEastAsia"/>
          <w:sz w:val="24"/>
        </w:rPr>
      </w:pPr>
    </w:p>
    <w:tbl>
      <w:tblPr>
        <w:tblStyle w:val="18"/>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jc w:val="center"/>
              <w:rPr>
                <w:rFonts w:cs="宋体" w:asciiTheme="minorEastAsia" w:hAnsiTheme="minorEastAsia" w:eastAsiaTheme="minorEastAsia"/>
                <w:sz w:val="24"/>
              </w:rPr>
            </w:pPr>
          </w:p>
        </w:tc>
        <w:tc>
          <w:tcPr>
            <w:tcW w:w="2520" w:type="dxa"/>
          </w:tcPr>
          <w:p>
            <w:pPr>
              <w:pStyle w:val="11"/>
              <w:spacing w:line="360" w:lineRule="exact"/>
              <w:ind w:left="1080" w:leftChars="257" w:hanging="540"/>
              <w:jc w:val="center"/>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bl>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lang w:val="en-US" w:eastAsia="zh-CN"/>
        </w:rPr>
        <w:t xml:space="preserve">          </w:t>
      </w:r>
    </w:p>
    <w:p>
      <w:pPr>
        <w:pStyle w:val="11"/>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cs="宋体" w:asciiTheme="minorEastAsia" w:hAnsiTheme="minorEastAsia" w:eastAsiaTheme="minorEastAsia"/>
          <w:sz w:val="24"/>
          <w:highlight w:val="none"/>
        </w:rPr>
      </w:pPr>
      <w:bookmarkStart w:id="390" w:name="_Hlt520343000"/>
      <w:bookmarkEnd w:id="390"/>
      <w:bookmarkStart w:id="391" w:name="_Hlt520274911"/>
      <w:bookmarkEnd w:id="391"/>
      <w:bookmarkStart w:id="392" w:name="_Hlt520274393"/>
      <w:bookmarkEnd w:id="392"/>
      <w:bookmarkStart w:id="393" w:name="_Hlt520273711"/>
      <w:bookmarkEnd w:id="393"/>
      <w:bookmarkStart w:id="394" w:name="_Hlt520350918"/>
      <w:bookmarkEnd w:id="394"/>
      <w:bookmarkStart w:id="395" w:name="_Hlt520274407"/>
      <w:bookmarkEnd w:id="395"/>
      <w:bookmarkStart w:id="396" w:name="_Hlt520274065"/>
      <w:bookmarkEnd w:id="396"/>
      <w:bookmarkStart w:id="397" w:name="_Hlt520271212"/>
      <w:bookmarkEnd w:id="397"/>
      <w:bookmarkStart w:id="398" w:name="_Hlt520273973"/>
      <w:bookmarkEnd w:id="398"/>
      <w:bookmarkStart w:id="399" w:name="_Hlt520350957"/>
      <w:bookmarkEnd w:id="399"/>
      <w:bookmarkStart w:id="400" w:name="_Hlt520343392"/>
      <w:bookmarkEnd w:id="400"/>
      <w:bookmarkStart w:id="401" w:name="_Toc281"/>
      <w:bookmarkStart w:id="402" w:name="_Toc26282"/>
      <w:bookmarkStart w:id="403" w:name="_Toc10725"/>
      <w:bookmarkStart w:id="404" w:name="_Toc3916"/>
      <w:bookmarkStart w:id="405" w:name="_Toc515647823"/>
      <w:bookmarkStart w:id="406" w:name="_Toc17036"/>
      <w:bookmarkStart w:id="407" w:name="_Toc21312"/>
      <w:r>
        <w:rPr>
          <w:rFonts w:hint="eastAsia" w:cs="宋体" w:asciiTheme="minorEastAsia" w:hAnsiTheme="minorEastAsia" w:eastAsiaTheme="minorEastAsia"/>
          <w:sz w:val="24"/>
          <w:highlight w:val="none"/>
        </w:rPr>
        <w:t>4-1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1、□本企业（单位）为直接供应商提供本企业（单位）制造的货物。</w:t>
      </w:r>
    </w:p>
    <w:p>
      <w:pPr>
        <w:widowControl/>
        <w:numPr>
          <w:ilvl w:val="0"/>
          <w:numId w:val="5"/>
        </w:numPr>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b/>
          <w:kern w:val="0"/>
          <w:sz w:val="24"/>
          <w:szCs w:val="20"/>
          <w:highlight w:val="none"/>
        </w:rPr>
        <w:t>　</w:t>
      </w:r>
    </w:p>
    <w:p>
      <w:pPr>
        <w:pStyle w:val="4"/>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b w:val="0"/>
          <w:sz w:val="24"/>
          <w:highlight w:val="none"/>
        </w:rPr>
        <w:br w:type="page"/>
      </w:r>
      <w:bookmarkStart w:id="408" w:name="_Toc19302"/>
      <w:bookmarkStart w:id="409" w:name="_Toc30508"/>
      <w:bookmarkStart w:id="410" w:name="_Toc30941"/>
      <w:bookmarkStart w:id="411" w:name="_Toc11803"/>
      <w:bookmarkStart w:id="412" w:name="_Toc515647824"/>
      <w:bookmarkStart w:id="413" w:name="_Toc13461"/>
      <w:bookmarkStart w:id="414" w:name="_Toc10977"/>
      <w:r>
        <w:rPr>
          <w:rFonts w:hint="eastAsia" w:cs="宋体" w:asciiTheme="minorEastAsia" w:hAnsiTheme="minorEastAsia" w:eastAsiaTheme="minorEastAsia"/>
          <w:b w:val="0"/>
          <w:sz w:val="24"/>
          <w:highlight w:val="none"/>
        </w:rPr>
        <w:t>4</w:t>
      </w:r>
      <w:r>
        <w:rPr>
          <w:rFonts w:hint="eastAsia" w:cs="宋体" w:asciiTheme="minorEastAsia" w:hAnsiTheme="minorEastAsia" w:eastAsiaTheme="minorEastAsia"/>
          <w:sz w:val="24"/>
          <w:highlight w:val="none"/>
        </w:rPr>
        <w:t>-2   制造商企业（单位）类型声明函（响应文件格式十二）</w:t>
      </w:r>
      <w:bookmarkEnd w:id="408"/>
      <w:bookmarkEnd w:id="409"/>
      <w:bookmarkEnd w:id="410"/>
      <w:bookmarkEnd w:id="411"/>
      <w:bookmarkEnd w:id="412"/>
      <w:bookmarkEnd w:id="413"/>
      <w:bookmarkEnd w:id="414"/>
    </w:p>
    <w:p>
      <w:pPr>
        <w:rPr>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highlight w:val="none"/>
          <w:u w:val="single" w:color="FFFFFF"/>
        </w:rPr>
      </w:pPr>
      <w:r>
        <w:rPr>
          <w:rFonts w:hint="eastAsia" w:cs="宋体" w:asciiTheme="minorEastAsia" w:hAnsiTheme="minorEastAsia" w:eastAsiaTheme="minorEastAsia"/>
          <w:kern w:val="0"/>
          <w:sz w:val="24"/>
          <w:highlight w:val="none"/>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jc w:val="left"/>
        <w:rPr>
          <w:rFonts w:cs="宋体" w:asciiTheme="minorEastAsia" w:hAnsiTheme="minorEastAsia" w:eastAsiaTheme="minorEastAsia"/>
          <w:kern w:val="0"/>
          <w:sz w:val="24"/>
          <w:highlight w:val="none"/>
        </w:rPr>
      </w:pP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u w:val="single" w:color="FFFFFF"/>
        </w:rPr>
        <w:t>制造商名称（盖单位章）</w:t>
      </w:r>
      <w:r>
        <w:rPr>
          <w:rFonts w:hint="eastAsia" w:cs="宋体" w:asciiTheme="minorEastAsia" w:hAnsiTheme="minorEastAsia" w:eastAsiaTheme="minorEastAsia"/>
          <w:kern w:val="0"/>
          <w:sz w:val="24"/>
          <w:highlight w:val="none"/>
        </w:rPr>
        <w:t>：</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highlight w:val="none"/>
        </w:rPr>
      </w:pPr>
    </w:p>
    <w:p>
      <w:pPr>
        <w:widowControl/>
        <w:spacing w:before="100" w:after="100" w:line="360" w:lineRule="exact"/>
        <w:jc w:val="left"/>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15" w:name="_Toc20016"/>
      <w:bookmarkStart w:id="416" w:name="_Toc19284"/>
      <w:bookmarkStart w:id="417" w:name="_Toc31054"/>
      <w:bookmarkStart w:id="418" w:name="_Toc23068"/>
      <w:bookmarkStart w:id="419" w:name="_Toc8320"/>
      <w:bookmarkStart w:id="420" w:name="_Toc26728"/>
      <w:bookmarkStart w:id="421" w:name="_Toc515647825"/>
      <w:bookmarkStart w:id="422" w:name="OLE_LINK14"/>
      <w:bookmarkStart w:id="423" w:name="OLE_LINK13"/>
    </w:p>
    <w:p>
      <w:pPr>
        <w:pStyle w:val="4"/>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4-3   残疾人福利性单位声明函（本项目不适用）（响应文件格式十三）</w:t>
      </w:r>
      <w:bookmarkEnd w:id="415"/>
      <w:bookmarkEnd w:id="416"/>
      <w:bookmarkEnd w:id="417"/>
      <w:bookmarkEnd w:id="418"/>
      <w:bookmarkEnd w:id="419"/>
      <w:bookmarkEnd w:id="420"/>
      <w:bookmarkEnd w:id="421"/>
    </w:p>
    <w:p>
      <w:pPr>
        <w:rPr>
          <w:highlight w:val="none"/>
        </w:rPr>
      </w:pPr>
    </w:p>
    <w:bookmarkEnd w:id="422"/>
    <w:bookmarkEnd w:id="423"/>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firstLine="567"/>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rPr>
          <w:rFonts w:cs="宋体" w:asciiTheme="minorEastAsia" w:hAnsiTheme="minorEastAsia" w:eastAsiaTheme="minorEastAsia"/>
          <w:sz w:val="24"/>
          <w:highlight w:val="none"/>
        </w:rPr>
      </w:pPr>
      <w:bookmarkStart w:id="424" w:name="_Toc30795"/>
      <w:bookmarkStart w:id="425" w:name="_Toc28099"/>
      <w:bookmarkStart w:id="426" w:name="_Toc515647827"/>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both"/>
        <w:rPr>
          <w:rFonts w:cs="宋体" w:asciiTheme="minorEastAsia" w:hAnsiTheme="minorEastAsia" w:eastAsiaTheme="minorEastAsia"/>
          <w:sz w:val="24"/>
        </w:rPr>
      </w:pPr>
      <w:bookmarkStart w:id="427" w:name="_Toc12633"/>
      <w:bookmarkStart w:id="428" w:name="_Toc14172"/>
      <w:bookmarkStart w:id="429" w:name="_Toc29422"/>
      <w:bookmarkStart w:id="430" w:name="_Toc17980"/>
      <w:r>
        <w:rPr>
          <w:rFonts w:hint="eastAsia" w:cs="宋体" w:asciiTheme="minorEastAsia" w:hAnsiTheme="minorEastAsia" w:eastAsiaTheme="minorEastAsia"/>
          <w:sz w:val="24"/>
        </w:rPr>
        <w:t>5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515647828"/>
      <w:bookmarkStart w:id="432" w:name="_Toc9060"/>
      <w:bookmarkStart w:id="433" w:name="_Toc17333"/>
      <w:bookmarkStart w:id="434" w:name="_Toc9517"/>
      <w:bookmarkStart w:id="435" w:name="_Toc9124"/>
      <w:bookmarkStart w:id="436" w:name="_Toc28910"/>
      <w:bookmarkStart w:id="437" w:name="_Toc7414"/>
      <w:r>
        <w:rPr>
          <w:rFonts w:hint="eastAsia" w:cs="宋体" w:asciiTheme="minorEastAsia" w:hAnsiTheme="minorEastAsia" w:eastAsiaTheme="minorEastAsia"/>
          <w:sz w:val="24"/>
        </w:rPr>
        <w:t>6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1672"/>
      <w:bookmarkStart w:id="439" w:name="_Toc21017"/>
      <w:bookmarkStart w:id="440" w:name="_Toc29188"/>
      <w:bookmarkStart w:id="441" w:name="_Toc19460"/>
      <w:bookmarkStart w:id="442" w:name="_Toc18089"/>
      <w:bookmarkStart w:id="443" w:name="_Toc30129"/>
      <w:r>
        <w:rPr>
          <w:rFonts w:hint="eastAsia" w:cs="宋体" w:asciiTheme="minorEastAsia" w:hAnsiTheme="minorEastAsia" w:eastAsiaTheme="minorEastAsia"/>
          <w:sz w:val="24"/>
        </w:rPr>
        <w:t>7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18887"/>
      <w:bookmarkStart w:id="445" w:name="_Toc23729"/>
      <w:bookmarkStart w:id="446" w:name="_Toc28994"/>
      <w:bookmarkStart w:id="447" w:name="_Toc13771"/>
      <w:bookmarkStart w:id="448" w:name="_Toc30798"/>
    </w:p>
    <w:p>
      <w:pPr>
        <w:spacing w:line="240" w:lineRule="atLeast"/>
        <w:outlineLvl w:val="2"/>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10  响应文件格式范本</w:t>
      </w:r>
      <w:bookmarkEnd w:id="444"/>
      <w:bookmarkEnd w:id="445"/>
      <w:bookmarkEnd w:id="446"/>
      <w:bookmarkEnd w:id="447"/>
      <w:bookmarkEnd w:id="448"/>
    </w:p>
    <w:tbl>
      <w:tblPr>
        <w:tblStyle w:val="18"/>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7"/>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7"/>
              <w:ind w:firstLine="4216" w:firstLineChars="1500"/>
              <w:rPr>
                <w:rFonts w:cs="宋体" w:asciiTheme="minorEastAsia" w:hAnsiTheme="minorEastAsia" w:eastAsiaTheme="minorEastAsia"/>
                <w:b/>
                <w:bCs/>
                <w:sz w:val="28"/>
                <w:szCs w:val="28"/>
              </w:rPr>
            </w:pPr>
          </w:p>
          <w:p>
            <w:pPr>
              <w:pStyle w:val="7"/>
              <w:ind w:firstLine="4216" w:firstLineChars="1500"/>
              <w:rPr>
                <w:rFonts w:cs="宋体" w:asciiTheme="minorEastAsia" w:hAnsiTheme="minorEastAsia" w:eastAsiaTheme="minorEastAsia"/>
                <w:b/>
                <w:bCs/>
                <w:sz w:val="28"/>
                <w:szCs w:val="28"/>
              </w:rPr>
            </w:pPr>
          </w:p>
          <w:p>
            <w:pPr>
              <w:pStyle w:val="7"/>
              <w:rPr>
                <w:rFonts w:cs="宋体" w:asciiTheme="minorEastAsia" w:hAnsiTheme="minorEastAsia" w:eastAsiaTheme="minorEastAsia"/>
                <w:b/>
                <w:bCs/>
                <w:sz w:val="28"/>
                <w:szCs w:val="28"/>
              </w:rPr>
            </w:pPr>
          </w:p>
          <w:p>
            <w:pPr>
              <w:pStyle w:val="7"/>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7"/>
              <w:jc w:val="center"/>
              <w:rPr>
                <w:rFonts w:cs="宋体" w:asciiTheme="minorEastAsia" w:hAnsiTheme="minorEastAsia" w:eastAsiaTheme="minorEastAsia"/>
                <w:b/>
                <w:bCs/>
                <w:sz w:val="21"/>
                <w:szCs w:val="21"/>
              </w:rPr>
            </w:pPr>
          </w:p>
          <w:p>
            <w:pPr>
              <w:pStyle w:val="7"/>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7"/>
              <w:jc w:val="center"/>
              <w:rPr>
                <w:rFonts w:cs="宋体" w:asciiTheme="minorEastAsia" w:hAnsiTheme="minorEastAsia" w:eastAsiaTheme="minorEastAsia"/>
                <w:b/>
                <w:bCs/>
                <w:sz w:val="48"/>
              </w:rPr>
            </w:pPr>
          </w:p>
          <w:p>
            <w:pPr>
              <w:pStyle w:val="7"/>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218935350"/>
      <w:bookmarkStart w:id="450" w:name="_Toc518923124"/>
      <w:bookmarkStart w:id="451" w:name="_Toc219175634"/>
      <w:bookmarkStart w:id="452" w:name="_Toc31119"/>
      <w:bookmarkStart w:id="453" w:name="_Toc21156_WPSOffice_Level1"/>
      <w:bookmarkStart w:id="454" w:name="_Toc9913"/>
      <w:bookmarkStart w:id="455" w:name="_Toc216582822"/>
      <w:bookmarkStart w:id="456" w:name="_Toc507399902"/>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rPr>
          <w:rFonts w:cs="宋体" w:asciiTheme="minorEastAsia" w:hAnsiTheme="minorEastAsia" w:eastAsiaTheme="minorEastAsia"/>
        </w:rPr>
      </w:pP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457" w:name="_Toc507399903"/>
      <w:bookmarkStart w:id="458" w:name="_Toc518923125"/>
      <w:bookmarkStart w:id="459" w:name="_Toc216582823"/>
      <w:bookmarkStart w:id="460" w:name="_Toc512937850"/>
      <w:bookmarkStart w:id="461" w:name="_Toc28647"/>
      <w:r>
        <w:rPr>
          <w:rFonts w:hint="default" w:ascii="华文中宋" w:hAnsi="华文中宋" w:eastAsia="华文中宋" w:cs="Times New Roman"/>
          <w:b/>
          <w:bCs/>
          <w:kern w:val="44"/>
          <w:sz w:val="32"/>
          <w:szCs w:val="32"/>
          <w:lang w:val="en-US" w:eastAsia="zh-CN" w:bidi="ar-SA"/>
        </w:rPr>
        <w:t>巴楚县</w:t>
      </w:r>
      <w:r>
        <w:rPr>
          <w:rFonts w:hint="eastAsia" w:ascii="华文中宋" w:hAnsi="华文中宋" w:eastAsia="华文中宋" w:cs="Times New Roman"/>
          <w:b/>
          <w:bCs/>
          <w:kern w:val="44"/>
          <w:sz w:val="32"/>
          <w:szCs w:val="32"/>
          <w:lang w:val="en-US" w:eastAsia="zh-CN" w:bidi="ar-SA"/>
        </w:rPr>
        <w:t>锦绣社区就业服务中心改造</w:t>
      </w:r>
      <w:r>
        <w:rPr>
          <w:rFonts w:hint="default" w:ascii="华文中宋" w:hAnsi="华文中宋" w:eastAsia="华文中宋" w:cs="Times New Roman"/>
          <w:b/>
          <w:bCs/>
          <w:kern w:val="44"/>
          <w:sz w:val="32"/>
          <w:szCs w:val="32"/>
          <w:lang w:val="en-US" w:eastAsia="zh-CN" w:bidi="ar-SA"/>
        </w:rPr>
        <w:t>项目</w:t>
      </w:r>
      <w:r>
        <w:rPr>
          <w:rFonts w:hint="eastAsia" w:ascii="华文中宋" w:hAnsi="华文中宋" w:eastAsia="华文中宋" w:cs="Times New Roman"/>
          <w:b/>
          <w:bCs/>
          <w:kern w:val="44"/>
          <w:sz w:val="32"/>
          <w:szCs w:val="32"/>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default" w:ascii="仿宋" w:hAnsi="仿宋" w:eastAsia="仿宋" w:cs="宋体"/>
          <w:sz w:val="28"/>
          <w:szCs w:val="28"/>
          <w:u w:val="single"/>
          <w:lang w:val="en-US" w:eastAsia="zh-CN"/>
        </w:rPr>
        <w:t>巴楚县</w:t>
      </w:r>
      <w:r>
        <w:rPr>
          <w:rFonts w:hint="eastAsia" w:ascii="仿宋" w:hAnsi="仿宋" w:eastAsia="仿宋" w:cs="宋体"/>
          <w:sz w:val="28"/>
          <w:szCs w:val="28"/>
          <w:u w:val="single"/>
          <w:lang w:val="en-US" w:eastAsia="zh-CN"/>
        </w:rPr>
        <w:t>锦绣社区就业服务中心改造</w:t>
      </w:r>
      <w:r>
        <w:rPr>
          <w:rFonts w:hint="default" w:ascii="仿宋" w:hAnsi="仿宋" w:eastAsia="仿宋" w:cs="宋体"/>
          <w:sz w:val="28"/>
          <w:szCs w:val="28"/>
          <w:u w:val="single"/>
          <w:lang w:val="en-US" w:eastAsia="zh-CN"/>
        </w:rPr>
        <w:t>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w:t>
      </w:r>
      <w:r>
        <w:rPr>
          <w:rFonts w:hint="eastAsia" w:ascii="仿宋" w:hAnsi="仿宋" w:eastAsia="仿宋"/>
          <w:sz w:val="28"/>
          <w:szCs w:val="28"/>
          <w:highlight w:val="none"/>
        </w:rPr>
        <w:t>于</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w:t>
      </w:r>
      <w:r>
        <w:rPr>
          <w:rFonts w:hint="eastAsia" w:ascii="仿宋" w:hAnsi="仿宋" w:eastAsia="仿宋"/>
          <w:bCs/>
          <w:sz w:val="28"/>
          <w:szCs w:val="28"/>
        </w:rPr>
        <w:t>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28359089"/>
      <w:bookmarkStart w:id="463" w:name="_Toc28359012"/>
      <w:bookmarkStart w:id="464" w:name="_Toc35393798"/>
      <w:bookmarkStart w:id="465" w:name="_Toc35393629"/>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sz w:val="28"/>
          <w:szCs w:val="28"/>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20</w:t>
      </w:r>
      <w:r>
        <w:rPr>
          <w:rFonts w:hint="eastAsia" w:ascii="仿宋" w:hAnsi="仿宋" w:eastAsia="仿宋" w:cs="宋体"/>
          <w:sz w:val="28"/>
          <w:szCs w:val="28"/>
          <w:lang w:val="en-US" w:eastAsia="zh-CN"/>
        </w:rPr>
        <w:t>21</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16</w:t>
      </w:r>
      <w:r>
        <w:rPr>
          <w:rFonts w:hint="eastAsia" w:ascii="仿宋" w:hAnsi="仿宋" w:eastAsia="仿宋" w:cs="宋体"/>
          <w:sz w:val="28"/>
          <w:szCs w:val="28"/>
        </w:rPr>
        <w:t>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sz w:val="28"/>
          <w:szCs w:val="28"/>
          <w:lang w:val="en-US" w:eastAsia="zh-CN"/>
        </w:rPr>
        <w:t>：</w:t>
      </w:r>
      <w:r>
        <w:rPr>
          <w:rFonts w:hint="default" w:ascii="仿宋" w:hAnsi="仿宋" w:eastAsia="仿宋"/>
          <w:sz w:val="28"/>
          <w:szCs w:val="28"/>
          <w:lang w:val="en-US" w:eastAsia="zh-CN"/>
        </w:rPr>
        <w:t>巴楚县</w:t>
      </w:r>
      <w:r>
        <w:rPr>
          <w:rFonts w:hint="eastAsia" w:ascii="仿宋" w:hAnsi="仿宋" w:eastAsia="仿宋"/>
          <w:sz w:val="28"/>
          <w:szCs w:val="28"/>
          <w:lang w:val="en-US" w:eastAsia="zh-CN"/>
        </w:rPr>
        <w:t>锦绣社区就业服务中心改造</w:t>
      </w:r>
      <w:r>
        <w:rPr>
          <w:rFonts w:hint="default" w:ascii="仿宋" w:hAnsi="仿宋" w:eastAsia="仿宋"/>
          <w:sz w:val="28"/>
          <w:szCs w:val="28"/>
          <w:lang w:val="en-US" w:eastAsia="zh-CN"/>
        </w:rPr>
        <w:t>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keepNext w:val="0"/>
        <w:keepLines w:val="0"/>
        <w:pageBreakBefore w:val="0"/>
        <w:kinsoku/>
        <w:wordWrap/>
        <w:overflowPunct/>
        <w:topLinePunct w:val="0"/>
        <w:autoSpaceDE/>
        <w:autoSpaceDN/>
        <w:bidi w:val="0"/>
        <w:adjustRightInd/>
        <w:snapToGrid/>
        <w:spacing w:line="330" w:lineRule="exact"/>
        <w:ind w:left="0" w:leftChars="0" w:right="0" w:rightChars="0" w:firstLine="562" w:firstLineChars="200"/>
        <w:textAlignment w:val="auto"/>
        <w:outlineLvl w:val="9"/>
        <w:rPr>
          <w:rFonts w:hint="default"/>
          <w:lang w:val="en-US" w:eastAsia="zh-CN"/>
        </w:rPr>
      </w:pPr>
      <w:r>
        <w:rPr>
          <w:rFonts w:hint="eastAsia" w:ascii="仿宋" w:hAnsi="仿宋" w:eastAsia="仿宋"/>
          <w:b/>
          <w:bCs/>
          <w:sz w:val="28"/>
          <w:szCs w:val="28"/>
          <w:lang w:val="en-US" w:eastAsia="zh-CN"/>
        </w:rPr>
        <w:t>预算金额：2654858.94元（贰佰陆拾伍万肆仟捌佰伍拾捌圆玖角肆分）</w:t>
      </w:r>
    </w:p>
    <w:p>
      <w:pPr>
        <w:keepNext w:val="0"/>
        <w:keepLines w:val="0"/>
        <w:pageBreakBefore w:val="0"/>
        <w:kinsoku/>
        <w:wordWrap/>
        <w:overflowPunct/>
        <w:topLinePunct w:val="0"/>
        <w:autoSpaceDE/>
        <w:autoSpaceDN/>
        <w:bidi w:val="0"/>
        <w:adjustRightInd/>
        <w:snapToGrid/>
        <w:spacing w:line="330" w:lineRule="exact"/>
        <w:ind w:left="0" w:leftChars="0" w:right="0" w:rightChars="0" w:firstLine="562" w:firstLineChars="200"/>
        <w:textAlignment w:val="auto"/>
        <w:outlineLvl w:val="9"/>
        <w:rPr>
          <w:rFonts w:hint="default" w:ascii="仿宋" w:hAnsi="仿宋" w:eastAsia="仿宋"/>
          <w:sz w:val="28"/>
          <w:szCs w:val="28"/>
          <w:highlight w:val="yellow"/>
          <w:u w:val="single"/>
          <w:lang w:val="en-US" w:eastAsia="zh-CN"/>
        </w:rPr>
      </w:pPr>
      <w:r>
        <w:rPr>
          <w:rFonts w:hint="eastAsia" w:ascii="仿宋" w:hAnsi="仿宋" w:eastAsia="仿宋"/>
          <w:b/>
          <w:bCs/>
          <w:sz w:val="28"/>
          <w:szCs w:val="28"/>
        </w:rPr>
        <w:t>采购需求：</w:t>
      </w:r>
      <w:r>
        <w:rPr>
          <w:rFonts w:hint="eastAsia" w:ascii="仿宋" w:hAnsi="仿宋" w:eastAsia="仿宋"/>
          <w:b/>
          <w:bCs/>
          <w:sz w:val="28"/>
          <w:szCs w:val="28"/>
          <w:lang w:val="en-US" w:eastAsia="zh-CN"/>
        </w:rPr>
        <w:t>详见招标文件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本项目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6"/>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28359013"/>
      <w:bookmarkStart w:id="467" w:name="_Toc35393630"/>
      <w:bookmarkStart w:id="468" w:name="_Toc28359090"/>
      <w:bookmarkStart w:id="469" w:name="_Toc35393799"/>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2"/>
        <w:rPr>
          <w:rFonts w:hint="default"/>
        </w:rPr>
      </w:pP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14"/>
      <w:bookmarkStart w:id="471"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2" w:name="_Toc35393631"/>
      <w:bookmarkStart w:id="473" w:name="_Toc35393800"/>
      <w:r>
        <w:rPr>
          <w:rFonts w:hint="eastAsia" w:ascii="黑体" w:hAnsi="黑体" w:cs="宋体"/>
          <w:b w:val="0"/>
          <w:sz w:val="28"/>
          <w:szCs w:val="28"/>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474" w:name="_Toc35393801"/>
      <w:bookmarkStart w:id="475" w:name="_Toc35393632"/>
      <w:bookmarkStart w:id="476" w:name="_Toc28359092"/>
      <w:bookmarkStart w:id="477" w:name="_Toc28359015"/>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2"/>
        <w:pageBreakBefore w:val="0"/>
        <w:widowControl w:val="0"/>
        <w:kinsoku/>
        <w:wordWrap/>
        <w:overflowPunct/>
        <w:topLinePunct w:val="0"/>
        <w:bidi w:val="0"/>
        <w:spacing w:line="480" w:lineRule="exact"/>
        <w:ind w:firstLine="560" w:firstLineChars="200"/>
        <w:textAlignment w:val="auto"/>
        <w:rPr>
          <w:rFonts w:hint="default" w:ascii="仿宋" w:hAnsi="仿宋" w:eastAsia="仿宋" w:cs="宋体"/>
          <w:kern w:val="2"/>
          <w:sz w:val="28"/>
          <w:szCs w:val="28"/>
          <w:lang w:val="en-US" w:eastAsia="zh-CN" w:bidi="ar-SA"/>
        </w:rPr>
      </w:pP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78" w:name="_Toc28359016"/>
      <w:bookmarkStart w:id="479" w:name="_Toc35393802"/>
      <w:bookmarkStart w:id="480" w:name="_Toc28359093"/>
      <w:bookmarkStart w:id="481" w:name="_Toc35393633"/>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482" w:name="_Toc28359017"/>
      <w:bookmarkStart w:id="483" w:name="_Toc28359094"/>
      <w:bookmarkStart w:id="484" w:name="_Toc35393803"/>
      <w:bookmarkStart w:id="485" w:name="_Toc35393634"/>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bookmarkStart w:id="488" w:name="_Toc35393795"/>
      <w:bookmarkStart w:id="489" w:name="_Toc35393626"/>
      <w:bookmarkStart w:id="490" w:name="_Toc28359095"/>
      <w:bookmarkStart w:id="491" w:name="_Toc35393636"/>
      <w:bookmarkStart w:id="492" w:name="_Toc35393805"/>
      <w:bookmarkStart w:id="493" w:name="_Toc28359018"/>
      <w:r>
        <w:rPr>
          <w:rFonts w:hint="eastAsia" w:ascii="仿宋" w:hAnsi="仿宋" w:eastAsia="仿宋"/>
          <w:bCs/>
          <w:sz w:val="28"/>
          <w:szCs w:val="28"/>
          <w:u w:val="none"/>
          <w:lang w:val="en-US" w:eastAsia="zh-CN"/>
        </w:rPr>
        <w:t>1、本项目公告期限为3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bCs/>
          <w:sz w:val="28"/>
          <w:szCs w:val="28"/>
          <w:u w:val="none"/>
          <w:lang w:val="en-US" w:eastAsia="zh-CN"/>
        </w:rPr>
        <w:t>2、投标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default" w:ascii="仿宋" w:hAnsi="仿宋" w:eastAsia="仿宋" w:cs="宋体"/>
          <w:sz w:val="28"/>
          <w:szCs w:val="28"/>
          <w:lang w:val="en-US" w:eastAsia="zh-CN"/>
        </w:rPr>
        <w:t>巴楚县</w:t>
      </w:r>
      <w:r>
        <w:rPr>
          <w:rFonts w:hint="eastAsia" w:ascii="仿宋" w:hAnsi="仿宋" w:eastAsia="仿宋" w:cs="宋体"/>
          <w:sz w:val="28"/>
          <w:szCs w:val="28"/>
          <w:lang w:val="en-US" w:eastAsia="zh-CN"/>
        </w:rPr>
        <w:t>锦绣社区　</w:t>
      </w:r>
    </w:p>
    <w:p>
      <w:pPr>
        <w:pStyle w:val="2"/>
        <w:ind w:firstLine="560" w:firstLineChars="200"/>
        <w:rPr>
          <w:rFonts w:hint="default"/>
          <w:lang w:val="en-US" w:eastAsia="zh-CN"/>
        </w:rPr>
      </w:pPr>
      <w:r>
        <w:rPr>
          <w:rFonts w:hint="eastAsia" w:ascii="仿宋" w:hAnsi="仿宋" w:eastAsia="仿宋"/>
          <w:sz w:val="28"/>
          <w:szCs w:val="28"/>
          <w:lang w:val="en-US" w:eastAsia="zh-CN"/>
        </w:rPr>
        <w:t>联系人：赵祖钰</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val="en-US" w:eastAsia="zh-CN"/>
        </w:rPr>
        <w:t>巴楚县工业园区锦绣社区　</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cs="宋体"/>
          <w:sz w:val="28"/>
          <w:szCs w:val="28"/>
          <w:lang w:val="en-US" w:eastAsia="zh-CN"/>
        </w:rPr>
        <w:t>19999285908</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0998-6210619</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bookmarkEnd w:id="457"/>
    <w:bookmarkEnd w:id="458"/>
    <w:bookmarkEnd w:id="459"/>
    <w:bookmarkEnd w:id="460"/>
    <w:bookmarkEnd w:id="461"/>
    <w:p>
      <w:pPr>
        <w:pStyle w:val="4"/>
        <w:jc w:val="both"/>
      </w:pPr>
    </w:p>
    <w:p>
      <w:pPr>
        <w:pStyle w:val="5"/>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18"/>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rPr>
              <w:t>巴楚县</w:t>
            </w:r>
            <w:r>
              <w:rPr>
                <w:rFonts w:hint="eastAsia" w:ascii="宋体" w:hAnsi="宋体" w:cs="宋体"/>
                <w:color w:val="000000"/>
                <w:sz w:val="24"/>
                <w:u w:val="single"/>
                <w:lang w:val="en-US" w:eastAsia="zh-CN"/>
              </w:rPr>
              <w:t>锦绣社区</w:t>
            </w:r>
          </w:p>
          <w:p>
            <w:pPr>
              <w:spacing w:line="240" w:lineRule="atLeast"/>
              <w:rPr>
                <w:rFonts w:hint="default" w:ascii="宋体" w:hAnsi="宋体" w:eastAsia="宋体" w:cs="宋体"/>
                <w:color w:val="000000"/>
                <w:sz w:val="24"/>
                <w:u w:val="single"/>
                <w:lang w:val="en-US" w:eastAsia="zh-CN"/>
              </w:rPr>
            </w:pPr>
            <w:r>
              <w:rPr>
                <w:rFonts w:hint="eastAsia" w:ascii="宋体" w:hAnsi="宋体" w:cs="宋体"/>
                <w:sz w:val="24"/>
              </w:rPr>
              <w:t>联系人</w:t>
            </w:r>
            <w:r>
              <w:rPr>
                <w:rFonts w:hint="eastAsia" w:ascii="宋体" w:hAnsi="宋体" w:cs="宋体"/>
                <w:color w:val="000000"/>
                <w:sz w:val="24"/>
              </w:rPr>
              <w:t>：</w:t>
            </w:r>
            <w:r>
              <w:rPr>
                <w:rFonts w:hint="eastAsia" w:ascii="宋体" w:hAnsi="宋体" w:cs="宋体"/>
                <w:color w:val="000000"/>
                <w:sz w:val="24"/>
                <w:u w:val="single"/>
                <w:lang w:val="en-US" w:eastAsia="zh-CN"/>
              </w:rPr>
              <w:t>赵祖钰</w:t>
            </w:r>
          </w:p>
          <w:p>
            <w:pPr>
              <w:spacing w:line="240" w:lineRule="atLeast"/>
              <w:rPr>
                <w:rFonts w:hint="eastAsia" w:ascii="宋体" w:hAnsi="宋体" w:eastAsia="宋体" w:cs="宋体"/>
                <w:color w:val="000000"/>
                <w:sz w:val="24"/>
                <w:lang w:eastAsia="zh-CN"/>
              </w:rPr>
            </w:pPr>
            <w:r>
              <w:rPr>
                <w:rFonts w:hint="eastAsia" w:ascii="宋体" w:hAnsi="宋体" w:cs="宋体"/>
                <w:color w:val="000000"/>
                <w:sz w:val="24"/>
              </w:rPr>
              <w:t>电话：</w:t>
            </w:r>
            <w:r>
              <w:rPr>
                <w:rFonts w:hint="eastAsia" w:ascii="宋体" w:hAnsi="宋体" w:cs="宋体"/>
                <w:color w:val="000000"/>
                <w:sz w:val="24"/>
                <w:u w:val="single"/>
                <w:lang w:val="en-US" w:eastAsia="zh-CN"/>
              </w:rPr>
              <w:t>19999285908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ascii="宋体" w:hAnsi="宋体" w:cs="宋体"/>
                <w:sz w:val="24"/>
                <w:u w:val="single"/>
              </w:rPr>
            </w:pPr>
            <w:r>
              <w:rPr>
                <w:rFonts w:hint="eastAsia" w:ascii="宋体" w:hAnsi="宋体" w:cs="宋体"/>
                <w:color w:val="000000"/>
                <w:sz w:val="24"/>
              </w:rPr>
              <w:t>地址：</w:t>
            </w:r>
            <w:r>
              <w:rPr>
                <w:rFonts w:hint="eastAsia" w:ascii="宋体" w:hAnsi="宋体"/>
                <w:sz w:val="24"/>
                <w:u w:val="single"/>
              </w:rPr>
              <w:t>巴楚县住房和城乡建设局</w:t>
            </w:r>
          </w:p>
          <w:p>
            <w:pPr>
              <w:spacing w:line="240" w:lineRule="atLeast"/>
              <w:rPr>
                <w:rFonts w:ascii="宋体" w:hAnsi="宋体" w:cs="宋体"/>
                <w:color w:val="000000"/>
                <w:sz w:val="24"/>
              </w:rPr>
            </w:pPr>
            <w:r>
              <w:rPr>
                <w:rFonts w:hint="eastAsia" w:ascii="宋体" w:hAnsi="宋体" w:cs="宋体"/>
                <w:sz w:val="24"/>
              </w:rPr>
              <w:t>电话：</w:t>
            </w:r>
            <w:r>
              <w:rPr>
                <w:rFonts w:hint="eastAsia" w:ascii="宋体" w:hAnsi="宋体" w:cs="宋体"/>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5"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hint="eastAsia" w:ascii="宋体" w:hAnsi="宋体" w:eastAsia="宋体" w:cs="宋体"/>
                <w:color w:val="000000"/>
                <w:sz w:val="24"/>
                <w:lang w:val="en-US" w:eastAsia="zh-CN"/>
              </w:rPr>
            </w:pPr>
            <w:r>
              <w:rPr>
                <w:rFonts w:hint="eastAsia" w:ascii="宋体" w:hAnsi="宋体" w:cs="Arial"/>
                <w:bCs/>
                <w:color w:val="000000"/>
                <w:kern w:val="0"/>
                <w:sz w:val="24"/>
                <w:highlight w:val="none"/>
                <w:lang w:val="en-US" w:eastAsia="zh-CN"/>
              </w:rPr>
              <w:t>项目最高限价2654858.94</w:t>
            </w:r>
            <w:r>
              <w:rPr>
                <w:rFonts w:hint="eastAsia" w:ascii="宋体" w:hAnsi="宋体" w:eastAsia="宋体" w:cs="Arial"/>
                <w:bCs/>
                <w:color w:val="000000"/>
                <w:kern w:val="0"/>
                <w:sz w:val="24"/>
                <w:highlight w:val="none"/>
                <w:lang w:val="en-US" w:eastAsia="zh-CN"/>
              </w:rPr>
              <w:t>元</w:t>
            </w:r>
            <w:r>
              <w:rPr>
                <w:rFonts w:hint="eastAsia" w:ascii="宋体" w:hAnsi="宋体" w:cs="Arial"/>
                <w:bCs/>
                <w:color w:val="000000"/>
                <w:kern w:val="0"/>
                <w:sz w:val="24"/>
                <w:highlight w:val="none"/>
                <w:lang w:val="en-US" w:eastAsia="zh-CN"/>
              </w:rPr>
              <w:t>（贰佰陆拾伍万肆仟捌佰伍拾捌圆玖角肆分）</w:t>
            </w:r>
            <w:r>
              <w:rPr>
                <w:rFonts w:hint="eastAsia" w:ascii="宋体" w:hAnsi="宋体" w:eastAsia="宋体" w:cs="Arial"/>
                <w:bCs/>
                <w:color w:val="000000"/>
                <w:kern w:val="0"/>
                <w:sz w:val="24"/>
                <w:highlight w:val="none"/>
                <w:lang w:val="en-US" w:eastAsia="zh-CN"/>
              </w:rPr>
              <w:t>;</w:t>
            </w:r>
            <w:r>
              <w:rPr>
                <w:rFonts w:hint="eastAsia" w:ascii="宋体" w:hAnsi="宋体" w:cs="Arial"/>
                <w:bCs/>
                <w:color w:val="000000"/>
                <w:kern w:val="0"/>
                <w:sz w:val="24"/>
                <w:highlight w:val="none"/>
              </w:rPr>
              <w:t>服务期限:</w:t>
            </w:r>
            <w:r>
              <w:rPr>
                <w:rFonts w:hint="eastAsia" w:ascii="宋体" w:hAnsi="宋体" w:cs="Arial"/>
                <w:bCs/>
                <w:color w:val="000000"/>
                <w:kern w:val="0"/>
                <w:sz w:val="24"/>
                <w:highlight w:val="none"/>
                <w:lang w:val="en-US" w:eastAsia="zh-CN"/>
              </w:rPr>
              <w:t>期限为1个月</w:t>
            </w:r>
            <w:r>
              <w:rPr>
                <w:rFonts w:hint="eastAsia" w:ascii="宋体" w:hAnsi="宋体" w:cs="Arial"/>
                <w:bCs/>
                <w:color w:val="000000"/>
                <w:kern w:val="0"/>
                <w:sz w:val="24"/>
                <w:highlight w:val="none"/>
              </w:rPr>
              <w:t>;</w:t>
            </w:r>
            <w:r>
              <w:rPr>
                <w:rFonts w:hint="eastAsia" w:ascii="宋体" w:hAnsi="宋体" w:cs="Arial"/>
                <w:bCs/>
                <w:color w:val="000000"/>
                <w:kern w:val="0"/>
                <w:sz w:val="24"/>
                <w:highlight w:val="none"/>
                <w:lang w:eastAsia="zh-CN"/>
              </w:rPr>
              <w:t>供货</w:t>
            </w:r>
            <w:r>
              <w:rPr>
                <w:rFonts w:hint="eastAsia" w:ascii="宋体" w:hAnsi="宋体" w:cs="Arial"/>
                <w:bCs/>
                <w:color w:val="000000"/>
                <w:kern w:val="0"/>
                <w:sz w:val="24"/>
                <w:highlight w:val="none"/>
              </w:rPr>
              <w:t>地点:巴楚县</w:t>
            </w:r>
            <w:r>
              <w:rPr>
                <w:rFonts w:hint="eastAsia" w:ascii="宋体" w:hAnsi="宋体" w:cs="Arial"/>
                <w:bCs/>
                <w:color w:val="000000"/>
                <w:kern w:val="0"/>
                <w:sz w:val="24"/>
                <w:highlight w:val="none"/>
                <w:lang w:val="en-US" w:eastAsia="zh-CN"/>
              </w:rPr>
              <w:t>锦绣社区</w:t>
            </w:r>
            <w:r>
              <w:rPr>
                <w:rFonts w:hint="eastAsia" w:ascii="宋体" w:hAnsi="宋体" w:cs="Arial"/>
                <w:bCs/>
                <w:color w:val="000000"/>
                <w:kern w:val="0"/>
                <w:sz w:val="24"/>
                <w:highlight w:val="none"/>
              </w:rPr>
              <w:t>指定地点(具体情况由中标单位和业主在合同中约定)</w:t>
            </w:r>
            <w:r>
              <w:rPr>
                <w:rFonts w:hint="eastAsia" w:ascii="宋体" w:hAnsi="宋体" w:cs="Arial"/>
                <w:bCs/>
                <w:color w:val="000000"/>
                <w:kern w:val="0"/>
                <w:sz w:val="24"/>
                <w:highlight w:val="none"/>
                <w:lang w:eastAsia="zh-CN"/>
              </w:rPr>
              <w:t>；付款</w:t>
            </w:r>
            <w:bookmarkStart w:id="747" w:name="_GoBack"/>
            <w:bookmarkEnd w:id="747"/>
            <w:r>
              <w:rPr>
                <w:rFonts w:hint="eastAsia" w:ascii="宋体" w:hAnsi="宋体" w:cs="Arial"/>
                <w:bCs/>
                <w:color w:val="000000"/>
                <w:kern w:val="0"/>
                <w:sz w:val="24"/>
                <w:highlight w:val="none"/>
                <w:lang w:eastAsia="zh-CN"/>
              </w:rPr>
              <w:t>方式：</w:t>
            </w:r>
            <w:r>
              <w:rPr>
                <w:rFonts w:hint="eastAsia" w:ascii="宋体" w:hAnsi="宋体" w:cs="Arial"/>
                <w:bCs/>
                <w:color w:val="000000"/>
                <w:kern w:val="0"/>
                <w:sz w:val="24"/>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rPr>
              <w:fldChar w:fldCharType="begin"/>
            </w:r>
            <w:r>
              <w:rPr>
                <w:rFonts w:hint="eastAsia" w:ascii="宋体" w:hAnsi="宋体" w:cs="宋体"/>
                <w:color w:val="000000"/>
                <w:sz w:val="24"/>
              </w:rPr>
              <w:instrText xml:space="preserve"> eq \o\ac(□</w:instrText>
            </w:r>
            <w:r>
              <w:rPr>
                <w:rFonts w:hint="eastAsia" w:ascii="宋体" w:hAnsi="宋体" w:cs="宋体"/>
                <w:color w:val="000000"/>
                <w:sz w:val="24"/>
                <w:lang w:eastAsia="zh-CN"/>
              </w:rPr>
              <w:instrText xml:space="preserve">,</w:instrText>
            </w:r>
            <w:r>
              <w:rPr>
                <w:rFonts w:hint="eastAsia" w:ascii="宋体" w:hAnsi="宋体" w:cs="宋体"/>
                <w:color w:val="000000"/>
                <w:position w:val="2"/>
                <w:sz w:val="16"/>
                <w:lang w:eastAsia="zh-CN"/>
              </w:rPr>
              <w:instrText xml:space="preserve">√</w:instrText>
            </w:r>
            <w:r>
              <w:rPr>
                <w:rFonts w:hint="eastAsia" w:ascii="宋体" w:hAnsi="宋体" w:cs="宋体"/>
                <w:color w:val="000000"/>
                <w:sz w:val="24"/>
              </w:rPr>
              <w:instrText xml:space="preserve">)</w:instrText>
            </w:r>
            <w:r>
              <w:rPr>
                <w:rFonts w:hint="eastAsia" w:ascii="宋体" w:hAnsi="宋体" w:cs="宋体"/>
                <w:color w:val="000000"/>
                <w:sz w:val="24"/>
              </w:rPr>
              <w:fldChar w:fldCharType="end"/>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rPr>
            </w:pPr>
            <w:r>
              <w:rPr>
                <w:rFonts w:hint="eastAsia" w:ascii="宋体" w:hAnsi="宋体" w:cs="宋体"/>
                <w:color w:val="000000"/>
                <w:sz w:val="24"/>
              </w:rPr>
              <w:t>保证金数额：</w:t>
            </w:r>
            <w:r>
              <w:rPr>
                <w:rFonts w:hint="eastAsia" w:ascii="宋体" w:hAnsi="宋体" w:cs="宋体"/>
                <w:color w:val="000000"/>
                <w:sz w:val="24"/>
                <w:lang w:val="en-US" w:eastAsia="zh-CN"/>
              </w:rPr>
              <w:t>50</w:t>
            </w:r>
            <w:r>
              <w:rPr>
                <w:rFonts w:hint="eastAsia" w:ascii="宋体" w:hAnsi="宋体" w:cs="宋体"/>
                <w:color w:val="000000"/>
                <w:sz w:val="24"/>
              </w:rPr>
              <w:t>000.00元大写：</w:t>
            </w:r>
            <w:r>
              <w:rPr>
                <w:rFonts w:hint="eastAsia" w:ascii="宋体" w:hAnsi="宋体" w:cs="宋体"/>
                <w:color w:val="000000"/>
                <w:sz w:val="24"/>
                <w:lang w:val="en-US" w:eastAsia="zh-CN"/>
              </w:rPr>
              <w:t>伍万</w:t>
            </w:r>
            <w:r>
              <w:rPr>
                <w:rFonts w:hint="eastAsia" w:ascii="宋体" w:hAnsi="宋体" w:cs="宋体"/>
                <w:color w:val="000000"/>
                <w:sz w:val="24"/>
              </w:rPr>
              <w:t>元整（人民币）</w:t>
            </w:r>
          </w:p>
          <w:p>
            <w:pPr>
              <w:spacing w:line="240" w:lineRule="atLeast"/>
              <w:ind w:firstLine="422" w:firstLineChars="175"/>
              <w:rPr>
                <w:rFonts w:ascii="仿宋_GB2312" w:eastAsia="仿宋_GB2312"/>
                <w:b/>
                <w:bCs/>
                <w:sz w:val="24"/>
              </w:rPr>
            </w:pPr>
            <w:r>
              <w:rPr>
                <w:rFonts w:hint="eastAsia" w:ascii="仿宋_GB2312" w:eastAsia="仿宋_GB2312"/>
                <w:b/>
                <w:bCs/>
                <w:sz w:val="24"/>
              </w:rPr>
              <w:t>账户名称：巴楚县行政服务中心</w:t>
            </w:r>
          </w:p>
          <w:p>
            <w:pPr>
              <w:spacing w:line="240" w:lineRule="atLeast"/>
              <w:ind w:firstLine="422" w:firstLineChars="175"/>
              <w:rPr>
                <w:rFonts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ascii="宋体" w:hAnsi="宋体" w:cs="宋体"/>
                <w:color w:val="000000"/>
                <w:sz w:val="24"/>
              </w:rPr>
            </w:pPr>
            <w:r>
              <w:rPr>
                <w:rFonts w:hint="eastAsia" w:ascii="仿宋_GB2312" w:eastAsia="仿宋_GB2312"/>
                <w:b/>
                <w:bCs/>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21年</w:t>
            </w:r>
            <w:r>
              <w:rPr>
                <w:rFonts w:hint="eastAsia" w:ascii="仿宋_GB2312" w:eastAsia="仿宋_GB2312"/>
                <w:b/>
                <w:bCs/>
                <w:sz w:val="24"/>
                <w:lang w:val="en-US" w:eastAsia="zh-CN"/>
              </w:rPr>
              <w:t>10</w:t>
            </w:r>
            <w:r>
              <w:rPr>
                <w:rFonts w:hint="eastAsia" w:ascii="仿宋_GB2312" w:eastAsia="仿宋_GB2312"/>
                <w:b/>
                <w:bCs/>
                <w:sz w:val="24"/>
              </w:rPr>
              <w:t>月</w:t>
            </w:r>
            <w:r>
              <w:rPr>
                <w:rFonts w:hint="eastAsia" w:ascii="仿宋_GB2312" w:eastAsia="仿宋_GB2312"/>
                <w:b/>
                <w:bCs/>
                <w:sz w:val="24"/>
                <w:lang w:val="en-US" w:eastAsia="zh-CN"/>
              </w:rPr>
              <w:t>29</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rPr>
              <w:t>1时0</w:t>
            </w:r>
            <w:r>
              <w:rPr>
                <w:rFonts w:ascii="仿宋_GB2312" w:eastAsia="仿宋_GB2312"/>
                <w:b/>
                <w:bCs/>
                <w:sz w:val="24"/>
              </w:rPr>
              <w:t>0</w:t>
            </w:r>
            <w:r>
              <w:rPr>
                <w:rFonts w:hint="eastAsia" w:ascii="仿宋_GB2312" w:eastAsia="仿宋_GB2312"/>
                <w:b/>
                <w:bCs/>
                <w:sz w:val="24"/>
              </w:rPr>
              <w:t>分（以到行政服务中心账户时间为准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highlight w:val="none"/>
                <w:u w:val="single"/>
              </w:rPr>
            </w:pPr>
            <w:r>
              <w:rPr>
                <w:rFonts w:hint="eastAsia" w:ascii="宋体" w:hAnsi="宋体" w:cs="宋体"/>
                <w:sz w:val="24"/>
                <w:highlight w:val="none"/>
              </w:rPr>
              <w:t>投标截止时间：</w:t>
            </w:r>
            <w:r>
              <w:rPr>
                <w:rFonts w:hint="eastAsia" w:ascii="宋体" w:hAnsi="宋体" w:cs="宋体"/>
                <w:color w:val="000000"/>
                <w:sz w:val="24"/>
                <w:highlight w:val="none"/>
                <w:u w:val="single"/>
              </w:rPr>
              <w:t>2021年</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29</w:t>
            </w:r>
            <w:r>
              <w:rPr>
                <w:rFonts w:hint="eastAsia" w:ascii="宋体" w:hAnsi="宋体" w:cs="宋体"/>
                <w:color w:val="000000"/>
                <w:sz w:val="24"/>
                <w:highlight w:val="none"/>
                <w:u w:val="single"/>
              </w:rPr>
              <w:t>日上午11:00</w:t>
            </w:r>
          </w:p>
          <w:p>
            <w:pPr>
              <w:spacing w:line="240" w:lineRule="atLeast"/>
              <w:rPr>
                <w:rFonts w:ascii="宋体" w:hAnsi="宋体" w:cs="宋体"/>
                <w:color w:val="000000"/>
                <w:sz w:val="24"/>
                <w:highlight w:val="none"/>
              </w:rPr>
            </w:pPr>
            <w:r>
              <w:rPr>
                <w:rFonts w:hint="eastAsia" w:ascii="宋体" w:hAnsi="宋体" w:cs="宋体"/>
                <w:sz w:val="24"/>
                <w:highlight w:val="none"/>
              </w:rPr>
              <w:t>投标文件递交地点：</w:t>
            </w:r>
            <w:r>
              <w:rPr>
                <w:rFonts w:hint="eastAsia" w:ascii="宋体" w:hAnsi="宋体" w:cs="宋体"/>
                <w:color w:val="000000"/>
                <w:sz w:val="24"/>
                <w:highlight w:val="none"/>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开标时间：</w:t>
            </w:r>
            <w:r>
              <w:rPr>
                <w:rFonts w:hint="eastAsia" w:ascii="宋体" w:hAnsi="宋体" w:cs="宋体"/>
                <w:color w:val="000000"/>
                <w:sz w:val="24"/>
                <w:highlight w:val="none"/>
                <w:u w:val="single"/>
              </w:rPr>
              <w:t>2021年</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29</w:t>
            </w:r>
            <w:r>
              <w:rPr>
                <w:rFonts w:hint="eastAsia" w:ascii="宋体" w:hAnsi="宋体" w:cs="宋体"/>
                <w:color w:val="000000"/>
                <w:sz w:val="24"/>
                <w:highlight w:val="none"/>
                <w:u w:val="single"/>
              </w:rPr>
              <w:t>日上午11:00</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开标地点：</w:t>
            </w:r>
            <w:r>
              <w:rPr>
                <w:rFonts w:hint="eastAsia" w:ascii="宋体" w:hAnsi="宋体" w:cs="宋体"/>
                <w:color w:val="000000"/>
                <w:sz w:val="24"/>
                <w:highlight w:val="none"/>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4" w:name="_Toc518923126"/>
      <w:bookmarkStart w:id="495" w:name="_Toc21132"/>
      <w:bookmarkStart w:id="496" w:name="_Toc507399906"/>
      <w:bookmarkStart w:id="497" w:name="_Toc216513787"/>
      <w:bookmarkStart w:id="498" w:name="_Toc7112"/>
      <w:bookmarkStart w:id="499" w:name="_Toc29079_WPSOffice_Level1"/>
      <w:bookmarkStart w:id="500" w:name="_Toc216582825"/>
      <w:bookmarkStart w:id="501" w:name="_Toc219175638"/>
      <w:bookmarkStart w:id="502" w:name="_Toc219175635"/>
      <w:bookmarkStart w:id="503" w:name="_Toc218935354"/>
      <w:bookmarkStart w:id="504" w:name="_Toc512937852"/>
      <w:bookmarkStart w:id="505" w:name="_Toc216582811"/>
      <w:bookmarkStart w:id="506" w:name="_Toc218935351"/>
      <w:r>
        <w:rPr>
          <w:rFonts w:hint="eastAsia" w:ascii="宋体" w:hAnsi="宋体" w:cs="宋体"/>
          <w:b/>
          <w:kern w:val="0"/>
          <w:sz w:val="32"/>
          <w:szCs w:val="32"/>
        </w:rPr>
        <w:t>资格审查表</w:t>
      </w:r>
    </w:p>
    <w:p>
      <w:pPr>
        <w:rPr>
          <w:rFonts w:ascii="宋体" w:hAnsi="宋体" w:cs="宋体"/>
        </w:rPr>
      </w:pPr>
    </w:p>
    <w:tbl>
      <w:tblPr>
        <w:tblStyle w:val="18"/>
        <w:tblW w:w="11700" w:type="dxa"/>
        <w:jc w:val="center"/>
        <w:tblLayout w:type="fixed"/>
        <w:tblCellMar>
          <w:top w:w="0" w:type="dxa"/>
          <w:left w:w="108" w:type="dxa"/>
          <w:bottom w:w="0" w:type="dxa"/>
          <w:right w:w="108" w:type="dxa"/>
        </w:tblCellMar>
      </w:tblPr>
      <w:tblGrid>
        <w:gridCol w:w="1484"/>
        <w:gridCol w:w="4638"/>
        <w:gridCol w:w="4005"/>
        <w:gridCol w:w="1573"/>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864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573" w:type="dxa"/>
            <w:tcBorders>
              <w:top w:val="single" w:color="auto" w:sz="4" w:space="0"/>
              <w:left w:val="nil"/>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63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400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kern w:val="0"/>
                <w:sz w:val="22"/>
                <w:szCs w:val="22"/>
              </w:rPr>
            </w:pPr>
            <w:r>
              <w:rPr>
                <w:rFonts w:hint="eastAsia" w:ascii="仿宋_GB2312" w:hAnsi="宋体" w:eastAsia="仿宋_GB2312" w:cs="宋体"/>
                <w:kern w:val="0"/>
                <w:sz w:val="20"/>
                <w:szCs w:val="20"/>
              </w:rPr>
              <w:t>法人代表资格证明书或法人授权委托书原件及其人员有效证件（如身份证原件），开标现场授权委托人需与投标文件中保持一致</w:t>
            </w:r>
          </w:p>
        </w:tc>
        <w:tc>
          <w:tcPr>
            <w:tcW w:w="1573" w:type="dxa"/>
            <w:tcBorders>
              <w:left w:val="nil"/>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6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400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6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400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6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400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6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400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9887"/>
      <w:bookmarkStart w:id="508" w:name="_Toc515647831"/>
      <w:bookmarkStart w:id="509" w:name="_Toc22779"/>
      <w:bookmarkStart w:id="510" w:name="_Toc9032"/>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int="eastAsia" w:hAnsi="宋体" w:eastAsia="宋体"/>
          <w:color w:val="000000"/>
          <w:kern w:val="0"/>
          <w:sz w:val="24"/>
          <w:lang w:eastAsia="zh-CN"/>
        </w:rPr>
      </w:pPr>
      <w:r>
        <w:rPr>
          <w:rFonts w:hint="eastAsia" w:hAnsi="宋体"/>
          <w:color w:val="000000"/>
          <w:kern w:val="0"/>
          <w:sz w:val="24"/>
        </w:rPr>
        <w:t>第5章服务需求一览表及技术规格</w:t>
      </w:r>
      <w:bookmarkEnd w:id="507"/>
      <w:bookmarkEnd w:id="508"/>
      <w:bookmarkEnd w:id="509"/>
      <w:bookmarkEnd w:id="510"/>
    </w:p>
    <w:tbl>
      <w:tblPr>
        <w:tblStyle w:val="18"/>
        <w:tblW w:w="14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2715"/>
        <w:gridCol w:w="2715"/>
        <w:gridCol w:w="795"/>
        <w:gridCol w:w="960"/>
        <w:gridCol w:w="6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空间</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子项目名称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定制业务接待台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1.12人位，生态烤漆环保板、带柜子；L20*W0.6*H0.75、造型业务接待台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1.钢制脚、人体工学、气压升降、可旋转、尺寸65*31*59</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定制导询台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1.L1.8*W0.6*H1.05,造型桌，白色烤漆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精工钛金字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1.16个精工钛晶字、130*130mm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定制异形线条灯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1.名称:定制异形线条灯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2.规格:超薄、3*0.2 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防眩光护眼白板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服务清单 70*90cm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定制牛皮纸墙面广告卷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拉杆纸张 70*90cm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定制造型墙+广告氛围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1.面积约23平方、底层处理、铲除原粉刷层，密度板(1.2CM)+石膏板3遍+胰子粉3平+打磨、找平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2.20D进口水晶布喷绘+糯米胶安装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3.8个亚克力发光字（536mm）+10个亚克力水晶立体字（100mm）+亚克力党徽（400mm）+亚克力喷绘(1500*200mm)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4.钛金色包边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5.电路安装、调试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1.96个PVC立体字、字高100mm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3.底层处理，约10个平方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定制艺术沙发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1.定制3人位布艺沙发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定制党徽造型灯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2.规格:超薄、党徽造型、约1.4米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智能会议平板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采用专业硬屏技术，可视角度大，响应速度快，色彩还原度高，手压无水波纹变形；</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1200：1 超高对比度，画面显示更鲜明，色彩表现更出众； </w:t>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采用直下式 LED 背光模式，亮度表现更均匀； </w:t>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视角可达 178°，趋近于水平；</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工业级设高可靠性、高稳定性、低功耗，寿命长达 30000 小时</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采用 MSD6A828，搭配 ARM Cortex A53 四核处理器，系统运行流畅，搭载 Mail-450 GPU</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改善图像细节，画面表现更唯美</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可支持 10 点触控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尺寸 86”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背光类型 D-LED</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分辨率 3840×2160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显示尺寸（mm） 1895.04(H)×1065.96(V)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像素点距（mm） 0.4935(H) x 0.4935(V)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响应时间 8ms (typ.)</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亮度 400nit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对比度 1200:1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可视角度 178°（垂直，水平）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色彩 1.07B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色饱和度(x% NTSC) 65%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显示比例 16:9</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刷新频率 60Hz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方案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Scalar MSD6A828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架构 ARM Cortex A53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工作主频 1.4GHz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核心数 四核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GPU Mali-450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内部缓存容量（RAM） 2GB DDR3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内部存储容量（ROM） 8GB/16GB/32GB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触摸规格 红外触摸框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玻璃规格 4 mm 钢化玻璃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相应速度 &lt;15ms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触摸精度 90%以上的触摸区域为±2 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输出形式 HID 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理论点击次数 无限次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触摸直径 ≥6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精工钛晶字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1.16个精工钛晶字、130*130mm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1.卷轴式书画（约1.6*0.7）</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1.PVC 喷绘、UV、尺寸0.8*0.6米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1.软木制作、1280*3650mm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2.木框包边、刷油漆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3.3个PVC立体字字高120mm、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1.亚克力雕刻立体字+造型、约2.3平方（我为群众办实事）字高150mm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1.飞入寻常百姓家、尺寸长3450*高2900mm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2.进口水晶布+3D打印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3.17个立体字字高150mm、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4.糯米胶安装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1.组织架构、长2250*高2100mm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2.进口水晶布+3D打印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3.4个立体字、字高150mm、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4.糯米胶安装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1.2018~2020（22.5平方）、长7400*高3050mm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2.进口水晶布+3D打印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3.立体字字体100mm、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4.糯米胶安装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环保低柜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环保生态板、厚度17mm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环保柜子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环保生态板、厚度17mm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定制大理石台面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1.人造大理石、（580*3040）两个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2.切割、安装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加长吊杆吊线筒灯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1.名称:定制造型线条灯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2.规格:超薄、2*0.2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环保生态板、厚度17mm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定制广告进口水晶布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进口水晶布、糯米胶安装、墙面铲除、批石膏粉、胰子粉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共享展厅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智能会议平板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采用专业硬屏技术，可视角度大，响应速度快，色彩还原度高，手压无水波纹变形；</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1200：1 超高对比度，画面显示更鲜明，色彩表现更出众； </w:t>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采用直下式 LED 背光模式，亮度表现更均匀； </w:t>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视角可达 178°，趋近于水平；</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工业级设计，高可靠性、高稳定性、低功耗，寿命长达 30000 小时</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采用 MSD6A828，搭配 ARM Cortex A53 四核处理器，系统运行流畅，搭载 Mail-450 GPU</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改善图像细节，画面表现更唯美</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可支持 10 点触控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尺寸 86”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背光类型 D-LED</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分辨率 3840×2160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显示尺寸（mm） 1895.04(H)×1065.96(V)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像素点距（mm） 0.4935(H) x 0.4935(V)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响应时间 8ms (typ.)</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亮度 400nit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对比度 1200:1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可视角度 178°（垂直，水平）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色彩 1.07B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色饱和度(x% NTSC) 65%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显示比例 16:9</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刷新频率 60Hz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架构 ARM Cortex A53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工作主频 1.4GHz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核心数 四核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GPU Mali-450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内部缓存容量（RAM） 2GB DDR3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内部存储容量（ROM） 8GB/16GB/32GB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触摸规格 红外触摸框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玻璃规格 4 mm 钢化玻璃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相应速度 &lt;15ms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触摸精度 90%以上的触摸区域为±2 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输出形式 HID 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理论点击次数 无限次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触摸直径 ≥6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共享展厅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屏幕参数 屏幕尺寸  55英寸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屏幕分辨率 3840*2160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显示比例 16：9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刷新频率 60Hz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屏幕技术LCD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背光方式侧入式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亮度≥250cd/m2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对比度1200:1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色域 （NTSC）72%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可视角度178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低蓝光 支持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防眩光 支持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无频闪 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操作系统 安卓 9.0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中央处理器（SOC） T972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CPU架构 Cortex-A55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CPU主频 1.9GHz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图形处理器（GPU）4*ARM Mali-G31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运行内存 2G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存储内存 32G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主机参数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HDMI接口 HDMI2.0*2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USB接口  USB2.0*2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1.安装、调试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2.1年质保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共享展厅</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共享展厅电子设备智慧联合操控系统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对全场展示类显示屏进行总体控制（单个程序内，所有内容整体更换，支持媒体发布和交互，实现集中化，一体化管理）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共享展厅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超薄展厅射灯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[项目特征]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1.名称：展厅射灯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2.规格:超薄、30W、4000K</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共享展厅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滑动轨道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1.部位：滑动轨道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F\2 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1.温热款，304不锈钢内胆，立式小型办公室桶装水自动款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共享展厅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精装修展厅氛围营造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墙面126平方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1.进口水晶布+20D打印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2.糯米胶安装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共享展厅</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精装修展厅石膏板  隔断墙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3.基层板铺贴+双层密度板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6.刷防护材料、三棵树白乳胶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就业指导中心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电子智慧黑板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1.非标定制3米长移动黑板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2.75寸触控电脑电视I5处理器、4G内存、128G存储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就业指导中心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1.1.2*0.6、E1级环保木板材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就业指导中心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尺寸53*53*94、弓形椅脚、不可旋转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就业指导中心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就业指导中心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就业指导中心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造型艺术造型吊顶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就业指导中心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2.规格:超薄、2.4*0.2m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档案室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环保办公桌椅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1.桌子2*0.6、E1级环保木板材、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2.椅子尺寸53*53*94cm、弓形椅脚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档案室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环保定制窗帘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档案室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2.规格:超薄、2.9*0.2m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档案室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双层亚克力+高清海报、0.7*0.52m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档案室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1.PVC+UV打印、约3.6平方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档案室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专业档案柜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铁皮柜钢制、尺寸1.8*0.85*0.39m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保密室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专业档案柜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铁皮柜钢制、尺寸1.8*0.85*0.39m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保密室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2.规格:超薄、2.9*0.2m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保密室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双层亚克力+海报、0.7*0.52m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保密室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1.含柜子、1.2米*0.6m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椅子尺寸53*53*94cm、弓形椅脚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双层亚克力+海报、0.7*0.52m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定制精品铁皮柜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铁皮柜钢制、尺寸1.8*0.85*0.39m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2.规格:超薄、3.3*0.2m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56.24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群众工作站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环保生态板、厚度17mm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1.1.8*0.8m;侧柜1.8*0.4m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钢制脚、气压升降、可旋转、尺寸65*31*59cm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精装修吊顶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2.规格:超薄、3.3*0.2m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双层亚克力+海报、0.7*0.52m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定制造型墙+氛围营造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1.约20平方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2.铺设龙骨、铺设水波纹板20平方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3.铺设石膏板3.8平方、胰子粉、石膏粉粉刷、打磨、国旗红颜色粉刷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4.亚克力立体字安装（161~480mm）字高）8个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5.亚克力喷绘画面安装、亚克力党徽安装、一块（230*650）、一块（1320*1240）、党徽约250mm高度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定制艺术沙发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1.定制3人位布艺沙发+1个单人位置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1.16人位的，约5米*1.5*0.75m、木板厚度40mm+、E1级环保木板材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尺寸53*53*94cm、弓形椅脚、不可旋转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定制艺术茶几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双圆型（0.7+0.5m）、钢化玻璃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环保柜子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环保生态板、厚度17mm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环保生态板、厚度17mm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智能会议平板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采用专业硬屏技术，可视角度大，响应速度快，色彩还原度高，手压无水波纹变形；</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1200：1 超高对比度，画面显示更鲜明，色彩表现更出众； </w:t>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采用直下式 LED 背光模式，亮度表现更均匀； </w:t>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视角可达 178°，趋近于水平；</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工业级设计，高可靠性、高稳定性、低功耗，寿命长达 30000 小时</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采用 MSD6A828，搭配 ARM Cortex A53 四核处理器，系统运行流畅，搭载 Mail-450 GPU</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改善图像细节，画面表现更唯美</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可支持 10 点触控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尺寸 86”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背光类型 D-LED</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分辨率 3840×2160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显示尺寸（mm） 1895.04(H)×1065.96(V)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像素点距（mm） 0.4935(H) x 0.4935(V)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响应时间 8ms (typ.)</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亮度 400nit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对比度 1200:1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可视角度 178°（垂直，水平）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色彩 1.07B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色饱和度(x% NTSC) 65%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显示比例 16:9</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刷新频率 60Hz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架构 ARM Cortex A53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工作主频 1.4GHz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核心数 四核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GPU Mali-450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内部缓存容量（RAM） 2GB DDR3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内部存储容量（ROM） 8GB/16GB/32GB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触摸规格 红外触摸框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玻璃规格 4 mm 钢化玻璃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相应速度 &lt;15ms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触摸精度 90%以上的触摸区域为±2 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输出形式 HID 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理论点击次数 无限次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触摸直径 ≥6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1F书记、主任办公室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专用移动支架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1.电视可移动支架、高度1.56~2.1米可调、承重90kg.</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党建办公室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1.含柜子、1.2米*0.6m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党建办公室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尺寸53*53*94cm、弓形椅脚、不可旋转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党建办公室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专业档案柜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铁皮柜钢制、尺寸1.8*0.85*0.39m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党建办公室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党建办公室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党建办公室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2.规格:超薄、3*0.2m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党建办公室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27.58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定制环保办公桌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1.1.2*0.6m、E1级环保木板材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尺寸53*53*94cm、弓形椅脚、不可旋转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升降凳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滑轮、钢制架构、可升降圆凳、高密度超软坐垫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定制等候椅子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三人位椅子、钢制架构、1.75*0.67*0.87m、高密度超软坐垫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带洗手盆、环保生态板、厚度17mm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定制大理石台面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1.人造大理石580*2800mm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2.切割、安装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饮水机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1.温热款，304不锈钢内胆，立式小型办公室桶装水自动款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专业药品阴凉柜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400L、单门、风冷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2.规格:超薄、2.85*0.2m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27.58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专业医疗床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专业医疗床、左右翻身、起背功能、中曲落腿、无轮设计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全自动血压仪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全自动智能数字显示、智能自动加压、一键自动测量、综合分析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社区医务室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定制多功能医药箱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1.铝合金+ABS、尺寸35.5*20*22厘米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2.包含、棉签、绷带、镊子、酒精片、碘伏片、手套、创可贴等常用药。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便民警务室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56.61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便民警务室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2.规格:超薄、6*0.9m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便民警务室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便民警务室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便民警务室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监控调度控制台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4联厚款、防火木面、优质冷轧钢板2.4*0.9*0.75m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1F 便民警务室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升级椅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钢制脚、气压升降、可旋转、尺寸65*31*59cm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体育活动室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乒乓球桌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1.专业乒乓球桌、彩虹式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体育活动室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休闲椅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靠背实木椅子腿、PU皮革或塑料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体育活动室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1.PVC+UV打印0.9*0.6m、密度板底面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3F 体育活动室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1.PVC+UV打印、0.7*0.5 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2.密度板底面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体育活动室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2.规格:超薄、120*10*8cm、六边形灯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体育活动室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体育活动室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环保防滑地胶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1.环保防滑专用PVC塑胶地板、4.5mm厚度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1.党建引领,9.83平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2.石膏板艺术造型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3.8个亚克力精工字（字高195mm）+党徽（5445*510）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4.亚克力背喷4块（365*168mm）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定制环保柜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升级椅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钢制脚、气压升降、可旋转、尺寸65*31*59cm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定制休闲圆桌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1，80cm圆桌高75cm、E1级环保密度板、磨砂金属支架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定制休闲椅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优质高密度回弹海绵、金属支架、人体工学设计、椅面棉麻或皮艺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定制环保柜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定制环保柜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定制艺术造型墙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1.装饰条安装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1.名称:LED灯、实心圆形、空心圆形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2.规格:超薄、圆形直径0.4米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群团活动室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1.我们的精神力量（22平方）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2.进口水晶布+20D打印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3.糯米胶安装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加长吊杆吊线筒灯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P1.86 LED显示屏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1.P1.8 LED显示屏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2.尺寸L4.1*H 1.82m、视频处理器1个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3.固定支架制作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4.包边制作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5.调试运行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定制显示屏造型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定制地台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加密木龙骨、环保密度板（12mm）、包边、木地板、直角条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主席台会议桌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1.1.2*0.6*0.76m、油漆实木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1.橡木将军椅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1.主扩全频扬声器 2只 配置70°×60°宽指向性号角,箱体采用多层复合夹板,水性环保喷涂制作，高质量单元配置，高密度板构造，多种吊挂点，操作简易快捷，用于语言会议系统、全频扩声，多功能厅、高级酒店会所等扩声场所。小体积大声压大动态、语言清晰，可以满足不同的扩声场所， 18mm中纤维密度板 。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•中低音喇叭 : 2×15" (190磁Φ75mm)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•高音喇叭 : 1×1.73" (120磁Φ44mm)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•頻響 (±3dB) : 45Hz-18kHz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•额定/峰值功率：1000W /4000W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•阻抗：4欧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•靈敏度 : 102dB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•最大聲壓SPL: 137dB                                                                                                                   •覆蓋角度（H×V） 70°×60°                                                                                                         •产品尺寸（W*D*H）:440W×484D×1160H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2.返场扬声器 2只 •单元构成  低音 1×12" (170磁75mm) 高音 1×1.73"(44mm)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•頻率回應 50Hz-18 KHz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•功率 Rms/Peak  300w / 1200w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•靈敏度 1w/1m 95dB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•最大聲壓 SPL 126dB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•阻抗  8Ω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•覆蓋角度（H×L） 80°×50°    产品尺寸（W*D*H）:594*484*322MM   18MM进口高密度多层夹板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3.主频音响功放 1台 输出功率：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立体声：1000W×2                                                                                                                                                                                                                                  桥接:1500瓦×2 4欧,3000瓦8欧；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输出接口：SPEAKON and Binding                                                                                                                                                                                                                    灵敏度0.77V/1.4V；                                                                                                                                                                                                                    频响:20Hz-20kHz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信噪比:≧95dB；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失真度：≦0.03％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额定输出功率8 Ohm 1KHz 时分离度：&gt;70dB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阻尼系数：&gt;240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转换速率：15V/uS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保护：Soft start,Short Circuit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电源：AC:220-230V 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体积：482×333×88mm，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4.返场扬声供方 1台 输出功率：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立体声：700W×2                                                                                                                                                                                                                                  桥接:1050瓦×2 4欧,2100瓦8欧；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输出接口：SPEAKON and Binding                                                                                                                                                                                                                    灵敏度0.77V/1.4V；                                                                                                                                                                                                                    频响:20Hz-20kHz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信噪比:≧95dB；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失真度：≦0.03％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额定输出功率8 Ohm 1KHz 时分离度：&gt;70dB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阻尼系数：&gt;240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转换速率：15V/uS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保护：Soft start,Short Circuit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电源：AC:220-230V 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体积：482×333×88mm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5.调音台  一台  6个话筒/12个线路输入2编组母线+1个立体声母线。D-PRE话放带有倒向晶体管电路。单旋钮压缩器，高级效果器SPX，含24组预置效果器。+48幻象供电XLR平衡输出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6.一拖二无线手持话筒  1套  无线话筒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7.电源时序器 1台 ▼2寸彩色液晶智能显示屏，可实时显示当前电压，日期时间，通道开关状态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▼8路开关通道输出，每路延时开户和关闭时间可自由设置（范围0-999秒，单位为秒）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▼每通道独立设有Bypass设置，可ALL Bypass或单独Bypass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▼支持面板LOCK锁定功能，防止误操作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▼内置时钟芯片，可根据日期时间定时设置自动开关机，智能化不须人为操作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▼支持多台设备级联顺序控制，级联自动检测设置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▼配置232接口，支持外部中控设备控制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▼每台设备自带设备编码ID检测和设置，可实现远程集中控制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▼10组设备开关场景数据保存/调用，场景管理应用简单便捷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▼欠压、超压检测及报警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▼增加TCP/IP网口协议，智控更灵活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▼宽电压范围90Ｖ-250Ｖ之间可正常工作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定制异形线条灯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1.名称:LED平板灯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2.规格:超薄、4*0.2m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1.国旗、党旗，PVC+UV打印、雕刻（党徽、五角星）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尺寸 1260*800mm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培训椅子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钢制结构、结实抗压、带豪华写字板、50*55*84cm、安装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18.97</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儿童游乐场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环保地垫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1.1.5cmPVC软垫、安装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儿童游乐场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环保防撞墙贴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1.1.5cmPVC软垫、安装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儿童游乐场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玩具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1.室内滑梯1个、小帐篷1个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2.长颈鹿跷跷板1个、小熊篮球架1个、摩托车1个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3.EPP围墙24米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4.积木桌椅1个、摇摇马1个、音乐摇摇马1个、多功能画板1个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5.甜甜圈1个、按摩球1个、羊角球1个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6.马卡龙海洋球3000个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儿童游乐场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儿童游乐场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2.规格:超薄、3*0.2m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儿童游乐场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1.儿童须知（约1个平方）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2.PVC雕刻、喷涂、安装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环保低柜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定制布艺墩子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40*40*45cm，科技布制作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定制异形圆形灯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1.名称:LED灯、实心圆形、空心圆形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2.规格:超薄、圆形直径0.4米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加长吊杆吊线筒灯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投影仪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1.支持4096*2160分辨率、4K解码、850ANSI国际流明、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1.主扩全频扬声器 2只 配置70°×60°宽指向性号角,箱体采用多层复合夹板,水性环保喷涂制作，高质量单元配置，高密度板构造，多种吊挂点，操作简易快捷，用于语言会议系统、全频扩声，多功能厅、高级酒店会所等扩声场所。小体积大声压大动态、语言清晰，可以满足不同的扩声场所， 18mm中纤维密度板 。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•中低音喇叭 : 2×15" (190磁Φ75mm)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•高音喇叭 : 1×1.73" (120磁Φ44mm)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•頻響 (±3dB) : 45Hz-18kHz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•额定/峰值功率：1000W /4000W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•阻抗：4欧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•靈敏度 : 102dB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•最大聲壓SPL: 137dB                                                                                                                   •覆蓋角度（H×V） 70°×60°                                                                                                         •产品尺寸（W*D*H）:440W×484D×1160H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2.返场扬声器 2只 •单元构成  低音 1×12" (170磁75mm) 高音 1×1.73"(44mm)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•頻率回應 50Hz-18 KHz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•功率 Rms/Peak  300w / 1200w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•靈敏度 1w/1m 95dB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•最大聲壓 SPL 126dB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•阻抗  8Ω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•覆蓋角度（H×L） 80°×50°    产品尺寸（W*D*H）:594*484*322MM   18MM进口高密度多层夹板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3.主频音响功放 1台 输出功率：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立体声：1000W×2                                                                                                                                                                                                                                  桥接:1500瓦×2 4欧,3000瓦8欧；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输出接口：SPEAKON and Binding                                                                                                                                                                                                                    灵敏度0.77V/1.4V；                                                                                                                                                                                                                    频响:20Hz-20kHz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信噪比:≧95dB；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失真度：≦0.03％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额定输出功率8 Ohm 1KHz 时分离度：&gt;70dB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阻尼系数：&gt;240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转换速率：15V/uS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保护：Soft start,Short Circuit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电源：AC:220-230V 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体积：482×333×88mm，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4.返场扬声供方 1台 输出功率：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立体声：700W×2                                                                                                                                                                                                                                  桥接:1050瓦×2 4欧,2100瓦8欧；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输出接口：SPEAKON and Binding                                                                                                                                                                                                                    灵敏度0.77V/1.4V；                                                                                                                                                                                                                    频响:20Hz-20kHz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信噪比:≧95dB；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失真度：≦0.03％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额定输出功率8 Ohm 1KHz 时分离度：&gt;70dB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阻尼系数：&gt;240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转换速率：15V/uS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保护：Soft start,Short Circuit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电源：AC:220-230V 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体积：482×333×88mm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5.调音台  一台  6个话筒/12个线路输入2编组母线+1个立体声母线。D-PRE话放带有倒向晶体管电路。单旋钮压缩器，高级效果器SPX，含24组预置效果器。+48幻象供电XLR平衡输出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6.一拖二无线手持话筒  1套  无线话筒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7.电源时序器 1台 ▼2寸彩色液晶智能显示屏，可实时显示当前电压，日期时间，通道开关状态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▼8路开关通道输出，每路延时开户和关闭时间可自由设置（范围0-999秒，单位为秒）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▼每通道独立设有Bypass设置，可ALL Bypass或单独Bypass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▼支持面板LOCK锁定功能，防止误操作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▼内置时钟芯片，可根据日期时间定时设置自动开关机，智能化不须人为操作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▼支持多台设备级联顺序控制，级联自动检测设置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▼配置232接口，支持外部中控设备控制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▼每台设备自带设备编码ID检测和设置，可实现远程集中控制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▼10组设备开关场景数据保存/调用，场景管理应用简单便捷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▼欠压、超压检测及报警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▼增加TCP/IP网口协议，智控更灵活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▼宽电压范围90Ｖ-250Ｖ之间可正常工作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18.53</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1.定制聚酯纤维板吸音板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2.切割、倒角、安装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多功能活动室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精装修石膏板底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2.木龙骨安装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新时代文明实践站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定制异形造型灯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1.名称:定制异形造型灯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2.规格:超薄、120*10*8cm、六边形灯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新时代文明实践站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定制组合桌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1.2米梯形桌（0.6~1.2；0.52m宽度）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新时代文明实践站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尺寸53*53*94cm、、实木椅子脚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新时代文明实践站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1.约55平方，PV立体雕刻、喷绘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新时代文明实践站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环保低柜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新时代文明实践站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新时代文明实践站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7.63</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1.定制弧度造型办公桌，1.8*0.8*0.75m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尺寸53*53*94cm、弓形椅脚、不可旋转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半透明椅子、尺寸44*54*81cm、人体工学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雪山白、直径70cm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异形沙发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1.定制两人位+2个单人位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PVC+UV打印（70*52cm）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超薄嵌入式筒灯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1.开灯孔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环保低柜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艺术造型吊顶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矛盾调解室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1.安装、灯带控制器1个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智能会议平板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采用专业硬屏技术，可视角度大，响应速度快，色彩还原度高，手压无水波纹变形；</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1200：1 超高对比度，画面显示更鲜明，色彩表现更出众； </w:t>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采用直下式 LED 背光模式，亮度表现更均匀； </w:t>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视角可达 178°，趋近于水平；</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工业级设计，高可靠性、高稳定性、低功耗，寿命长达 30000 小时</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采用 MSD6A828，搭配 ARM Cortex A53 四核处理器，系统运行流畅，搭载 Mail-450 GPU</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改善图像细节，画面表现更唯美</w:t>
            </w:r>
            <w:r>
              <w:rPr>
                <w:rFonts w:hint="eastAsia" w:ascii="宋体" w:hAnsi="宋体" w:eastAsia="宋体" w:cs="宋体"/>
                <w:i w:val="0"/>
                <w:color w:val="000000"/>
                <w:kern w:val="0"/>
                <w:sz w:val="24"/>
                <w:szCs w:val="24"/>
                <w:u w:val="none"/>
                <w:lang w:val="en-US" w:eastAsia="zh-CN" w:bidi="ar"/>
              </w:rPr>
              <w:br w:type="textWrapping"/>
            </w:r>
            <w:r>
              <w:rPr>
                <w:rFonts w:ascii="Symbol" w:hAnsi="Symbol" w:eastAsia="宋体" w:cs="Symbol"/>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可支持 10 点触控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尺寸 86”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背光类型 D-LED</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分辨率 3840×2160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显示尺寸（mm） 1895.04m(H)×1065.96(V)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像素点距（mm） 0.4935(H) x 0.4935(V)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响应时间 8ms (typ.)</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亮度 400nit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对比度 1200:1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可视角度 178°（垂直，水平）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色彩 1.07B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色饱和度(x% NTSC) 65%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显示比例 16:9</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刷新频率 60Hz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架构 ARM Cortex A53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工作主频 1.4GHz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CPU 核心数 四核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GPU Mali-450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内部缓存容量（RAM） 2GB DDR3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内部存储容量（ROM） 8GB/16GB/32GB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触摸规格 红外触摸框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玻璃规格 4 mm 钢化玻璃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相应速度 &lt;15ms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触摸精度 90%以上的触摸区域为±2 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输出形式 HID 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理论点击次数 无限次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触摸直径 ≥6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环保柜子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环保生态板、厚度1.7CM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环保桌子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1.1.2*0.6m、E1级环保木板材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尺寸53*53*94cm、、实木椅子脚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定制异形六边形灯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1.名称:定制异形六边形灯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2.规格:超薄、圆形直径0.4m以上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定制造型柜子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生态环保板、12mm、造型为中国地图、尺寸（L1.4*H1.2*D0.2米）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环保低柜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定制遮光窗帘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定制木纹板造型装饰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生态环保板17mm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智慧电子书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1.耳机及配套设备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2F 图书角、六点半课堂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智慧有声图书及设备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1.有声图书及一年内容自动更换服务费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精装修彩色粉刷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[项目特征]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1.喷刷涂料部位:刮胰子粉、石膏粉，粉刷；精装修、立邦环保漆防霉水性油漆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1.基层清理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2.刮腻子、挂石膏3遍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3.打磨、找平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3.刷、喷涂料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石膏板隔断墙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1.面层材料品种、规格:石膏板9.5mm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1.基层清理、吊杆安装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2.轻钢龙骨安装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3.基层板铺贴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4.面层铺贴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5.嵌缝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6.刷防护材料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精品大理石踢脚线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1.精品大理石瓷砖踢脚线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垦荒保洁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1.吊顶过程卫生清理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2.木工过程卫生清理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3.粉刷过程卫生清理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1.5控插座、单开开关、双开开关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电路改造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1595.72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1、电路施工对预计进行电路改造的线路进行弹线确认。</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2、电路改造用云石机沿线进行开槽。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3、电路施工完毕后进行绝缘电阻值摇测记录。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4、电路管线固定每隔40cm加一个卡子，弯头两侧100mm至150mm固定一个卡子。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5、电路线头连接统一使用接线端子连接。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6、吊顶内照明的灯头线必须使用阻燃软管。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7、所有外露线头统一使用电线保护帽进行保护以防触电。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1.1F、2F服务大厅及楼道口监控覆盖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2.28路网络800万高清4K摄像头、录像机1台、28个安装支架、8T硬盘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WIFI网络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1.1F、2F服务大厅、多功能室及各房间无线网络覆盖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无线AC控制器 1台、无线AP 10台、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3.网线布置及设备调试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音响线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国标线2*2.5平方、四重屏蔽抗干扰、纯无氧铜芯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非标定制，包含断路器、单开开关，控制显示屏等功率较大用电设备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4芯6平方铜芯线缆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2.5平方电线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国标铜芯2.5平方*700M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4平方电线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国标铜芯4平方*80M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6平方电线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国标铜芯6平方*200M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PVC线管内外径5*7mm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户外门头广告氛围营造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锦绣社区党群服务中心发光字、户外钢架构                               1.钢架30米、字1.5*2米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2.户外电路安装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户外精品油画墙绘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1.墙面批灰、胰子份、打磨、喷涂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2.人工绘画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定制造型门牌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亚力克喷绘各房门标识、尺寸300mm*120mm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定制造型吊牌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PVC+UV打印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300mm*500mm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定制引导图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1.约4个平方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2.亚克力背喷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半帘L2.4*H2.05m、高级棉麻遮光布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辛福树、平安树、龙近树、金钻等绿色植物、花卉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1F\2F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开发交互程序软件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控制各显示屏联动播放内容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1.东侧6副广告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2.PVC+UV打印、1.1000*800mm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、1300*800mm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、1500*800mm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三种尺寸各两幅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pvc+UV打印：长2800*高1500mm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加长吊杆吊线筒灯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1.西侧4副挂画（700*1600mm）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2.PVC+UV打印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钛晶字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1.西侧16个130*130mm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2.金属喷绘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加长吊杆吊线筒灯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1.西侧6副广告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2.PVC喷绘、1.1000*800mm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、1300*800mm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、1500*800mm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三种尺寸各两幅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pvc喷绘：长2800*高1500mm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加长吊杆吊线筒灯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1.名称:筒灯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2.规格:4000K  超薄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1.本体安装</w:t>
            </w:r>
          </w:p>
        </w:tc>
      </w:tr>
    </w:tbl>
    <w:p>
      <w:pPr>
        <w:rPr>
          <w:rFonts w:ascii="宋体" w:hAnsi="宋体"/>
          <w:b/>
          <w:color w:val="000000"/>
          <w:kern w:val="0"/>
          <w:sz w:val="24"/>
          <w:szCs w:val="20"/>
        </w:rPr>
      </w:pPr>
    </w:p>
    <w:p>
      <w:pPr>
        <w:pStyle w:val="15"/>
        <w:jc w:val="both"/>
        <w:rPr>
          <w:rFonts w:hint="eastAsia" w:ascii="宋体" w:hAnsi="宋体" w:eastAsia="黑体"/>
          <w:b/>
          <w:bCs w:val="0"/>
          <w:color w:val="000000"/>
          <w:kern w:val="0"/>
          <w:sz w:val="24"/>
          <w:szCs w:val="20"/>
          <w:highlight w:val="none"/>
          <w:lang w:val="en-US" w:eastAsia="zh-CN"/>
        </w:rPr>
      </w:pPr>
      <w:r>
        <w:rPr>
          <w:rFonts w:hint="eastAsia" w:ascii="宋体"/>
          <w:b/>
          <w:bCs w:val="0"/>
          <w:color w:val="000000"/>
          <w:kern w:val="0"/>
          <w:sz w:val="24"/>
          <w:szCs w:val="20"/>
          <w:highlight w:val="none"/>
          <w:lang w:val="en-US" w:eastAsia="zh-CN"/>
        </w:rPr>
        <w:t>注：</w:t>
      </w:r>
      <w:r>
        <w:rPr>
          <w:rFonts w:hint="eastAsia" w:ascii="仿宋" w:hAnsi="仿宋" w:eastAsia="仿宋" w:cs="仿宋"/>
          <w:b/>
          <w:bCs w:val="0"/>
          <w:kern w:val="2"/>
          <w:sz w:val="21"/>
          <w:szCs w:val="21"/>
          <w:highlight w:val="none"/>
          <w:lang w:val="en-US" w:eastAsia="zh-CN" w:bidi="ar-SA"/>
        </w:rPr>
        <w:t>各投标企业需提供所投电子产品的检验检测报告。</w:t>
      </w: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pStyle w:val="15"/>
        <w:rPr>
          <w:rFonts w:ascii="宋体" w:hAnsi="宋体"/>
          <w:b/>
          <w:color w:val="000000"/>
          <w:kern w:val="0"/>
          <w:sz w:val="24"/>
          <w:szCs w:val="20"/>
        </w:rPr>
      </w:pPr>
    </w:p>
    <w:p>
      <w:pPr>
        <w:spacing w:line="360" w:lineRule="exact"/>
        <w:ind w:firstLine="360" w:firstLineChars="150"/>
        <w:rPr>
          <w:rFonts w:hint="default" w:ascii="Times New Roman" w:hAnsi="Times New Roman" w:cs="Times New Roman"/>
          <w:sz w:val="24"/>
        </w:rPr>
      </w:pPr>
      <w:bookmarkStart w:id="511" w:name="_Toc31997_WPSOffice_Level2"/>
      <w:bookmarkStart w:id="512" w:name="_Toc23613_WPSOffice_Level2"/>
    </w:p>
    <w:p>
      <w:pPr>
        <w:pStyle w:val="4"/>
        <w:rPr>
          <w:sz w:val="24"/>
          <w:szCs w:val="24"/>
        </w:rPr>
      </w:pPr>
      <w:r>
        <w:rPr>
          <w:rFonts w:hint="default" w:ascii="Times New Roman" w:hAnsi="Times New Roman" w:cs="Times New Roman"/>
          <w:sz w:val="24"/>
        </w:rPr>
        <w:t>三.、合同履行期限</w:t>
      </w:r>
      <w:bookmarkEnd w:id="511"/>
      <w:bookmarkEnd w:id="512"/>
      <w:bookmarkStart w:id="513" w:name="_Toc387416363"/>
      <w:bookmarkStart w:id="514" w:name="_Toc287112607"/>
      <w:bookmarkStart w:id="515" w:name="_Toc1213263"/>
      <w:bookmarkStart w:id="516" w:name="_Toc507399904"/>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3"/>
      <w:bookmarkEnd w:id="514"/>
      <w:r>
        <w:rPr>
          <w:rFonts w:hint="eastAsia"/>
          <w:sz w:val="24"/>
          <w:szCs w:val="24"/>
        </w:rPr>
        <w:t>评标</w:t>
      </w:r>
      <w:bookmarkEnd w:id="515"/>
    </w:p>
    <w:p>
      <w:pPr>
        <w:pStyle w:val="6"/>
        <w:spacing w:before="72" w:after="72"/>
        <w:rPr>
          <w:szCs w:val="24"/>
        </w:rPr>
      </w:pPr>
      <w:bookmarkStart w:id="517" w:name="_Toc387416364"/>
      <w:bookmarkStart w:id="518" w:name="_Toc143596260"/>
      <w:bookmarkStart w:id="519" w:name="_Toc184891772"/>
      <w:bookmarkStart w:id="520" w:name="_Toc157182372"/>
      <w:bookmarkStart w:id="521" w:name="_Toc157179518"/>
      <w:bookmarkStart w:id="522" w:name="_Toc287112608"/>
      <w:bookmarkStart w:id="523" w:name="_Toc184891545"/>
      <w:bookmarkStart w:id="524" w:name="_Toc157176486"/>
      <w:bookmarkStart w:id="525" w:name="_Toc143596671"/>
      <w:bookmarkStart w:id="526" w:name="_Toc157179740"/>
      <w:bookmarkStart w:id="527" w:name="_Toc157176931"/>
      <w:bookmarkStart w:id="528" w:name="_Toc157175819"/>
      <w:bookmarkStart w:id="529" w:name="_Toc157179295"/>
      <w:bookmarkStart w:id="530" w:name="_Toc217102232"/>
      <w:bookmarkStart w:id="531" w:name="_Toc1213264"/>
      <w:r>
        <w:rPr>
          <w:rFonts w:hint="eastAsia"/>
          <w:szCs w:val="24"/>
        </w:rPr>
        <w:t>1</w:t>
      </w:r>
      <w:r>
        <w:rPr>
          <w:szCs w:val="24"/>
        </w:rPr>
        <w:t>.</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hint="eastAsia"/>
          <w:szCs w:val="24"/>
        </w:rPr>
        <w:t>开标</w:t>
      </w:r>
      <w:bookmarkEnd w:id="531"/>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b/>
          <w:color w:val="000000"/>
        </w:rPr>
      </w:pPr>
      <w:bookmarkStart w:id="532" w:name="_Toc184891773"/>
      <w:bookmarkStart w:id="533" w:name="_Toc157176487"/>
      <w:bookmarkStart w:id="534" w:name="_Toc184891546"/>
      <w:bookmarkStart w:id="535" w:name="_Toc157176932"/>
      <w:bookmarkStart w:id="536" w:name="_Toc157179519"/>
      <w:bookmarkStart w:id="537" w:name="_Toc157175820"/>
      <w:bookmarkStart w:id="538" w:name="_Toc143596672"/>
      <w:bookmarkStart w:id="539" w:name="_Toc157179296"/>
      <w:bookmarkStart w:id="540" w:name="_Toc287112609"/>
      <w:bookmarkStart w:id="541" w:name="_Toc217102233"/>
      <w:bookmarkStart w:id="542" w:name="_Toc143596261"/>
      <w:bookmarkStart w:id="543" w:name="_Toc387416365"/>
      <w:bookmarkStart w:id="544" w:name="_Toc157182373"/>
      <w:bookmarkStart w:id="545" w:name="_Toc157179741"/>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w:t>
      </w:r>
      <w:r>
        <w:rPr>
          <w:rFonts w:hint="eastAsia" w:hAnsi="宋体"/>
          <w:b/>
          <w:color w:val="000000"/>
          <w:lang w:val="en-US" w:eastAsia="zh-CN"/>
        </w:rPr>
        <w:t>(1)</w:t>
      </w:r>
      <w:r>
        <w:rPr>
          <w:rFonts w:hint="eastAsia" w:hAnsi="宋体"/>
          <w:b/>
          <w:color w:val="000000"/>
        </w:rPr>
        <w:t>合格有效的企业法人营业执照（三证合一）副本（原件、复印件、影印件均可）或电子营业执照打印件（需加盖公章）或同等法律效力的证明文件（发证机关或公证机关出具的证明材料原件）（</w:t>
      </w:r>
      <w:r>
        <w:rPr>
          <w:rFonts w:hint="eastAsia" w:hAnsi="宋体"/>
          <w:b/>
          <w:color w:val="000000"/>
          <w:lang w:val="en-US" w:eastAsia="zh-CN"/>
        </w:rPr>
        <w:t>2</w:t>
      </w:r>
      <w:r>
        <w:rPr>
          <w:rFonts w:hint="eastAsia" w:hAnsi="宋体"/>
          <w:b/>
          <w:color w:val="000000"/>
        </w:rPr>
        <w:t>）法人代表资格证明书</w:t>
      </w:r>
      <w:r>
        <w:rPr>
          <w:rFonts w:hint="eastAsia" w:hAnsi="宋体"/>
          <w:b/>
          <w:color w:val="000000"/>
          <w:lang w:eastAsia="zh-CN"/>
        </w:rPr>
        <w:t>原件</w:t>
      </w:r>
      <w:r>
        <w:rPr>
          <w:rFonts w:hint="eastAsia" w:hAnsi="宋体"/>
          <w:b/>
          <w:color w:val="000000"/>
        </w:rPr>
        <w:t>或法人授权委托书原件及其人员有效证件（如身份证原件），开标现场授权委托人需与投标文件中保持一致。</w:t>
      </w:r>
    </w:p>
    <w:p>
      <w:pPr>
        <w:pStyle w:val="5"/>
        <w:ind w:firstLine="480"/>
        <w:rPr>
          <w:rFonts w:hAnsi="宋体"/>
          <w:color w:val="000000"/>
        </w:rPr>
      </w:pPr>
      <w:r>
        <w:rPr>
          <w:rFonts w:hAnsi="宋体"/>
          <w:color w:val="000000"/>
        </w:rPr>
        <w:t>（所有个人身份证原件于</w:t>
      </w:r>
      <w:r>
        <w:rPr>
          <w:rFonts w:hint="eastAsia" w:hAnsi="宋体"/>
          <w:color w:val="000000"/>
        </w:rPr>
        <w:t>开标</w:t>
      </w:r>
      <w:r>
        <w:rPr>
          <w:rFonts w:hAnsi="宋体"/>
          <w:color w:val="000000"/>
        </w:rPr>
        <w:t>会现场查验后当场退还）。</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6"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6"/>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47" w:name="_Toc389085275"/>
      <w:bookmarkStart w:id="548" w:name="_Toc389087478"/>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7"/>
      <w:bookmarkEnd w:id="548"/>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23"/>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23"/>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49"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9"/>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50" w:name="_Toc1213265"/>
      <w:r>
        <w:rPr>
          <w:rFonts w:hint="eastAsia"/>
          <w:szCs w:val="24"/>
        </w:rPr>
        <w:t>3</w:t>
      </w:r>
      <w:r>
        <w:rPr>
          <w:szCs w:val="24"/>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hint="eastAsia"/>
          <w:szCs w:val="24"/>
        </w:rPr>
        <w:t>评标小组</w:t>
      </w:r>
      <w:bookmarkEnd w:id="550"/>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1" w:name="_Toc143596262"/>
      <w:bookmarkStart w:id="552" w:name="_Toc143596673"/>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53" w:name="_Toc184891547"/>
      <w:bookmarkStart w:id="554" w:name="_Toc157182374"/>
      <w:bookmarkStart w:id="555" w:name="_Toc287112610"/>
      <w:bookmarkStart w:id="556" w:name="_Toc217102234"/>
      <w:bookmarkStart w:id="557" w:name="_Toc184891774"/>
      <w:bookmarkStart w:id="558" w:name="_Toc1213266"/>
      <w:bookmarkStart w:id="559" w:name="_Toc387416366"/>
      <w:r>
        <w:rPr>
          <w:rFonts w:hint="eastAsia"/>
          <w:szCs w:val="24"/>
        </w:rPr>
        <w:t>4</w:t>
      </w:r>
      <w:r>
        <w:rPr>
          <w:szCs w:val="24"/>
        </w:rPr>
        <w:t>.</w:t>
      </w:r>
      <w:r>
        <w:rPr>
          <w:rFonts w:hint="eastAsia"/>
          <w:szCs w:val="24"/>
        </w:rPr>
        <w:t>评标</w:t>
      </w:r>
      <w:r>
        <w:rPr>
          <w:szCs w:val="24"/>
        </w:rPr>
        <w:t>办法和程序</w:t>
      </w:r>
      <w:bookmarkEnd w:id="551"/>
      <w:bookmarkEnd w:id="552"/>
      <w:bookmarkEnd w:id="553"/>
      <w:bookmarkEnd w:id="554"/>
      <w:bookmarkEnd w:id="555"/>
      <w:bookmarkEnd w:id="556"/>
      <w:bookmarkEnd w:id="557"/>
      <w:bookmarkEnd w:id="558"/>
      <w:bookmarkEnd w:id="559"/>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sectPr>
          <w:pgSz w:w="16838" w:h="11906" w:orient="landscape"/>
          <w:pgMar w:top="1134" w:right="1134" w:bottom="1134" w:left="1134" w:header="851" w:footer="992" w:gutter="0"/>
          <w:cols w:space="720" w:num="1"/>
          <w:docGrid w:linePitch="312" w:charSpace="0"/>
        </w:sectPr>
      </w:pPr>
    </w:p>
    <w:p>
      <w:pPr>
        <w:pStyle w:val="6"/>
        <w:spacing w:before="72" w:after="72"/>
        <w:rPr>
          <w:szCs w:val="24"/>
        </w:rPr>
      </w:pPr>
      <w:bookmarkStart w:id="560" w:name="_Toc1213267"/>
      <w:r>
        <w:rPr>
          <w:rFonts w:hint="eastAsia"/>
          <w:szCs w:val="24"/>
        </w:rPr>
        <w:t>符合性审查表</w:t>
      </w:r>
      <w:bookmarkEnd w:id="560"/>
    </w:p>
    <w:p>
      <w:pPr>
        <w:ind w:left="-120"/>
        <w:jc w:val="left"/>
        <w:rPr>
          <w:bCs/>
          <w:szCs w:val="20"/>
        </w:rPr>
      </w:pPr>
      <w:r>
        <w:rPr>
          <w:rFonts w:hint="eastAsia"/>
          <w:bCs/>
          <w:szCs w:val="20"/>
        </w:rPr>
        <w:t>项目名称</w:t>
      </w:r>
      <w:r>
        <w:rPr>
          <w:bCs/>
          <w:szCs w:val="20"/>
        </w:rPr>
        <w:t>：</w:t>
      </w:r>
    </w:p>
    <w:tbl>
      <w:tblPr>
        <w:tblStyle w:val="18"/>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both"/>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投标文件中有依法缴纳税收的良好纪录。提供2021年</w:t>
            </w:r>
            <w:r>
              <w:rPr>
                <w:rFonts w:hint="eastAsia" w:ascii="仿宋" w:hAnsi="仿宋" w:eastAsia="仿宋" w:cs="宋体"/>
                <w:kern w:val="0"/>
                <w:sz w:val="22"/>
                <w:szCs w:val="22"/>
                <w:lang w:val="en-US" w:eastAsia="zh-CN"/>
              </w:rPr>
              <w:t>6</w:t>
            </w:r>
            <w:r>
              <w:rPr>
                <w:rFonts w:hint="eastAsia" w:ascii="仿宋" w:hAnsi="仿宋" w:eastAsia="仿宋" w:cs="宋体"/>
                <w:kern w:val="0"/>
                <w:sz w:val="22"/>
                <w:szCs w:val="22"/>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投标文件中有依法缴纳社会保障资金的良好纪录。提供2021年</w:t>
            </w:r>
            <w:r>
              <w:rPr>
                <w:rFonts w:hint="eastAsia" w:ascii="仿宋" w:hAnsi="仿宋" w:eastAsia="仿宋" w:cs="宋体"/>
                <w:kern w:val="0"/>
                <w:sz w:val="22"/>
                <w:szCs w:val="22"/>
                <w:lang w:val="en-US" w:eastAsia="zh-CN"/>
              </w:rPr>
              <w:t>6</w:t>
            </w:r>
            <w:r>
              <w:rPr>
                <w:rFonts w:hint="eastAsia" w:ascii="仿宋" w:hAnsi="仿宋" w:eastAsia="仿宋" w:cs="宋体"/>
                <w:kern w:val="0"/>
                <w:sz w:val="22"/>
                <w:szCs w:val="22"/>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left="0" w:leftChars="0" w:firstLine="0" w:firstLineChars="0"/>
        <w:rPr>
          <w:rFonts w:hAnsi="宋体"/>
          <w:color w:val="000000"/>
        </w:rPr>
      </w:pPr>
    </w:p>
    <w:p>
      <w:pPr>
        <w:pStyle w:val="5"/>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r>
        <w:rPr>
          <w:b/>
          <w:bCs/>
          <w:szCs w:val="20"/>
        </w:rPr>
        <w:t>评分各项目权重分配</w:t>
      </w:r>
    </w:p>
    <w:tbl>
      <w:tblPr>
        <w:tblStyle w:val="18"/>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pPr>
            <w:r>
              <w:t>评分项目</w:t>
            </w:r>
          </w:p>
        </w:tc>
        <w:tc>
          <w:tcPr>
            <w:tcW w:w="1545" w:type="dxa"/>
            <w:vAlign w:val="center"/>
          </w:tcPr>
          <w:p>
            <w:pPr>
              <w:spacing w:line="0" w:lineRule="atLeast"/>
              <w:jc w:val="center"/>
              <w:rPr>
                <w:rFonts w:hAnsi="宋体"/>
                <w:b/>
                <w:color w:val="000000"/>
                <w:highlight w:val="none"/>
              </w:rPr>
            </w:pPr>
            <w:r>
              <w:rPr>
                <w:rFonts w:hint="eastAsia" w:hAnsi="宋体"/>
                <w:b/>
                <w:color w:val="000000"/>
                <w:highlight w:val="none"/>
              </w:rPr>
              <w:t>商务、</w:t>
            </w:r>
            <w:r>
              <w:rPr>
                <w:rFonts w:hAnsi="宋体"/>
                <w:b/>
                <w:color w:val="000000"/>
                <w:highlight w:val="none"/>
              </w:rPr>
              <w:t>技术评分</w:t>
            </w:r>
            <w:r>
              <w:rPr>
                <w:rFonts w:hint="eastAsia" w:hAnsi="宋体"/>
                <w:b/>
                <w:color w:val="000000"/>
                <w:highlight w:val="none"/>
              </w:rPr>
              <w:t>（</w:t>
            </w:r>
            <w:r>
              <w:rPr>
                <w:rFonts w:hint="eastAsia" w:hAnsi="宋体"/>
                <w:b/>
                <w:color w:val="000000"/>
                <w:highlight w:val="none"/>
                <w:lang w:val="en-US" w:eastAsia="zh-CN"/>
              </w:rPr>
              <w:t>60分</w:t>
            </w:r>
            <w:r>
              <w:rPr>
                <w:rFonts w:hint="eastAsia" w:hAnsi="宋体"/>
                <w:b/>
                <w:color w:val="000000"/>
                <w:highlight w:val="none"/>
              </w:rPr>
              <w:t>）</w:t>
            </w:r>
          </w:p>
        </w:tc>
        <w:tc>
          <w:tcPr>
            <w:tcW w:w="5395" w:type="dxa"/>
            <w:vAlign w:val="center"/>
          </w:tcPr>
          <w:p>
            <w:pPr>
              <w:spacing w:line="0" w:lineRule="atLeast"/>
              <w:jc w:val="center"/>
              <w:rPr>
                <w:rFonts w:hAnsi="宋体"/>
                <w:b/>
                <w:color w:val="000000"/>
                <w:highlight w:val="none"/>
              </w:rPr>
            </w:pPr>
            <w:r>
              <w:rPr>
                <w:rFonts w:hAnsi="宋体"/>
                <w:b/>
                <w:color w:val="000000"/>
                <w:highlight w:val="none"/>
              </w:rPr>
              <w:t>报价评分</w:t>
            </w:r>
            <w:r>
              <w:rPr>
                <w:rFonts w:hint="eastAsia" w:hAnsi="宋体"/>
                <w:b/>
                <w:color w:val="000000"/>
                <w:highlight w:val="none"/>
              </w:rPr>
              <w:t>（</w:t>
            </w:r>
            <w:r>
              <w:rPr>
                <w:rFonts w:hint="eastAsia" w:hAnsi="宋体"/>
                <w:b/>
                <w:color w:val="000000"/>
                <w:highlight w:val="none"/>
                <w:lang w:val="en-US" w:eastAsia="zh-CN"/>
              </w:rPr>
              <w:t>40分</w:t>
            </w:r>
            <w:r>
              <w:rPr>
                <w:rFonts w:hint="eastAsia" w:hAnsi="宋体"/>
                <w:b/>
                <w:color w:val="000000"/>
                <w:highlight w:val="none"/>
              </w:rPr>
              <w:t>）</w:t>
            </w:r>
          </w:p>
        </w:tc>
        <w:tc>
          <w:tcPr>
            <w:tcW w:w="673" w:type="dxa"/>
            <w:vAlign w:val="center"/>
          </w:tcPr>
          <w:p>
            <w:pPr>
              <w:spacing w:line="0" w:lineRule="atLeast"/>
              <w:jc w:val="center"/>
              <w:rPr>
                <w:szCs w:val="20"/>
              </w:rPr>
            </w:pPr>
            <w:r>
              <w:rPr>
                <w:szCs w:val="20"/>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sz w:val="18"/>
                <w:szCs w:val="18"/>
              </w:rPr>
            </w:pPr>
            <w:r>
              <w:rPr>
                <w:sz w:val="18"/>
                <w:szCs w:val="18"/>
              </w:rPr>
              <w:t>权重（%）</w:t>
            </w:r>
          </w:p>
        </w:tc>
        <w:tc>
          <w:tcPr>
            <w:tcW w:w="1545" w:type="dxa"/>
            <w:vAlign w:val="center"/>
          </w:tcPr>
          <w:p>
            <w:pPr>
              <w:spacing w:line="0" w:lineRule="atLeast"/>
              <w:jc w:val="center"/>
              <w:rPr>
                <w:rFonts w:hAnsi="宋体"/>
                <w:b/>
                <w:color w:val="000000"/>
                <w:sz w:val="18"/>
                <w:szCs w:val="18"/>
                <w:highlight w:val="none"/>
              </w:rPr>
            </w:pPr>
            <w:r>
              <w:rPr>
                <w:rFonts w:hint="eastAsia" w:hAnsi="宋体"/>
                <w:b/>
                <w:color w:val="000000"/>
                <w:sz w:val="18"/>
                <w:szCs w:val="18"/>
                <w:highlight w:val="none"/>
                <w:lang w:val="en-US" w:eastAsia="zh-CN"/>
              </w:rPr>
              <w:t>60</w:t>
            </w:r>
            <w:r>
              <w:rPr>
                <w:rFonts w:hint="eastAsia" w:hAnsi="宋体"/>
                <w:b/>
                <w:color w:val="000000"/>
                <w:sz w:val="18"/>
                <w:szCs w:val="18"/>
                <w:highlight w:val="none"/>
              </w:rPr>
              <w:t>%</w:t>
            </w:r>
          </w:p>
        </w:tc>
        <w:tc>
          <w:tcPr>
            <w:tcW w:w="5395" w:type="dxa"/>
            <w:vAlign w:val="center"/>
          </w:tcPr>
          <w:p>
            <w:pPr>
              <w:spacing w:line="0" w:lineRule="atLeast"/>
              <w:jc w:val="center"/>
              <w:rPr>
                <w:rFonts w:hAnsi="宋体"/>
                <w:b/>
                <w:color w:val="000000"/>
                <w:sz w:val="18"/>
                <w:szCs w:val="18"/>
                <w:highlight w:val="none"/>
              </w:rPr>
            </w:pPr>
            <w:r>
              <w:rPr>
                <w:rFonts w:hint="eastAsia" w:hAnsi="宋体"/>
                <w:b/>
                <w:color w:val="000000"/>
                <w:sz w:val="18"/>
                <w:szCs w:val="18"/>
                <w:highlight w:val="none"/>
                <w:lang w:val="en-US" w:eastAsia="zh-CN"/>
              </w:rPr>
              <w:t>4</w:t>
            </w:r>
            <w:r>
              <w:rPr>
                <w:rFonts w:hint="eastAsia" w:hAnsi="宋体"/>
                <w:b/>
                <w:color w:val="000000"/>
                <w:sz w:val="18"/>
                <w:szCs w:val="18"/>
                <w:highlight w:val="none"/>
              </w:rPr>
              <w:t>0%</w:t>
            </w:r>
          </w:p>
        </w:tc>
        <w:tc>
          <w:tcPr>
            <w:tcW w:w="673" w:type="dxa"/>
            <w:vAlign w:val="center"/>
          </w:tcPr>
          <w:p>
            <w:pPr>
              <w:spacing w:line="0" w:lineRule="atLeast"/>
              <w:jc w:val="center"/>
              <w:rPr>
                <w:sz w:val="18"/>
                <w:szCs w:val="18"/>
              </w:rPr>
            </w:pPr>
            <w:r>
              <w:rPr>
                <w:sz w:val="18"/>
                <w:szCs w:val="18"/>
              </w:rPr>
              <w:t>100</w:t>
            </w:r>
            <w:r>
              <w:rPr>
                <w:rFonts w:hint="eastAsia"/>
                <w:sz w:val="18"/>
                <w:szCs w:val="18"/>
              </w:rPr>
              <w:t>%</w:t>
            </w:r>
          </w:p>
        </w:tc>
      </w:tr>
    </w:tbl>
    <w:p>
      <w:pPr>
        <w:ind w:firstLine="424" w:firstLineChars="202"/>
        <w:rPr>
          <w:bCs/>
        </w:rPr>
      </w:pPr>
    </w:p>
    <w:tbl>
      <w:tblPr>
        <w:tblStyle w:val="18"/>
        <w:tblpPr w:leftFromText="180" w:rightFromText="180" w:vertAnchor="text" w:horzAnchor="page" w:tblpXSpec="center" w:tblpY="373"/>
        <w:tblOverlap w:val="never"/>
        <w:tblW w:w="8523" w:type="dxa"/>
        <w:jc w:val="center"/>
        <w:tblLayout w:type="fixed"/>
        <w:tblCellMar>
          <w:top w:w="0" w:type="dxa"/>
          <w:left w:w="108" w:type="dxa"/>
          <w:bottom w:w="0" w:type="dxa"/>
          <w:right w:w="108" w:type="dxa"/>
        </w:tblCellMar>
      </w:tblPr>
      <w:tblGrid>
        <w:gridCol w:w="459"/>
        <w:gridCol w:w="956"/>
        <w:gridCol w:w="1213"/>
        <w:gridCol w:w="642"/>
        <w:gridCol w:w="5253"/>
      </w:tblGrid>
      <w:tr>
        <w:tblPrEx>
          <w:tblCellMar>
            <w:top w:w="0" w:type="dxa"/>
            <w:left w:w="108" w:type="dxa"/>
            <w:bottom w:w="0" w:type="dxa"/>
            <w:right w:w="108" w:type="dxa"/>
          </w:tblCellMar>
        </w:tblPrEx>
        <w:trPr>
          <w:trHeight w:val="51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bookmarkStart w:id="561" w:name="_Toc1213268"/>
            <w:r>
              <w:rPr>
                <w:rFonts w:hint="eastAsia" w:ascii="宋体" w:hAnsi="宋体" w:cs="宋体"/>
                <w:b/>
                <w:bCs/>
                <w:szCs w:val="21"/>
              </w:rPr>
              <w:t>序号</w:t>
            </w:r>
          </w:p>
        </w:tc>
        <w:tc>
          <w:tcPr>
            <w:tcW w:w="9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 w:val="18"/>
                <w:szCs w:val="18"/>
              </w:rPr>
            </w:pPr>
            <w:r>
              <w:rPr>
                <w:rFonts w:hint="eastAsia" w:ascii="宋体" w:hAnsi="宋体" w:cs="宋体"/>
                <w:b/>
                <w:bCs/>
                <w:sz w:val="18"/>
                <w:szCs w:val="18"/>
              </w:rPr>
              <w:t>分值（</w:t>
            </w:r>
            <w:r>
              <w:rPr>
                <w:rFonts w:hint="eastAsia" w:ascii="宋体" w:hAnsi="宋体" w:cs="宋体"/>
                <w:b/>
                <w:bCs/>
                <w:sz w:val="18"/>
                <w:szCs w:val="18"/>
                <w:lang w:val="en-US" w:eastAsia="zh-CN"/>
              </w:rPr>
              <w:t>60</w:t>
            </w:r>
            <w:r>
              <w:rPr>
                <w:rFonts w:hint="eastAsia" w:ascii="宋体" w:hAnsi="宋体" w:cs="宋体"/>
                <w:b/>
                <w:bCs/>
                <w:sz w:val="18"/>
                <w:szCs w:val="18"/>
              </w:rPr>
              <w:t>分）</w:t>
            </w:r>
          </w:p>
        </w:tc>
        <w:tc>
          <w:tcPr>
            <w:tcW w:w="52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90" w:hRule="atLeast"/>
          <w:jc w:val="center"/>
        </w:trPr>
        <w:tc>
          <w:tcPr>
            <w:tcW w:w="459" w:type="dxa"/>
            <w:vMerge w:val="restart"/>
            <w:tcBorders>
              <w:top w:val="nil"/>
              <w:left w:val="single" w:color="auto" w:sz="4" w:space="0"/>
              <w:right w:val="single" w:color="auto"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w:t>
            </w:r>
          </w:p>
        </w:tc>
        <w:tc>
          <w:tcPr>
            <w:tcW w:w="956" w:type="dxa"/>
            <w:vMerge w:val="restart"/>
            <w:tcBorders>
              <w:top w:val="nil"/>
              <w:left w:val="single" w:color="auto" w:sz="4" w:space="0"/>
              <w:right w:val="single" w:color="auto" w:sz="4" w:space="0"/>
            </w:tcBorders>
            <w:noWrap w:val="0"/>
            <w:vAlign w:val="center"/>
          </w:tcPr>
          <w:p>
            <w:pPr>
              <w:widowControl/>
              <w:rPr>
                <w:rFonts w:ascii="宋体" w:hAnsi="宋体" w:cs="宋体"/>
                <w:color w:val="auto"/>
                <w:sz w:val="18"/>
                <w:szCs w:val="18"/>
              </w:rPr>
            </w:pPr>
            <w:r>
              <w:rPr>
                <w:rFonts w:hint="eastAsia" w:ascii="宋体" w:hAnsi="宋体" w:cs="宋体"/>
                <w:color w:val="auto"/>
                <w:sz w:val="18"/>
                <w:szCs w:val="18"/>
              </w:rPr>
              <w:t>技术部分（4</w:t>
            </w:r>
            <w:r>
              <w:rPr>
                <w:rFonts w:hint="eastAsia" w:ascii="宋体" w:hAnsi="宋体" w:cs="宋体"/>
                <w:color w:val="auto"/>
                <w:sz w:val="18"/>
                <w:szCs w:val="18"/>
                <w:lang w:val="en-US" w:eastAsia="zh-CN"/>
              </w:rPr>
              <w:t>0</w:t>
            </w:r>
            <w:r>
              <w:rPr>
                <w:rFonts w:hint="eastAsia" w:ascii="宋体" w:hAnsi="宋体" w:cs="宋体"/>
                <w:color w:val="auto"/>
                <w:sz w:val="18"/>
                <w:szCs w:val="18"/>
              </w:rPr>
              <w:t>%）</w:t>
            </w: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产品参数</w:t>
            </w:r>
          </w:p>
        </w:tc>
        <w:tc>
          <w:tcPr>
            <w:tcW w:w="642" w:type="dxa"/>
            <w:tcBorders>
              <w:top w:val="single" w:color="auto" w:sz="4" w:space="0"/>
              <w:left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0-1</w:t>
            </w:r>
            <w:r>
              <w:rPr>
                <w:rFonts w:hint="eastAsia" w:ascii="仿宋" w:hAnsi="仿宋" w:eastAsia="仿宋" w:cs="仿宋"/>
                <w:szCs w:val="21"/>
                <w:lang w:val="en-US" w:eastAsia="zh-CN"/>
              </w:rPr>
              <w:t>2</w:t>
            </w:r>
          </w:p>
        </w:tc>
        <w:tc>
          <w:tcPr>
            <w:tcW w:w="5253" w:type="dxa"/>
            <w:tcBorders>
              <w:top w:val="single" w:color="auto" w:sz="4" w:space="0"/>
              <w:left w:val="nil"/>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参数如出现负偏离、不响应，每一项扣</w:t>
            </w:r>
            <w:r>
              <w:rPr>
                <w:rFonts w:hint="eastAsia" w:ascii="仿宋" w:hAnsi="仿宋" w:eastAsia="仿宋" w:cs="仿宋"/>
                <w:szCs w:val="21"/>
                <w:lang w:val="en-US" w:eastAsia="zh-CN"/>
              </w:rPr>
              <w:t>0.5</w:t>
            </w:r>
            <w:r>
              <w:rPr>
                <w:rFonts w:hint="eastAsia" w:ascii="仿宋" w:hAnsi="仿宋" w:eastAsia="仿宋" w:cs="仿宋"/>
                <w:szCs w:val="21"/>
              </w:rPr>
              <w:t>分，分值扣完为止。根据投标单位所投产品参数进行核准，综合衡量各投标单位所投产品参数，分值0-1</w:t>
            </w:r>
            <w:r>
              <w:rPr>
                <w:rFonts w:hint="eastAsia" w:ascii="仿宋" w:hAnsi="仿宋" w:eastAsia="仿宋" w:cs="仿宋"/>
                <w:szCs w:val="21"/>
                <w:lang w:val="en-US" w:eastAsia="zh-CN"/>
              </w:rPr>
              <w:t>2</w:t>
            </w:r>
            <w:r>
              <w:rPr>
                <w:rFonts w:hint="eastAsia" w:ascii="仿宋" w:hAnsi="仿宋" w:eastAsia="仿宋" w:cs="仿宋"/>
                <w:szCs w:val="21"/>
              </w:rPr>
              <w:t>分，具体由评委视具体情况给分。</w:t>
            </w:r>
          </w:p>
        </w:tc>
      </w:tr>
      <w:tr>
        <w:tblPrEx>
          <w:tblCellMar>
            <w:top w:w="0" w:type="dxa"/>
            <w:left w:w="108" w:type="dxa"/>
            <w:bottom w:w="0" w:type="dxa"/>
            <w:right w:w="108" w:type="dxa"/>
          </w:tblCellMar>
        </w:tblPrEx>
        <w:trPr>
          <w:trHeight w:val="795" w:hRule="atLeast"/>
          <w:jc w:val="center"/>
        </w:trPr>
        <w:tc>
          <w:tcPr>
            <w:tcW w:w="459" w:type="dxa"/>
            <w:vMerge w:val="continue"/>
            <w:tcBorders>
              <w:left w:val="single" w:color="auto" w:sz="4" w:space="0"/>
              <w:right w:val="single" w:color="auto" w:sz="4" w:space="0"/>
            </w:tcBorders>
            <w:noWrap w:val="0"/>
            <w:vAlign w:val="center"/>
          </w:tcPr>
          <w:p>
            <w:pPr>
              <w:widowControl/>
              <w:rPr>
                <w:rFonts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nil"/>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产品质量</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highlight w:val="none"/>
              </w:rPr>
              <w:t>0-</w:t>
            </w:r>
            <w:r>
              <w:rPr>
                <w:rFonts w:hint="eastAsia" w:ascii="仿宋" w:hAnsi="仿宋" w:eastAsia="仿宋" w:cs="仿宋"/>
                <w:szCs w:val="21"/>
                <w:highlight w:val="none"/>
                <w:lang w:val="en-US" w:eastAsia="zh-CN"/>
              </w:rPr>
              <w:t>5</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kern w:val="2"/>
                <w:sz w:val="21"/>
                <w:szCs w:val="21"/>
                <w:highlight w:val="none"/>
                <w:lang w:val="en-US" w:eastAsia="zh-CN" w:bidi="ar-SA"/>
              </w:rPr>
              <w:t>各投标企业提供所投电子产品的检验检测报告，能够详细反应所投货物的性能，</w:t>
            </w:r>
            <w:r>
              <w:rPr>
                <w:rFonts w:hint="eastAsia" w:ascii="仿宋" w:hAnsi="仿宋" w:eastAsia="仿宋" w:cs="仿宋"/>
                <w:szCs w:val="21"/>
                <w:highlight w:val="none"/>
              </w:rPr>
              <w:t>根据</w:t>
            </w:r>
            <w:r>
              <w:rPr>
                <w:rFonts w:hint="eastAsia" w:ascii="仿宋" w:hAnsi="仿宋" w:eastAsia="仿宋" w:cs="仿宋"/>
                <w:kern w:val="2"/>
                <w:sz w:val="21"/>
                <w:szCs w:val="21"/>
                <w:highlight w:val="none"/>
                <w:lang w:val="en-US" w:eastAsia="zh-CN" w:bidi="ar-SA"/>
              </w:rPr>
              <w:t>检验检测报告</w:t>
            </w:r>
            <w:r>
              <w:rPr>
                <w:rFonts w:hint="eastAsia" w:ascii="仿宋" w:hAnsi="仿宋" w:eastAsia="仿宋" w:cs="仿宋"/>
                <w:szCs w:val="21"/>
                <w:highlight w:val="none"/>
              </w:rPr>
              <w:t>的各项指标对比要求参数，不得提供</w:t>
            </w:r>
            <w:r>
              <w:rPr>
                <w:rFonts w:hint="eastAsia" w:ascii="仿宋" w:hAnsi="仿宋" w:eastAsia="仿宋" w:cs="仿宋"/>
                <w:szCs w:val="21"/>
                <w:highlight w:val="none"/>
                <w:lang w:val="en-US" w:eastAsia="zh-CN"/>
              </w:rPr>
              <w:t>虚假的</w:t>
            </w:r>
            <w:r>
              <w:rPr>
                <w:rFonts w:hint="eastAsia" w:ascii="仿宋" w:hAnsi="仿宋" w:eastAsia="仿宋" w:cs="仿宋"/>
                <w:kern w:val="2"/>
                <w:sz w:val="21"/>
                <w:szCs w:val="21"/>
                <w:highlight w:val="none"/>
                <w:lang w:val="en-US" w:eastAsia="zh-CN" w:bidi="ar-SA"/>
              </w:rPr>
              <w:t>检验检测报告</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不提供的不得分</w:t>
            </w:r>
            <w:r>
              <w:rPr>
                <w:rFonts w:hint="eastAsia" w:ascii="仿宋" w:hAnsi="仿宋" w:eastAsia="仿宋" w:cs="仿宋"/>
                <w:szCs w:val="21"/>
                <w:highlight w:val="none"/>
              </w:rPr>
              <w:t>，有</w:t>
            </w:r>
            <w:r>
              <w:rPr>
                <w:rFonts w:hint="eastAsia" w:ascii="仿宋" w:hAnsi="仿宋" w:eastAsia="仿宋" w:cs="仿宋"/>
                <w:kern w:val="2"/>
                <w:sz w:val="21"/>
                <w:szCs w:val="21"/>
                <w:highlight w:val="none"/>
                <w:lang w:val="en-US" w:eastAsia="zh-CN" w:bidi="ar-SA"/>
              </w:rPr>
              <w:t>检验检测报告</w:t>
            </w:r>
            <w:r>
              <w:rPr>
                <w:rFonts w:hint="eastAsia" w:ascii="仿宋" w:hAnsi="仿宋" w:eastAsia="仿宋" w:cs="仿宋"/>
                <w:szCs w:val="21"/>
                <w:highlight w:val="none"/>
              </w:rPr>
              <w:t>是数据不全、不能反映所有参数的酌情扣分，</w:t>
            </w:r>
            <w:r>
              <w:rPr>
                <w:rFonts w:hint="eastAsia" w:ascii="仿宋" w:hAnsi="仿宋" w:eastAsia="仿宋" w:cs="仿宋"/>
                <w:kern w:val="2"/>
                <w:sz w:val="21"/>
                <w:szCs w:val="21"/>
                <w:highlight w:val="none"/>
                <w:lang w:val="en-US" w:eastAsia="zh-CN" w:bidi="ar-SA"/>
              </w:rPr>
              <w:t>各企业间进行横向对比，分值0-5，由评委视具体情况给分。</w:t>
            </w:r>
          </w:p>
        </w:tc>
      </w:tr>
      <w:tr>
        <w:tblPrEx>
          <w:tblCellMar>
            <w:top w:w="0" w:type="dxa"/>
            <w:left w:w="108" w:type="dxa"/>
            <w:bottom w:w="0" w:type="dxa"/>
            <w:right w:w="108" w:type="dxa"/>
          </w:tblCellMar>
        </w:tblPrEx>
        <w:trPr>
          <w:trHeight w:val="118" w:hRule="atLeast"/>
          <w:jc w:val="center"/>
        </w:trPr>
        <w:tc>
          <w:tcPr>
            <w:tcW w:w="459" w:type="dxa"/>
            <w:vMerge w:val="continue"/>
            <w:tcBorders>
              <w:left w:val="single" w:color="auto" w:sz="4" w:space="0"/>
              <w:right w:val="single" w:color="auto" w:sz="4" w:space="0"/>
            </w:tcBorders>
            <w:noWrap w:val="0"/>
            <w:vAlign w:val="center"/>
          </w:tcPr>
          <w:p>
            <w:pPr>
              <w:widowControl/>
              <w:rPr>
                <w:rFonts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nil"/>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 xml:space="preserve">项目建设实施方案 </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rPr>
              <w:t>0-</w:t>
            </w:r>
            <w:r>
              <w:rPr>
                <w:rFonts w:hint="eastAsia" w:ascii="仿宋" w:hAnsi="仿宋" w:eastAsia="仿宋" w:cs="仿宋"/>
                <w:szCs w:val="21"/>
                <w:lang w:val="en-US" w:eastAsia="zh-CN"/>
              </w:rPr>
              <w:t>6</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lang w:eastAsia="zh-CN"/>
              </w:rPr>
              <w:t>根据投标单位的投标文件中整体项目建设实施方案，方案对配送计划、保障措施和项目进度安排是否具有合理度、可操作性、可实用性、能否满足购货方各种需要等方面和各项技术参数是否均满足要求进行综合评定，分值0-</w:t>
            </w:r>
            <w:r>
              <w:rPr>
                <w:rFonts w:hint="eastAsia" w:ascii="仿宋" w:hAnsi="仿宋" w:eastAsia="仿宋" w:cs="仿宋"/>
                <w:szCs w:val="21"/>
                <w:lang w:val="en-US" w:eastAsia="zh-CN"/>
              </w:rPr>
              <w:t>6</w:t>
            </w:r>
            <w:r>
              <w:rPr>
                <w:rFonts w:hint="eastAsia" w:ascii="仿宋" w:hAnsi="仿宋" w:eastAsia="仿宋" w:cs="仿宋"/>
                <w:szCs w:val="21"/>
                <w:lang w:eastAsia="zh-CN"/>
              </w:rPr>
              <w:t>分，各企业间横向对比，由评委视具体情况给分。</w:t>
            </w:r>
          </w:p>
          <w:p>
            <w:pPr>
              <w:pStyle w:val="2"/>
              <w:numPr>
                <w:ilvl w:val="0"/>
                <w:numId w:val="0"/>
              </w:numPr>
              <w:ind w:left="0" w:leftChars="0" w:firstLine="0" w:firstLineChars="0"/>
              <w:rPr>
                <w:rFonts w:hint="eastAsia" w:ascii="仿宋" w:hAnsi="仿宋" w:eastAsia="仿宋" w:cs="仿宋"/>
                <w:kern w:val="2"/>
                <w:sz w:val="21"/>
                <w:szCs w:val="21"/>
                <w:highlight w:val="none"/>
                <w:lang w:val="en-US" w:eastAsia="zh-CN" w:bidi="ar-SA"/>
              </w:rPr>
            </w:pPr>
          </w:p>
        </w:tc>
      </w:tr>
      <w:tr>
        <w:tblPrEx>
          <w:tblCellMar>
            <w:top w:w="0" w:type="dxa"/>
            <w:left w:w="108" w:type="dxa"/>
            <w:bottom w:w="0" w:type="dxa"/>
            <w:right w:w="108" w:type="dxa"/>
          </w:tblCellMar>
        </w:tblPrEx>
        <w:trPr>
          <w:trHeight w:val="467" w:hRule="atLeast"/>
          <w:jc w:val="center"/>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vMerge w:val="restart"/>
            <w:tcBorders>
              <w:top w:val="single" w:color="auto" w:sz="4" w:space="0"/>
              <w:left w:val="nil"/>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劳动力安排计划及其保证措施</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lang w:val="en-US" w:eastAsia="zh-CN"/>
              </w:rPr>
              <w:t>0-2</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调配投入计划合理</w:t>
            </w:r>
            <w:r>
              <w:rPr>
                <w:rFonts w:hint="eastAsia" w:ascii="仿宋" w:hAnsi="仿宋" w:eastAsia="仿宋" w:cs="仿宋"/>
                <w:szCs w:val="21"/>
                <w:lang w:eastAsia="zh-CN"/>
              </w:rPr>
              <w:t>，</w:t>
            </w:r>
            <w:r>
              <w:rPr>
                <w:rFonts w:hint="eastAsia" w:ascii="仿宋" w:hAnsi="仿宋" w:eastAsia="仿宋" w:cs="仿宋"/>
                <w:szCs w:val="21"/>
              </w:rPr>
              <w:t>分值0-</w:t>
            </w:r>
            <w:r>
              <w:rPr>
                <w:rFonts w:hint="eastAsia" w:ascii="仿宋" w:hAnsi="仿宋" w:eastAsia="仿宋" w:cs="仿宋"/>
                <w:szCs w:val="21"/>
                <w:lang w:val="en-US" w:eastAsia="zh-CN"/>
              </w:rPr>
              <w:t>2</w:t>
            </w:r>
            <w:r>
              <w:rPr>
                <w:rFonts w:hint="eastAsia" w:ascii="仿宋" w:hAnsi="仿宋" w:eastAsia="仿宋" w:cs="仿宋"/>
                <w:szCs w:val="21"/>
              </w:rPr>
              <w:t>分，由评委视具体情况给分。</w:t>
            </w:r>
          </w:p>
          <w:p>
            <w:pPr>
              <w:snapToGrid w:val="0"/>
              <w:jc w:val="left"/>
              <w:rPr>
                <w:rFonts w:hint="eastAsia" w:ascii="仿宋" w:hAnsi="仿宋" w:eastAsia="仿宋" w:cs="仿宋"/>
                <w:szCs w:val="21"/>
              </w:rPr>
            </w:pPr>
          </w:p>
        </w:tc>
      </w:tr>
      <w:tr>
        <w:tblPrEx>
          <w:tblCellMar>
            <w:top w:w="0" w:type="dxa"/>
            <w:left w:w="108" w:type="dxa"/>
            <w:bottom w:w="0" w:type="dxa"/>
            <w:right w:w="108" w:type="dxa"/>
          </w:tblCellMar>
        </w:tblPrEx>
        <w:trPr>
          <w:trHeight w:val="526" w:hRule="atLeast"/>
          <w:jc w:val="center"/>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vMerge w:val="continue"/>
            <w:tcBorders>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lang w:val="en-US" w:eastAsia="zh-CN"/>
              </w:rPr>
              <w:t>0-3</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劳动力安排计划与施工进度计划相呼应</w:t>
            </w:r>
            <w:r>
              <w:rPr>
                <w:rFonts w:hint="eastAsia" w:ascii="仿宋" w:hAnsi="仿宋" w:eastAsia="仿宋" w:cs="仿宋"/>
                <w:szCs w:val="21"/>
                <w:lang w:eastAsia="zh-CN"/>
              </w:rPr>
              <w:t>，</w:t>
            </w:r>
            <w:r>
              <w:rPr>
                <w:rFonts w:hint="eastAsia" w:ascii="仿宋" w:hAnsi="仿宋" w:eastAsia="仿宋" w:cs="仿宋"/>
                <w:szCs w:val="21"/>
              </w:rPr>
              <w:t>分值0-</w:t>
            </w:r>
            <w:r>
              <w:rPr>
                <w:rFonts w:hint="eastAsia" w:ascii="仿宋" w:hAnsi="仿宋" w:eastAsia="仿宋" w:cs="仿宋"/>
                <w:szCs w:val="21"/>
                <w:lang w:val="en-US" w:eastAsia="zh-CN"/>
              </w:rPr>
              <w:t>3</w:t>
            </w:r>
            <w:r>
              <w:rPr>
                <w:rFonts w:hint="eastAsia" w:ascii="仿宋" w:hAnsi="仿宋" w:eastAsia="仿宋" w:cs="仿宋"/>
                <w:szCs w:val="21"/>
              </w:rPr>
              <w:t>分，由评委视具体情况给分。</w:t>
            </w:r>
          </w:p>
        </w:tc>
      </w:tr>
      <w:tr>
        <w:tblPrEx>
          <w:tblCellMar>
            <w:top w:w="0" w:type="dxa"/>
            <w:left w:w="108" w:type="dxa"/>
            <w:bottom w:w="0" w:type="dxa"/>
            <w:right w:w="108" w:type="dxa"/>
          </w:tblCellMar>
        </w:tblPrEx>
        <w:trPr>
          <w:trHeight w:val="587" w:hRule="atLeast"/>
          <w:jc w:val="center"/>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vMerge w:val="restart"/>
            <w:tcBorders>
              <w:left w:val="nil"/>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管理人员投入</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lang w:val="en-US" w:eastAsia="zh-CN"/>
              </w:rPr>
              <w:t>0-2</w:t>
            </w:r>
          </w:p>
        </w:tc>
        <w:tc>
          <w:tcPr>
            <w:tcW w:w="5253"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szCs w:val="21"/>
                <w:lang w:eastAsia="zh-CN"/>
              </w:rPr>
            </w:pPr>
            <w:r>
              <w:rPr>
                <w:rFonts w:hint="eastAsia" w:ascii="仿宋" w:hAnsi="仿宋" w:eastAsia="仿宋" w:cs="仿宋"/>
                <w:szCs w:val="21"/>
                <w:lang w:eastAsia="zh-CN"/>
              </w:rPr>
              <w:t>项目人员针对本项目实际配置且合理，</w:t>
            </w:r>
            <w:r>
              <w:rPr>
                <w:rFonts w:hint="eastAsia" w:ascii="仿宋" w:hAnsi="仿宋" w:eastAsia="仿宋" w:cs="仿宋"/>
                <w:szCs w:val="21"/>
              </w:rPr>
              <w:t>分值0-</w:t>
            </w:r>
            <w:r>
              <w:rPr>
                <w:rFonts w:hint="eastAsia" w:ascii="仿宋" w:hAnsi="仿宋" w:eastAsia="仿宋" w:cs="仿宋"/>
                <w:szCs w:val="21"/>
                <w:lang w:val="en-US" w:eastAsia="zh-CN"/>
              </w:rPr>
              <w:t>2</w:t>
            </w:r>
            <w:r>
              <w:rPr>
                <w:rFonts w:hint="eastAsia" w:ascii="仿宋" w:hAnsi="仿宋" w:eastAsia="仿宋" w:cs="仿宋"/>
                <w:szCs w:val="21"/>
              </w:rPr>
              <w:t>分，由评委视具体情况给分。</w:t>
            </w:r>
          </w:p>
          <w:p>
            <w:pPr>
              <w:tabs>
                <w:tab w:val="left" w:pos="603"/>
              </w:tabs>
              <w:snapToGrid w:val="0"/>
              <w:jc w:val="left"/>
              <w:rPr>
                <w:rFonts w:hint="eastAsia" w:ascii="仿宋" w:hAnsi="仿宋" w:eastAsia="仿宋" w:cs="仿宋"/>
                <w:szCs w:val="21"/>
                <w:lang w:eastAsia="zh-CN"/>
              </w:rPr>
            </w:pPr>
          </w:p>
        </w:tc>
      </w:tr>
      <w:tr>
        <w:tblPrEx>
          <w:tblCellMar>
            <w:top w:w="0" w:type="dxa"/>
            <w:left w:w="108" w:type="dxa"/>
            <w:bottom w:w="0" w:type="dxa"/>
            <w:right w:w="108" w:type="dxa"/>
          </w:tblCellMar>
        </w:tblPrEx>
        <w:trPr>
          <w:trHeight w:val="740" w:hRule="atLeast"/>
          <w:jc w:val="center"/>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vMerge w:val="continue"/>
            <w:tcBorders>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lang w:val="en-US" w:eastAsia="zh-CN"/>
              </w:rPr>
              <w:t>0-3</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lang w:eastAsia="zh-CN"/>
              </w:rPr>
              <w:t>项目管理人员配置能满足该装饰装修管理需要，</w:t>
            </w:r>
            <w:r>
              <w:rPr>
                <w:rFonts w:hint="eastAsia" w:ascii="仿宋" w:hAnsi="仿宋" w:eastAsia="仿宋" w:cs="仿宋"/>
                <w:szCs w:val="21"/>
              </w:rPr>
              <w:t>分值0-</w:t>
            </w:r>
            <w:r>
              <w:rPr>
                <w:rFonts w:hint="eastAsia" w:ascii="仿宋" w:hAnsi="仿宋" w:eastAsia="仿宋" w:cs="仿宋"/>
                <w:szCs w:val="21"/>
                <w:lang w:val="en-US" w:eastAsia="zh-CN"/>
              </w:rPr>
              <w:t>3</w:t>
            </w:r>
            <w:r>
              <w:rPr>
                <w:rFonts w:hint="eastAsia" w:ascii="仿宋" w:hAnsi="仿宋" w:eastAsia="仿宋" w:cs="仿宋"/>
                <w:szCs w:val="21"/>
              </w:rPr>
              <w:t>分，由评委视具体情况给分。</w:t>
            </w:r>
          </w:p>
        </w:tc>
      </w:tr>
      <w:tr>
        <w:tblPrEx>
          <w:tblCellMar>
            <w:top w:w="0" w:type="dxa"/>
            <w:left w:w="108" w:type="dxa"/>
            <w:bottom w:w="0" w:type="dxa"/>
            <w:right w:w="108" w:type="dxa"/>
          </w:tblCellMar>
        </w:tblPrEx>
        <w:trPr>
          <w:trHeight w:val="1171" w:hRule="atLeast"/>
          <w:jc w:val="center"/>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产品安装、调试</w:t>
            </w:r>
            <w:r>
              <w:rPr>
                <w:rFonts w:hint="eastAsia" w:ascii="仿宋" w:hAnsi="仿宋" w:eastAsia="仿宋" w:cs="仿宋"/>
                <w:szCs w:val="21"/>
                <w:highlight w:val="none"/>
                <w:lang w:eastAsia="zh-CN"/>
              </w:rPr>
              <w:t>、</w:t>
            </w:r>
            <w:r>
              <w:rPr>
                <w:rFonts w:hint="eastAsia" w:ascii="仿宋" w:hAnsi="仿宋" w:eastAsia="仿宋" w:cs="仿宋"/>
                <w:szCs w:val="21"/>
                <w:highlight w:val="none"/>
              </w:rPr>
              <w:t>培训方案</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highlight w:val="none"/>
              </w:rPr>
            </w:pPr>
            <w:r>
              <w:rPr>
                <w:rFonts w:hint="eastAsia"/>
                <w:highlight w:val="none"/>
              </w:rPr>
              <w:t>0-</w:t>
            </w:r>
            <w:r>
              <w:rPr>
                <w:rFonts w:hint="eastAsia"/>
                <w:highlight w:val="none"/>
                <w:lang w:val="en-US" w:eastAsia="zh-CN"/>
              </w:rPr>
              <w:t>5</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投标单位需制定产品安装、调试</w:t>
            </w:r>
            <w:r>
              <w:rPr>
                <w:rFonts w:hint="eastAsia" w:ascii="仿宋" w:hAnsi="仿宋" w:eastAsia="仿宋" w:cs="仿宋"/>
                <w:szCs w:val="21"/>
                <w:highlight w:val="none"/>
                <w:lang w:eastAsia="zh-CN"/>
              </w:rPr>
              <w:t>、</w:t>
            </w:r>
            <w:r>
              <w:rPr>
                <w:rFonts w:hint="eastAsia" w:ascii="仿宋" w:hAnsi="仿宋" w:eastAsia="仿宋" w:cs="仿宋"/>
                <w:szCs w:val="21"/>
                <w:highlight w:val="none"/>
              </w:rPr>
              <w:t>人员培训方案，实地安装完毕之后对采购人单位进行培训，查看方案是否合理，尤其是针对采购人单位的使用人员，方案中需承诺，承诺教会采购人独立使用为止</w:t>
            </w:r>
            <w:r>
              <w:rPr>
                <w:rFonts w:hint="eastAsia" w:ascii="仿宋" w:hAnsi="仿宋" w:eastAsia="仿宋" w:cs="仿宋"/>
                <w:szCs w:val="21"/>
                <w:highlight w:val="none"/>
                <w:lang w:eastAsia="zh-CN"/>
              </w:rPr>
              <w:t>，</w:t>
            </w:r>
            <w:r>
              <w:rPr>
                <w:rFonts w:hint="eastAsia" w:ascii="仿宋" w:hAnsi="仿宋" w:eastAsia="仿宋" w:cs="仿宋"/>
                <w:szCs w:val="21"/>
                <w:highlight w:val="none"/>
              </w:rPr>
              <w:t>分值0-</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分，由评委视具体情况给分。</w:t>
            </w:r>
          </w:p>
        </w:tc>
      </w:tr>
      <w:tr>
        <w:tblPrEx>
          <w:tblCellMar>
            <w:top w:w="0" w:type="dxa"/>
            <w:left w:w="108" w:type="dxa"/>
            <w:bottom w:w="0" w:type="dxa"/>
            <w:right w:w="108" w:type="dxa"/>
          </w:tblCellMar>
        </w:tblPrEx>
        <w:trPr>
          <w:trHeight w:val="1020" w:hRule="atLeast"/>
          <w:jc w:val="center"/>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lang w:val="en-US" w:eastAsia="zh-CN"/>
              </w:rPr>
              <w:t>广告设计方案</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2</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lang w:val="en-US" w:eastAsia="zh-CN"/>
              </w:rPr>
              <w:t>广告设计方案遵循美观、经济、结实耐用的原则，符合业主需求，分值0-2，由评委视具体情况给分。</w:t>
            </w:r>
          </w:p>
        </w:tc>
      </w:tr>
      <w:tr>
        <w:tblPrEx>
          <w:tblCellMar>
            <w:top w:w="0" w:type="dxa"/>
            <w:left w:w="108" w:type="dxa"/>
            <w:bottom w:w="0" w:type="dxa"/>
            <w:right w:w="108" w:type="dxa"/>
          </w:tblCellMar>
        </w:tblPrEx>
        <w:trPr>
          <w:trHeight w:val="1244" w:hRule="atLeast"/>
          <w:jc w:val="center"/>
        </w:trPr>
        <w:tc>
          <w:tcPr>
            <w:tcW w:w="4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3</w:t>
            </w:r>
          </w:p>
        </w:tc>
        <w:tc>
          <w:tcPr>
            <w:tcW w:w="956" w:type="dxa"/>
            <w:vMerge w:val="restart"/>
            <w:tcBorders>
              <w:top w:val="single" w:color="auto" w:sz="4" w:space="0"/>
              <w:left w:val="nil"/>
              <w:right w:val="single" w:color="auto" w:sz="4" w:space="0"/>
            </w:tcBorders>
            <w:noWrap w:val="0"/>
            <w:vAlign w:val="center"/>
          </w:tcPr>
          <w:p>
            <w:pPr>
              <w:widowControl/>
              <w:rPr>
                <w:rFonts w:hint="eastAsia" w:ascii="宋体" w:hAnsi="宋体" w:cs="宋体"/>
                <w:sz w:val="18"/>
                <w:szCs w:val="18"/>
              </w:rPr>
            </w:pPr>
            <w:r>
              <w:rPr>
                <w:rFonts w:hint="eastAsia" w:ascii="宋体" w:hAnsi="宋体" w:cs="宋体"/>
                <w:sz w:val="18"/>
                <w:szCs w:val="18"/>
              </w:rPr>
              <w:t>商务部分（2</w:t>
            </w:r>
            <w:r>
              <w:rPr>
                <w:rFonts w:hint="eastAsia" w:ascii="宋体" w:hAnsi="宋体" w:cs="宋体"/>
                <w:sz w:val="18"/>
                <w:szCs w:val="18"/>
                <w:lang w:val="en-US" w:eastAsia="zh-CN"/>
              </w:rPr>
              <w:t>0</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企业履约能力</w:t>
            </w:r>
          </w:p>
        </w:tc>
        <w:tc>
          <w:tcPr>
            <w:tcW w:w="642" w:type="dxa"/>
            <w:tcBorders>
              <w:top w:val="single" w:color="auto" w:sz="4" w:space="0"/>
              <w:left w:val="nil"/>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0-5</w:t>
            </w:r>
          </w:p>
        </w:tc>
        <w:tc>
          <w:tcPr>
            <w:tcW w:w="5253" w:type="dxa"/>
            <w:tcBorders>
              <w:top w:val="single" w:color="auto" w:sz="4" w:space="0"/>
              <w:left w:val="nil"/>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投标单位自行提供近年项目履约能力及相关证明材料，投标单位自行阐述自己单位履约能力，证明对该项目履约无问题，不提供资料的不给分，由专家专家评委进行综合评定，视具体情况给分，分值0-5分。</w:t>
            </w:r>
          </w:p>
        </w:tc>
      </w:tr>
      <w:tr>
        <w:tblPrEx>
          <w:tblCellMar>
            <w:top w:w="0" w:type="dxa"/>
            <w:left w:w="108" w:type="dxa"/>
            <w:bottom w:w="0" w:type="dxa"/>
            <w:right w:w="108" w:type="dxa"/>
          </w:tblCellMar>
        </w:tblPrEx>
        <w:trPr>
          <w:trHeight w:val="499" w:hRule="atLeast"/>
          <w:jc w:val="center"/>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售后服务措施、方案</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rPr>
              <w:t>0-1</w:t>
            </w:r>
            <w:r>
              <w:rPr>
                <w:rFonts w:hint="eastAsia" w:ascii="仿宋" w:hAnsi="仿宋" w:eastAsia="仿宋" w:cs="仿宋"/>
                <w:color w:val="auto"/>
                <w:szCs w:val="21"/>
                <w:lang w:val="en-US" w:eastAsia="zh-CN"/>
              </w:rPr>
              <w:t>0</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rPr>
              <w:t>1</w:t>
            </w:r>
            <w:r>
              <w:rPr>
                <w:rFonts w:hint="eastAsia" w:ascii="仿宋" w:hAnsi="仿宋" w:eastAsia="仿宋" w:cs="仿宋"/>
                <w:color w:val="auto"/>
                <w:szCs w:val="21"/>
                <w:highlight w:val="none"/>
              </w:rPr>
              <w:t>、在本县有售后服务点或办公场地，服务方案细致合理、针对性强得</w:t>
            </w:r>
            <w:r>
              <w:rPr>
                <w:rFonts w:hint="eastAsia" w:ascii="仿宋" w:hAnsi="仿宋" w:eastAsia="仿宋" w:cs="仿宋"/>
                <w:color w:val="auto"/>
                <w:szCs w:val="21"/>
                <w:highlight w:val="none"/>
                <w:lang w:val="en-US" w:eastAsia="zh-CN"/>
              </w:rPr>
              <w:t>4-5</w:t>
            </w:r>
            <w:r>
              <w:rPr>
                <w:rFonts w:hint="eastAsia" w:ascii="仿宋" w:hAnsi="仿宋" w:eastAsia="仿宋" w:cs="仿宋"/>
                <w:color w:val="auto"/>
                <w:szCs w:val="21"/>
                <w:highlight w:val="none"/>
              </w:rPr>
              <w:t>分；在本地区有售后服务点或仓库仓储场地，服务方案合理、针对性较强，得</w:t>
            </w:r>
            <w:r>
              <w:rPr>
                <w:rFonts w:hint="eastAsia" w:ascii="仿宋" w:hAnsi="仿宋" w:eastAsia="仿宋" w:cs="仿宋"/>
                <w:color w:val="auto"/>
                <w:szCs w:val="21"/>
                <w:highlight w:val="none"/>
                <w:lang w:val="en-US" w:eastAsia="zh-CN"/>
              </w:rPr>
              <w:t>2-3</w:t>
            </w:r>
            <w:r>
              <w:rPr>
                <w:rFonts w:hint="eastAsia" w:ascii="仿宋" w:hAnsi="仿宋" w:eastAsia="仿宋" w:cs="仿宋"/>
                <w:color w:val="auto"/>
                <w:szCs w:val="21"/>
                <w:highlight w:val="none"/>
              </w:rPr>
              <w:t>分；本地区以外有售后服务点或仓库仓储场地，售后服务方案粗略、针对性一般，得</w:t>
            </w:r>
            <w:r>
              <w:rPr>
                <w:rFonts w:hint="eastAsia" w:ascii="仿宋" w:hAnsi="仿宋" w:eastAsia="仿宋" w:cs="仿宋"/>
                <w:color w:val="auto"/>
                <w:szCs w:val="21"/>
                <w:highlight w:val="none"/>
                <w:lang w:val="en-US" w:eastAsia="zh-CN"/>
              </w:rPr>
              <w:t>0-1</w:t>
            </w:r>
            <w:r>
              <w:rPr>
                <w:rFonts w:hint="eastAsia" w:ascii="仿宋" w:hAnsi="仿宋" w:eastAsia="仿宋" w:cs="仿宋"/>
                <w:color w:val="auto"/>
                <w:szCs w:val="21"/>
                <w:highlight w:val="none"/>
              </w:rPr>
              <w:t>分；不提供不得分。</w:t>
            </w:r>
          </w:p>
          <w:p>
            <w:pPr>
              <w:snapToGrid w:val="0"/>
              <w:jc w:val="left"/>
              <w:rPr>
                <w:rFonts w:hint="eastAsia"/>
                <w:color w:val="auto"/>
              </w:rPr>
            </w:pPr>
            <w:r>
              <w:rPr>
                <w:rFonts w:hint="eastAsia" w:ascii="仿宋" w:hAnsi="仿宋" w:eastAsia="仿宋" w:cs="仿宋"/>
                <w:color w:val="auto"/>
                <w:szCs w:val="21"/>
                <w:highlight w:val="none"/>
              </w:rPr>
              <w:t>2、有优质的售后服务措施，免费维修与更换有缺陷的设备或部件的期限为中标单位接到业主正式通知后相关维修人员，相关人员达到指定位置的响应速度，根据投标人提供的售后服务方案、维护人员和机构等情况，质保期限的长短以及服务承诺的可行性、完整性以及服承诺落实的保障措施，质保期内外的后续技术支持和维护能力等情况，分值</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分，由评委视具体情况进行评分。</w:t>
            </w:r>
          </w:p>
        </w:tc>
      </w:tr>
      <w:tr>
        <w:tblPrEx>
          <w:tblCellMar>
            <w:top w:w="0" w:type="dxa"/>
            <w:left w:w="108" w:type="dxa"/>
            <w:bottom w:w="0" w:type="dxa"/>
            <w:right w:w="108" w:type="dxa"/>
          </w:tblCellMar>
        </w:tblPrEx>
        <w:trPr>
          <w:trHeight w:val="924" w:hRule="atLeast"/>
          <w:jc w:val="center"/>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质保期限</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0-3</w:t>
            </w:r>
          </w:p>
        </w:tc>
        <w:tc>
          <w:tcPr>
            <w:tcW w:w="5253" w:type="dxa"/>
            <w:tcBorders>
              <w:top w:val="single" w:color="auto" w:sz="4" w:space="0"/>
              <w:left w:val="nil"/>
              <w:bottom w:val="single" w:color="auto" w:sz="4" w:space="0"/>
              <w:right w:val="single" w:color="auto" w:sz="4" w:space="0"/>
            </w:tcBorders>
            <w:noWrap w:val="0"/>
            <w:vAlign w:val="center"/>
          </w:tcPr>
          <w:p>
            <w:pPr>
              <w:pStyle w:val="3"/>
              <w:tabs>
                <w:tab w:val="left" w:pos="0"/>
              </w:tabs>
              <w:spacing w:before="0" w:after="0" w:line="240" w:lineRule="atLeast"/>
              <w:jc w:val="both"/>
              <w:outlineLvl w:val="0"/>
              <w:rPr>
                <w:rFonts w:hint="eastAsia"/>
              </w:rPr>
            </w:pPr>
            <w:r>
              <w:rPr>
                <w:rFonts w:hint="eastAsia" w:ascii="仿宋" w:hAnsi="仿宋" w:eastAsia="仿宋" w:cs="仿宋"/>
                <w:bCs/>
                <w:kern w:val="2"/>
                <w:sz w:val="21"/>
                <w:szCs w:val="21"/>
              </w:rPr>
              <w:t>所有产品质保期不低于1年，质保期低于1年的此项目商务部分不得分。</w:t>
            </w:r>
            <w:r>
              <w:rPr>
                <w:rFonts w:hint="eastAsia" w:ascii="仿宋" w:hAnsi="仿宋" w:eastAsia="仿宋" w:cs="仿宋"/>
                <w:b w:val="0"/>
                <w:kern w:val="2"/>
                <w:sz w:val="21"/>
                <w:szCs w:val="21"/>
              </w:rPr>
              <w:t>所有投标产品免费质保1年的得1分，每延长一年多得1分，最多可得3分，不提供相关质保说明材料的不得分。</w:t>
            </w:r>
          </w:p>
        </w:tc>
      </w:tr>
      <w:tr>
        <w:tblPrEx>
          <w:tblCellMar>
            <w:top w:w="0" w:type="dxa"/>
            <w:left w:w="108" w:type="dxa"/>
            <w:bottom w:w="0" w:type="dxa"/>
            <w:right w:w="108" w:type="dxa"/>
          </w:tblCellMar>
        </w:tblPrEx>
        <w:trPr>
          <w:trHeight w:val="1205" w:hRule="atLeast"/>
          <w:jc w:val="center"/>
        </w:trPr>
        <w:tc>
          <w:tcPr>
            <w:tcW w:w="459" w:type="dxa"/>
            <w:vMerge w:val="continue"/>
            <w:tcBorders>
              <w:left w:val="single" w:color="auto" w:sz="4" w:space="0"/>
              <w:right w:val="single" w:color="auto" w:sz="4" w:space="0"/>
            </w:tcBorders>
            <w:noWrap w:val="0"/>
            <w:vAlign w:val="center"/>
          </w:tcPr>
          <w:p>
            <w:pPr>
              <w:widowControl/>
              <w:jc w:val="center"/>
              <w:rPr>
                <w:rFonts w:ascii="宋体" w:hAnsi="宋体" w:cs="宋体"/>
                <w:sz w:val="18"/>
                <w:szCs w:val="18"/>
              </w:rPr>
            </w:pPr>
          </w:p>
        </w:tc>
        <w:tc>
          <w:tcPr>
            <w:tcW w:w="956" w:type="dxa"/>
            <w:vMerge w:val="continue"/>
            <w:tcBorders>
              <w:left w:val="nil"/>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财务状况</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0-1</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1.如会计师事务所出具的上一年度财务审计报告或银行出具的说明投标人商业信誉或结算情况等事项的证明文件；招标采购单位保留审核原件的权利。</w:t>
            </w:r>
          </w:p>
          <w:p>
            <w:pPr>
              <w:snapToGrid w:val="0"/>
              <w:jc w:val="left"/>
              <w:rPr>
                <w:rFonts w:hint="eastAsia" w:ascii="仿宋" w:hAnsi="仿宋" w:eastAsia="仿宋" w:cs="仿宋"/>
                <w:szCs w:val="21"/>
              </w:rPr>
            </w:pPr>
            <w:r>
              <w:rPr>
                <w:rFonts w:hint="eastAsia" w:ascii="仿宋" w:hAnsi="仿宋" w:eastAsia="仿宋" w:cs="仿宋"/>
                <w:szCs w:val="21"/>
              </w:rPr>
              <w:t>2.银行出具的证明文件应能说明该投标人与银行之间业务往来正常，证明企业信誉良好的企业征信报告或其他获得专家评委认定后认可有效的资料均可。</w:t>
            </w:r>
          </w:p>
          <w:p>
            <w:pPr>
              <w:snapToGrid w:val="0"/>
              <w:jc w:val="left"/>
              <w:rPr>
                <w:rFonts w:hint="eastAsia" w:ascii="仿宋" w:hAnsi="仿宋" w:eastAsia="仿宋" w:cs="仿宋"/>
                <w:szCs w:val="21"/>
              </w:rPr>
            </w:pPr>
            <w:r>
              <w:rPr>
                <w:rFonts w:hint="eastAsia" w:ascii="仿宋" w:hAnsi="仿宋" w:eastAsia="仿宋" w:cs="仿宋"/>
                <w:b/>
                <w:bCs/>
                <w:szCs w:val="21"/>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461" w:hRule="atLeast"/>
          <w:jc w:val="center"/>
        </w:trPr>
        <w:tc>
          <w:tcPr>
            <w:tcW w:w="459"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nil"/>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标函质量</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1</w:t>
            </w:r>
          </w:p>
        </w:tc>
        <w:tc>
          <w:tcPr>
            <w:tcW w:w="525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根据投标文件标函编制内容完整、齐全、叙述严谨；投标文件无涂改、错页、漏页现象；投标文件内容不得重复性、反复性出现资料，具体由评委视具体情况给分，分值0-</w:t>
            </w:r>
            <w:r>
              <w:rPr>
                <w:rFonts w:hint="eastAsia" w:ascii="仿宋" w:hAnsi="仿宋" w:eastAsia="仿宋" w:cs="仿宋"/>
                <w:szCs w:val="21"/>
                <w:lang w:val="en-US" w:eastAsia="zh-CN"/>
              </w:rPr>
              <w:t>1</w:t>
            </w:r>
            <w:r>
              <w:rPr>
                <w:rFonts w:hint="eastAsia" w:ascii="仿宋" w:hAnsi="仿宋" w:eastAsia="仿宋" w:cs="仿宋"/>
                <w:szCs w:val="21"/>
              </w:rPr>
              <w:t>分。</w:t>
            </w:r>
          </w:p>
        </w:tc>
      </w:tr>
    </w:tbl>
    <w:p>
      <w:pPr>
        <w:pStyle w:val="6"/>
        <w:spacing w:before="72" w:after="72"/>
        <w:jc w:val="center"/>
        <w:rPr>
          <w:szCs w:val="24"/>
        </w:rPr>
      </w:pPr>
      <w:r>
        <w:rPr>
          <w:rFonts w:hint="eastAsia"/>
          <w:szCs w:val="24"/>
        </w:rPr>
        <w:t>商务、</w:t>
      </w:r>
      <w:r>
        <w:rPr>
          <w:szCs w:val="24"/>
        </w:rPr>
        <w:t>技术评分细则表</w:t>
      </w:r>
      <w:bookmarkEnd w:id="561"/>
    </w:p>
    <w:p>
      <w:pPr>
        <w:pStyle w:val="8"/>
        <w:spacing w:after="0" w:line="360" w:lineRule="exact"/>
        <w:ind w:firstLine="480"/>
        <w:rPr>
          <w:rFonts w:hint="default" w:ascii="Times New Roman" w:hAnsi="Times New Roman" w:cs="Times New Roman"/>
          <w:sz w:val="24"/>
        </w:rPr>
      </w:pPr>
      <w:r>
        <w:rPr>
          <w:rFonts w:hint="default" w:ascii="Times New Roman" w:hAnsi="Times New Roman" w:cs="Times New Roman"/>
          <w:sz w:val="24"/>
          <w:lang w:val="en-US" w:eastAsia="zh-CN"/>
        </w:rPr>
        <w:t>特别提示</w:t>
      </w:r>
      <w:r>
        <w:rPr>
          <w:rFonts w:hint="default" w:ascii="Times New Roman" w:hAnsi="Times New Roman" w:cs="Times New Roman"/>
          <w:sz w:val="24"/>
        </w:rPr>
        <w:t>：</w:t>
      </w:r>
    </w:p>
    <w:p>
      <w:pPr>
        <w:pStyle w:val="8"/>
        <w:spacing w:after="0" w:line="36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⑴本次竞争性磋商从合格的投标人中根据得分高低确定中标供应商。</w:t>
      </w:r>
    </w:p>
    <w:p>
      <w:pPr>
        <w:pStyle w:val="8"/>
        <w:spacing w:after="0" w:line="360" w:lineRule="exact"/>
        <w:ind w:firstLine="480"/>
        <w:rPr>
          <w:rFonts w:hint="default" w:ascii="Times New Roman" w:hAnsi="Times New Roman" w:eastAsia="Times New Roman" w:cs="Times New Roman"/>
          <w:sz w:val="24"/>
        </w:rPr>
      </w:pPr>
      <w:r>
        <w:rPr>
          <w:rFonts w:hint="default" w:ascii="Times New Roman" w:hAnsi="Times New Roman" w:cs="Times New Roman"/>
          <w:sz w:val="24"/>
        </w:rPr>
        <w:t>⑵各评审专家在充分审阅供应商响应文件的基础上，按照评审标准对每个供应商进行打分，评委打分的算术平均值为该供应商的评议得分，评议标书得分相加合计为各供应商的评审得分（小数点后保留2位有效数字），按评审得分由高到低顺序，</w:t>
      </w:r>
      <w:r>
        <w:rPr>
          <w:rFonts w:hint="default" w:ascii="Times New Roman" w:hAnsi="Times New Roman" w:cs="Times New Roman"/>
          <w:sz w:val="24"/>
          <w:lang w:val="en-US" w:eastAsia="zh-CN"/>
        </w:rPr>
        <w:t>确定</w:t>
      </w:r>
      <w:r>
        <w:rPr>
          <w:rFonts w:hint="default" w:ascii="Times New Roman" w:hAnsi="Times New Roman" w:cs="Times New Roman"/>
          <w:sz w:val="24"/>
        </w:rPr>
        <w:t>成交候选供应商。评审得分相同的情况下，则按服务方案得分高低的顺序推荐排序。</w:t>
      </w:r>
    </w:p>
    <w:p>
      <w:pPr>
        <w:pStyle w:val="17"/>
        <w:ind w:firstLine="0" w:firstLineChars="0"/>
        <w:rPr>
          <w:rFonts w:cs="宋体" w:asciiTheme="minorEastAsia" w:hAnsiTheme="minorEastAsia" w:eastAsiaTheme="minorEastAsia"/>
          <w:b/>
          <w:sz w:val="52"/>
        </w:rPr>
      </w:pPr>
      <w:r>
        <w:rPr>
          <w:rFonts w:hint="default" w:ascii="Times New Roman" w:hAnsi="Times New Roman" w:cs="Times New Roman"/>
          <w:sz w:val="24"/>
        </w:rPr>
        <w:t xml:space="preserve"> </w:t>
      </w:r>
      <w:r>
        <w:rPr>
          <w:rFonts w:hint="eastAsia" w:cs="Times New Roman"/>
          <w:sz w:val="24"/>
          <w:lang w:val="en-US" w:eastAsia="zh-CN"/>
        </w:rPr>
        <w:t xml:space="preserve"> </w:t>
      </w:r>
      <w:r>
        <w:rPr>
          <w:rFonts w:hint="eastAsia" w:cs="Times New Roman"/>
          <w:sz w:val="24"/>
          <w:lang w:eastAsia="zh-CN"/>
        </w:rPr>
        <w:t>（</w:t>
      </w:r>
      <w:r>
        <w:rPr>
          <w:rFonts w:hint="eastAsia" w:cs="Times New Roman"/>
          <w:sz w:val="24"/>
          <w:lang w:val="en-US" w:eastAsia="zh-CN"/>
        </w:rPr>
        <w:t>3</w:t>
      </w:r>
      <w:r>
        <w:rPr>
          <w:rFonts w:hint="eastAsia" w:cs="Times New Roman"/>
          <w:sz w:val="24"/>
          <w:lang w:eastAsia="zh-CN"/>
        </w:rPr>
        <w:t>）</w:t>
      </w:r>
      <w:r>
        <w:rPr>
          <w:rFonts w:hint="default" w:ascii="Times New Roman" w:hAnsi="Times New Roman" w:cs="Times New Roman"/>
          <w:sz w:val="24"/>
        </w:rPr>
        <w:t>磋商小组决定的响应性只根据响应文件本身的真实无误的内容，而不依据外部的证据，但响应文件有不真实不正确的内容时除外。</w:t>
      </w:r>
    </w:p>
    <w:p>
      <w:pPr>
        <w:pStyle w:val="17"/>
        <w:ind w:firstLine="0" w:firstLineChars="0"/>
        <w:rPr>
          <w:rFonts w:cs="宋体" w:asciiTheme="minorEastAsia" w:hAnsiTheme="minorEastAsia" w:eastAsiaTheme="minorEastAsia"/>
          <w:b/>
          <w:sz w:val="52"/>
        </w:rPr>
      </w:pPr>
    </w:p>
    <w:p>
      <w:pPr>
        <w:pStyle w:val="17"/>
        <w:ind w:firstLine="0" w:firstLineChars="0"/>
        <w:rPr>
          <w:rFonts w:cs="宋体" w:asciiTheme="minorEastAsia" w:hAnsiTheme="minorEastAsia" w:eastAsiaTheme="minorEastAsia"/>
          <w:b/>
          <w:sz w:val="52"/>
        </w:rPr>
      </w:pPr>
    </w:p>
    <w:p>
      <w:pPr>
        <w:pStyle w:val="17"/>
        <w:ind w:firstLine="0" w:firstLineChars="0"/>
        <w:rPr>
          <w:rFonts w:cs="宋体" w:asciiTheme="minorEastAsia" w:hAnsiTheme="minorEastAsia" w:eastAsiaTheme="minorEastAsia"/>
          <w:b/>
          <w:sz w:val="52"/>
        </w:rPr>
      </w:pPr>
    </w:p>
    <w:p>
      <w:pPr>
        <w:pStyle w:val="17"/>
        <w:ind w:firstLine="0" w:firstLineChars="0"/>
        <w:rPr>
          <w:rFonts w:cs="宋体" w:asciiTheme="minorEastAsia" w:hAnsiTheme="minorEastAsia" w:eastAsiaTheme="minorEastAsia"/>
          <w:b/>
          <w:sz w:val="52"/>
        </w:rPr>
      </w:pPr>
    </w:p>
    <w:bookmarkEnd w:id="516"/>
    <w:p>
      <w:pPr>
        <w:pStyle w:val="8"/>
        <w:rPr>
          <w:rFonts w:cs="宋体" w:asciiTheme="minorEastAsia" w:hAnsiTheme="minorEastAsia" w:eastAsiaTheme="minorEastAsia"/>
          <w:sz w:val="44"/>
          <w:szCs w:val="24"/>
        </w:rPr>
      </w:pPr>
      <w:bookmarkStart w:id="562" w:name="_Toc32428_WPSOffice_Level1"/>
      <w:bookmarkStart w:id="563" w:name="_Toc21888_WPSOffice_Level1"/>
      <w:bookmarkStart w:id="564" w:name="_Toc12949_WPSOffice_Level1"/>
    </w:p>
    <w:p>
      <w:pPr>
        <w:pStyle w:val="8"/>
        <w:rPr>
          <w:rFonts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5" w:name="_Hlt487972895"/>
      <w:bookmarkEnd w:id="565"/>
      <w:bookmarkStart w:id="566" w:name="_Toc487900382"/>
      <w:bookmarkStart w:id="567" w:name="_Toc216513788"/>
    </w:p>
    <w:bookmarkEnd w:id="562"/>
    <w:bookmarkEnd w:id="563"/>
    <w:bookmarkEnd w:id="564"/>
    <w:bookmarkEnd w:id="566"/>
    <w:bookmarkEnd w:id="567"/>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24"/>
        <w:ind w:firstLine="0"/>
        <w:rPr>
          <w:rFonts w:asciiTheme="minorEastAsia" w:hAnsiTheme="minorEastAsia" w:eastAsiaTheme="minorEastAsia" w:cstheme="minorEastAsia"/>
          <w:szCs w:val="24"/>
        </w:rPr>
      </w:pPr>
    </w:p>
    <w:p>
      <w:pPr>
        <w:pStyle w:val="24"/>
        <w:ind w:firstLine="0"/>
        <w:rPr>
          <w:rFonts w:asciiTheme="minorEastAsia" w:hAnsiTheme="minorEastAsia" w:eastAsiaTheme="minorEastAsia" w:cstheme="minorEastAsia"/>
          <w:szCs w:val="24"/>
        </w:rPr>
      </w:pPr>
    </w:p>
    <w:p>
      <w:pPr>
        <w:pStyle w:val="24"/>
        <w:ind w:firstLine="0"/>
        <w:rPr>
          <w:rFonts w:asciiTheme="minorEastAsia" w:hAnsiTheme="minorEastAsia" w:eastAsiaTheme="minorEastAsia" w:cstheme="minorEastAsia"/>
          <w:szCs w:val="24"/>
        </w:rPr>
      </w:pPr>
    </w:p>
    <w:p>
      <w:pPr>
        <w:pStyle w:val="24"/>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24"/>
        <w:ind w:firstLine="0"/>
        <w:rPr>
          <w:rFonts w:asciiTheme="minorEastAsia" w:hAnsiTheme="minorEastAsia" w:eastAsiaTheme="minorEastAsia" w:cstheme="minorEastAsia"/>
          <w:szCs w:val="24"/>
        </w:rPr>
      </w:pPr>
    </w:p>
    <w:p>
      <w:pPr>
        <w:pStyle w:val="24"/>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25"/>
        <w:spacing w:before="120" w:line="22" w:lineRule="atLeast"/>
        <w:rPr>
          <w:rFonts w:asciiTheme="minorEastAsia" w:hAnsiTheme="minorEastAsia" w:eastAsiaTheme="minorEastAsia" w:cstheme="minorEastAsia"/>
          <w:szCs w:val="24"/>
        </w:rPr>
      </w:pPr>
    </w:p>
    <w:p>
      <w:pPr>
        <w:pStyle w:val="25"/>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19" w:type="default"/>
          <w:footerReference r:id="rId20"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8" w:name="_Toc22967"/>
      <w:bookmarkStart w:id="569" w:name="_Toc20421"/>
      <w:bookmarkStart w:id="570" w:name="_Toc28855"/>
      <w:bookmarkStart w:id="571" w:name="_Toc19273"/>
      <w:bookmarkStart w:id="572" w:name="_Toc15367"/>
      <w:r>
        <w:rPr>
          <w:rFonts w:hint="eastAsia" w:asciiTheme="minorEastAsia" w:hAnsiTheme="minorEastAsia" w:eastAsiaTheme="minorEastAsia" w:cstheme="minorEastAsia"/>
          <w:b/>
          <w:sz w:val="24"/>
        </w:rPr>
        <w:t>1.1 合同组成部分</w:t>
      </w:r>
      <w:bookmarkEnd w:id="568"/>
      <w:bookmarkEnd w:id="569"/>
      <w:bookmarkEnd w:id="570"/>
      <w:bookmarkEnd w:id="571"/>
      <w:bookmarkEnd w:id="5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3" w:name="_Toc2918"/>
      <w:bookmarkStart w:id="574" w:name="_Toc6311"/>
      <w:bookmarkStart w:id="575" w:name="_Toc6773"/>
      <w:bookmarkStart w:id="576" w:name="_Toc18585"/>
      <w:bookmarkStart w:id="577" w:name="_Toc22185"/>
      <w:r>
        <w:rPr>
          <w:rFonts w:hint="eastAsia" w:asciiTheme="minorEastAsia" w:hAnsiTheme="minorEastAsia" w:eastAsiaTheme="minorEastAsia" w:cstheme="minorEastAsia"/>
          <w:b/>
          <w:sz w:val="24"/>
        </w:rPr>
        <w:t>1.2 标的</w:t>
      </w:r>
      <w:bookmarkEnd w:id="573"/>
      <w:bookmarkEnd w:id="574"/>
      <w:bookmarkEnd w:id="575"/>
      <w:bookmarkEnd w:id="576"/>
      <w:bookmarkEnd w:id="577"/>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8" w:name="_Toc21124"/>
      <w:bookmarkStart w:id="579" w:name="_Toc4929"/>
      <w:bookmarkStart w:id="580" w:name="_Toc13918"/>
      <w:bookmarkStart w:id="581" w:name="_Toc5635"/>
      <w:bookmarkStart w:id="582" w:name="_Toc1386"/>
      <w:r>
        <w:rPr>
          <w:rFonts w:hint="eastAsia" w:asciiTheme="minorEastAsia" w:hAnsiTheme="minorEastAsia" w:eastAsiaTheme="minorEastAsia" w:cstheme="minorEastAsia"/>
          <w:b/>
          <w:sz w:val="24"/>
        </w:rPr>
        <w:t>1.3 价款</w:t>
      </w:r>
      <w:bookmarkEnd w:id="578"/>
      <w:bookmarkEnd w:id="579"/>
      <w:bookmarkEnd w:id="580"/>
      <w:bookmarkEnd w:id="581"/>
      <w:bookmarkEnd w:id="58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1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26"/>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26"/>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3" w:name="_Toc3654"/>
      <w:bookmarkStart w:id="584" w:name="_Toc30158"/>
      <w:bookmarkStart w:id="585" w:name="_Toc30506"/>
      <w:bookmarkStart w:id="586" w:name="_Toc26916"/>
      <w:bookmarkStart w:id="587" w:name="_Toc14993"/>
      <w:r>
        <w:rPr>
          <w:rFonts w:hint="eastAsia" w:asciiTheme="minorEastAsia" w:hAnsiTheme="minorEastAsia" w:eastAsiaTheme="minorEastAsia" w:cstheme="minorEastAsia"/>
          <w:b/>
          <w:sz w:val="24"/>
        </w:rPr>
        <w:t>1.4 付款方式和发票开具方式</w:t>
      </w:r>
      <w:bookmarkEnd w:id="583"/>
      <w:bookmarkEnd w:id="584"/>
      <w:bookmarkEnd w:id="585"/>
      <w:bookmarkEnd w:id="586"/>
      <w:bookmarkEnd w:id="5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8" w:name="_Toc8772"/>
      <w:bookmarkStart w:id="589" w:name="_Toc31421"/>
      <w:bookmarkStart w:id="590" w:name="_Toc3625"/>
      <w:bookmarkStart w:id="591" w:name="_Toc4760"/>
      <w:bookmarkStart w:id="592" w:name="_Toc11108"/>
      <w:r>
        <w:rPr>
          <w:rFonts w:hint="eastAsia" w:asciiTheme="minorEastAsia" w:hAnsiTheme="minorEastAsia" w:eastAsiaTheme="minorEastAsia" w:cstheme="minorEastAsia"/>
          <w:b/>
          <w:sz w:val="24"/>
        </w:rPr>
        <w:t>1.5 履行期限、地点和方式</w:t>
      </w:r>
      <w:bookmarkEnd w:id="588"/>
      <w:bookmarkEnd w:id="589"/>
      <w:bookmarkEnd w:id="590"/>
      <w:bookmarkEnd w:id="591"/>
      <w:bookmarkEnd w:id="592"/>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3" w:name="_Toc24662"/>
      <w:bookmarkStart w:id="594" w:name="_Toc5698"/>
      <w:bookmarkStart w:id="595" w:name="_Toc8586"/>
      <w:bookmarkStart w:id="596" w:name="_Toc3079"/>
      <w:bookmarkStart w:id="597" w:name="_Toc2375"/>
      <w:r>
        <w:rPr>
          <w:rFonts w:hint="eastAsia" w:asciiTheme="minorEastAsia" w:hAnsiTheme="minorEastAsia" w:eastAsiaTheme="minorEastAsia" w:cstheme="minorEastAsia"/>
          <w:b/>
          <w:sz w:val="24"/>
        </w:rPr>
        <w:t>1.6 违约责任</w:t>
      </w:r>
      <w:bookmarkEnd w:id="593"/>
      <w:bookmarkEnd w:id="594"/>
      <w:bookmarkEnd w:id="595"/>
      <w:bookmarkEnd w:id="596"/>
      <w:bookmarkEnd w:id="59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8" w:name="_Toc18683"/>
      <w:bookmarkStart w:id="599" w:name="_Toc30329"/>
      <w:bookmarkStart w:id="600" w:name="_Toc26807"/>
      <w:bookmarkStart w:id="601" w:name="_Toc9497"/>
      <w:bookmarkStart w:id="602" w:name="_Toc32454"/>
      <w:r>
        <w:rPr>
          <w:rFonts w:hint="eastAsia" w:asciiTheme="minorEastAsia" w:hAnsiTheme="minorEastAsia" w:eastAsiaTheme="minorEastAsia" w:cstheme="minorEastAsia"/>
          <w:b/>
          <w:sz w:val="24"/>
        </w:rPr>
        <w:t>1.7 合同争议的解决</w:t>
      </w:r>
      <w:bookmarkEnd w:id="598"/>
      <w:bookmarkEnd w:id="599"/>
      <w:bookmarkEnd w:id="600"/>
      <w:bookmarkEnd w:id="601"/>
      <w:bookmarkEnd w:id="60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3" w:name="_Toc23784"/>
      <w:bookmarkStart w:id="604" w:name="_Toc16417"/>
      <w:bookmarkStart w:id="605" w:name="_Toc26227"/>
      <w:bookmarkStart w:id="606" w:name="_Toc15827"/>
      <w:bookmarkStart w:id="607" w:name="_Toc12273"/>
      <w:r>
        <w:rPr>
          <w:rFonts w:hint="eastAsia" w:asciiTheme="minorEastAsia" w:hAnsiTheme="minorEastAsia" w:eastAsiaTheme="minorEastAsia" w:cstheme="minorEastAsia"/>
          <w:b/>
          <w:sz w:val="24"/>
        </w:rPr>
        <w:t>1.8 合同生效</w:t>
      </w:r>
      <w:bookmarkEnd w:id="603"/>
      <w:bookmarkEnd w:id="604"/>
      <w:bookmarkEnd w:id="605"/>
      <w:bookmarkEnd w:id="606"/>
      <w:bookmarkEnd w:id="607"/>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8" w:name="_Toc331685783"/>
    </w:p>
    <w:p>
      <w:pPr>
        <w:widowControl/>
        <w:spacing w:line="560" w:lineRule="exact"/>
        <w:jc w:val="left"/>
        <w:rPr>
          <w:rFonts w:asciiTheme="minorEastAsia" w:hAnsiTheme="minorEastAsia" w:eastAsiaTheme="minorEastAsia" w:cstheme="minorEastAsia"/>
          <w:b/>
          <w:kern w:val="0"/>
          <w:sz w:val="24"/>
        </w:rPr>
      </w:pPr>
    </w:p>
    <w:p>
      <w:pPr>
        <w:pStyle w:val="24"/>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8"/>
    </w:p>
    <w:p>
      <w:pPr>
        <w:spacing w:line="560" w:lineRule="exact"/>
        <w:ind w:firstLine="482" w:firstLineChars="200"/>
        <w:outlineLvl w:val="0"/>
        <w:rPr>
          <w:rFonts w:asciiTheme="minorEastAsia" w:hAnsiTheme="minorEastAsia" w:eastAsiaTheme="minorEastAsia" w:cstheme="minorEastAsia"/>
          <w:b/>
          <w:sz w:val="24"/>
        </w:rPr>
      </w:pPr>
      <w:bookmarkStart w:id="609" w:name="_Ref467379214"/>
      <w:bookmarkStart w:id="610" w:name="_Toc279701240"/>
      <w:bookmarkStart w:id="611" w:name="_Ref467379195"/>
      <w:bookmarkStart w:id="612" w:name="_Toc5228"/>
      <w:bookmarkStart w:id="613" w:name="_Toc25079"/>
      <w:bookmarkStart w:id="614" w:name="_Toc14021"/>
      <w:bookmarkStart w:id="615" w:name="_Ref467378404"/>
      <w:bookmarkStart w:id="616" w:name="_Toc487900349"/>
      <w:bookmarkStart w:id="617" w:name="_Ref467379205"/>
      <w:bookmarkStart w:id="618" w:name="_Toc19680"/>
      <w:bookmarkStart w:id="619" w:name="_Ref467379094"/>
      <w:bookmarkStart w:id="620" w:name="_Toc259093669"/>
      <w:bookmarkStart w:id="621" w:name="_Toc31297"/>
      <w:bookmarkStart w:id="622" w:name="_Ref467379101"/>
      <w:bookmarkStart w:id="623" w:name="_Ref467378463"/>
      <w:bookmarkStart w:id="624" w:name="_Ref467379225"/>
      <w:bookmarkStart w:id="625" w:name="_Ref467378499"/>
      <w:bookmarkStart w:id="626" w:name="_Ref467379109"/>
      <w:r>
        <w:rPr>
          <w:rFonts w:hint="eastAsia" w:asciiTheme="minorEastAsia" w:hAnsiTheme="minorEastAsia" w:eastAsiaTheme="minorEastAsia" w:cstheme="minorEastAsia"/>
          <w:b/>
          <w:sz w:val="24"/>
        </w:rPr>
        <w:t>2.1 定义</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7" w:name="_Ref467378840"/>
      <w:r>
        <w:rPr>
          <w:rFonts w:hint="eastAsia" w:asciiTheme="minorEastAsia" w:hAnsiTheme="minorEastAsia" w:eastAsiaTheme="minorEastAsia" w:cstheme="minorEastAsia"/>
          <w:sz w:val="24"/>
        </w:rPr>
        <w:t>2.1.4 “甲方”系指与中标供应商签署合同的采购人</w:t>
      </w:r>
      <w:bookmarkEnd w:id="627"/>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8" w:name="_Ref467379400"/>
      <w:r>
        <w:rPr>
          <w:rFonts w:hint="eastAsia" w:asciiTheme="minorEastAsia" w:hAnsiTheme="minorEastAsia" w:eastAsiaTheme="minorEastAsia" w:cstheme="minorEastAsia"/>
          <w:sz w:val="24"/>
        </w:rPr>
        <w:t>2.1.5“乙方”系指根据合同约定提供服务的中标供应商</w:t>
      </w:r>
      <w:bookmarkEnd w:id="628"/>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9" w:name="_Ref467379436"/>
      <w:r>
        <w:rPr>
          <w:rFonts w:hint="eastAsia" w:asciiTheme="minorEastAsia" w:hAnsiTheme="minorEastAsia" w:eastAsiaTheme="minorEastAsia" w:cstheme="minorEastAsia"/>
          <w:sz w:val="24"/>
        </w:rPr>
        <w:t>2.1.6 “现场”系指合同约定提供服务的地点。</w:t>
      </w:r>
      <w:bookmarkEnd w:id="629"/>
    </w:p>
    <w:p>
      <w:pPr>
        <w:spacing w:line="560" w:lineRule="exact"/>
        <w:ind w:firstLine="482" w:firstLineChars="200"/>
        <w:outlineLvl w:val="0"/>
        <w:rPr>
          <w:rFonts w:asciiTheme="minorEastAsia" w:hAnsiTheme="minorEastAsia" w:eastAsiaTheme="minorEastAsia" w:cstheme="minorEastAsia"/>
          <w:b/>
          <w:sz w:val="24"/>
        </w:rPr>
      </w:pPr>
      <w:bookmarkStart w:id="630" w:name="_Toc259093670"/>
      <w:bookmarkStart w:id="631" w:name="_Toc31402"/>
      <w:bookmarkStart w:id="632" w:name="_Toc19539"/>
      <w:bookmarkStart w:id="633" w:name="_Toc487900350"/>
      <w:bookmarkStart w:id="634" w:name="_Toc3769"/>
      <w:bookmarkStart w:id="635" w:name="_Toc279701241"/>
      <w:bookmarkStart w:id="636" w:name="_Toc23289"/>
      <w:bookmarkStart w:id="637" w:name="_Toc16752"/>
      <w:r>
        <w:rPr>
          <w:rFonts w:hint="eastAsia" w:asciiTheme="minorEastAsia" w:hAnsiTheme="minorEastAsia" w:eastAsiaTheme="minorEastAsia" w:cstheme="minorEastAsia"/>
          <w:b/>
          <w:sz w:val="24"/>
        </w:rPr>
        <w:t>2.2 技术规范</w:t>
      </w:r>
      <w:bookmarkEnd w:id="630"/>
      <w:bookmarkEnd w:id="631"/>
      <w:bookmarkEnd w:id="632"/>
      <w:bookmarkEnd w:id="633"/>
      <w:bookmarkEnd w:id="634"/>
      <w:bookmarkEnd w:id="635"/>
      <w:bookmarkEnd w:id="636"/>
      <w:bookmarkEnd w:id="6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8" w:name="_Toc279701242"/>
      <w:bookmarkStart w:id="639" w:name="_Toc9161"/>
      <w:bookmarkStart w:id="640" w:name="_Toc13673"/>
      <w:bookmarkStart w:id="641" w:name="_Toc12412"/>
      <w:bookmarkStart w:id="642" w:name="_Toc27945"/>
      <w:bookmarkStart w:id="643" w:name="_Toc259093671"/>
      <w:bookmarkStart w:id="644" w:name="_Toc4133"/>
      <w:bookmarkStart w:id="645" w:name="_Toc487900351"/>
      <w:r>
        <w:rPr>
          <w:rFonts w:hint="eastAsia" w:asciiTheme="minorEastAsia" w:hAnsiTheme="minorEastAsia" w:eastAsiaTheme="minorEastAsia" w:cstheme="minorEastAsia"/>
          <w:b/>
          <w:sz w:val="24"/>
        </w:rPr>
        <w:t>2.3 知识产权</w:t>
      </w:r>
      <w:bookmarkEnd w:id="638"/>
      <w:bookmarkEnd w:id="639"/>
      <w:bookmarkEnd w:id="640"/>
      <w:bookmarkEnd w:id="641"/>
      <w:bookmarkEnd w:id="642"/>
      <w:bookmarkEnd w:id="643"/>
      <w:bookmarkEnd w:id="644"/>
      <w:bookmarkEnd w:id="64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6" w:name="_Ref467379657"/>
      <w:r>
        <w:rPr>
          <w:rFonts w:hint="eastAsia" w:asciiTheme="minorEastAsia" w:hAnsiTheme="minorEastAsia" w:eastAsiaTheme="minorEastAsia" w:cstheme="minorEastAsia"/>
          <w:sz w:val="24"/>
        </w:rPr>
        <w:t>2.4.1</w:t>
      </w:r>
      <w:bookmarkEnd w:id="646"/>
      <w:bookmarkStart w:id="647" w:name="_Toc186431854"/>
      <w:bookmarkStart w:id="648" w:name="_Ref467379807"/>
      <w:bookmarkStart w:id="649" w:name="_Toc259093676"/>
      <w:bookmarkStart w:id="650" w:name="_Ref467379793"/>
      <w:bookmarkStart w:id="651" w:name="_Toc279701247"/>
      <w:bookmarkStart w:id="652" w:name="_Toc48790035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7"/>
      <w:bookmarkStart w:id="653" w:name="_Toc186431855"/>
      <w:r>
        <w:rPr>
          <w:rFonts w:hint="eastAsia" w:asciiTheme="minorEastAsia" w:hAnsiTheme="minorEastAsia" w:eastAsiaTheme="minorEastAsia" w:cstheme="minorEastAsia"/>
          <w:sz w:val="24"/>
        </w:rPr>
        <w:t>。</w:t>
      </w:r>
    </w:p>
    <w:bookmarkEnd w:id="653"/>
    <w:p>
      <w:pPr>
        <w:spacing w:line="560" w:lineRule="exact"/>
        <w:ind w:firstLine="482" w:firstLineChars="200"/>
        <w:outlineLvl w:val="0"/>
        <w:rPr>
          <w:rFonts w:asciiTheme="minorEastAsia" w:hAnsiTheme="minorEastAsia" w:eastAsiaTheme="minorEastAsia" w:cstheme="minorEastAsia"/>
          <w:b/>
          <w:sz w:val="24"/>
        </w:rPr>
      </w:pPr>
      <w:bookmarkStart w:id="654" w:name="_Toc15447"/>
      <w:bookmarkStart w:id="655" w:name="_Toc31233"/>
      <w:bookmarkStart w:id="656" w:name="_Toc26555"/>
      <w:bookmarkStart w:id="657" w:name="_Toc22011"/>
      <w:bookmarkStart w:id="658" w:name="_Toc32670"/>
      <w:r>
        <w:rPr>
          <w:rFonts w:hint="eastAsia" w:asciiTheme="minorEastAsia" w:hAnsiTheme="minorEastAsia" w:eastAsiaTheme="minorEastAsia" w:cstheme="minorEastAsia"/>
          <w:b/>
          <w:sz w:val="24"/>
        </w:rPr>
        <w:t>2.5 结算方式和付款条件</w:t>
      </w:r>
      <w:bookmarkEnd w:id="648"/>
      <w:bookmarkEnd w:id="649"/>
      <w:bookmarkEnd w:id="650"/>
      <w:bookmarkEnd w:id="651"/>
      <w:bookmarkEnd w:id="652"/>
      <w:bookmarkEnd w:id="654"/>
      <w:bookmarkEnd w:id="655"/>
      <w:bookmarkEnd w:id="656"/>
      <w:bookmarkEnd w:id="657"/>
      <w:bookmarkEnd w:id="65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9" w:name="_Toc259093677"/>
      <w:bookmarkStart w:id="660" w:name="_Ref467379863"/>
      <w:bookmarkStart w:id="661" w:name="_Ref467379852"/>
      <w:bookmarkStart w:id="662" w:name="_Toc487900358"/>
      <w:bookmarkStart w:id="663" w:name="_Toc279701248"/>
      <w:bookmarkStart w:id="664" w:name="_Ref467379923"/>
      <w:bookmarkStart w:id="665" w:name="_Toc16163"/>
      <w:bookmarkStart w:id="666" w:name="_Toc13154"/>
      <w:bookmarkStart w:id="667" w:name="_Toc13467"/>
      <w:bookmarkStart w:id="668" w:name="_Toc18990"/>
      <w:bookmarkStart w:id="669" w:name="_Toc30507"/>
      <w:r>
        <w:rPr>
          <w:rFonts w:hint="eastAsia" w:asciiTheme="minorEastAsia" w:hAnsiTheme="minorEastAsia" w:eastAsiaTheme="minorEastAsia" w:cstheme="minorEastAsia"/>
          <w:b/>
          <w:sz w:val="24"/>
        </w:rPr>
        <w:t>2.6 技术资料</w:t>
      </w:r>
      <w:bookmarkEnd w:id="659"/>
      <w:bookmarkEnd w:id="660"/>
      <w:bookmarkEnd w:id="661"/>
      <w:bookmarkEnd w:id="662"/>
      <w:bookmarkEnd w:id="663"/>
      <w:bookmarkEnd w:id="664"/>
      <w:r>
        <w:rPr>
          <w:rFonts w:hint="eastAsia" w:asciiTheme="minorEastAsia" w:hAnsiTheme="minorEastAsia" w:eastAsiaTheme="minorEastAsia" w:cstheme="minorEastAsia"/>
          <w:b/>
          <w:sz w:val="24"/>
        </w:rPr>
        <w:t>和保密义务</w:t>
      </w:r>
      <w:bookmarkEnd w:id="665"/>
      <w:bookmarkEnd w:id="666"/>
      <w:bookmarkEnd w:id="667"/>
      <w:bookmarkEnd w:id="668"/>
      <w:bookmarkEnd w:id="66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70" w:name="_Toc19069"/>
      <w:bookmarkStart w:id="671" w:name="_Toc259093681"/>
      <w:bookmarkStart w:id="672" w:name="_Toc279701252"/>
      <w:bookmarkStart w:id="673" w:name="_Toc487900362"/>
      <w:r>
        <w:rPr>
          <w:rFonts w:hint="eastAsia" w:asciiTheme="minorEastAsia" w:hAnsiTheme="minorEastAsia" w:eastAsiaTheme="minorEastAsia" w:cstheme="minorEastAsia"/>
          <w:b/>
          <w:sz w:val="24"/>
        </w:rPr>
        <w:t>2.7 质量保证</w:t>
      </w:r>
      <w:bookmarkEnd w:id="6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4" w:name="_Toc22267"/>
      <w:r>
        <w:rPr>
          <w:rFonts w:hint="eastAsia" w:asciiTheme="minorEastAsia" w:hAnsiTheme="minorEastAsia" w:eastAsiaTheme="minorEastAsia" w:cstheme="minorEastAsia"/>
          <w:b/>
          <w:sz w:val="24"/>
        </w:rPr>
        <w:t>2.8 延迟</w:t>
      </w:r>
      <w:bookmarkEnd w:id="671"/>
      <w:bookmarkEnd w:id="672"/>
      <w:bookmarkEnd w:id="673"/>
      <w:r>
        <w:rPr>
          <w:rFonts w:hint="eastAsia" w:asciiTheme="minorEastAsia" w:hAnsiTheme="minorEastAsia" w:eastAsiaTheme="minorEastAsia" w:cstheme="minorEastAsia"/>
          <w:b/>
          <w:sz w:val="24"/>
        </w:rPr>
        <w:t>履行</w:t>
      </w:r>
      <w:bookmarkEnd w:id="67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5" w:name="_Toc10611"/>
      <w:bookmarkStart w:id="676" w:name="_Toc487900364"/>
      <w:bookmarkStart w:id="677" w:name="_Toc279701254"/>
      <w:bookmarkStart w:id="678" w:name="_Ref467378121"/>
      <w:bookmarkStart w:id="679" w:name="_Toc259093683"/>
      <w:r>
        <w:rPr>
          <w:rFonts w:hint="eastAsia" w:asciiTheme="minorEastAsia" w:hAnsiTheme="minorEastAsia" w:eastAsiaTheme="minorEastAsia" w:cstheme="minorEastAsia"/>
          <w:b/>
          <w:sz w:val="24"/>
        </w:rPr>
        <w:t>2.9 合同变更</w:t>
      </w:r>
      <w:bookmarkEnd w:id="67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80" w:name="_Toc487900369"/>
      <w:bookmarkStart w:id="681" w:name="_Toc279701259"/>
      <w:bookmarkStart w:id="682" w:name="_Toc259093688"/>
    </w:p>
    <w:p>
      <w:pPr>
        <w:spacing w:line="560" w:lineRule="exact"/>
        <w:ind w:firstLine="482" w:firstLineChars="200"/>
        <w:outlineLvl w:val="0"/>
        <w:rPr>
          <w:rFonts w:asciiTheme="minorEastAsia" w:hAnsiTheme="minorEastAsia" w:eastAsiaTheme="minorEastAsia" w:cstheme="minorEastAsia"/>
          <w:b/>
          <w:sz w:val="24"/>
        </w:rPr>
      </w:pPr>
      <w:bookmarkStart w:id="683" w:name="_Toc26689"/>
      <w:bookmarkStart w:id="684" w:name="_Toc21830"/>
      <w:bookmarkStart w:id="685" w:name="_Toc23368"/>
      <w:bookmarkStart w:id="686" w:name="_Toc42"/>
      <w:bookmarkStart w:id="687" w:name="_Toc10663"/>
      <w:r>
        <w:rPr>
          <w:rFonts w:hint="eastAsia" w:asciiTheme="minorEastAsia" w:hAnsiTheme="minorEastAsia" w:eastAsiaTheme="minorEastAsia" w:cstheme="minorEastAsia"/>
          <w:b/>
          <w:sz w:val="24"/>
        </w:rPr>
        <w:t>2.10 合同转让</w:t>
      </w:r>
      <w:bookmarkEnd w:id="680"/>
      <w:bookmarkEnd w:id="681"/>
      <w:bookmarkEnd w:id="682"/>
      <w:r>
        <w:rPr>
          <w:rFonts w:hint="eastAsia" w:asciiTheme="minorEastAsia" w:hAnsiTheme="minorEastAsia" w:eastAsiaTheme="minorEastAsia" w:cstheme="minorEastAsia"/>
          <w:b/>
          <w:sz w:val="24"/>
        </w:rPr>
        <w:t>和分包</w:t>
      </w:r>
      <w:bookmarkEnd w:id="683"/>
      <w:bookmarkEnd w:id="684"/>
      <w:bookmarkEnd w:id="685"/>
      <w:bookmarkEnd w:id="686"/>
      <w:bookmarkEnd w:id="6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8" w:name="_Toc14371"/>
      <w:bookmarkStart w:id="689" w:name="_Toc25571"/>
      <w:bookmarkStart w:id="690" w:name="_Toc4720"/>
      <w:bookmarkStart w:id="691" w:name="_Toc26633"/>
      <w:bookmarkStart w:id="692" w:name="_Toc32494"/>
      <w:r>
        <w:rPr>
          <w:rFonts w:hint="eastAsia" w:asciiTheme="minorEastAsia" w:hAnsiTheme="minorEastAsia" w:eastAsiaTheme="minorEastAsia" w:cstheme="minorEastAsia"/>
          <w:b/>
          <w:sz w:val="24"/>
        </w:rPr>
        <w:t>2.11 不可抗力</w:t>
      </w:r>
      <w:bookmarkEnd w:id="688"/>
      <w:bookmarkEnd w:id="689"/>
      <w:bookmarkEnd w:id="690"/>
      <w:bookmarkEnd w:id="691"/>
      <w:bookmarkEnd w:id="69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3" w:name="_Toc25783"/>
      <w:bookmarkStart w:id="694" w:name="_Toc3638"/>
      <w:bookmarkStart w:id="695" w:name="_Toc14115"/>
      <w:bookmarkStart w:id="696" w:name="_Toc24465"/>
      <w:bookmarkStart w:id="697" w:name="_Toc23854"/>
      <w:bookmarkStart w:id="698" w:name="_Toc279701255"/>
      <w:bookmarkStart w:id="699" w:name="_Toc487900365"/>
      <w:bookmarkStart w:id="700" w:name="_Toc259093684"/>
      <w:r>
        <w:rPr>
          <w:rFonts w:hint="eastAsia" w:asciiTheme="minorEastAsia" w:hAnsiTheme="minorEastAsia" w:eastAsiaTheme="minorEastAsia" w:cstheme="minorEastAsia"/>
          <w:b/>
          <w:sz w:val="24"/>
        </w:rPr>
        <w:t>2.12 税费</w:t>
      </w:r>
      <w:bookmarkEnd w:id="693"/>
      <w:bookmarkEnd w:id="694"/>
      <w:bookmarkEnd w:id="695"/>
      <w:bookmarkEnd w:id="696"/>
      <w:bookmarkEnd w:id="697"/>
      <w:bookmarkEnd w:id="698"/>
      <w:bookmarkEnd w:id="699"/>
      <w:bookmarkEnd w:id="7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701" w:name="_Toc487900368"/>
      <w:bookmarkStart w:id="702" w:name="_Toc25525"/>
      <w:bookmarkStart w:id="703" w:name="_Toc259093687"/>
      <w:bookmarkStart w:id="704" w:name="_Toc26883"/>
      <w:bookmarkStart w:id="705" w:name="_Toc279701258"/>
      <w:bookmarkStart w:id="706" w:name="_Toc30105"/>
      <w:bookmarkStart w:id="707" w:name="_Toc7315"/>
      <w:bookmarkStart w:id="708" w:name="_Toc14814"/>
      <w:r>
        <w:rPr>
          <w:rFonts w:hint="eastAsia" w:asciiTheme="minorEastAsia" w:hAnsiTheme="minorEastAsia" w:eastAsiaTheme="minorEastAsia" w:cstheme="minorEastAsia"/>
          <w:b/>
          <w:sz w:val="24"/>
        </w:rPr>
        <w:t>2.13 乙方破产</w:t>
      </w:r>
      <w:bookmarkEnd w:id="701"/>
      <w:bookmarkEnd w:id="702"/>
      <w:bookmarkEnd w:id="703"/>
      <w:bookmarkEnd w:id="704"/>
      <w:bookmarkEnd w:id="705"/>
      <w:bookmarkEnd w:id="706"/>
      <w:bookmarkEnd w:id="707"/>
      <w:bookmarkEnd w:id="70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9" w:name="_Toc23323"/>
      <w:bookmarkStart w:id="710" w:name="_Toc1123"/>
      <w:bookmarkStart w:id="711" w:name="_Toc2016"/>
      <w:r>
        <w:rPr>
          <w:rFonts w:hint="eastAsia" w:asciiTheme="minorEastAsia" w:hAnsiTheme="minorEastAsia" w:eastAsiaTheme="minorEastAsia" w:cstheme="minorEastAsia"/>
          <w:b/>
          <w:sz w:val="24"/>
        </w:rPr>
        <w:t>2.14 合同中止、终止</w:t>
      </w:r>
      <w:bookmarkEnd w:id="709"/>
      <w:bookmarkEnd w:id="710"/>
      <w:bookmarkEnd w:id="7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2" w:name="_Toc17363"/>
      <w:bookmarkStart w:id="713" w:name="_Toc14525"/>
      <w:bookmarkStart w:id="714" w:name="_Toc1969"/>
      <w:r>
        <w:rPr>
          <w:rFonts w:hint="eastAsia" w:asciiTheme="minorEastAsia" w:hAnsiTheme="minorEastAsia" w:eastAsiaTheme="minorEastAsia" w:cstheme="minorEastAsia"/>
          <w:b/>
          <w:sz w:val="24"/>
        </w:rPr>
        <w:t>2.15 检验和验收</w:t>
      </w:r>
      <w:bookmarkEnd w:id="712"/>
      <w:bookmarkEnd w:id="713"/>
      <w:bookmarkEnd w:id="714"/>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6"/>
    <w:bookmarkEnd w:id="677"/>
    <w:bookmarkEnd w:id="678"/>
    <w:bookmarkEnd w:id="679"/>
    <w:p>
      <w:pPr>
        <w:spacing w:line="560" w:lineRule="exact"/>
        <w:ind w:firstLine="482" w:firstLineChars="200"/>
        <w:outlineLvl w:val="0"/>
        <w:rPr>
          <w:rFonts w:asciiTheme="minorEastAsia" w:hAnsiTheme="minorEastAsia" w:eastAsiaTheme="minorEastAsia" w:cstheme="minorEastAsia"/>
          <w:b/>
          <w:sz w:val="24"/>
        </w:rPr>
      </w:pPr>
      <w:bookmarkStart w:id="715" w:name="_Toc259093690"/>
      <w:bookmarkStart w:id="716" w:name="_Toc487900371"/>
      <w:bookmarkStart w:id="717" w:name="_Toc279701261"/>
      <w:bookmarkStart w:id="718" w:name="_Toc12666"/>
      <w:bookmarkStart w:id="719" w:name="_Toc25198"/>
      <w:bookmarkStart w:id="720" w:name="_Toc2308"/>
      <w:bookmarkStart w:id="721" w:name="_Toc9808"/>
      <w:bookmarkStart w:id="722" w:name="_Toc31892"/>
      <w:r>
        <w:rPr>
          <w:rFonts w:hint="eastAsia" w:asciiTheme="minorEastAsia" w:hAnsiTheme="minorEastAsia" w:eastAsiaTheme="minorEastAsia" w:cstheme="minorEastAsia"/>
          <w:b/>
          <w:sz w:val="24"/>
        </w:rPr>
        <w:t>2.16 通知</w:t>
      </w:r>
      <w:bookmarkEnd w:id="715"/>
      <w:bookmarkEnd w:id="716"/>
      <w:bookmarkEnd w:id="717"/>
      <w:r>
        <w:rPr>
          <w:rFonts w:hint="eastAsia" w:asciiTheme="minorEastAsia" w:hAnsiTheme="minorEastAsia" w:eastAsiaTheme="minorEastAsia" w:cstheme="minorEastAsia"/>
          <w:b/>
          <w:sz w:val="24"/>
        </w:rPr>
        <w:t>和送达</w:t>
      </w:r>
      <w:bookmarkEnd w:id="718"/>
      <w:bookmarkEnd w:id="719"/>
      <w:bookmarkEnd w:id="720"/>
      <w:bookmarkEnd w:id="721"/>
      <w:bookmarkEnd w:id="722"/>
    </w:p>
    <w:p>
      <w:pPr>
        <w:spacing w:line="560" w:lineRule="exact"/>
        <w:ind w:firstLine="480" w:firstLineChars="200"/>
        <w:rPr>
          <w:rFonts w:asciiTheme="minorEastAsia" w:hAnsiTheme="minorEastAsia" w:eastAsiaTheme="minorEastAsia" w:cstheme="minorEastAsia"/>
          <w:sz w:val="24"/>
        </w:rPr>
      </w:pPr>
      <w:bookmarkStart w:id="723" w:name="_Toc7073"/>
      <w:bookmarkStart w:id="724" w:name="_Toc29220"/>
      <w:bookmarkStart w:id="725" w:name="_Toc487900372"/>
      <w:bookmarkStart w:id="726" w:name="_Toc259093691"/>
      <w:bookmarkStart w:id="727" w:name="_Toc279701262"/>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3"/>
      <w:bookmarkEnd w:id="724"/>
    </w:p>
    <w:p>
      <w:pPr>
        <w:spacing w:line="560" w:lineRule="exact"/>
        <w:ind w:firstLine="480" w:firstLineChars="200"/>
        <w:rPr>
          <w:rFonts w:asciiTheme="minorEastAsia" w:hAnsiTheme="minorEastAsia" w:eastAsiaTheme="minorEastAsia" w:cstheme="minorEastAsia"/>
          <w:sz w:val="24"/>
        </w:rPr>
      </w:pPr>
      <w:bookmarkStart w:id="728" w:name="_Toc18401"/>
      <w:bookmarkStart w:id="729"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8"/>
      <w:bookmarkEnd w:id="729"/>
    </w:p>
    <w:bookmarkEnd w:id="725"/>
    <w:bookmarkEnd w:id="726"/>
    <w:bookmarkEnd w:id="727"/>
    <w:p>
      <w:pPr>
        <w:spacing w:line="560" w:lineRule="exact"/>
        <w:ind w:firstLine="482" w:firstLineChars="200"/>
        <w:outlineLvl w:val="0"/>
        <w:rPr>
          <w:rFonts w:asciiTheme="minorEastAsia" w:hAnsiTheme="minorEastAsia" w:eastAsiaTheme="minorEastAsia" w:cstheme="minorEastAsia"/>
          <w:b/>
          <w:sz w:val="24"/>
        </w:rPr>
      </w:pPr>
      <w:bookmarkStart w:id="730" w:name="_Toc27644"/>
      <w:bookmarkStart w:id="731" w:name="_Toc20808"/>
      <w:bookmarkStart w:id="732" w:name="_Toc259093692"/>
      <w:bookmarkStart w:id="733" w:name="_Toc12254"/>
      <w:bookmarkStart w:id="734" w:name="_Toc487900373"/>
      <w:bookmarkStart w:id="735" w:name="_Toc279701263"/>
      <w:bookmarkStart w:id="736" w:name="_Toc5063"/>
      <w:bookmarkStart w:id="737" w:name="_Toc28906"/>
      <w:r>
        <w:rPr>
          <w:rFonts w:hint="eastAsia" w:asciiTheme="minorEastAsia" w:hAnsiTheme="minorEastAsia" w:eastAsiaTheme="minorEastAsia" w:cstheme="minorEastAsia"/>
          <w:b/>
          <w:sz w:val="24"/>
        </w:rPr>
        <w:t>2.17 合同使用的文字和适用的法律</w:t>
      </w:r>
      <w:bookmarkEnd w:id="730"/>
      <w:bookmarkEnd w:id="731"/>
      <w:bookmarkEnd w:id="732"/>
      <w:bookmarkEnd w:id="733"/>
      <w:bookmarkEnd w:id="734"/>
      <w:bookmarkEnd w:id="735"/>
      <w:bookmarkEnd w:id="736"/>
      <w:bookmarkEnd w:id="7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8" w:name="_Toc22266"/>
      <w:bookmarkStart w:id="739" w:name="_Toc279701264"/>
      <w:bookmarkStart w:id="740" w:name="_Toc259093693"/>
      <w:bookmarkStart w:id="741" w:name="_Toc30096"/>
      <w:bookmarkStart w:id="742" w:name="_Toc27403"/>
      <w:bookmarkStart w:id="743" w:name="_Toc1492"/>
      <w:bookmarkStart w:id="744" w:name="_Toc27127"/>
      <w:bookmarkStart w:id="745" w:name="_Toc487900374"/>
      <w:r>
        <w:rPr>
          <w:rFonts w:hint="eastAsia" w:asciiTheme="minorEastAsia" w:hAnsiTheme="minorEastAsia" w:eastAsiaTheme="minorEastAsia" w:cstheme="minorEastAsia"/>
          <w:b/>
          <w:sz w:val="24"/>
        </w:rPr>
        <w:t>2.18 履约保证金</w:t>
      </w:r>
      <w:bookmarkEnd w:id="738"/>
      <w:bookmarkEnd w:id="739"/>
      <w:bookmarkEnd w:id="740"/>
      <w:bookmarkEnd w:id="741"/>
      <w:bookmarkEnd w:id="742"/>
      <w:bookmarkEnd w:id="743"/>
      <w:bookmarkEnd w:id="74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5"/>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24"/>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6" w:name="_Toc331685784"/>
      <w:r>
        <w:rPr>
          <w:rFonts w:hint="eastAsia" w:asciiTheme="minorEastAsia" w:hAnsiTheme="minorEastAsia" w:eastAsiaTheme="minorEastAsia" w:cstheme="minorEastAsia"/>
          <w:b/>
          <w:szCs w:val="24"/>
        </w:rPr>
        <w:t>第三部分合同专用条款</w:t>
      </w:r>
      <w:bookmarkEnd w:id="74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8"/>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7"/>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27"/>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7"/>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spacing w:line="360" w:lineRule="auto"/>
        <w:jc w:val="left"/>
        <w:outlineLvl w:val="1"/>
        <w:rPr>
          <w:rStyle w:val="20"/>
          <w:rFonts w:asciiTheme="minorEastAsia" w:hAnsiTheme="minorEastAsia" w:eastAsiaTheme="minorEastAsia" w:cstheme="minorEastAsia"/>
          <w:color w:val="000000"/>
          <w:sz w:val="24"/>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
        <w:rPr>
          <w:rFonts w:asciiTheme="minorEastAsia" w:hAnsiTheme="minorEastAsia" w:eastAsiaTheme="minorEastAsia"/>
        </w:rPr>
      </w:pPr>
    </w:p>
    <w:p/>
    <w:p/>
    <w:sectPr>
      <w:headerReference r:id="rId21" w:type="default"/>
      <w:footerReference r:id="rId2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12"/>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2"/>
                            <w:rPr>
                              <w:rStyle w:val="21"/>
                            </w:rPr>
                          </w:pPr>
                          <w:r>
                            <w:fldChar w:fldCharType="begin"/>
                          </w:r>
                          <w:r>
                            <w:rPr>
                              <w:rStyle w:val="21"/>
                            </w:rPr>
                            <w:instrText xml:space="preserve">PAGE  </w:instrText>
                          </w:r>
                          <w:r>
                            <w:fldChar w:fldCharType="separate"/>
                          </w:r>
                          <w:r>
                            <w:rPr>
                              <w:rStyle w:val="21"/>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42</w:t>
    </w:r>
    <w:r>
      <w:fldChar w:fldCharType="end"/>
    </w:r>
  </w:p>
  <w:p>
    <w:pPr>
      <w:pStyle w:val="1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p>
  <w:p>
    <w:pPr>
      <w:pStyle w:val="1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nThickSmallGap" w:color="auto" w:sz="12" w:space="0"/>
      </w:pBdr>
      <w:tabs>
        <w:tab w:val="left" w:pos="1959"/>
        <w:tab w:val="clear" w:pos="4153"/>
      </w:tabs>
      <w:jc w:val="both"/>
    </w:pPr>
    <w:r>
      <w:rPr>
        <w:rFonts w:hint="eastAsia"/>
      </w:rPr>
      <w:tab/>
    </w:r>
  </w:p>
  <w:p>
    <w:pPr>
      <w:pStyle w:val="13"/>
      <w:pBdr>
        <w:bottom w:val="thinThickSmallGap" w:color="auto" w:sz="12" w:space="0"/>
      </w:pBdr>
      <w:tabs>
        <w:tab w:val="left" w:pos="1959"/>
        <w:tab w:val="clear" w:pos="4153"/>
      </w:tabs>
      <w:jc w:val="both"/>
    </w:pPr>
  </w:p>
  <w:p>
    <w:pPr>
      <w:pStyle w:val="13"/>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6EB5F"/>
    <w:multiLevelType w:val="singleLevel"/>
    <w:tmpl w:val="C986EB5F"/>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decimal"/>
      <w:suff w:val="nothing"/>
      <w:lvlText w:val="%1、"/>
      <w:lvlJc w:val="left"/>
      <w:pPr>
        <w:ind w:left="-478"/>
      </w:pPr>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FD6"/>
    <w:rsid w:val="00A33BEF"/>
    <w:rsid w:val="02181033"/>
    <w:rsid w:val="05A66641"/>
    <w:rsid w:val="07DE620B"/>
    <w:rsid w:val="09557B0F"/>
    <w:rsid w:val="09777E8A"/>
    <w:rsid w:val="09CB733A"/>
    <w:rsid w:val="0FDD14FD"/>
    <w:rsid w:val="1A436A31"/>
    <w:rsid w:val="1B9F0D20"/>
    <w:rsid w:val="1DFA12AD"/>
    <w:rsid w:val="1E5565E1"/>
    <w:rsid w:val="1E5A03AC"/>
    <w:rsid w:val="1F7E1AFB"/>
    <w:rsid w:val="1FA040D1"/>
    <w:rsid w:val="23B600FF"/>
    <w:rsid w:val="23D927A9"/>
    <w:rsid w:val="24DB6D31"/>
    <w:rsid w:val="25B77DCC"/>
    <w:rsid w:val="2DAA085C"/>
    <w:rsid w:val="2E5438BD"/>
    <w:rsid w:val="30CA73B6"/>
    <w:rsid w:val="33141DE4"/>
    <w:rsid w:val="34532302"/>
    <w:rsid w:val="380F72C7"/>
    <w:rsid w:val="3B223306"/>
    <w:rsid w:val="3D7D5E6A"/>
    <w:rsid w:val="3E7030DA"/>
    <w:rsid w:val="408D5EEA"/>
    <w:rsid w:val="40AC1D56"/>
    <w:rsid w:val="40AE1B0B"/>
    <w:rsid w:val="45082CF9"/>
    <w:rsid w:val="4EF104A4"/>
    <w:rsid w:val="50490E60"/>
    <w:rsid w:val="53B038AB"/>
    <w:rsid w:val="53BB27FA"/>
    <w:rsid w:val="54B16DF3"/>
    <w:rsid w:val="54B54C9F"/>
    <w:rsid w:val="5A3C4288"/>
    <w:rsid w:val="61252875"/>
    <w:rsid w:val="61E97531"/>
    <w:rsid w:val="63511D49"/>
    <w:rsid w:val="63845106"/>
    <w:rsid w:val="71993B65"/>
    <w:rsid w:val="751A5978"/>
    <w:rsid w:val="772100A3"/>
    <w:rsid w:val="786F2AEF"/>
    <w:rsid w:val="79BC593A"/>
    <w:rsid w:val="7A9349A0"/>
    <w:rsid w:val="7AA70675"/>
    <w:rsid w:val="7B126EF3"/>
    <w:rsid w:val="7E641A55"/>
    <w:rsid w:val="7E7F529F"/>
    <w:rsid w:val="7EB8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Body Text 2"/>
    <w:basedOn w:val="1"/>
    <w:qFormat/>
    <w:uiPriority w:val="0"/>
    <w:pPr>
      <w:spacing w:after="120" w:line="480" w:lineRule="auto"/>
    </w:pPr>
    <w:rPr>
      <w:rFonts w:ascii="Arial" w:hAnsi="Arial"/>
      <w:sz w:val="24"/>
    </w:rPr>
  </w:style>
  <w:style w:type="paragraph" w:styleId="9">
    <w:name w:val="Body Text Indent"/>
    <w:basedOn w:val="1"/>
    <w:qFormat/>
    <w:uiPriority w:val="0"/>
    <w:pPr>
      <w:spacing w:line="360" w:lineRule="auto"/>
      <w:ind w:firstLine="570"/>
    </w:pPr>
    <w:rPr>
      <w:sz w:val="24"/>
    </w:rPr>
  </w:style>
  <w:style w:type="paragraph" w:styleId="10">
    <w:name w:val="toc 5"/>
    <w:basedOn w:val="1"/>
    <w:next w:val="1"/>
    <w:qFormat/>
    <w:uiPriority w:val="0"/>
    <w:pPr>
      <w:ind w:left="1680" w:leftChars="800"/>
    </w:p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widowControl/>
      <w:adjustRightInd w:val="0"/>
      <w:snapToGrid w:val="0"/>
      <w:spacing w:line="312" w:lineRule="auto"/>
      <w:jc w:val="center"/>
    </w:pPr>
    <w:rPr>
      <w:rFonts w:ascii="黑体" w:hAnsi="宋体" w:eastAsia="黑体" w:cs="宋体"/>
      <w:snapToGrid w:val="0"/>
      <w:sz w:val="24"/>
    </w:rPr>
  </w:style>
  <w:style w:type="paragraph" w:styleId="16">
    <w:name w:val="toc 2"/>
    <w:basedOn w:val="1"/>
    <w:next w:val="1"/>
    <w:qFormat/>
    <w:uiPriority w:val="0"/>
    <w:pPr>
      <w:ind w:left="420" w:leftChars="200"/>
    </w:pPr>
  </w:style>
  <w:style w:type="paragraph" w:styleId="17">
    <w:name w:val="Body Text First Indent 2"/>
    <w:basedOn w:val="9"/>
    <w:qFormat/>
    <w:uiPriority w:val="0"/>
    <w:pPr>
      <w:ind w:firstLine="420" w:firstLineChars="200"/>
    </w:pPr>
  </w:style>
  <w:style w:type="character" w:styleId="20">
    <w:name w:val="Strong"/>
    <w:qFormat/>
    <w:uiPriority w:val="0"/>
    <w:rPr>
      <w:b/>
      <w:bCs/>
      <w:szCs w:val="21"/>
    </w:rPr>
  </w:style>
  <w:style w:type="character" w:styleId="21">
    <w:name w:val="page number"/>
    <w:basedOn w:val="19"/>
    <w:qFormat/>
    <w:uiPriority w:val="0"/>
    <w:rPr>
      <w:rFonts w:ascii="Times New Roman" w:hAnsi="Times New Roman" w:eastAsia="宋体" w:cs="Times New Roman"/>
    </w:rPr>
  </w:style>
  <w:style w:type="paragraph" w:customStyle="1" w:styleId="2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缩进1"/>
    <w:basedOn w:val="1"/>
    <w:qFormat/>
    <w:uiPriority w:val="0"/>
    <w:pPr>
      <w:autoSpaceDE w:val="0"/>
      <w:autoSpaceDN w:val="0"/>
      <w:adjustRightInd w:val="0"/>
      <w:ind w:firstLine="420"/>
      <w:jc w:val="left"/>
    </w:pPr>
    <w:rPr>
      <w:rFonts w:ascii="宋体"/>
      <w:sz w:val="24"/>
      <w:szCs w:val="22"/>
    </w:rPr>
  </w:style>
  <w:style w:type="paragraph" w:customStyle="1" w:styleId="25">
    <w:name w:val="索引 11"/>
    <w:basedOn w:val="1"/>
    <w:next w:val="1"/>
    <w:qFormat/>
    <w:uiPriority w:val="0"/>
    <w:pPr>
      <w:spacing w:line="360" w:lineRule="auto"/>
    </w:pPr>
    <w:rPr>
      <w:rFonts w:ascii="仿宋_GB2312" w:eastAsia="仿宋_GB2312"/>
      <w:sz w:val="24"/>
      <w:szCs w:val="20"/>
    </w:rPr>
  </w:style>
  <w:style w:type="paragraph" w:customStyle="1" w:styleId="26">
    <w:name w:val="纯文本1"/>
    <w:basedOn w:val="1"/>
    <w:qFormat/>
    <w:uiPriority w:val="99"/>
    <w:rPr>
      <w:rFonts w:ascii="宋体" w:hAnsi="Courier New"/>
      <w:szCs w:val="22"/>
    </w:rPr>
  </w:style>
  <w:style w:type="paragraph" w:customStyle="1" w:styleId="2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28">
    <w:name w:val="font31"/>
    <w:basedOn w:val="19"/>
    <w:qFormat/>
    <w:uiPriority w:val="0"/>
    <w:rPr>
      <w:rFonts w:hint="eastAsia" w:ascii="宋体" w:hAnsi="宋体" w:eastAsia="宋体" w:cs="宋体"/>
      <w:color w:val="000000"/>
      <w:sz w:val="24"/>
      <w:szCs w:val="24"/>
      <w:u w:val="none"/>
    </w:rPr>
  </w:style>
  <w:style w:type="character" w:customStyle="1" w:styleId="29">
    <w:name w:val="font01"/>
    <w:basedOn w:val="19"/>
    <w:qFormat/>
    <w:uiPriority w:val="0"/>
    <w:rPr>
      <w:rFonts w:ascii="Symbol" w:hAnsi="Symbol" w:cs="Symbol"/>
      <w:color w:val="000000"/>
      <w:sz w:val="24"/>
      <w:szCs w:val="24"/>
      <w:u w:val="none"/>
    </w:rPr>
  </w:style>
  <w:style w:type="character" w:customStyle="1" w:styleId="30">
    <w:name w:val="font7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2021-10-11T09:13:00Z</dcterms:created>
  <dc:creator>Administrator</dc:creator>
  <cp:lastModifiedBy>zfcgzx-04</cp:lastModifiedBy>
  <dcterms:modified xsi:type="dcterms:W3CDTF">2021-10-18T09:50:36Z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5A7AA4228CC24CCA81135F83DE792061</vt:lpwstr>
  </property>
</Properties>
</file>