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b/>
          <w:bCs/>
          <w:kern w:val="0"/>
          <w:sz w:val="32"/>
          <w:szCs w:val="32"/>
          <w:lang w:val="en-US" w:eastAsia="zh-CN" w:bidi="ar"/>
        </w:rPr>
      </w:pPr>
      <w:r>
        <w:rPr>
          <w:rFonts w:ascii="宋体" w:hAnsi="宋体" w:eastAsia="宋体" w:cs="宋体"/>
          <w:b/>
          <w:bCs/>
          <w:kern w:val="0"/>
          <w:sz w:val="32"/>
          <w:szCs w:val="32"/>
          <w:lang w:val="en-US" w:eastAsia="zh-CN" w:bidi="ar"/>
        </w:rPr>
        <w:t>​</w:t>
      </w:r>
      <w:r>
        <w:rPr>
          <w:rFonts w:hint="eastAsia" w:ascii="宋体" w:hAnsi="宋体" w:eastAsia="宋体" w:cs="宋体"/>
          <w:b/>
          <w:bCs/>
          <w:kern w:val="0"/>
          <w:sz w:val="32"/>
          <w:szCs w:val="32"/>
          <w:lang w:val="en-US" w:eastAsia="zh-CN" w:bidi="ar"/>
        </w:rPr>
        <w:t>富蕴县乡村产业提升项目喀拉通克镇渠道防渗及人居环境治理建设项目（二标段）的竞争性磋商公告</w:t>
      </w:r>
    </w:p>
    <w:p>
      <w:pPr>
        <w:keepNext w:val="0"/>
        <w:keepLines w:val="0"/>
        <w:widowControl/>
        <w:suppressLineNumbers w:val="0"/>
        <w:jc w:val="left"/>
        <w:rPr>
          <w:rFonts w:hint="eastAsia" w:ascii="宋体" w:hAnsi="宋体" w:eastAsia="宋体" w:cs="宋体"/>
          <w:b/>
          <w:bCs/>
          <w:kern w:val="0"/>
          <w:sz w:val="32"/>
          <w:szCs w:val="32"/>
          <w:lang w:val="en-US" w:eastAsia="zh-CN" w:bidi="ar"/>
        </w:rPr>
      </w:pPr>
    </w:p>
    <w:p>
      <w:pPr>
        <w:pStyle w:val="2"/>
        <w:keepNext w:val="0"/>
        <w:keepLines w:val="0"/>
        <w:widowControl/>
        <w:suppressLineNumbers w:val="0"/>
        <w:spacing w:before="75" w:beforeAutospacing="0" w:after="150" w:afterAutospacing="0"/>
        <w:ind w:left="0" w:right="0"/>
      </w:pPr>
      <w:r>
        <w:rPr>
          <w:rFonts w:ascii="仿宋" w:hAnsi="仿宋" w:eastAsia="仿宋" w:cs="仿宋"/>
          <w:sz w:val="27"/>
          <w:szCs w:val="27"/>
        </w:rPr>
        <w:t>    项目概况</w:t>
      </w:r>
      <w:r>
        <w:rPr>
          <w:rFonts w:hint="eastAsia" w:ascii="仿宋" w:hAnsi="仿宋" w:eastAsia="仿宋" w:cs="仿宋"/>
        </w:rPr>
        <w:t>                                                    </w:t>
      </w:r>
    </w:p>
    <w:p>
      <w:pPr>
        <w:pStyle w:val="2"/>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富蕴县乡村产业提升项目喀拉通克镇渠道防渗及人居环境治理建设项目（二标段）采购项目的潜在供应商应在富蕴县额河商厦208室获取采购文件，并于2021年11月03日 16:30（北京时间）前提交响应文件。</w:t>
      </w:r>
      <w:r>
        <w:rPr>
          <w:rFonts w:hint="eastAsia" w:ascii="仿宋" w:hAnsi="仿宋" w:eastAsia="仿宋" w:cs="仿宋"/>
        </w:rPr>
        <w:t>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5"/>
          <w:rFonts w:ascii="黑体" w:hAnsi="宋体" w:eastAsia="黑体" w:cs="黑体"/>
          <w:sz w:val="27"/>
          <w:szCs w:val="27"/>
        </w:rPr>
        <w:t>一、项目基本情况</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项目编号：WTHH-FY2021-071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项目名称：富蕴县乡村产业提升项目喀拉通克镇渠道防渗及人居环境治理建设项目（二标段）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采购方式：竞争性磋商</w:t>
      </w:r>
      <w:r>
        <w:rPr>
          <w:rFonts w:hint="eastAsia" w:ascii="仿宋" w:hAnsi="仿宋" w:eastAsia="仿宋" w:cs="仿宋"/>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预算金额（元）：3924306.21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最高限价（元）：3924306.21 </w:t>
      </w:r>
      <w:r>
        <w:rPr>
          <w:rFonts w:hint="eastAsia" w:ascii="仿宋" w:hAnsi="仿宋" w:eastAsia="仿宋" w:cs="仿宋"/>
        </w:rPr>
        <w:t> </w:t>
      </w:r>
    </w:p>
    <w:p>
      <w:pPr>
        <w:pStyle w:val="2"/>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sz w:val="27"/>
          <w:szCs w:val="27"/>
        </w:rPr>
        <w:t>    采购需求：</w:t>
      </w:r>
      <w:r>
        <w:rPr>
          <w:rFonts w:hint="eastAsia" w:ascii="仿宋" w:hAnsi="仿宋" w:eastAsia="仿宋" w:cs="仿宋"/>
          <w:sz w:val="27"/>
          <w:szCs w:val="27"/>
          <w:lang w:val="en-US" w:eastAsia="zh-CN"/>
        </w:rPr>
        <w:t>详见招标文件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lang w:val="en-US" w:eastAsia="zh-CN" w:bidi="ar"/>
        </w:rPr>
        <w:t>     </w:t>
      </w:r>
      <w:r>
        <w:rPr>
          <w:rFonts w:hint="eastAsia" w:ascii="仿宋" w:hAnsi="仿宋" w:eastAsia="仿宋" w:cs="仿宋"/>
          <w:kern w:val="0"/>
          <w:sz w:val="27"/>
          <w:szCs w:val="27"/>
          <w:lang w:val="en-US" w:eastAsia="zh-CN" w:bidi="ar"/>
        </w:rPr>
        <w:t>  </w:t>
      </w:r>
      <w:r>
        <w:rPr>
          <w:rFonts w:hint="eastAsia" w:ascii="仿宋" w:hAnsi="仿宋" w:eastAsia="仿宋" w:cs="仿宋"/>
          <w:kern w:val="0"/>
          <w:sz w:val="27"/>
          <w:szCs w:val="27"/>
          <w:lang w:val="en-US" w:eastAsia="zh-CN" w:bidi="ar"/>
        </w:rPr>
        <w:br w:type="textWrapping"/>
      </w:r>
      <w:r>
        <w:rPr>
          <w:rFonts w:hint="eastAsia" w:ascii="仿宋" w:hAnsi="仿宋" w:eastAsia="仿宋" w:cs="仿宋"/>
          <w:kern w:val="0"/>
          <w:sz w:val="27"/>
          <w:szCs w:val="27"/>
          <w:lang w:val="en-US" w:eastAsia="zh-CN" w:bidi="ar"/>
        </w:rPr>
        <w:t>   数量：不限 </w:t>
      </w:r>
      <w:r>
        <w:rPr>
          <w:rFonts w:hint="eastAsia" w:ascii="仿宋" w:hAnsi="仿宋" w:eastAsia="仿宋" w:cs="仿宋"/>
          <w:kern w:val="0"/>
          <w:sz w:val="24"/>
          <w:szCs w:val="24"/>
          <w:lang w:val="en-US" w:eastAsia="zh-CN" w:bidi="ar"/>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预算金额（元）：3924306.21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单位：批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简要规格描述：新建围墙、道路、绿化工程等。工作内容有：建筑工程、土石方工程、道路工程等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备注：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合同履约期限：标项 1，详见招标文件 </w:t>
      </w:r>
      <w:r>
        <w:rPr>
          <w:rFonts w:hint="eastAsia" w:ascii="仿宋" w:hAnsi="仿宋" w:eastAsia="仿宋" w:cs="仿宋"/>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r>
        <w:rPr>
          <w:rFonts w:hint="eastAsia" w:ascii="仿宋" w:hAnsi="仿宋" w:eastAsia="仿宋" w:cs="仿宋"/>
        </w:rPr>
        <w:t>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sz w:val="27"/>
          <w:szCs w:val="27"/>
        </w:rPr>
        <w:t>二、申请人的资格要求：</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2.落实政府采购政策需满足的资格要求：无 </w:t>
      </w:r>
    </w:p>
    <w:p>
      <w:pPr>
        <w:pStyle w:val="2"/>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3.本项目的特定资格要求：</w:t>
      </w:r>
    </w:p>
    <w:p>
      <w:pPr>
        <w:pStyle w:val="2"/>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7"/>
          <w:szCs w:val="27"/>
        </w:rPr>
      </w:pPr>
      <w:r>
        <w:rPr>
          <w:rFonts w:hint="eastAsia" w:ascii="仿宋" w:hAnsi="仿宋" w:eastAsia="仿宋" w:cs="仿宋"/>
          <w:sz w:val="27"/>
          <w:szCs w:val="27"/>
        </w:rPr>
        <w:t>标项1：</w:t>
      </w:r>
    </w:p>
    <w:p>
      <w:pPr>
        <w:pStyle w:val="2"/>
        <w:keepNext w:val="0"/>
        <w:keepLines w:val="0"/>
        <w:widowControl/>
        <w:suppressLineNumbers w:val="0"/>
        <w:spacing w:before="75" w:beforeAutospacing="0" w:after="75" w:afterAutospacing="0" w:line="300" w:lineRule="atLeast"/>
        <w:ind w:right="0"/>
      </w:pPr>
      <w:r>
        <w:rPr>
          <w:rFonts w:hint="eastAsia" w:ascii="仿宋" w:hAnsi="仿宋" w:eastAsia="仿宋" w:cs="仿宋"/>
          <w:sz w:val="27"/>
          <w:szCs w:val="27"/>
        </w:rPr>
        <w:t>（1）符合《中华人民共和国政府采购法》第二十二条的规定；</w:t>
      </w:r>
      <w:r>
        <w:rPr>
          <w:rFonts w:hint="eastAsia" w:ascii="仿宋" w:hAnsi="仿宋" w:eastAsia="仿宋" w:cs="仿宋"/>
          <w:sz w:val="27"/>
          <w:szCs w:val="27"/>
        </w:rPr>
        <w:br w:type="textWrapping"/>
      </w:r>
      <w:r>
        <w:rPr>
          <w:rFonts w:hint="eastAsia" w:ascii="仿宋" w:hAnsi="仿宋" w:eastAsia="仿宋" w:cs="仿宋"/>
          <w:sz w:val="27"/>
          <w:szCs w:val="27"/>
        </w:rPr>
        <w:t>（2）未被“信用中国”（www.creditchina.gov.cn）、中国政府采购网（www.ccgp.gov.cn）列入失信被执行人、重大税收违法案件当事人名单、政府采购严重违法失信行为记录名单；</w:t>
      </w:r>
      <w:r>
        <w:rPr>
          <w:rFonts w:hint="eastAsia" w:ascii="仿宋" w:hAnsi="仿宋" w:eastAsia="仿宋" w:cs="仿宋"/>
          <w:sz w:val="27"/>
          <w:szCs w:val="27"/>
        </w:rPr>
        <w:br w:type="textWrapping"/>
      </w:r>
      <w:r>
        <w:rPr>
          <w:rFonts w:hint="eastAsia" w:ascii="仿宋" w:hAnsi="仿宋" w:eastAsia="仿宋" w:cs="仿宋"/>
          <w:sz w:val="27"/>
          <w:szCs w:val="27"/>
        </w:rPr>
        <w:t>（3）投标人须具备有效的资质证书，且具备市政公用工程施工总承包资质三级及以上；</w:t>
      </w:r>
      <w:r>
        <w:rPr>
          <w:rFonts w:hint="eastAsia" w:ascii="仿宋" w:hAnsi="仿宋" w:eastAsia="仿宋" w:cs="仿宋"/>
          <w:sz w:val="27"/>
          <w:szCs w:val="27"/>
        </w:rPr>
        <w:br w:type="textWrapping"/>
      </w:r>
      <w:r>
        <w:rPr>
          <w:rFonts w:hint="eastAsia" w:ascii="仿宋" w:hAnsi="仿宋" w:eastAsia="仿宋" w:cs="仿宋"/>
          <w:sz w:val="27"/>
          <w:szCs w:val="27"/>
        </w:rPr>
        <w:t>（4）投标人须具备有效的安全生产许可证，区外进疆建筑企业信息报送册；</w:t>
      </w:r>
      <w:r>
        <w:rPr>
          <w:rFonts w:hint="eastAsia" w:ascii="仿宋" w:hAnsi="仿宋" w:eastAsia="仿宋" w:cs="仿宋"/>
          <w:sz w:val="27"/>
          <w:szCs w:val="27"/>
        </w:rPr>
        <w:br w:type="textWrapping"/>
      </w:r>
      <w:r>
        <w:rPr>
          <w:rFonts w:hint="eastAsia" w:ascii="仿宋" w:hAnsi="仿宋" w:eastAsia="仿宋" w:cs="仿宋"/>
          <w:sz w:val="27"/>
          <w:szCs w:val="27"/>
        </w:rPr>
        <w:t>（5）项目负责人要求：须具备注册建造师[市政公用工程]专业二级及以上；（本单位注册，不接受临时注册建造师）；</w:t>
      </w:r>
      <w:r>
        <w:rPr>
          <w:rFonts w:hint="eastAsia" w:ascii="仿宋" w:hAnsi="仿宋" w:eastAsia="仿宋" w:cs="仿宋"/>
          <w:sz w:val="27"/>
          <w:szCs w:val="27"/>
        </w:rPr>
        <w:br w:type="textWrapping"/>
      </w:r>
      <w:r>
        <w:rPr>
          <w:rFonts w:hint="eastAsia" w:ascii="仿宋" w:hAnsi="仿宋" w:eastAsia="仿宋" w:cs="仿宋"/>
          <w:sz w:val="27"/>
          <w:szCs w:val="27"/>
        </w:rPr>
        <w:t>（6）本项目不接受联合体投标；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sz w:val="27"/>
          <w:szCs w:val="27"/>
        </w:rPr>
        <w:t>三、获取采购文件</w:t>
      </w:r>
      <w:bookmarkStart w:id="0" w:name="_GoBack"/>
      <w:bookmarkEnd w:id="0"/>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时间：2021年10月1</w:t>
      </w:r>
      <w:r>
        <w:rPr>
          <w:rFonts w:hint="eastAsia" w:ascii="仿宋" w:hAnsi="仿宋" w:eastAsia="仿宋" w:cs="仿宋"/>
          <w:sz w:val="27"/>
          <w:szCs w:val="27"/>
          <w:u w:val="none"/>
          <w:lang w:val="en-US" w:eastAsia="zh-CN"/>
        </w:rPr>
        <w:t>9</w:t>
      </w:r>
      <w:r>
        <w:rPr>
          <w:rFonts w:hint="eastAsia" w:ascii="仿宋" w:hAnsi="仿宋" w:eastAsia="仿宋" w:cs="仿宋"/>
          <w:sz w:val="27"/>
          <w:szCs w:val="27"/>
          <w:u w:val="none"/>
        </w:rPr>
        <w:t>日至2021年10月25日，每天上午10:00至14:00，下午16:00至19:30（北京时间，法定节假日除外）</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地点：富蕴县额河商厦208室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方式：现场购买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售价（元）：300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sz w:val="27"/>
          <w:szCs w:val="27"/>
        </w:rPr>
        <w:t>四、响应文件提交</w:t>
      </w:r>
      <w:r>
        <w:rPr>
          <w:rFonts w:ascii="黑体" w:hAnsi="宋体" w:eastAsia="黑体" w:cs="黑体"/>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截止时间：2021年11月03日 16:30（北京时间）</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地点：富蕴县财政局1楼开标室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sz w:val="27"/>
          <w:szCs w:val="27"/>
        </w:rPr>
        <w:t>五、响应文件开启</w:t>
      </w:r>
      <w:r>
        <w:rPr>
          <w:rFonts w:ascii="黑体" w:hAnsi="宋体" w:eastAsia="黑体" w:cs="黑体"/>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开启时间：2021年11月03日 16:30 （北京时间）</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地点：富蕴县财政局1楼开标室 </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5"/>
          <w:rFonts w:ascii="黑体" w:hAnsi="宋体" w:eastAsia="黑体" w:cs="黑体"/>
          <w:sz w:val="27"/>
          <w:szCs w:val="27"/>
        </w:rPr>
        <w:t>六、公告期限</w:t>
      </w:r>
    </w:p>
    <w:p>
      <w:pPr>
        <w:pStyle w:val="2"/>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sz w:val="27"/>
          <w:szCs w:val="27"/>
        </w:rPr>
        <w:t>七、其他补充事宜</w:t>
      </w:r>
      <w:r>
        <w:rPr>
          <w:rFonts w:ascii="黑体" w:hAnsi="宋体" w:eastAsia="黑体" w:cs="黑体"/>
          <w:sz w:val="27"/>
          <w:szCs w:val="27"/>
        </w:rPr>
        <w:t> </w:t>
      </w:r>
    </w:p>
    <w:p>
      <w:pPr>
        <w:pStyle w:val="2"/>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携带法定代表人授权委托书及授权委托人身份证原件及复印件、有效的营业执照副本、资质证书、安全生产许可证、拟派注册建造师近三个月社保、未被“信用中国”（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  </w:t>
      </w:r>
    </w:p>
    <w:p>
      <w:pPr>
        <w:pStyle w:val="2"/>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5"/>
          <w:rFonts w:ascii="黑体" w:hAnsi="宋体" w:eastAsia="黑体" w:cs="黑体"/>
          <w:sz w:val="27"/>
          <w:szCs w:val="27"/>
        </w:rPr>
        <w:t>八、凡对本次招标提出询问，请按以下方式联系</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6"/>
          <w:rFonts w:hint="eastAsia" w:ascii="仿宋" w:hAnsi="仿宋" w:eastAsia="仿宋" w:cs="仿宋"/>
          <w:sz w:val="27"/>
          <w:szCs w:val="27"/>
        </w:rPr>
        <w:t>富蕴县喀拉通克镇人民政府</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址：富蕴县喀拉通克镇人民政府</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联系方式：0906-8771764</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称：新疆沃图恒辉建设工程项目管理有限公司</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址：富蕴县额河商厦208室</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联系方式：17794830884</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6"/>
          <w:rFonts w:hint="eastAsia" w:ascii="仿宋" w:hAnsi="仿宋" w:eastAsia="仿宋" w:cs="仿宋"/>
          <w:sz w:val="27"/>
          <w:szCs w:val="27"/>
        </w:rPr>
        <w:t>余彤</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6"/>
          <w:rFonts w:hint="eastAsia" w:ascii="仿宋" w:hAnsi="仿宋" w:eastAsia="仿宋" w:cs="仿宋"/>
          <w:sz w:val="27"/>
          <w:szCs w:val="27"/>
        </w:rPr>
        <w:t>17794830884</w:t>
      </w:r>
    </w:p>
    <w:p>
      <w:pPr>
        <w:pStyle w:val="2"/>
        <w:keepNext w:val="0"/>
        <w:keepLines w:val="0"/>
        <w:widowControl/>
        <w:suppressLineNumbers w:val="0"/>
        <w:spacing w:before="75" w:beforeAutospacing="0" w:after="75" w:afterAutospacing="0"/>
        <w:ind w:left="0" w:right="0"/>
      </w:pPr>
    </w:p>
    <w:p/>
    <w:sectPr>
      <w:pgSz w:w="11906" w:h="16838"/>
      <w:pgMar w:top="1440" w:right="1077" w:bottom="1332" w:left="1298"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85F16"/>
    <w:rsid w:val="2C564924"/>
    <w:rsid w:val="2EF37DB8"/>
    <w:rsid w:val="604B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2021-09-28T03:29:00Z</dcterms:created>
  <dc:creator>Administrator.USER-20190825JH</dc:creator>
  <cp:lastModifiedBy>一年又一年</cp:lastModifiedBy>
  <dcterms:modified xsi:type="dcterms:W3CDTF">2021-10-18T12:27:25Z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C6703BEB98104E39B3D62C4AC60A0DF7</vt:lpwstr>
  </property>
</Properties>
</file>