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80" w:lineRule="exact"/>
        <w:jc w:val="center"/>
        <w:textAlignment w:val="baseline"/>
        <w:rPr>
          <w:b/>
          <w:i w:val="0"/>
          <w:caps w:val="0"/>
          <w:spacing w:val="0"/>
          <w:w w:val="100"/>
          <w:sz w:val="24"/>
        </w:rPr>
      </w:pPr>
      <w:bookmarkStart w:id="0" w:name="_GoBack"/>
      <w:bookmarkEnd w:id="0"/>
      <w:r>
        <w:rPr>
          <w:rFonts w:hint="eastAsia"/>
          <w:b/>
          <w:i w:val="0"/>
          <w:caps w:val="0"/>
          <w:spacing w:val="0"/>
          <w:w w:val="100"/>
          <w:sz w:val="24"/>
        </w:rPr>
        <w:t>拜城产业园区总规环评补充评价环评监测项目采购清单</w:t>
      </w:r>
    </w:p>
    <w:p>
      <w:pPr>
        <w:snapToGrid/>
        <w:spacing w:before="0" w:beforeAutospacing="0" w:after="0" w:afterAutospacing="0" w:line="580" w:lineRule="exact"/>
        <w:ind w:firstLine="482" w:firstLineChars="200"/>
        <w:jc w:val="both"/>
        <w:textAlignment w:val="baseline"/>
        <w:rPr>
          <w:b/>
          <w:i w:val="0"/>
          <w:caps w:val="0"/>
          <w:spacing w:val="0"/>
          <w:w w:val="100"/>
          <w:sz w:val="24"/>
        </w:rPr>
      </w:pPr>
      <w:r>
        <w:rPr>
          <w:rFonts w:hint="eastAsia"/>
          <w:b/>
          <w:i w:val="0"/>
          <w:caps w:val="0"/>
          <w:spacing w:val="0"/>
          <w:w w:val="100"/>
          <w:sz w:val="24"/>
        </w:rPr>
        <w:t xml:space="preserve">1、采购单位：拜城县环境保护局 </w:t>
      </w:r>
    </w:p>
    <w:p>
      <w:pPr>
        <w:snapToGrid/>
        <w:spacing w:before="0" w:beforeAutospacing="0" w:after="0" w:afterAutospacing="0" w:line="580" w:lineRule="exact"/>
        <w:ind w:firstLine="482" w:firstLineChars="200"/>
        <w:jc w:val="both"/>
        <w:textAlignment w:val="baseline"/>
        <w:rPr>
          <w:b/>
          <w:i w:val="0"/>
          <w:caps w:val="0"/>
          <w:spacing w:val="0"/>
          <w:w w:val="100"/>
          <w:sz w:val="24"/>
        </w:rPr>
      </w:pPr>
      <w:r>
        <w:rPr>
          <w:rFonts w:hint="eastAsia"/>
          <w:b/>
          <w:i w:val="0"/>
          <w:caps w:val="0"/>
          <w:spacing w:val="0"/>
          <w:w w:val="100"/>
          <w:sz w:val="24"/>
        </w:rPr>
        <w:t xml:space="preserve">经办人：高艳敏   联系电话：18129177513  </w:t>
      </w:r>
    </w:p>
    <w:p>
      <w:pPr>
        <w:snapToGrid/>
        <w:spacing w:before="0" w:beforeAutospacing="0" w:after="0" w:afterAutospacing="0" w:line="580" w:lineRule="exact"/>
        <w:ind w:firstLine="482" w:firstLineChars="200"/>
        <w:jc w:val="both"/>
        <w:textAlignment w:val="baseline"/>
        <w:rPr>
          <w:b/>
          <w:i w:val="0"/>
          <w:caps w:val="0"/>
          <w:spacing w:val="0"/>
          <w:w w:val="100"/>
          <w:sz w:val="24"/>
        </w:rPr>
      </w:pPr>
      <w:r>
        <w:rPr>
          <w:rFonts w:hint="eastAsia"/>
          <w:b/>
          <w:i w:val="0"/>
          <w:caps w:val="0"/>
          <w:spacing w:val="0"/>
          <w:w w:val="100"/>
          <w:sz w:val="24"/>
        </w:rPr>
        <w:t>2、采购清单的具体类型、项目及检测因子</w:t>
      </w:r>
    </w:p>
    <w:tbl>
      <w:tblPr>
        <w:tblStyle w:val="6"/>
        <w:tblW w:w="12307" w:type="dxa"/>
        <w:tblInd w:w="420" w:type="dxa"/>
        <w:tblLayout w:type="fixed"/>
        <w:tblCellMar>
          <w:top w:w="0" w:type="dxa"/>
          <w:left w:w="15" w:type="dxa"/>
          <w:bottom w:w="0" w:type="dxa"/>
          <w:right w:w="15" w:type="dxa"/>
        </w:tblCellMar>
      </w:tblPr>
      <w:tblGrid>
        <w:gridCol w:w="712"/>
        <w:gridCol w:w="1583"/>
        <w:gridCol w:w="10012"/>
      </w:tblGrid>
      <w:tr>
        <w:tblPrEx>
          <w:tblCellMar>
            <w:top w:w="0" w:type="dxa"/>
            <w:left w:w="15" w:type="dxa"/>
            <w:bottom w:w="0" w:type="dxa"/>
            <w:right w:w="15" w:type="dxa"/>
          </w:tblCellMar>
        </w:tblPrEx>
        <w:trPr>
          <w:trHeight w:val="60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20"/>
                <w:szCs w:val="20"/>
              </w:rPr>
            </w:pPr>
            <w:r>
              <w:rPr>
                <w:rFonts w:hint="eastAsia"/>
                <w:b/>
                <w:bCs/>
                <w:i w:val="0"/>
                <w:caps w:val="0"/>
                <w:color w:val="000000"/>
                <w:spacing w:val="0"/>
                <w:w w:val="100"/>
                <w:sz w:val="20"/>
                <w:szCs w:val="20"/>
              </w:rPr>
              <w:t>类型</w:t>
            </w: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22"/>
                <w:szCs w:val="22"/>
              </w:rPr>
            </w:pPr>
            <w:r>
              <w:rPr>
                <w:rFonts w:hint="eastAsia"/>
                <w:b/>
                <w:bCs/>
                <w:i w:val="0"/>
                <w:caps w:val="0"/>
                <w:color w:val="000000"/>
                <w:spacing w:val="0"/>
                <w:w w:val="100"/>
                <w:sz w:val="22"/>
                <w:szCs w:val="22"/>
              </w:rPr>
              <w:t>项目</w:t>
            </w:r>
          </w:p>
        </w:tc>
        <w:tc>
          <w:tcPr>
            <w:tcW w:w="10012" w:type="dxa"/>
            <w:tcBorders>
              <w:top w:val="single" w:color="000000" w:sz="4" w:space="0"/>
              <w:left w:val="single" w:color="000000" w:sz="4" w:space="0"/>
              <w:bottom w:val="single" w:color="000000" w:sz="4" w:space="0"/>
              <w:right w:val="single" w:color="auto"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22"/>
                <w:szCs w:val="22"/>
              </w:rPr>
            </w:pPr>
            <w:r>
              <w:rPr>
                <w:rFonts w:hint="eastAsia"/>
                <w:b/>
                <w:bCs/>
                <w:i w:val="0"/>
                <w:caps w:val="0"/>
                <w:color w:val="000000"/>
                <w:spacing w:val="0"/>
                <w:w w:val="100"/>
                <w:sz w:val="22"/>
                <w:szCs w:val="22"/>
              </w:rPr>
              <w:t>检测因子</w:t>
            </w:r>
          </w:p>
        </w:tc>
      </w:tr>
      <w:tr>
        <w:tblPrEx>
          <w:tblCellMar>
            <w:top w:w="0" w:type="dxa"/>
            <w:left w:w="15" w:type="dxa"/>
            <w:bottom w:w="0" w:type="dxa"/>
            <w:right w:w="15"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r>
              <w:rPr>
                <w:rFonts w:hint="eastAsia"/>
                <w:b/>
                <w:bCs/>
                <w:i w:val="0"/>
                <w:caps w:val="0"/>
                <w:color w:val="000000"/>
                <w:spacing w:val="0"/>
                <w:w w:val="100"/>
                <w:sz w:val="18"/>
                <w:szCs w:val="18"/>
              </w:rPr>
              <w:t>地表水</w:t>
            </w: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地表水</w:t>
            </w: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水温、pH、溶解氧、高锰酸盐指数、COD、BOD5、NH3-N、挥发酚、氰化物</w:t>
            </w:r>
            <w:r>
              <w:rPr>
                <w:rFonts w:hint="eastAsia"/>
                <w:b w:val="0"/>
                <w:i w:val="0"/>
                <w:caps w:val="0"/>
                <w:color w:val="000000"/>
                <w:spacing w:val="0"/>
                <w:w w:val="100"/>
                <w:sz w:val="18"/>
                <w:szCs w:val="18"/>
              </w:rPr>
              <w:br w:type="textWrapping"/>
            </w:r>
            <w:r>
              <w:rPr>
                <w:rFonts w:hint="eastAsia"/>
                <w:b w:val="0"/>
                <w:i w:val="0"/>
                <w:caps w:val="0"/>
                <w:color w:val="000000"/>
                <w:spacing w:val="0"/>
                <w:w w:val="100"/>
                <w:sz w:val="18"/>
                <w:szCs w:val="18"/>
              </w:rPr>
              <w:t>、砷、汞、铬(六价)、总磷、总氮、硝酸盐、亚硝酸盐、类大肠菌群、阴离地表水 子洗涤剂、全盐量、溶解地表水 性总固体。特征因子：石油类、硫化物、苯、甲苯、二甲苯、苯并花、甲醇、甲醛、氟化物。同步监测河流流量、流速、河宽、水位深度、同时标定采样点经纬度坐标</w:t>
            </w:r>
          </w:p>
        </w:tc>
      </w:tr>
      <w:tr>
        <w:tblPrEx>
          <w:tblCellMar>
            <w:top w:w="0" w:type="dxa"/>
            <w:left w:w="15" w:type="dxa"/>
            <w:bottom w:w="0" w:type="dxa"/>
            <w:right w:w="15" w:type="dxa"/>
          </w:tblCellMar>
        </w:tblPrEx>
        <w:trPr>
          <w:trHeight w:val="7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宋体" w:hAnsi="宋体" w:cs="宋体"/>
                <w:b/>
                <w:bCs/>
                <w:i w:val="0"/>
                <w:caps w:val="0"/>
                <w:color w:val="FF0000"/>
                <w:spacing w:val="0"/>
                <w:w w:val="100"/>
                <w:sz w:val="18"/>
                <w:szCs w:val="18"/>
              </w:rPr>
            </w:pPr>
            <w:r>
              <w:rPr>
                <w:rFonts w:hint="eastAsia"/>
                <w:b w:val="0"/>
                <w:i w:val="0"/>
                <w:caps w:val="0"/>
                <w:color w:val="000000"/>
                <w:spacing w:val="0"/>
                <w:w w:val="100"/>
                <w:sz w:val="18"/>
                <w:szCs w:val="18"/>
              </w:rPr>
              <w:t>地下水</w:t>
            </w: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地下水</w:t>
            </w: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pH、总硬度、K</w:t>
            </w:r>
            <w:r>
              <w:rPr>
                <w:rFonts w:hint="eastAsia"/>
                <w:b w:val="0"/>
                <w:i w:val="0"/>
                <w:caps w:val="0"/>
                <w:color w:val="000000"/>
                <w:spacing w:val="0"/>
                <w:w w:val="100"/>
                <w:sz w:val="18"/>
                <w:szCs w:val="18"/>
                <w:vertAlign w:val="superscript"/>
              </w:rPr>
              <w:t>+</w:t>
            </w:r>
            <w:r>
              <w:rPr>
                <w:rFonts w:hint="eastAsia"/>
                <w:b w:val="0"/>
                <w:i w:val="0"/>
                <w:caps w:val="0"/>
                <w:color w:val="000000"/>
                <w:spacing w:val="0"/>
                <w:w w:val="100"/>
                <w:sz w:val="18"/>
                <w:szCs w:val="18"/>
              </w:rPr>
              <w:t>、Na</w:t>
            </w:r>
            <w:r>
              <w:rPr>
                <w:rFonts w:hint="eastAsia"/>
                <w:b w:val="0"/>
                <w:i w:val="0"/>
                <w:caps w:val="0"/>
                <w:color w:val="000000"/>
                <w:spacing w:val="0"/>
                <w:w w:val="100"/>
                <w:sz w:val="18"/>
                <w:szCs w:val="18"/>
                <w:vertAlign w:val="superscript"/>
              </w:rPr>
              <w:t>+</w:t>
            </w:r>
            <w:r>
              <w:rPr>
                <w:rFonts w:hint="eastAsia"/>
                <w:b w:val="0"/>
                <w:i w:val="0"/>
                <w:caps w:val="0"/>
                <w:color w:val="000000"/>
                <w:spacing w:val="0"/>
                <w:w w:val="100"/>
                <w:sz w:val="18"/>
                <w:szCs w:val="18"/>
              </w:rPr>
              <w:t>、Ca</w:t>
            </w:r>
            <w:r>
              <w:rPr>
                <w:rFonts w:hint="eastAsia"/>
                <w:b w:val="0"/>
                <w:i w:val="0"/>
                <w:caps w:val="0"/>
                <w:color w:val="000000"/>
                <w:spacing w:val="0"/>
                <w:w w:val="100"/>
                <w:sz w:val="18"/>
                <w:szCs w:val="18"/>
                <w:vertAlign w:val="superscript"/>
              </w:rPr>
              <w:t>2+</w:t>
            </w:r>
            <w:r>
              <w:rPr>
                <w:rFonts w:hint="eastAsia"/>
                <w:b w:val="0"/>
                <w:i w:val="0"/>
                <w:caps w:val="0"/>
                <w:color w:val="000000"/>
                <w:spacing w:val="0"/>
                <w:w w:val="100"/>
                <w:sz w:val="18"/>
                <w:szCs w:val="18"/>
              </w:rPr>
              <w:t>、Mg</w:t>
            </w:r>
            <w:r>
              <w:rPr>
                <w:rFonts w:hint="eastAsia"/>
                <w:b w:val="0"/>
                <w:i w:val="0"/>
                <w:caps w:val="0"/>
                <w:color w:val="000000"/>
                <w:spacing w:val="0"/>
                <w:w w:val="100"/>
                <w:sz w:val="18"/>
                <w:szCs w:val="18"/>
                <w:vertAlign w:val="superscript"/>
              </w:rPr>
              <w:t>2+</w:t>
            </w:r>
            <w:r>
              <w:rPr>
                <w:rFonts w:hint="eastAsia"/>
                <w:b w:val="0"/>
                <w:i w:val="0"/>
                <w:caps w:val="0"/>
                <w:color w:val="000000"/>
                <w:spacing w:val="0"/>
                <w:w w:val="100"/>
                <w:sz w:val="18"/>
                <w:szCs w:val="18"/>
              </w:rPr>
              <w:t>、HCO</w:t>
            </w:r>
            <w:r>
              <w:rPr>
                <w:rFonts w:hint="eastAsia"/>
                <w:b w:val="0"/>
                <w:i w:val="0"/>
                <w:caps w:val="0"/>
                <w:color w:val="000000"/>
                <w:spacing w:val="0"/>
                <w:w w:val="100"/>
                <w:sz w:val="18"/>
                <w:szCs w:val="18"/>
                <w:vertAlign w:val="subscript"/>
              </w:rPr>
              <w:t>3</w:t>
            </w:r>
            <w:r>
              <w:rPr>
                <w:rFonts w:hint="eastAsia"/>
                <w:b w:val="0"/>
                <w:i w:val="0"/>
                <w:caps w:val="0"/>
                <w:color w:val="000000"/>
                <w:spacing w:val="0"/>
                <w:w w:val="100"/>
                <w:sz w:val="18"/>
                <w:szCs w:val="18"/>
                <w:vertAlign w:val="superscript"/>
              </w:rPr>
              <w:t>-</w:t>
            </w:r>
            <w:r>
              <w:rPr>
                <w:rFonts w:hint="eastAsia"/>
                <w:b w:val="0"/>
                <w:i w:val="0"/>
                <w:caps w:val="0"/>
                <w:color w:val="000000"/>
                <w:spacing w:val="0"/>
                <w:w w:val="100"/>
                <w:sz w:val="18"/>
                <w:szCs w:val="18"/>
              </w:rPr>
              <w:t>、Cl</w:t>
            </w:r>
            <w:r>
              <w:rPr>
                <w:rFonts w:hint="eastAsia"/>
                <w:b w:val="0"/>
                <w:i w:val="0"/>
                <w:caps w:val="0"/>
                <w:color w:val="000000"/>
                <w:spacing w:val="0"/>
                <w:w w:val="100"/>
                <w:sz w:val="18"/>
                <w:szCs w:val="18"/>
                <w:vertAlign w:val="superscript"/>
              </w:rPr>
              <w:t>-</w:t>
            </w:r>
            <w:r>
              <w:rPr>
                <w:rFonts w:hint="eastAsia"/>
                <w:b w:val="0"/>
                <w:i w:val="0"/>
                <w:caps w:val="0"/>
                <w:color w:val="000000"/>
                <w:spacing w:val="0"/>
                <w:w w:val="100"/>
                <w:sz w:val="18"/>
                <w:szCs w:val="18"/>
              </w:rPr>
              <w:t>、SO</w:t>
            </w:r>
            <w:r>
              <w:rPr>
                <w:rFonts w:hint="eastAsia"/>
                <w:b w:val="0"/>
                <w:i w:val="0"/>
                <w:caps w:val="0"/>
                <w:color w:val="000000"/>
                <w:spacing w:val="0"/>
                <w:w w:val="100"/>
                <w:sz w:val="18"/>
                <w:szCs w:val="18"/>
                <w:vertAlign w:val="subscript"/>
              </w:rPr>
              <w:t>4</w:t>
            </w:r>
            <w:r>
              <w:rPr>
                <w:rFonts w:hint="eastAsia"/>
                <w:b w:val="0"/>
                <w:i w:val="0"/>
                <w:caps w:val="0"/>
                <w:color w:val="000000"/>
                <w:spacing w:val="0"/>
                <w:w w:val="100"/>
                <w:sz w:val="18"/>
                <w:szCs w:val="18"/>
                <w:vertAlign w:val="superscript"/>
              </w:rPr>
              <w:t>2-</w:t>
            </w:r>
            <w:r>
              <w:rPr>
                <w:rFonts w:hint="eastAsia"/>
                <w:b w:val="0"/>
                <w:i w:val="0"/>
                <w:caps w:val="0"/>
                <w:color w:val="000000"/>
                <w:spacing w:val="0"/>
                <w:w w:val="100"/>
                <w:sz w:val="18"/>
                <w:szCs w:val="18"/>
              </w:rPr>
              <w:t>、氟化物、氰化物、硝酸盐、亚硝酸盐、氨氨、总大肠菌群、细菌总地下水 地下水 数、COD、挥发酚、砷、汞、铁、溶解性总固体、硫酸盐、氯化物、六价铬、铅、镉、锰、铝、硒、锌、硫化物、苯并[a]花、石油类、多环芳烃(PAHs)等35项。</w:t>
            </w:r>
          </w:p>
        </w:tc>
      </w:tr>
      <w:tr>
        <w:tblPrEx>
          <w:tblCellMar>
            <w:top w:w="0" w:type="dxa"/>
            <w:left w:w="15" w:type="dxa"/>
            <w:bottom w:w="0" w:type="dxa"/>
            <w:right w:w="15" w:type="dxa"/>
          </w:tblCellMar>
        </w:tblPrEx>
        <w:trPr>
          <w:trHeight w:val="70" w:hRule="atLeast"/>
        </w:trPr>
        <w:tc>
          <w:tcPr>
            <w:tcW w:w="712"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宋体" w:hAnsi="宋体" w:cs="宋体"/>
                <w:b/>
                <w:bCs/>
                <w:i w:val="0"/>
                <w:caps w:val="0"/>
                <w:color w:val="000000"/>
                <w:spacing w:val="0"/>
                <w:w w:val="100"/>
                <w:sz w:val="18"/>
                <w:szCs w:val="18"/>
              </w:rPr>
            </w:pPr>
            <w:r>
              <w:rPr>
                <w:rFonts w:hint="eastAsia"/>
                <w:b/>
                <w:bCs/>
                <w:i w:val="0"/>
                <w:caps w:val="0"/>
                <w:color w:val="000000"/>
                <w:spacing w:val="0"/>
                <w:w w:val="100"/>
                <w:sz w:val="18"/>
                <w:szCs w:val="18"/>
              </w:rPr>
              <w:t>环境空气</w:t>
            </w:r>
          </w:p>
        </w:tc>
        <w:tc>
          <w:tcPr>
            <w:tcW w:w="1583"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环境空气</w:t>
            </w: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H</w:t>
            </w:r>
            <w:r>
              <w:rPr>
                <w:rFonts w:hint="eastAsia"/>
                <w:b w:val="0"/>
                <w:i w:val="0"/>
                <w:caps w:val="0"/>
                <w:color w:val="000000"/>
                <w:spacing w:val="0"/>
                <w:w w:val="100"/>
                <w:sz w:val="18"/>
                <w:szCs w:val="18"/>
                <w:vertAlign w:val="subscript"/>
              </w:rPr>
              <w:t>2</w:t>
            </w:r>
            <w:r>
              <w:rPr>
                <w:rFonts w:hint="eastAsia"/>
                <w:b w:val="0"/>
                <w:i w:val="0"/>
                <w:caps w:val="0"/>
                <w:color w:val="000000"/>
                <w:spacing w:val="0"/>
                <w:w w:val="100"/>
                <w:sz w:val="18"/>
                <w:szCs w:val="18"/>
              </w:rPr>
              <w:t>S</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NH</w:t>
            </w:r>
            <w:r>
              <w:rPr>
                <w:rFonts w:hint="eastAsia"/>
                <w:b w:val="0"/>
                <w:i w:val="0"/>
                <w:caps w:val="0"/>
                <w:color w:val="000000"/>
                <w:spacing w:val="0"/>
                <w:w w:val="100"/>
                <w:sz w:val="18"/>
                <w:szCs w:val="18"/>
                <w:vertAlign w:val="subscript"/>
              </w:rPr>
              <w:t>3</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NMHC</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TVOC</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苯并芘</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苯</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甲苯</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二甲苯</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酚类</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氰化氢</w:t>
            </w:r>
          </w:p>
        </w:tc>
      </w:tr>
      <w:tr>
        <w:tblPrEx>
          <w:tblCellMar>
            <w:top w:w="0" w:type="dxa"/>
            <w:left w:w="15" w:type="dxa"/>
            <w:bottom w:w="0" w:type="dxa"/>
            <w:right w:w="15" w:type="dxa"/>
          </w:tblCellMar>
        </w:tblPrEx>
        <w:trPr>
          <w:trHeight w:val="70" w:hRule="atLeast"/>
        </w:trPr>
        <w:tc>
          <w:tcPr>
            <w:tcW w:w="712" w:type="dxa"/>
            <w:vMerge w:val="continue"/>
            <w:tcBorders>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bCs/>
                <w:i w:val="0"/>
                <w:caps w:val="0"/>
                <w:color w:val="000000"/>
                <w:spacing w:val="0"/>
                <w:w w:val="100"/>
                <w:sz w:val="18"/>
                <w:szCs w:val="18"/>
              </w:rPr>
            </w:pPr>
          </w:p>
        </w:tc>
        <w:tc>
          <w:tcPr>
            <w:tcW w:w="1583" w:type="dxa"/>
            <w:vMerge w:val="continue"/>
            <w:tcBorders>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p>
        </w:tc>
        <w:tc>
          <w:tcPr>
            <w:tcW w:w="100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宋体" w:hAnsi="宋体" w:cs="宋体"/>
                <w:b w:val="0"/>
                <w:i w:val="0"/>
                <w:caps w:val="0"/>
                <w:color w:val="000000"/>
                <w:spacing w:val="0"/>
                <w:w w:val="100"/>
                <w:sz w:val="18"/>
                <w:szCs w:val="18"/>
              </w:rPr>
            </w:pPr>
            <w:r>
              <w:rPr>
                <w:rFonts w:hint="eastAsia"/>
                <w:b w:val="0"/>
                <w:i w:val="0"/>
                <w:caps w:val="0"/>
                <w:color w:val="000000"/>
                <w:spacing w:val="0"/>
                <w:w w:val="100"/>
                <w:sz w:val="18"/>
                <w:szCs w:val="18"/>
              </w:rPr>
              <w:t>TSP</w:t>
            </w:r>
          </w:p>
        </w:tc>
      </w:tr>
    </w:tbl>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备注：</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一、供应商的资格要求：</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（1）符合《中华人民共和国政府采购法》第二十二条规定条件。</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（2）具有有效的工商营业执照，具有有效期内的检验检测机构资质认定证书并提供资质附表；</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（3）项目负责人应具有环境类高级工程师证书。</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（4）单位负责人为同一人或者存在直接控股、管理关系的不同供应商，不得参加同一合同下的政府采购活动；</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（5）除单一来源采购项目外，为采购项目提供整体设计、规范编制或者项目管理、监理、检测等服务的供应商，不得再参加该采购项目的其他采购活动。</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（6）供应商须在“信用中国”（www.creditchina.gov.cn）和中国政府采购网（www.ccgp.gov.cn ）网站上未被列入失信被执行人、重大税收违法案件当事人名单以及政府采购严重违法失信行为记录名单里（截图中需有日期）；</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(7）本项目不接受联合体。</w:t>
      </w:r>
    </w:p>
    <w:p>
      <w:pPr>
        <w:snapToGrid/>
        <w:spacing w:before="0" w:beforeAutospacing="0" w:after="0" w:afterAutospacing="0" w:line="240" w:lineRule="auto"/>
        <w:jc w:val="both"/>
        <w:textAlignment w:val="baseline"/>
        <w:rPr>
          <w:rFonts w:hint="eastAsia"/>
          <w:b w:val="0"/>
          <w:i w:val="0"/>
          <w:caps w:val="0"/>
          <w:spacing w:val="0"/>
          <w:w w:val="100"/>
          <w:sz w:val="24"/>
        </w:rPr>
      </w:pPr>
      <w:r>
        <w:rPr>
          <w:rFonts w:hint="eastAsia"/>
          <w:b w:val="0"/>
          <w:i w:val="0"/>
          <w:caps w:val="0"/>
          <w:spacing w:val="0"/>
          <w:w w:val="100"/>
          <w:sz w:val="24"/>
        </w:rPr>
        <w:t>二、</w:t>
      </w:r>
      <w:r>
        <w:rPr>
          <w:b w:val="0"/>
          <w:i w:val="0"/>
          <w:caps w:val="0"/>
          <w:spacing w:val="0"/>
          <w:w w:val="100"/>
          <w:sz w:val="24"/>
        </w:rPr>
        <w:t>本项目须现场踏勘，踏勘须经过采购单位确认。定于11月24日进行现场踏勘，</w:t>
      </w:r>
      <w:r>
        <w:rPr>
          <w:rFonts w:hint="eastAsia"/>
          <w:b w:val="0"/>
          <w:i w:val="0"/>
          <w:caps w:val="0"/>
          <w:spacing w:val="0"/>
          <w:w w:val="100"/>
          <w:sz w:val="24"/>
        </w:rPr>
        <w:t>并由采购单位出具现场踏勘证明。</w:t>
      </w:r>
    </w:p>
    <w:p>
      <w:pPr>
        <w:snapToGrid/>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rPr>
        <w:t>三、</w:t>
      </w:r>
      <w:r>
        <w:rPr>
          <w:b w:val="0"/>
          <w:i w:val="0"/>
          <w:caps w:val="0"/>
          <w:spacing w:val="0"/>
          <w:w w:val="100"/>
          <w:sz w:val="24"/>
        </w:rPr>
        <w:t>监测报告成果交付时间为中标</w:t>
      </w:r>
      <w:r>
        <w:rPr>
          <w:rFonts w:hint="eastAsia"/>
          <w:b w:val="0"/>
          <w:i w:val="0"/>
          <w:caps w:val="0"/>
          <w:spacing w:val="0"/>
          <w:w w:val="100"/>
          <w:sz w:val="24"/>
        </w:rPr>
        <w:t>合同签订</w:t>
      </w:r>
      <w:r>
        <w:rPr>
          <w:b w:val="0"/>
          <w:i w:val="0"/>
          <w:caps w:val="0"/>
          <w:spacing w:val="0"/>
          <w:w w:val="100"/>
          <w:sz w:val="24"/>
        </w:rPr>
        <w:t>之日起1</w:t>
      </w:r>
      <w:r>
        <w:rPr>
          <w:rFonts w:hint="eastAsia"/>
          <w:b w:val="0"/>
          <w:i w:val="0"/>
          <w:caps w:val="0"/>
          <w:spacing w:val="0"/>
          <w:w w:val="100"/>
          <w:sz w:val="24"/>
        </w:rPr>
        <w:t>5</w:t>
      </w:r>
      <w:r>
        <w:rPr>
          <w:b w:val="0"/>
          <w:i w:val="0"/>
          <w:caps w:val="0"/>
          <w:spacing w:val="0"/>
          <w:w w:val="100"/>
          <w:sz w:val="24"/>
        </w:rPr>
        <w:t>天内。</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769BB"/>
    <w:rsid w:val="00306F96"/>
    <w:rsid w:val="0030764F"/>
    <w:rsid w:val="0035108B"/>
    <w:rsid w:val="00382F10"/>
    <w:rsid w:val="00406B93"/>
    <w:rsid w:val="005663D0"/>
    <w:rsid w:val="008668E5"/>
    <w:rsid w:val="00876D22"/>
    <w:rsid w:val="00AC040B"/>
    <w:rsid w:val="00C3612D"/>
    <w:rsid w:val="00D94A37"/>
    <w:rsid w:val="00EC6A13"/>
    <w:rsid w:val="00F717EE"/>
    <w:rsid w:val="03C02858"/>
    <w:rsid w:val="043361F8"/>
    <w:rsid w:val="061827C7"/>
    <w:rsid w:val="06F15D8D"/>
    <w:rsid w:val="06F52CB0"/>
    <w:rsid w:val="07373155"/>
    <w:rsid w:val="082B6AC7"/>
    <w:rsid w:val="09184C43"/>
    <w:rsid w:val="0CB55698"/>
    <w:rsid w:val="0E1C32E9"/>
    <w:rsid w:val="0E917786"/>
    <w:rsid w:val="0E9D2489"/>
    <w:rsid w:val="0F30424F"/>
    <w:rsid w:val="0FE83214"/>
    <w:rsid w:val="0FF1653D"/>
    <w:rsid w:val="123D494A"/>
    <w:rsid w:val="125B7284"/>
    <w:rsid w:val="14A47F75"/>
    <w:rsid w:val="16080DCF"/>
    <w:rsid w:val="16432516"/>
    <w:rsid w:val="17D36576"/>
    <w:rsid w:val="19372948"/>
    <w:rsid w:val="1ADA60E2"/>
    <w:rsid w:val="1B196DCF"/>
    <w:rsid w:val="1BA8296C"/>
    <w:rsid w:val="202451CB"/>
    <w:rsid w:val="20B97F3E"/>
    <w:rsid w:val="22807B9C"/>
    <w:rsid w:val="246F4028"/>
    <w:rsid w:val="298D7071"/>
    <w:rsid w:val="2BC96E79"/>
    <w:rsid w:val="2D207FE4"/>
    <w:rsid w:val="2F754EDE"/>
    <w:rsid w:val="34312B97"/>
    <w:rsid w:val="35DA730C"/>
    <w:rsid w:val="364F301E"/>
    <w:rsid w:val="37241DB6"/>
    <w:rsid w:val="378C1CE4"/>
    <w:rsid w:val="3EE05991"/>
    <w:rsid w:val="3F4F256E"/>
    <w:rsid w:val="45486112"/>
    <w:rsid w:val="45896640"/>
    <w:rsid w:val="46552651"/>
    <w:rsid w:val="488D3B08"/>
    <w:rsid w:val="4E0D48E6"/>
    <w:rsid w:val="4E342B4C"/>
    <w:rsid w:val="4FD9564A"/>
    <w:rsid w:val="52231645"/>
    <w:rsid w:val="554603F9"/>
    <w:rsid w:val="56045F0C"/>
    <w:rsid w:val="571E7DCF"/>
    <w:rsid w:val="57B20B9E"/>
    <w:rsid w:val="59F87107"/>
    <w:rsid w:val="5A9769BB"/>
    <w:rsid w:val="5C0317F8"/>
    <w:rsid w:val="5FE24F87"/>
    <w:rsid w:val="601A501B"/>
    <w:rsid w:val="62E5541B"/>
    <w:rsid w:val="63570567"/>
    <w:rsid w:val="66030612"/>
    <w:rsid w:val="673F3C44"/>
    <w:rsid w:val="68C74C51"/>
    <w:rsid w:val="6A75267E"/>
    <w:rsid w:val="6BDB2F52"/>
    <w:rsid w:val="6D6678DF"/>
    <w:rsid w:val="6DD81655"/>
    <w:rsid w:val="6DFB20B5"/>
    <w:rsid w:val="6F606EFA"/>
    <w:rsid w:val="712258E5"/>
    <w:rsid w:val="72383218"/>
    <w:rsid w:val="7C982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spacing w:before="100" w:beforeAutospacing="1" w:after="100" w:afterAutospacing="1"/>
      <w:outlineLvl w:val="1"/>
    </w:pPr>
    <w:rPr>
      <w:rFonts w:ascii="宋体" w:hAnsi="Times New Roman" w:eastAsia="宋体" w:cs="Times New Roman"/>
      <w:b/>
      <w:sz w:val="36"/>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font21"/>
    <w:basedOn w:val="8"/>
    <w:qFormat/>
    <w:uiPriority w:val="0"/>
    <w:rPr>
      <w:rFonts w:hint="eastAsia" w:ascii="宋体" w:hAnsi="宋体" w:eastAsia="宋体" w:cs="宋体"/>
      <w:color w:val="000000"/>
      <w:sz w:val="24"/>
      <w:szCs w:val="24"/>
      <w:u w:val="none"/>
    </w:rPr>
  </w:style>
  <w:style w:type="character" w:customStyle="1" w:styleId="11">
    <w:name w:val="font11"/>
    <w:basedOn w:val="8"/>
    <w:qFormat/>
    <w:uiPriority w:val="0"/>
    <w:rPr>
      <w:rFonts w:hint="eastAsia" w:ascii="宋体" w:hAnsi="宋体" w:eastAsia="宋体" w:cs="宋体"/>
      <w:color w:val="000000"/>
      <w:sz w:val="24"/>
      <w:szCs w:val="24"/>
      <w:u w:val="none"/>
    </w:rPr>
  </w:style>
  <w:style w:type="paragraph" w:customStyle="1" w:styleId="12">
    <w:name w:val="列出段落1"/>
    <w:basedOn w:val="1"/>
    <w:qFormat/>
    <w:uiPriority w:val="0"/>
    <w:pPr>
      <w:ind w:firstLine="200" w:firstLineChars="200"/>
    </w:p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页眉 Char"/>
    <w:basedOn w:val="8"/>
    <w:link w:val="4"/>
    <w:qFormat/>
    <w:uiPriority w:val="0"/>
    <w:rPr>
      <w:rFonts w:ascii="Calibri" w:hAnsi="Calibri" w:eastAsia="宋体"/>
      <w:kern w:val="2"/>
      <w:sz w:val="18"/>
      <w:szCs w:val="18"/>
    </w:rPr>
  </w:style>
  <w:style w:type="character" w:customStyle="1" w:styleId="15">
    <w:name w:val="页脚 Char"/>
    <w:basedOn w:val="8"/>
    <w:link w:val="3"/>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143</Words>
  <Characters>816</Characters>
  <Lines>6</Lines>
  <Paragraphs>1</Paragraphs>
  <TotalTime>15</TotalTime>
  <ScaleCrop>false</ScaleCrop>
  <LinksUpToDate>false</LinksUpToDate>
  <CharactersWithSpaces>958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2021-11-14T03:44:00Z</dcterms:created>
  <dc:creator>Administrator</dc:creator>
  <cp:lastModifiedBy>祖凤</cp:lastModifiedBy>
  <dcterms:modified xsi:type="dcterms:W3CDTF">2021-11-15T09:55:08Z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AFF0EB1B8FC04631B9434E9A2971897F</vt:lpwstr>
  </property>
</Properties>
</file>