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widowControl w:val="0"/>
        <w:tabs>
          <w:tab w:val="left" w:pos="0"/>
        </w:tabs>
        <w:kinsoku/>
        <w:wordWrap/>
        <w:overflowPunct/>
        <w:topLinePunct w:val="0"/>
        <w:autoSpaceDE w:val="0"/>
        <w:autoSpaceDN w:val="0"/>
        <w:bidi w:val="0"/>
        <w:adjustRightInd/>
        <w:snapToGrid w:val="0"/>
        <w:spacing w:before="0" w:after="0" w:line="240" w:lineRule="auto"/>
        <w:jc w:val="right"/>
        <w:textAlignment w:val="auto"/>
        <w:rPr>
          <w:rFonts w:hint="eastAsia" w:ascii="仿宋" w:hAnsi="仿宋" w:eastAsia="仿宋" w:cs="仿宋"/>
          <w:b/>
          <w:bCs/>
          <w:kern w:val="2"/>
          <w:sz w:val="24"/>
          <w:szCs w:val="24"/>
          <w:lang w:val="en-US" w:eastAsia="zh-CN" w:bidi="ar-SA"/>
        </w:rPr>
      </w:pPr>
      <w:bookmarkStart w:id="0" w:name="_Toc9033"/>
      <w:r>
        <w:rPr>
          <w:rFonts w:hint="eastAsia" w:ascii="仿宋" w:hAnsi="仿宋" w:eastAsia="仿宋" w:cs="仿宋"/>
          <w:b/>
          <w:bCs/>
          <w:kern w:val="2"/>
          <w:sz w:val="24"/>
          <w:szCs w:val="24"/>
          <w:lang w:val="en-US" w:eastAsia="zh-CN" w:bidi="ar-SA"/>
        </w:rPr>
        <w:t xml:space="preserve">             采购备案处</w:t>
      </w:r>
    </w:p>
    <w:p>
      <w:pPr>
        <w:pStyle w:val="3"/>
        <w:keepNext/>
        <w:keepLines/>
        <w:pageBreakBefore w:val="0"/>
        <w:widowControl w:val="0"/>
        <w:tabs>
          <w:tab w:val="left" w:pos="0"/>
        </w:tabs>
        <w:kinsoku/>
        <w:wordWrap/>
        <w:overflowPunct/>
        <w:topLinePunct w:val="0"/>
        <w:autoSpaceDE w:val="0"/>
        <w:autoSpaceDN w:val="0"/>
        <w:bidi w:val="0"/>
        <w:adjustRightInd/>
        <w:snapToGrid w:val="0"/>
        <w:spacing w:before="0" w:after="0" w:line="240" w:lineRule="auto"/>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于田县2022年债券项目编制实施方案服务采购项目</w:t>
      </w:r>
    </w:p>
    <w:p>
      <w:pPr>
        <w:pStyle w:val="3"/>
        <w:keepNext/>
        <w:keepLines/>
        <w:pageBreakBefore w:val="0"/>
        <w:widowControl w:val="0"/>
        <w:tabs>
          <w:tab w:val="left" w:pos="0"/>
        </w:tabs>
        <w:kinsoku/>
        <w:wordWrap/>
        <w:overflowPunct/>
        <w:topLinePunct w:val="0"/>
        <w:autoSpaceDE w:val="0"/>
        <w:autoSpaceDN w:val="0"/>
        <w:bidi w:val="0"/>
        <w:adjustRightInd/>
        <w:snapToGrid w:val="0"/>
        <w:spacing w:before="0" w:after="0" w:line="240" w:lineRule="auto"/>
        <w:textAlignment w:val="auto"/>
        <w:rPr>
          <w:rFonts w:hint="eastAsia" w:ascii="仿宋" w:hAnsi="仿宋" w:eastAsia="仿宋" w:cs="仿宋"/>
          <w:sz w:val="32"/>
          <w:szCs w:val="32"/>
        </w:rPr>
      </w:pPr>
      <w:r>
        <w:rPr>
          <w:rFonts w:hint="eastAsia" w:ascii="仿宋" w:hAnsi="仿宋" w:eastAsia="仿宋" w:cs="仿宋"/>
          <w:sz w:val="32"/>
          <w:szCs w:val="32"/>
        </w:rPr>
        <w:t>竞争性</w:t>
      </w:r>
      <w:r>
        <w:rPr>
          <w:rFonts w:hint="eastAsia" w:ascii="仿宋" w:hAnsi="仿宋" w:eastAsia="仿宋" w:cs="仿宋"/>
          <w:sz w:val="32"/>
          <w:szCs w:val="32"/>
          <w:lang w:eastAsia="zh-CN"/>
        </w:rPr>
        <w:t>磋商</w:t>
      </w:r>
      <w:r>
        <w:rPr>
          <w:rFonts w:hint="eastAsia" w:ascii="仿宋" w:hAnsi="仿宋" w:eastAsia="仿宋" w:cs="仿宋"/>
          <w:sz w:val="32"/>
          <w:szCs w:val="32"/>
        </w:rPr>
        <w:t>公告</w:t>
      </w:r>
      <w:bookmarkEnd w:id="0"/>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adjustRightInd/>
        <w:snapToGrid w:val="0"/>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u w:val="single"/>
          <w:lang w:eastAsia="zh-CN"/>
        </w:rPr>
        <w:t>于田县2022年债券项目编制实施方案服务采购项目</w:t>
      </w:r>
      <w:r>
        <w:rPr>
          <w:rFonts w:hint="eastAsia" w:ascii="仿宋" w:hAnsi="仿宋" w:eastAsia="仿宋" w:cs="仿宋"/>
          <w:sz w:val="24"/>
          <w:szCs w:val="24"/>
          <w:u w:val="single"/>
        </w:rPr>
        <w:t>的潜在供应商应在</w:t>
      </w:r>
      <w:r>
        <w:rPr>
          <w:rFonts w:hint="eastAsia" w:ascii="仿宋" w:hAnsi="仿宋" w:eastAsia="仿宋" w:cs="仿宋"/>
          <w:sz w:val="24"/>
          <w:szCs w:val="24"/>
          <w:u w:val="single"/>
          <w:lang w:eastAsia="zh-CN"/>
        </w:rPr>
        <w:t>线下</w:t>
      </w:r>
      <w:r>
        <w:rPr>
          <w:rFonts w:hint="eastAsia" w:ascii="仿宋" w:hAnsi="仿宋" w:eastAsia="仿宋" w:cs="仿宋"/>
          <w:sz w:val="24"/>
          <w:szCs w:val="24"/>
          <w:u w:val="single"/>
        </w:rPr>
        <w:t>获取招标文件，并于</w:t>
      </w:r>
      <w:r>
        <w:rPr>
          <w:rFonts w:hint="eastAsia" w:ascii="仿宋" w:hAnsi="仿宋" w:eastAsia="仿宋" w:cs="仿宋"/>
          <w:sz w:val="24"/>
          <w:szCs w:val="24"/>
          <w:u w:val="single"/>
          <w:lang w:eastAsia="zh-CN"/>
        </w:rPr>
        <w:t>202</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lang w:eastAsia="zh-CN"/>
        </w:rPr>
        <w:t>年</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lang w:eastAsia="zh-CN"/>
        </w:rPr>
        <w:t>月</w:t>
      </w:r>
      <w:r>
        <w:rPr>
          <w:rFonts w:hint="eastAsia" w:ascii="仿宋" w:hAnsi="仿宋" w:eastAsia="仿宋" w:cs="仿宋"/>
          <w:sz w:val="24"/>
          <w:szCs w:val="24"/>
          <w:u w:val="single"/>
          <w:lang w:val="en-US" w:eastAsia="zh-CN"/>
        </w:rPr>
        <w:t>7</w:t>
      </w:r>
      <w:r>
        <w:rPr>
          <w:rFonts w:hint="eastAsia" w:ascii="仿宋" w:hAnsi="仿宋" w:eastAsia="仿宋" w:cs="仿宋"/>
          <w:sz w:val="24"/>
          <w:szCs w:val="24"/>
          <w:u w:val="single"/>
          <w:lang w:eastAsia="zh-CN"/>
        </w:rPr>
        <w:t xml:space="preserve">日 </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lang w:eastAsia="zh-CN"/>
        </w:rPr>
        <w:t>:00</w:t>
      </w:r>
      <w:r>
        <w:rPr>
          <w:rFonts w:hint="eastAsia" w:ascii="仿宋" w:hAnsi="仿宋" w:eastAsia="仿宋" w:cs="仿宋"/>
          <w:sz w:val="24"/>
          <w:szCs w:val="24"/>
          <w:u w:val="single"/>
        </w:rPr>
        <w:t xml:space="preserve"> （北京时间）前提交（上传）响应文件。</w:t>
      </w:r>
    </w:p>
    <w:p>
      <w:pPr>
        <w:pStyle w:val="4"/>
        <w:pageBreakBefore w:val="0"/>
        <w:widowControl w:val="0"/>
        <w:kinsoku/>
        <w:wordWrap/>
        <w:overflowPunct/>
        <w:topLinePunct w:val="0"/>
        <w:autoSpaceDE/>
        <w:autoSpaceDN/>
        <w:bidi w:val="0"/>
        <w:adjustRightInd/>
        <w:snapToGrid w:val="0"/>
        <w:spacing w:line="240" w:lineRule="auto"/>
        <w:textAlignment w:val="auto"/>
        <w:outlineLvl w:val="0"/>
        <w:rPr>
          <w:rFonts w:hint="eastAsia" w:ascii="仿宋" w:hAnsi="仿宋" w:eastAsia="仿宋" w:cs="仿宋"/>
          <w:b w:val="0"/>
          <w:sz w:val="24"/>
          <w:szCs w:val="24"/>
        </w:rPr>
      </w:pPr>
      <w:bookmarkStart w:id="1" w:name="_Toc28359012"/>
      <w:bookmarkStart w:id="2" w:name="_Toc35393798"/>
      <w:bookmarkStart w:id="3" w:name="_Toc11674"/>
      <w:bookmarkStart w:id="4" w:name="_Toc35393629"/>
      <w:bookmarkStart w:id="5" w:name="_Toc14464"/>
      <w:bookmarkStart w:id="6" w:name="_Toc28359089"/>
      <w:r>
        <w:rPr>
          <w:rFonts w:hint="eastAsia" w:ascii="仿宋" w:hAnsi="仿宋" w:eastAsia="仿宋" w:cs="仿宋"/>
          <w:b w:val="0"/>
          <w:sz w:val="24"/>
          <w:szCs w:val="24"/>
        </w:rPr>
        <w:t>一、项目基本情况</w:t>
      </w:r>
      <w:bookmarkEnd w:id="1"/>
      <w:bookmarkEnd w:id="2"/>
      <w:bookmarkEnd w:id="3"/>
      <w:bookmarkEnd w:id="4"/>
      <w:bookmarkEnd w:id="5"/>
      <w:bookmarkEnd w:id="6"/>
    </w:p>
    <w:p>
      <w:pPr>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项目编号：YTCGD-CS-2022-00</w:t>
      </w:r>
      <w:r>
        <w:rPr>
          <w:rFonts w:hint="eastAsia" w:ascii="仿宋" w:hAnsi="仿宋" w:eastAsia="仿宋" w:cs="仿宋"/>
          <w:sz w:val="24"/>
          <w:szCs w:val="24"/>
          <w:lang w:val="en-US" w:eastAsia="zh-CN"/>
        </w:rPr>
        <w:t>2</w:t>
      </w:r>
    </w:p>
    <w:p>
      <w:pPr>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项目名称：</w:t>
      </w:r>
      <w:r>
        <w:rPr>
          <w:rFonts w:hint="eastAsia" w:ascii="仿宋" w:hAnsi="仿宋" w:eastAsia="仿宋" w:cs="仿宋"/>
          <w:sz w:val="24"/>
          <w:szCs w:val="24"/>
          <w:lang w:eastAsia="zh-CN"/>
        </w:rPr>
        <w:t>于田县2022年债券项目编制实施方案服务采购项目</w:t>
      </w:r>
    </w:p>
    <w:p>
      <w:pPr>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采购方式：</w:t>
      </w:r>
      <w:r>
        <w:rPr>
          <w:rFonts w:hint="eastAsia" w:ascii="仿宋" w:hAnsi="仿宋" w:eastAsia="仿宋" w:cs="仿宋"/>
          <w:sz w:val="24"/>
          <w:szCs w:val="24"/>
          <w:lang w:eastAsia="zh-CN"/>
        </w:rPr>
        <w:t>□</w:t>
      </w:r>
      <w:r>
        <w:rPr>
          <w:rFonts w:hint="eastAsia" w:ascii="仿宋" w:hAnsi="仿宋" w:eastAsia="仿宋" w:cs="仿宋"/>
          <w:sz w:val="24"/>
          <w:szCs w:val="24"/>
        </w:rPr>
        <w:t xml:space="preserve">竞争性谈判 </w:t>
      </w:r>
      <w:r>
        <w:rPr>
          <w:rFonts w:hint="eastAsia" w:ascii="仿宋" w:hAnsi="仿宋" w:eastAsia="仿宋" w:cs="仿宋"/>
          <w:sz w:val="24"/>
          <w:szCs w:val="24"/>
          <w:lang w:eastAsia="zh-CN"/>
        </w:rPr>
        <w:t>☑</w:t>
      </w:r>
      <w:r>
        <w:rPr>
          <w:rFonts w:hint="eastAsia" w:ascii="仿宋" w:hAnsi="仿宋" w:eastAsia="仿宋" w:cs="仿宋"/>
          <w:sz w:val="24"/>
          <w:szCs w:val="24"/>
        </w:rPr>
        <w:t xml:space="preserve">竞争性磋商 </w:t>
      </w:r>
      <w:r>
        <w:rPr>
          <w:rFonts w:hint="eastAsia" w:ascii="仿宋" w:hAnsi="仿宋" w:eastAsia="仿宋" w:cs="仿宋"/>
          <w:sz w:val="24"/>
          <w:szCs w:val="24"/>
          <w:lang w:eastAsia="zh-CN"/>
        </w:rPr>
        <w:t>□</w:t>
      </w:r>
      <w:r>
        <w:rPr>
          <w:rFonts w:hint="eastAsia" w:ascii="仿宋" w:hAnsi="仿宋" w:eastAsia="仿宋" w:cs="仿宋"/>
          <w:sz w:val="24"/>
          <w:szCs w:val="24"/>
        </w:rPr>
        <w:t>询价</w:t>
      </w:r>
    </w:p>
    <w:p>
      <w:pPr>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预算金额：</w:t>
      </w:r>
      <w:r>
        <w:rPr>
          <w:rFonts w:hint="eastAsia" w:ascii="仿宋" w:hAnsi="仿宋" w:eastAsia="仿宋" w:cs="仿宋"/>
          <w:sz w:val="24"/>
          <w:szCs w:val="24"/>
          <w:lang w:val="en-US" w:eastAsia="zh-CN"/>
        </w:rPr>
        <w:t>1550000.00</w:t>
      </w:r>
      <w:r>
        <w:rPr>
          <w:rFonts w:hint="eastAsia" w:ascii="仿宋" w:hAnsi="仿宋" w:eastAsia="仿宋" w:cs="仿宋"/>
          <w:sz w:val="24"/>
          <w:szCs w:val="24"/>
        </w:rPr>
        <w:t>元</w:t>
      </w:r>
    </w:p>
    <w:p>
      <w:pPr>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最高限价：</w:t>
      </w:r>
      <w:r>
        <w:rPr>
          <w:rFonts w:hint="eastAsia" w:ascii="仿宋" w:hAnsi="仿宋" w:eastAsia="仿宋" w:cs="仿宋"/>
          <w:sz w:val="24"/>
          <w:szCs w:val="24"/>
          <w:lang w:val="en-US" w:eastAsia="zh-CN"/>
        </w:rPr>
        <w:t>1550000.00</w:t>
      </w:r>
      <w:r>
        <w:rPr>
          <w:rFonts w:hint="eastAsia" w:ascii="仿宋" w:hAnsi="仿宋" w:eastAsia="仿宋" w:cs="仿宋"/>
          <w:sz w:val="24"/>
          <w:szCs w:val="24"/>
        </w:rPr>
        <w:t>元</w:t>
      </w:r>
    </w:p>
    <w:p>
      <w:pPr>
        <w:pageBreakBefore w:val="0"/>
        <w:widowControl w:val="0"/>
        <w:kinsoku/>
        <w:wordWrap/>
        <w:overflowPunct/>
        <w:topLinePunct w:val="0"/>
        <w:autoSpaceDE/>
        <w:autoSpaceDN/>
        <w:bidi w:val="0"/>
        <w:adjustRightInd/>
        <w:snapToGrid w:val="0"/>
        <w:spacing w:line="240" w:lineRule="auto"/>
        <w:ind w:left="480" w:leftChars="200" w:firstLine="0" w:firstLineChars="0"/>
        <w:textAlignment w:val="auto"/>
        <w:rPr>
          <w:rFonts w:hint="eastAsia" w:ascii="仿宋" w:hAnsi="仿宋" w:eastAsia="仿宋" w:cs="仿宋"/>
          <w:color w:val="000000"/>
          <w:sz w:val="24"/>
          <w:szCs w:val="24"/>
        </w:rPr>
      </w:pPr>
      <w:r>
        <w:rPr>
          <w:rFonts w:hint="eastAsia" w:ascii="仿宋" w:hAnsi="仿宋" w:eastAsia="仿宋" w:cs="仿宋"/>
          <w:sz w:val="24"/>
          <w:szCs w:val="24"/>
        </w:rPr>
        <w:t xml:space="preserve">采购需求：按照于田县确定的债券项目编制实施方案； </w:t>
      </w:r>
      <w:r>
        <w:rPr>
          <w:rFonts w:hint="eastAsia" w:ascii="仿宋" w:hAnsi="仿宋" w:eastAsia="仿宋" w:cs="仿宋"/>
          <w:color w:val="000000"/>
          <w:sz w:val="24"/>
          <w:szCs w:val="24"/>
        </w:rPr>
        <w:t>          </w:t>
      </w:r>
    </w:p>
    <w:p>
      <w:pPr>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sz w:val="24"/>
          <w:szCs w:val="24"/>
          <w:u w:val="single"/>
        </w:rPr>
      </w:pPr>
      <w:r>
        <w:rPr>
          <w:rFonts w:hint="eastAsia" w:ascii="仿宋" w:hAnsi="仿宋" w:eastAsia="仿宋" w:cs="仿宋"/>
          <w:sz w:val="24"/>
          <w:szCs w:val="24"/>
        </w:rPr>
        <w:t>合同履行期限：/</w:t>
      </w:r>
    </w:p>
    <w:p>
      <w:pPr>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本项目（</w:t>
      </w:r>
      <w:r>
        <w:rPr>
          <w:rFonts w:hint="eastAsia" w:ascii="仿宋" w:hAnsi="仿宋" w:eastAsia="仿宋" w:cs="仿宋"/>
          <w:i/>
          <w:sz w:val="24"/>
          <w:szCs w:val="24"/>
          <w:lang w:val="en-US" w:eastAsia="zh-CN"/>
        </w:rPr>
        <w:t>否</w:t>
      </w:r>
      <w:r>
        <w:rPr>
          <w:rFonts w:hint="eastAsia" w:ascii="仿宋" w:hAnsi="仿宋" w:eastAsia="仿宋" w:cs="仿宋"/>
          <w:sz w:val="24"/>
          <w:szCs w:val="24"/>
        </w:rPr>
        <w:t>）接受联合体。</w:t>
      </w:r>
    </w:p>
    <w:p>
      <w:pPr>
        <w:pStyle w:val="4"/>
        <w:pageBreakBefore w:val="0"/>
        <w:widowControl w:val="0"/>
        <w:kinsoku/>
        <w:wordWrap/>
        <w:overflowPunct/>
        <w:topLinePunct w:val="0"/>
        <w:autoSpaceDE/>
        <w:autoSpaceDN/>
        <w:bidi w:val="0"/>
        <w:adjustRightInd/>
        <w:snapToGrid w:val="0"/>
        <w:spacing w:line="240" w:lineRule="auto"/>
        <w:textAlignment w:val="auto"/>
        <w:outlineLvl w:val="0"/>
        <w:rPr>
          <w:rFonts w:hint="eastAsia" w:ascii="仿宋" w:hAnsi="仿宋" w:eastAsia="仿宋" w:cs="仿宋"/>
          <w:b w:val="0"/>
          <w:sz w:val="24"/>
          <w:szCs w:val="24"/>
        </w:rPr>
      </w:pPr>
      <w:bookmarkStart w:id="7" w:name="_Toc35393630"/>
      <w:bookmarkStart w:id="8" w:name="_Toc3275"/>
      <w:bookmarkStart w:id="9" w:name="_Toc35393799"/>
      <w:bookmarkStart w:id="10" w:name="_Toc28359013"/>
      <w:bookmarkStart w:id="11" w:name="_Toc28359090"/>
      <w:bookmarkStart w:id="12" w:name="_Toc10197"/>
      <w:r>
        <w:rPr>
          <w:rFonts w:hint="eastAsia" w:ascii="仿宋" w:hAnsi="仿宋" w:eastAsia="仿宋" w:cs="仿宋"/>
          <w:b w:val="0"/>
          <w:sz w:val="24"/>
          <w:szCs w:val="24"/>
        </w:rPr>
        <w:t>二、申请人的资格要求：</w:t>
      </w:r>
      <w:bookmarkEnd w:id="7"/>
      <w:bookmarkEnd w:id="8"/>
      <w:bookmarkEnd w:id="9"/>
      <w:bookmarkEnd w:id="10"/>
      <w:bookmarkEnd w:id="11"/>
      <w:bookmarkEnd w:id="12"/>
    </w:p>
    <w:p>
      <w:pPr>
        <w:pageBreakBefore w:val="0"/>
        <w:widowControl w:val="0"/>
        <w:kinsoku/>
        <w:wordWrap/>
        <w:overflowPunct/>
        <w:topLinePunct w:val="0"/>
        <w:autoSpaceDE/>
        <w:autoSpaceDN/>
        <w:bidi w:val="0"/>
        <w:adjustRightInd/>
        <w:snapToGrid w:val="0"/>
        <w:spacing w:line="240" w:lineRule="auto"/>
        <w:textAlignment w:val="auto"/>
        <w:outlineLvl w:val="0"/>
        <w:rPr>
          <w:rFonts w:hint="eastAsia" w:ascii="仿宋" w:hAnsi="仿宋" w:eastAsia="仿宋" w:cs="仿宋"/>
          <w:b/>
          <w:bCs w:val="0"/>
          <w:sz w:val="24"/>
          <w:szCs w:val="24"/>
        </w:rPr>
      </w:pPr>
      <w:bookmarkStart w:id="13" w:name="_Toc28359014"/>
      <w:bookmarkStart w:id="14" w:name="_Toc28359091"/>
      <w:bookmarkStart w:id="15" w:name="_Toc35393800"/>
      <w:bookmarkStart w:id="16" w:name="_Toc17402"/>
      <w:bookmarkStart w:id="17" w:name="_Toc35393631"/>
      <w:bookmarkStart w:id="18" w:name="_Toc20889"/>
      <w:r>
        <w:rPr>
          <w:rFonts w:hint="eastAsia" w:ascii="仿宋" w:hAnsi="仿宋" w:eastAsia="仿宋" w:cs="仿宋"/>
          <w:b/>
          <w:bCs w:val="0"/>
          <w:sz w:val="24"/>
          <w:szCs w:val="24"/>
        </w:rPr>
        <w:t>1.满足《中华人民共和国政府采购法》第二十二条规定；</w:t>
      </w:r>
    </w:p>
    <w:p>
      <w:pPr>
        <w:pStyle w:val="9"/>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auto"/>
        <w:ind w:right="0"/>
        <w:textAlignment w:val="auto"/>
        <w:rPr>
          <w:rFonts w:hint="eastAsia" w:ascii="仿宋" w:hAnsi="仿宋" w:eastAsia="仿宋" w:cs="仿宋"/>
          <w:b/>
          <w:bCs w:val="0"/>
          <w:sz w:val="24"/>
          <w:szCs w:val="24"/>
        </w:rPr>
      </w:pPr>
      <w:r>
        <w:rPr>
          <w:rFonts w:hint="eastAsia" w:ascii="仿宋" w:hAnsi="仿宋" w:eastAsia="仿宋" w:cs="仿宋"/>
          <w:b/>
          <w:bCs w:val="0"/>
          <w:sz w:val="24"/>
          <w:szCs w:val="24"/>
        </w:rPr>
        <w:t>2.落实政府采购政策需满足的资格要求：</w:t>
      </w:r>
    </w:p>
    <w:p>
      <w:pPr>
        <w:pStyle w:val="9"/>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auto"/>
        <w:ind w:right="0"/>
        <w:textAlignment w:val="auto"/>
        <w:rPr>
          <w:rFonts w:hint="eastAsia" w:ascii="仿宋" w:hAnsi="仿宋" w:eastAsia="仿宋" w:cs="仿宋"/>
          <w:bCs/>
          <w:sz w:val="24"/>
          <w:szCs w:val="24"/>
          <w:lang w:eastAsia="zh-CN"/>
        </w:rPr>
      </w:pPr>
      <w:r>
        <w:rPr>
          <w:rFonts w:hint="eastAsia" w:ascii="仿宋" w:hAnsi="仿宋" w:eastAsia="仿宋" w:cs="仿宋"/>
          <w:i w:val="0"/>
          <w:caps w:val="0"/>
          <w:color w:val="000000"/>
          <w:spacing w:val="0"/>
          <w:kern w:val="0"/>
          <w:sz w:val="24"/>
          <w:szCs w:val="24"/>
          <w:highlight w:val="none"/>
          <w:lang w:val="en-US" w:eastAsia="zh-CN" w:bidi="ar-SA"/>
        </w:rPr>
        <w:t>（1）《政府采购促进中小企业发展管理办法》（财库〔2020〕46号）；（2）《财政部、司法部关于政府采购支持监狱企业发展有关问题的通知》（财库〔2014〕68号）；（3）《财政部民政部中国残疾人联合会关于促进残疾人就业政府采购政策的通知》财库〔2017〕141号；</w:t>
      </w:r>
    </w:p>
    <w:p>
      <w:pPr>
        <w:pageBreakBefore w:val="0"/>
        <w:widowControl w:val="0"/>
        <w:kinsoku/>
        <w:wordWrap/>
        <w:overflowPunct/>
        <w:topLinePunct w:val="0"/>
        <w:autoSpaceDE/>
        <w:autoSpaceDN/>
        <w:bidi w:val="0"/>
        <w:adjustRightInd/>
        <w:snapToGrid w:val="0"/>
        <w:spacing w:line="240" w:lineRule="auto"/>
        <w:textAlignment w:val="auto"/>
        <w:outlineLvl w:val="0"/>
        <w:rPr>
          <w:rFonts w:hint="eastAsia" w:ascii="仿宋" w:hAnsi="仿宋" w:eastAsia="仿宋" w:cs="仿宋"/>
          <w:b/>
          <w:bCs w:val="0"/>
          <w:sz w:val="24"/>
          <w:szCs w:val="24"/>
        </w:rPr>
      </w:pPr>
      <w:r>
        <w:rPr>
          <w:rFonts w:hint="eastAsia" w:ascii="仿宋" w:hAnsi="仿宋" w:eastAsia="仿宋" w:cs="仿宋"/>
          <w:b/>
          <w:bCs w:val="0"/>
          <w:sz w:val="24"/>
          <w:szCs w:val="24"/>
        </w:rPr>
        <w:t>3.本项目的特定资格要求:</w:t>
      </w:r>
    </w:p>
    <w:p>
      <w:pPr>
        <w:pageBreakBefore w:val="0"/>
        <w:widowControl w:val="0"/>
        <w:kinsoku/>
        <w:wordWrap/>
        <w:overflowPunct/>
        <w:topLinePunct w:val="0"/>
        <w:autoSpaceDE/>
        <w:autoSpaceDN/>
        <w:bidi w:val="0"/>
        <w:adjustRightInd/>
        <w:snapToGrid w:val="0"/>
        <w:spacing w:line="240" w:lineRule="auto"/>
        <w:textAlignment w:val="auto"/>
        <w:outlineLvl w:val="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投标人须具备在中华人民共和国依法注册的独立法人，具备有效的营业执照（三证合一）；</w:t>
      </w:r>
    </w:p>
    <w:p>
      <w:pPr>
        <w:pageBreakBefore w:val="0"/>
        <w:widowControl w:val="0"/>
        <w:kinsoku/>
        <w:wordWrap/>
        <w:overflowPunct/>
        <w:topLinePunct w:val="0"/>
        <w:autoSpaceDE/>
        <w:autoSpaceDN/>
        <w:bidi w:val="0"/>
        <w:adjustRightInd/>
        <w:snapToGrid w:val="0"/>
        <w:spacing w:line="240" w:lineRule="auto"/>
        <w:textAlignment w:val="auto"/>
        <w:outlineLvl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法定代表人的需携带法定代表人证明书及法定代表人身份证及法定代表人近三个月的社保缴费凭证及个人明细；委托代理人需携带法定代表人授权委托书及委托代理人身份证及委托人近三个月的社保缴费凭证及个人明细；</w:t>
      </w:r>
    </w:p>
    <w:p>
      <w:pPr>
        <w:pageBreakBefore w:val="0"/>
        <w:widowControl w:val="0"/>
        <w:kinsoku/>
        <w:wordWrap/>
        <w:overflowPunct/>
        <w:topLinePunct w:val="0"/>
        <w:autoSpaceDE/>
        <w:autoSpaceDN/>
        <w:bidi w:val="0"/>
        <w:adjustRightInd/>
        <w:snapToGrid w:val="0"/>
        <w:spacing w:line="240" w:lineRule="auto"/>
        <w:textAlignment w:val="auto"/>
        <w:outlineLvl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3、具有良好的商业信誉和健全的财务会计制度（提供2020年的财务审计报告（2021年新成立的公司可不提供财务审计报告））</w:t>
      </w:r>
    </w:p>
    <w:p>
      <w:pPr>
        <w:pageBreakBefore w:val="0"/>
        <w:widowControl w:val="0"/>
        <w:kinsoku/>
        <w:wordWrap/>
        <w:overflowPunct/>
        <w:topLinePunct w:val="0"/>
        <w:autoSpaceDE/>
        <w:autoSpaceDN/>
        <w:bidi w:val="0"/>
        <w:adjustRightInd/>
        <w:snapToGrid w:val="0"/>
        <w:spacing w:line="240" w:lineRule="auto"/>
        <w:textAlignment w:val="auto"/>
        <w:outlineLvl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4、投标单位需提供税务机关出具近三个月的完税证明；</w:t>
      </w:r>
    </w:p>
    <w:p>
      <w:pPr>
        <w:pageBreakBefore w:val="0"/>
        <w:widowControl w:val="0"/>
        <w:kinsoku/>
        <w:wordWrap/>
        <w:overflowPunct/>
        <w:topLinePunct w:val="0"/>
        <w:autoSpaceDE/>
        <w:autoSpaceDN/>
        <w:bidi w:val="0"/>
        <w:adjustRightInd/>
        <w:snapToGrid w:val="0"/>
        <w:spacing w:line="240" w:lineRule="auto"/>
        <w:textAlignment w:val="auto"/>
        <w:outlineLvl w:val="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凡拟参加本次招标项目的投标人，如在“信用中国”网站（</w:t>
      </w:r>
      <w:r>
        <w:rPr>
          <w:rFonts w:hint="eastAsia" w:ascii="仿宋" w:hAnsi="仿宋" w:eastAsia="仿宋" w:cs="仿宋"/>
          <w:sz w:val="24"/>
          <w:szCs w:val="24"/>
        </w:rPr>
        <w:drawing>
          <wp:inline distT="0" distB="0" distL="114300" distR="114300">
            <wp:extent cx="190500" cy="14287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90500" cy="142875"/>
                    </a:xfrm>
                    <a:prstGeom prst="rect">
                      <a:avLst/>
                    </a:prstGeom>
                    <a:noFill/>
                    <a:ln w="9525">
                      <a:noFill/>
                    </a:ln>
                  </pic:spPr>
                </pic:pic>
              </a:graphicData>
            </a:graphic>
          </wp:inline>
        </w:drawing>
      </w:r>
      <w:r>
        <w:rPr>
          <w:rFonts w:hint="eastAsia" w:ascii="仿宋" w:hAnsi="仿宋" w:eastAsia="仿宋" w:cs="仿宋"/>
          <w:sz w:val="24"/>
          <w:szCs w:val="24"/>
        </w:rPr>
        <w:t>www.creditchina.gov.cn）、中国政府采购网（</w:t>
      </w:r>
      <w:r>
        <w:rPr>
          <w:rFonts w:hint="eastAsia" w:ascii="仿宋" w:hAnsi="仿宋" w:eastAsia="仿宋" w:cs="仿宋"/>
          <w:sz w:val="24"/>
          <w:szCs w:val="24"/>
        </w:rPr>
        <w:drawing>
          <wp:inline distT="0" distB="0" distL="114300" distR="114300">
            <wp:extent cx="190500" cy="142875"/>
            <wp:effectExtent l="0" t="0" r="0" b="9525"/>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4"/>
                    <a:stretch>
                      <a:fillRect/>
                    </a:stretch>
                  </pic:blipFill>
                  <pic:spPr>
                    <a:xfrm>
                      <a:off x="0" y="0"/>
                      <a:ext cx="190500" cy="142875"/>
                    </a:xfrm>
                    <a:prstGeom prst="rect">
                      <a:avLst/>
                    </a:prstGeom>
                    <a:noFill/>
                    <a:ln w="9525">
                      <a:noFill/>
                    </a:ln>
                  </pic:spPr>
                </pic:pic>
              </a:graphicData>
            </a:graphic>
          </wp:inline>
        </w:drawing>
      </w:r>
      <w:r>
        <w:rPr>
          <w:rFonts w:hint="eastAsia" w:ascii="仿宋" w:hAnsi="仿宋" w:eastAsia="仿宋" w:cs="仿宋"/>
          <w:sz w:val="24"/>
          <w:szCs w:val="24"/>
        </w:rPr>
        <w:t>www.ccgp.gov.cn）、国家企业信用信息公示系统（</w:t>
      </w:r>
      <w:r>
        <w:rPr>
          <w:rFonts w:hint="eastAsia" w:ascii="仿宋" w:hAnsi="仿宋" w:eastAsia="仿宋" w:cs="仿宋"/>
          <w:sz w:val="24"/>
          <w:szCs w:val="24"/>
        </w:rPr>
        <w:drawing>
          <wp:inline distT="0" distB="0" distL="114300" distR="114300">
            <wp:extent cx="190500" cy="142875"/>
            <wp:effectExtent l="0" t="0" r="0" b="9525"/>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4"/>
                    <a:stretch>
                      <a:fillRect/>
                    </a:stretch>
                  </pic:blipFill>
                  <pic:spPr>
                    <a:xfrm>
                      <a:off x="0" y="0"/>
                      <a:ext cx="190500" cy="142875"/>
                    </a:xfrm>
                    <a:prstGeom prst="rect">
                      <a:avLst/>
                    </a:prstGeom>
                    <a:noFill/>
                    <a:ln w="9525">
                      <a:noFill/>
                    </a:ln>
                  </pic:spPr>
                </pic:pic>
              </a:graphicData>
            </a:graphic>
          </wp:inline>
        </w:drawing>
      </w:r>
      <w:r>
        <w:rPr>
          <w:rFonts w:hint="eastAsia" w:ascii="仿宋" w:hAnsi="仿宋" w:eastAsia="仿宋" w:cs="仿宋"/>
          <w:sz w:val="24"/>
          <w:szCs w:val="24"/>
        </w:rPr>
        <w:t>http://www.gsxt.gov.cn）、中国裁判文书网（</w:t>
      </w:r>
      <w:r>
        <w:rPr>
          <w:rFonts w:hint="eastAsia" w:ascii="仿宋" w:hAnsi="仿宋" w:eastAsia="仿宋" w:cs="仿宋"/>
          <w:sz w:val="24"/>
          <w:szCs w:val="24"/>
        </w:rPr>
        <w:drawing>
          <wp:inline distT="0" distB="0" distL="114300" distR="114300">
            <wp:extent cx="190500" cy="142875"/>
            <wp:effectExtent l="0" t="0" r="0" b="9525"/>
            <wp:docPr id="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9"/>
                    <pic:cNvPicPr>
                      <a:picLocks noChangeAspect="1"/>
                    </pic:cNvPicPr>
                  </pic:nvPicPr>
                  <pic:blipFill>
                    <a:blip r:embed="rId5"/>
                    <a:stretch>
                      <a:fillRect/>
                    </a:stretch>
                  </pic:blipFill>
                  <pic:spPr>
                    <a:xfrm>
                      <a:off x="0" y="0"/>
                      <a:ext cx="190500" cy="142875"/>
                    </a:xfrm>
                    <a:prstGeom prst="rect">
                      <a:avLst/>
                    </a:prstGeom>
                    <a:noFill/>
                    <a:ln w="9525">
                      <a:noFill/>
                    </a:ln>
                  </pic:spPr>
                </pic:pic>
              </a:graphicData>
            </a:graphic>
          </wp:inline>
        </w:drawing>
      </w:r>
      <w:r>
        <w:rPr>
          <w:rFonts w:hint="eastAsia" w:ascii="仿宋" w:hAnsi="仿宋" w:eastAsia="仿宋" w:cs="仿宋"/>
          <w:sz w:val="24"/>
          <w:szCs w:val="24"/>
        </w:rPr>
        <w:t>http://wenshu.court.gov.cn/）被列入失信被执行人、重大税收违法案件当事人名单、政府采购严重违法失信行为记录名单的、经营异常名录的、有行贿受贿犯罪记录，经开标现场查询尚在处罚期内的投标企业将拒绝其参与本次政府采购活动；</w:t>
      </w:r>
    </w:p>
    <w:p>
      <w:pPr>
        <w:pageBreakBefore w:val="0"/>
        <w:widowControl w:val="0"/>
        <w:kinsoku/>
        <w:wordWrap/>
        <w:overflowPunct/>
        <w:topLinePunct w:val="0"/>
        <w:autoSpaceDE/>
        <w:autoSpaceDN/>
        <w:bidi w:val="0"/>
        <w:adjustRightInd/>
        <w:snapToGrid w:val="0"/>
        <w:spacing w:line="240" w:lineRule="auto"/>
        <w:textAlignment w:val="auto"/>
        <w:outlineLvl w:val="0"/>
        <w:rPr>
          <w:rFonts w:hint="eastAsia"/>
        </w:rPr>
      </w:pPr>
      <w:r>
        <w:rPr>
          <w:rFonts w:hint="eastAsia" w:ascii="仿宋" w:hAnsi="仿宋" w:eastAsia="仿宋" w:cs="仿宋"/>
          <w:sz w:val="24"/>
          <w:szCs w:val="24"/>
          <w:lang w:val="en-US" w:eastAsia="zh-CN"/>
        </w:rPr>
        <w:t>6、</w:t>
      </w:r>
      <w:r>
        <w:rPr>
          <w:rFonts w:hint="eastAsia" w:ascii="仿宋" w:hAnsi="仿宋" w:eastAsia="仿宋" w:cs="仿宋"/>
          <w:sz w:val="24"/>
          <w:szCs w:val="24"/>
        </w:rPr>
        <w:t>本项目不接受联合体投标。</w:t>
      </w:r>
    </w:p>
    <w:bookmarkEnd w:id="13"/>
    <w:bookmarkEnd w:id="14"/>
    <w:bookmarkEnd w:id="15"/>
    <w:bookmarkEnd w:id="16"/>
    <w:bookmarkEnd w:id="17"/>
    <w:bookmarkEnd w:id="18"/>
    <w:p>
      <w:pPr>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4"/>
          <w:szCs w:val="24"/>
        </w:rPr>
      </w:pPr>
      <w:r>
        <w:rPr>
          <w:rFonts w:hint="eastAsia" w:ascii="仿宋" w:hAnsi="仿宋" w:eastAsia="仿宋" w:cs="仿宋"/>
          <w:sz w:val="24"/>
          <w:szCs w:val="24"/>
        </w:rPr>
        <w:t>三、获取采购文件</w:t>
      </w:r>
    </w:p>
    <w:p>
      <w:pPr>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4"/>
          <w:szCs w:val="24"/>
        </w:rPr>
      </w:pPr>
      <w:bookmarkStart w:id="19" w:name="_Toc28359015"/>
      <w:bookmarkStart w:id="20" w:name="_Toc35393632"/>
      <w:bookmarkStart w:id="21" w:name="_Toc7922"/>
      <w:bookmarkStart w:id="22" w:name="_Toc22996"/>
      <w:bookmarkStart w:id="23" w:name="_Toc28359092"/>
      <w:bookmarkStart w:id="24" w:name="_Toc35393801"/>
      <w:r>
        <w:rPr>
          <w:rFonts w:hint="eastAsia" w:ascii="仿宋" w:hAnsi="仿宋" w:eastAsia="仿宋" w:cs="仿宋"/>
          <w:sz w:val="24"/>
          <w:szCs w:val="24"/>
        </w:rPr>
        <w:t>时间： 2021年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28</w:t>
      </w:r>
      <w:r>
        <w:rPr>
          <w:rFonts w:hint="eastAsia" w:ascii="仿宋" w:hAnsi="仿宋" w:eastAsia="仿宋" w:cs="仿宋"/>
          <w:sz w:val="24"/>
          <w:szCs w:val="24"/>
        </w:rPr>
        <w:t>日至  20</w:t>
      </w:r>
      <w:r>
        <w:rPr>
          <w:rFonts w:hint="eastAsia" w:ascii="仿宋" w:hAnsi="仿宋" w:eastAsia="仿宋" w:cs="仿宋"/>
          <w:sz w:val="24"/>
          <w:szCs w:val="24"/>
          <w:lang w:val="en-US" w:eastAsia="zh-CN"/>
        </w:rPr>
        <w:t>22</w:t>
      </w:r>
      <w:r>
        <w:rPr>
          <w:rFonts w:hint="eastAsia" w:ascii="仿宋" w:hAnsi="仿宋" w:eastAsia="仿宋" w:cs="仿宋"/>
          <w:sz w:val="24"/>
          <w:szCs w:val="24"/>
        </w:rPr>
        <w:t xml:space="preserve">年 </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4</w:t>
      </w:r>
      <w:r>
        <w:rPr>
          <w:rFonts w:hint="eastAsia" w:ascii="仿宋" w:hAnsi="仿宋" w:eastAsia="仿宋" w:cs="仿宋"/>
          <w:sz w:val="24"/>
          <w:szCs w:val="24"/>
        </w:rPr>
        <w:t>日（提供期限自本公告发布之日起不得少于</w:t>
      </w:r>
      <w:r>
        <w:rPr>
          <w:rFonts w:hint="eastAsia" w:ascii="仿宋" w:hAnsi="仿宋" w:eastAsia="仿宋" w:cs="仿宋"/>
          <w:sz w:val="24"/>
          <w:szCs w:val="24"/>
          <w:lang w:val="en-US" w:eastAsia="zh-CN"/>
        </w:rPr>
        <w:t>5</w:t>
      </w:r>
      <w:r>
        <w:rPr>
          <w:rFonts w:hint="eastAsia" w:ascii="仿宋" w:hAnsi="仿宋" w:eastAsia="仿宋" w:cs="仿宋"/>
          <w:sz w:val="24"/>
          <w:szCs w:val="24"/>
        </w:rPr>
        <w:t>个工作日），每天上午10:</w:t>
      </w:r>
      <w:r>
        <w:rPr>
          <w:rFonts w:hint="eastAsia" w:ascii="仿宋" w:hAnsi="仿宋" w:eastAsia="仿宋" w:cs="仿宋"/>
          <w:sz w:val="24"/>
          <w:szCs w:val="24"/>
          <w:lang w:val="en-US" w:eastAsia="zh-CN"/>
        </w:rPr>
        <w:t>30</w:t>
      </w:r>
      <w:r>
        <w:rPr>
          <w:rFonts w:hint="eastAsia" w:ascii="仿宋" w:hAnsi="仿宋" w:eastAsia="仿宋" w:cs="仿宋"/>
          <w:sz w:val="24"/>
          <w:szCs w:val="24"/>
        </w:rPr>
        <w:t>　至1</w:t>
      </w:r>
      <w:r>
        <w:rPr>
          <w:rFonts w:hint="eastAsia" w:ascii="仿宋" w:hAnsi="仿宋" w:eastAsia="仿宋" w:cs="仿宋"/>
          <w:sz w:val="24"/>
          <w:szCs w:val="24"/>
          <w:lang w:val="en-US" w:eastAsia="zh-CN"/>
        </w:rPr>
        <w:t>4</w:t>
      </w:r>
      <w:r>
        <w:rPr>
          <w:rFonts w:hint="eastAsia" w:ascii="仿宋" w:hAnsi="仿宋" w:eastAsia="仿宋" w:cs="仿宋"/>
          <w:sz w:val="24"/>
          <w:szCs w:val="24"/>
        </w:rPr>
        <w:t>:</w:t>
      </w:r>
      <w:r>
        <w:rPr>
          <w:rFonts w:hint="eastAsia" w:ascii="仿宋" w:hAnsi="仿宋" w:eastAsia="仿宋" w:cs="仿宋"/>
          <w:sz w:val="24"/>
          <w:szCs w:val="24"/>
          <w:lang w:val="en-US" w:eastAsia="zh-CN"/>
        </w:rPr>
        <w:t>00</w:t>
      </w:r>
      <w:r>
        <w:rPr>
          <w:rFonts w:hint="eastAsia" w:ascii="仿宋" w:hAnsi="仿宋" w:eastAsia="仿宋" w:cs="仿宋"/>
          <w:sz w:val="24"/>
          <w:szCs w:val="24"/>
        </w:rPr>
        <w:t>，下午16:00至19:</w:t>
      </w:r>
      <w:r>
        <w:rPr>
          <w:rFonts w:hint="eastAsia" w:ascii="仿宋" w:hAnsi="仿宋" w:eastAsia="仿宋" w:cs="仿宋"/>
          <w:sz w:val="24"/>
          <w:szCs w:val="24"/>
          <w:lang w:val="en-US" w:eastAsia="zh-CN"/>
        </w:rPr>
        <w:t>0</w:t>
      </w:r>
      <w:r>
        <w:rPr>
          <w:rFonts w:hint="eastAsia" w:ascii="仿宋" w:hAnsi="仿宋" w:eastAsia="仿宋" w:cs="仿宋"/>
          <w:sz w:val="24"/>
          <w:szCs w:val="24"/>
        </w:rPr>
        <w:t>0（北京时间，法定节假日除外）</w:t>
      </w:r>
    </w:p>
    <w:p>
      <w:pPr>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4"/>
          <w:szCs w:val="24"/>
        </w:rPr>
      </w:pPr>
      <w:r>
        <w:rPr>
          <w:rFonts w:hint="eastAsia" w:ascii="仿宋" w:hAnsi="仿宋" w:eastAsia="仿宋" w:cs="仿宋"/>
          <w:sz w:val="24"/>
          <w:szCs w:val="24"/>
        </w:rPr>
        <w:t>地点：新疆庆信达项目管理有限公司（和田市人民街18号玉都国际广场金座703室）</w:t>
      </w:r>
    </w:p>
    <w:p>
      <w:pPr>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4"/>
          <w:szCs w:val="24"/>
        </w:rPr>
      </w:pPr>
      <w:r>
        <w:rPr>
          <w:rFonts w:hint="eastAsia" w:ascii="仿宋" w:hAnsi="仿宋" w:eastAsia="仿宋" w:cs="仿宋"/>
          <w:sz w:val="24"/>
          <w:szCs w:val="24"/>
        </w:rPr>
        <w:t>方式：满足上述投标资质的投标人，携带第二条申请人的资格要求的相关证件（原件及加盖单位鲜公章的复印件各一套核对），审查合格后现场获取招标文件</w:t>
      </w:r>
    </w:p>
    <w:p>
      <w:pPr>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4"/>
          <w:szCs w:val="24"/>
        </w:rPr>
      </w:pPr>
      <w:r>
        <w:rPr>
          <w:rFonts w:hint="eastAsia" w:ascii="仿宋" w:hAnsi="仿宋" w:eastAsia="仿宋" w:cs="仿宋"/>
          <w:sz w:val="24"/>
          <w:szCs w:val="24"/>
        </w:rPr>
        <w:t>售价：200元/份（售后不退）</w:t>
      </w:r>
    </w:p>
    <w:p>
      <w:pPr>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4"/>
          <w:szCs w:val="24"/>
        </w:rPr>
      </w:pPr>
      <w:r>
        <w:rPr>
          <w:rFonts w:hint="eastAsia" w:ascii="仿宋" w:hAnsi="仿宋" w:eastAsia="仿宋" w:cs="仿宋"/>
          <w:sz w:val="24"/>
          <w:szCs w:val="24"/>
        </w:rPr>
        <w:t>四、响应文件提交</w:t>
      </w:r>
      <w:bookmarkEnd w:id="19"/>
      <w:bookmarkEnd w:id="20"/>
      <w:bookmarkEnd w:id="21"/>
      <w:bookmarkEnd w:id="22"/>
      <w:bookmarkEnd w:id="23"/>
      <w:bookmarkEnd w:id="24"/>
      <w:bookmarkStart w:id="47" w:name="_GoBack"/>
      <w:bookmarkEnd w:id="47"/>
    </w:p>
    <w:p>
      <w:pPr>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bCs/>
          <w:sz w:val="24"/>
          <w:szCs w:val="24"/>
        </w:rPr>
      </w:pPr>
      <w:r>
        <w:rPr>
          <w:rFonts w:hint="eastAsia" w:ascii="仿宋" w:hAnsi="仿宋" w:eastAsia="仿宋" w:cs="仿宋"/>
          <w:sz w:val="24"/>
          <w:szCs w:val="24"/>
        </w:rPr>
        <w:t>截止时间：</w:t>
      </w:r>
      <w:r>
        <w:rPr>
          <w:rFonts w:hint="eastAsia" w:ascii="仿宋" w:hAnsi="仿宋" w:eastAsia="仿宋" w:cs="仿宋"/>
          <w:sz w:val="24"/>
          <w:szCs w:val="24"/>
          <w:u w:val="single"/>
        </w:rPr>
        <w:t xml:space="preserve"> 202</w:t>
      </w:r>
      <w:r>
        <w:rPr>
          <w:rFonts w:hint="eastAsia" w:ascii="仿宋" w:hAnsi="仿宋" w:eastAsia="仿宋" w:cs="仿宋"/>
          <w:sz w:val="24"/>
          <w:szCs w:val="24"/>
          <w:u w:val="single"/>
          <w:lang w:val="en-US" w:eastAsia="zh-CN"/>
        </w:rPr>
        <w:t>2</w:t>
      </w:r>
      <w:r>
        <w:rPr>
          <w:rFonts w:hint="eastAsia" w:ascii="仿宋" w:hAnsi="仿宋" w:eastAsia="仿宋" w:cs="仿宋"/>
          <w:bCs/>
          <w:sz w:val="24"/>
          <w:szCs w:val="24"/>
          <w:u w:val="single"/>
        </w:rPr>
        <w:t>年</w:t>
      </w:r>
      <w:r>
        <w:rPr>
          <w:rFonts w:hint="eastAsia" w:ascii="仿宋" w:hAnsi="仿宋" w:eastAsia="仿宋" w:cs="仿宋"/>
          <w:bCs/>
          <w:sz w:val="24"/>
          <w:szCs w:val="24"/>
          <w:u w:val="single"/>
          <w:lang w:val="en-US" w:eastAsia="zh-CN"/>
        </w:rPr>
        <w:t>1</w:t>
      </w:r>
      <w:r>
        <w:rPr>
          <w:rFonts w:hint="eastAsia" w:ascii="仿宋" w:hAnsi="仿宋" w:eastAsia="仿宋" w:cs="仿宋"/>
          <w:bCs/>
          <w:sz w:val="24"/>
          <w:szCs w:val="24"/>
          <w:u w:val="single"/>
        </w:rPr>
        <w:t>月</w:t>
      </w:r>
      <w:r>
        <w:rPr>
          <w:rFonts w:hint="eastAsia" w:ascii="仿宋" w:hAnsi="仿宋" w:eastAsia="仿宋" w:cs="仿宋"/>
          <w:bCs/>
          <w:sz w:val="24"/>
          <w:szCs w:val="24"/>
          <w:u w:val="single"/>
          <w:lang w:val="en-US" w:eastAsia="zh-CN"/>
        </w:rPr>
        <w:t>7</w:t>
      </w:r>
      <w:r>
        <w:rPr>
          <w:rFonts w:hint="eastAsia" w:ascii="仿宋" w:hAnsi="仿宋" w:eastAsia="仿宋" w:cs="仿宋"/>
          <w:bCs/>
          <w:sz w:val="24"/>
          <w:szCs w:val="24"/>
          <w:u w:val="single"/>
        </w:rPr>
        <w:t>日</w:t>
      </w:r>
      <w:r>
        <w:rPr>
          <w:rFonts w:hint="eastAsia" w:ascii="仿宋" w:hAnsi="仿宋" w:eastAsia="仿宋" w:cs="仿宋"/>
          <w:bCs/>
          <w:sz w:val="24"/>
          <w:szCs w:val="24"/>
          <w:u w:val="single"/>
          <w:lang w:val="en-US" w:eastAsia="zh-CN"/>
        </w:rPr>
        <w:t>12</w:t>
      </w:r>
      <w:r>
        <w:rPr>
          <w:rFonts w:hint="eastAsia" w:ascii="仿宋" w:hAnsi="仿宋" w:eastAsia="仿宋" w:cs="仿宋"/>
          <w:bCs/>
          <w:sz w:val="24"/>
          <w:szCs w:val="24"/>
          <w:u w:val="single"/>
        </w:rPr>
        <w:t xml:space="preserve">点 </w:t>
      </w:r>
      <w:r>
        <w:rPr>
          <w:rFonts w:hint="eastAsia" w:ascii="仿宋" w:hAnsi="仿宋" w:eastAsia="仿宋" w:cs="仿宋"/>
          <w:bCs/>
          <w:sz w:val="24"/>
          <w:szCs w:val="24"/>
          <w:u w:val="single"/>
          <w:lang w:val="en-US" w:eastAsia="zh-CN"/>
        </w:rPr>
        <w:t>0</w:t>
      </w:r>
      <w:r>
        <w:rPr>
          <w:rFonts w:hint="eastAsia" w:ascii="仿宋" w:hAnsi="仿宋" w:eastAsia="仿宋" w:cs="仿宋"/>
          <w:bCs/>
          <w:sz w:val="24"/>
          <w:szCs w:val="24"/>
          <w:u w:val="single"/>
        </w:rPr>
        <w:t>0分</w:t>
      </w:r>
      <w:r>
        <w:rPr>
          <w:rFonts w:hint="eastAsia" w:ascii="仿宋" w:hAnsi="仿宋" w:eastAsia="仿宋" w:cs="仿宋"/>
          <w:bCs/>
          <w:sz w:val="24"/>
          <w:szCs w:val="24"/>
        </w:rPr>
        <w:t>（北京时间）</w:t>
      </w:r>
    </w:p>
    <w:p>
      <w:pPr>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地点：</w:t>
      </w:r>
      <w:r>
        <w:rPr>
          <w:rFonts w:hint="eastAsia" w:ascii="仿宋" w:hAnsi="仿宋" w:eastAsia="仿宋" w:cs="仿宋"/>
          <w:sz w:val="24"/>
          <w:szCs w:val="24"/>
          <w:lang w:eastAsia="zh-CN"/>
        </w:rPr>
        <w:t>腾讯会议不见面开标</w:t>
      </w:r>
    </w:p>
    <w:p>
      <w:pPr>
        <w:pStyle w:val="4"/>
        <w:pageBreakBefore w:val="0"/>
        <w:widowControl w:val="0"/>
        <w:kinsoku/>
        <w:wordWrap/>
        <w:overflowPunct/>
        <w:topLinePunct w:val="0"/>
        <w:autoSpaceDE/>
        <w:autoSpaceDN/>
        <w:bidi w:val="0"/>
        <w:adjustRightInd/>
        <w:snapToGrid w:val="0"/>
        <w:spacing w:line="240" w:lineRule="auto"/>
        <w:textAlignment w:val="auto"/>
        <w:outlineLvl w:val="0"/>
        <w:rPr>
          <w:rFonts w:hint="eastAsia" w:ascii="仿宋" w:hAnsi="仿宋" w:eastAsia="仿宋" w:cs="仿宋"/>
          <w:b w:val="0"/>
          <w:sz w:val="24"/>
          <w:szCs w:val="24"/>
        </w:rPr>
      </w:pPr>
      <w:bookmarkStart w:id="25" w:name="_Toc35393633"/>
      <w:bookmarkStart w:id="26" w:name="_Toc30975"/>
      <w:bookmarkStart w:id="27" w:name="_Toc297"/>
      <w:bookmarkStart w:id="28" w:name="_Toc28359093"/>
      <w:bookmarkStart w:id="29" w:name="_Toc28359016"/>
      <w:bookmarkStart w:id="30" w:name="_Toc35393802"/>
      <w:r>
        <w:rPr>
          <w:rFonts w:hint="eastAsia" w:ascii="仿宋" w:hAnsi="仿宋" w:eastAsia="仿宋" w:cs="仿宋"/>
          <w:b w:val="0"/>
          <w:sz w:val="24"/>
          <w:szCs w:val="24"/>
        </w:rPr>
        <w:t>五、开启</w:t>
      </w:r>
      <w:bookmarkEnd w:id="25"/>
      <w:bookmarkEnd w:id="26"/>
      <w:bookmarkEnd w:id="27"/>
      <w:bookmarkEnd w:id="28"/>
      <w:bookmarkEnd w:id="29"/>
      <w:bookmarkEnd w:id="30"/>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bCs/>
          <w:sz w:val="24"/>
          <w:szCs w:val="24"/>
        </w:rPr>
      </w:pPr>
      <w:r>
        <w:rPr>
          <w:rFonts w:hint="eastAsia" w:ascii="仿宋" w:hAnsi="仿宋" w:eastAsia="仿宋" w:cs="仿宋"/>
          <w:sz w:val="24"/>
          <w:szCs w:val="24"/>
        </w:rPr>
        <w:t>时间：</w:t>
      </w:r>
      <w:r>
        <w:rPr>
          <w:rFonts w:hint="eastAsia" w:ascii="仿宋" w:hAnsi="仿宋" w:eastAsia="仿宋" w:cs="仿宋"/>
          <w:sz w:val="24"/>
          <w:szCs w:val="24"/>
          <w:u w:val="single"/>
        </w:rPr>
        <w:t xml:space="preserve"> 20</w:t>
      </w:r>
      <w:r>
        <w:rPr>
          <w:rFonts w:hint="eastAsia" w:ascii="仿宋" w:hAnsi="仿宋" w:eastAsia="仿宋" w:cs="仿宋"/>
          <w:sz w:val="24"/>
          <w:szCs w:val="24"/>
          <w:u w:val="single"/>
          <w:lang w:val="en-US" w:eastAsia="zh-CN"/>
        </w:rPr>
        <w:t>22</w:t>
      </w:r>
      <w:r>
        <w:rPr>
          <w:rFonts w:hint="eastAsia" w:ascii="仿宋" w:hAnsi="仿宋" w:eastAsia="仿宋" w:cs="仿宋"/>
          <w:bCs/>
          <w:sz w:val="24"/>
          <w:szCs w:val="24"/>
          <w:u w:val="single"/>
        </w:rPr>
        <w:t>年</w:t>
      </w:r>
      <w:r>
        <w:rPr>
          <w:rFonts w:hint="eastAsia" w:ascii="仿宋" w:hAnsi="仿宋" w:eastAsia="仿宋" w:cs="仿宋"/>
          <w:bCs/>
          <w:sz w:val="24"/>
          <w:szCs w:val="24"/>
          <w:u w:val="single"/>
          <w:lang w:val="en-US" w:eastAsia="zh-CN"/>
        </w:rPr>
        <w:t>1</w:t>
      </w:r>
      <w:r>
        <w:rPr>
          <w:rFonts w:hint="eastAsia" w:ascii="仿宋" w:hAnsi="仿宋" w:eastAsia="仿宋" w:cs="仿宋"/>
          <w:bCs/>
          <w:sz w:val="24"/>
          <w:szCs w:val="24"/>
          <w:u w:val="single"/>
        </w:rPr>
        <w:t>月</w:t>
      </w:r>
      <w:r>
        <w:rPr>
          <w:rFonts w:hint="eastAsia" w:ascii="仿宋" w:hAnsi="仿宋" w:eastAsia="仿宋" w:cs="仿宋"/>
          <w:bCs/>
          <w:sz w:val="24"/>
          <w:szCs w:val="24"/>
          <w:u w:val="single"/>
          <w:lang w:val="en-US" w:eastAsia="zh-CN"/>
        </w:rPr>
        <w:t>7</w:t>
      </w:r>
      <w:r>
        <w:rPr>
          <w:rFonts w:hint="eastAsia" w:ascii="仿宋" w:hAnsi="仿宋" w:eastAsia="仿宋" w:cs="仿宋"/>
          <w:bCs/>
          <w:sz w:val="24"/>
          <w:szCs w:val="24"/>
          <w:u w:val="single"/>
        </w:rPr>
        <w:t>日</w:t>
      </w:r>
      <w:r>
        <w:rPr>
          <w:rFonts w:hint="eastAsia" w:ascii="仿宋" w:hAnsi="仿宋" w:eastAsia="仿宋" w:cs="仿宋"/>
          <w:bCs/>
          <w:sz w:val="24"/>
          <w:szCs w:val="24"/>
          <w:u w:val="single"/>
          <w:lang w:val="en-US" w:eastAsia="zh-CN"/>
        </w:rPr>
        <w:t>12</w:t>
      </w:r>
      <w:r>
        <w:rPr>
          <w:rFonts w:hint="eastAsia" w:ascii="仿宋" w:hAnsi="仿宋" w:eastAsia="仿宋" w:cs="仿宋"/>
          <w:bCs/>
          <w:sz w:val="24"/>
          <w:szCs w:val="24"/>
          <w:u w:val="single"/>
        </w:rPr>
        <w:t xml:space="preserve">点 </w:t>
      </w:r>
      <w:r>
        <w:rPr>
          <w:rFonts w:hint="eastAsia" w:ascii="仿宋" w:hAnsi="仿宋" w:eastAsia="仿宋" w:cs="仿宋"/>
          <w:bCs/>
          <w:sz w:val="24"/>
          <w:szCs w:val="24"/>
          <w:u w:val="single"/>
          <w:lang w:val="en-US" w:eastAsia="zh-CN"/>
        </w:rPr>
        <w:t>0</w:t>
      </w:r>
      <w:r>
        <w:rPr>
          <w:rFonts w:hint="eastAsia" w:ascii="仿宋" w:hAnsi="仿宋" w:eastAsia="仿宋" w:cs="仿宋"/>
          <w:bCs/>
          <w:sz w:val="24"/>
          <w:szCs w:val="24"/>
          <w:u w:val="single"/>
        </w:rPr>
        <w:t>0分</w:t>
      </w:r>
      <w:r>
        <w:rPr>
          <w:rFonts w:hint="eastAsia" w:ascii="仿宋" w:hAnsi="仿宋" w:eastAsia="仿宋" w:cs="仿宋"/>
          <w:bCs/>
          <w:sz w:val="24"/>
          <w:szCs w:val="24"/>
        </w:rPr>
        <w:t>（北京时间）</w:t>
      </w:r>
    </w:p>
    <w:p>
      <w:pPr>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sz w:val="24"/>
          <w:szCs w:val="24"/>
          <w:lang w:eastAsia="zh-CN"/>
        </w:rPr>
      </w:pPr>
      <w:bookmarkStart w:id="31" w:name="_Toc28359094"/>
      <w:bookmarkStart w:id="32" w:name="_Toc35393634"/>
      <w:bookmarkStart w:id="33" w:name="_Toc35393803"/>
      <w:bookmarkStart w:id="34" w:name="_Toc28359017"/>
      <w:bookmarkStart w:id="35" w:name="_Toc15664"/>
      <w:bookmarkStart w:id="36" w:name="_Toc135"/>
      <w:r>
        <w:rPr>
          <w:rFonts w:hint="eastAsia" w:ascii="仿宋" w:hAnsi="仿宋" w:eastAsia="仿宋" w:cs="仿宋"/>
          <w:sz w:val="24"/>
          <w:szCs w:val="24"/>
        </w:rPr>
        <w:t>地点：</w:t>
      </w:r>
      <w:r>
        <w:rPr>
          <w:rFonts w:hint="eastAsia" w:ascii="仿宋" w:hAnsi="仿宋" w:eastAsia="仿宋" w:cs="仿宋"/>
          <w:sz w:val="24"/>
          <w:szCs w:val="24"/>
          <w:lang w:eastAsia="zh-CN"/>
        </w:rPr>
        <w:t>腾讯会议不见面开标</w:t>
      </w:r>
    </w:p>
    <w:p>
      <w:pPr>
        <w:pageBreakBefore w:val="0"/>
        <w:widowControl w:val="0"/>
        <w:kinsoku/>
        <w:wordWrap/>
        <w:overflowPunct/>
        <w:topLinePunct w:val="0"/>
        <w:autoSpaceDE/>
        <w:autoSpaceDN/>
        <w:bidi w:val="0"/>
        <w:adjustRightInd/>
        <w:snapToGrid w:val="0"/>
        <w:spacing w:line="240" w:lineRule="auto"/>
        <w:textAlignment w:val="auto"/>
        <w:outlineLvl w:val="0"/>
        <w:rPr>
          <w:rFonts w:hint="eastAsia" w:ascii="仿宋" w:hAnsi="仿宋" w:eastAsia="仿宋" w:cs="仿宋"/>
          <w:sz w:val="24"/>
          <w:szCs w:val="24"/>
        </w:rPr>
      </w:pPr>
      <w:r>
        <w:rPr>
          <w:rFonts w:hint="eastAsia" w:ascii="仿宋" w:hAnsi="仿宋" w:eastAsia="仿宋" w:cs="仿宋"/>
          <w:bCs/>
          <w:sz w:val="24"/>
          <w:szCs w:val="24"/>
        </w:rPr>
        <w:t>六、公告期限</w:t>
      </w:r>
      <w:bookmarkEnd w:id="31"/>
      <w:bookmarkEnd w:id="32"/>
      <w:bookmarkEnd w:id="33"/>
      <w:bookmarkEnd w:id="34"/>
      <w:bookmarkEnd w:id="35"/>
      <w:bookmarkEnd w:id="36"/>
    </w:p>
    <w:p>
      <w:pPr>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自本公告发布之日起</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个工作日。</w:t>
      </w:r>
    </w:p>
    <w:p>
      <w:pPr>
        <w:pStyle w:val="4"/>
        <w:keepNext/>
        <w:keepLines/>
        <w:pageBreakBefore w:val="0"/>
        <w:widowControl w:val="0"/>
        <w:kinsoku/>
        <w:wordWrap/>
        <w:overflowPunct/>
        <w:topLinePunct w:val="0"/>
        <w:autoSpaceDE/>
        <w:autoSpaceDN/>
        <w:bidi w:val="0"/>
        <w:adjustRightInd/>
        <w:snapToGrid w:val="0"/>
        <w:spacing w:line="240" w:lineRule="auto"/>
        <w:textAlignment w:val="auto"/>
        <w:outlineLvl w:val="0"/>
        <w:rPr>
          <w:rFonts w:hint="eastAsia" w:ascii="仿宋" w:hAnsi="仿宋" w:eastAsia="仿宋" w:cs="仿宋"/>
          <w:sz w:val="24"/>
          <w:szCs w:val="24"/>
          <w:lang w:val="en-US" w:eastAsia="zh-CN"/>
        </w:rPr>
      </w:pPr>
      <w:bookmarkStart w:id="37" w:name="_Toc35393635"/>
      <w:bookmarkStart w:id="38" w:name="_Toc35393804"/>
      <w:bookmarkStart w:id="39" w:name="_Toc25927"/>
      <w:bookmarkStart w:id="40" w:name="_Toc23752"/>
      <w:r>
        <w:rPr>
          <w:rFonts w:hint="eastAsia" w:ascii="仿宋" w:hAnsi="仿宋" w:eastAsia="仿宋" w:cs="仿宋"/>
          <w:b w:val="0"/>
          <w:sz w:val="24"/>
          <w:szCs w:val="24"/>
        </w:rPr>
        <w:t>七、其他补充事宜</w:t>
      </w:r>
      <w:bookmarkEnd w:id="37"/>
      <w:bookmarkEnd w:id="38"/>
      <w:r>
        <w:rPr>
          <w:rFonts w:hint="eastAsia" w:ascii="仿宋" w:hAnsi="仿宋" w:eastAsia="仿宋" w:cs="仿宋"/>
          <w:b w:val="0"/>
          <w:sz w:val="24"/>
          <w:szCs w:val="24"/>
          <w:lang w:eastAsia="zh-CN"/>
        </w:rPr>
        <w:t>：</w:t>
      </w:r>
      <w:r>
        <w:rPr>
          <w:rFonts w:hint="eastAsia" w:ascii="仿宋" w:hAnsi="仿宋" w:eastAsia="仿宋" w:cs="仿宋"/>
          <w:b w:val="0"/>
          <w:sz w:val="24"/>
          <w:szCs w:val="24"/>
          <w:lang w:val="en-US" w:eastAsia="zh-CN"/>
        </w:rPr>
        <w:t>无</w:t>
      </w:r>
      <w:bookmarkEnd w:id="39"/>
      <w:bookmarkEnd w:id="40"/>
    </w:p>
    <w:p>
      <w:pPr>
        <w:pStyle w:val="4"/>
        <w:keepNext/>
        <w:keepLines/>
        <w:pageBreakBefore w:val="0"/>
        <w:widowControl w:val="0"/>
        <w:kinsoku/>
        <w:wordWrap/>
        <w:overflowPunct/>
        <w:topLinePunct w:val="0"/>
        <w:autoSpaceDE/>
        <w:autoSpaceDN/>
        <w:bidi w:val="0"/>
        <w:adjustRightInd/>
        <w:snapToGrid w:val="0"/>
        <w:spacing w:line="240" w:lineRule="auto"/>
        <w:textAlignment w:val="auto"/>
        <w:outlineLvl w:val="0"/>
        <w:rPr>
          <w:rFonts w:hint="eastAsia" w:ascii="仿宋" w:hAnsi="仿宋" w:eastAsia="仿宋" w:cs="仿宋"/>
          <w:b w:val="0"/>
          <w:sz w:val="24"/>
          <w:szCs w:val="24"/>
        </w:rPr>
      </w:pPr>
      <w:bookmarkStart w:id="41" w:name="_Toc1455"/>
      <w:bookmarkStart w:id="42" w:name="_Toc35393636"/>
      <w:bookmarkStart w:id="43" w:name="_Toc35393805"/>
      <w:bookmarkStart w:id="44" w:name="_Toc28359095"/>
      <w:bookmarkStart w:id="45" w:name="_Toc28359018"/>
      <w:bookmarkStart w:id="46" w:name="_Toc20454"/>
      <w:r>
        <w:rPr>
          <w:rFonts w:hint="eastAsia" w:ascii="仿宋" w:hAnsi="仿宋" w:eastAsia="仿宋" w:cs="仿宋"/>
          <w:b w:val="0"/>
          <w:sz w:val="24"/>
          <w:szCs w:val="24"/>
        </w:rPr>
        <w:t>八、凡对本次采购提出询问，请按以下方式联系。</w:t>
      </w:r>
      <w:bookmarkEnd w:id="41"/>
      <w:bookmarkEnd w:id="42"/>
      <w:bookmarkEnd w:id="43"/>
      <w:bookmarkEnd w:id="44"/>
      <w:bookmarkEnd w:id="45"/>
      <w:bookmarkEnd w:id="46"/>
    </w:p>
    <w:p>
      <w:pPr>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1.采购人信息</w:t>
      </w:r>
    </w:p>
    <w:p>
      <w:pPr>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名    称：于田县财政局</w:t>
      </w:r>
    </w:p>
    <w:p>
      <w:pPr>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地    址：于田县　　　　</w:t>
      </w:r>
    </w:p>
    <w:p>
      <w:pPr>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联系方式：18092579168　</w:t>
      </w:r>
    </w:p>
    <w:p>
      <w:pPr>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b w:val="0"/>
          <w:kern w:val="2"/>
          <w:sz w:val="24"/>
          <w:szCs w:val="24"/>
          <w:lang w:val="en-US" w:eastAsia="zh-CN" w:bidi="ar-SA"/>
        </w:rPr>
      </w:pPr>
    </w:p>
    <w:p>
      <w:pPr>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2.采购代理机构信息（如有）</w:t>
      </w:r>
    </w:p>
    <w:p>
      <w:pPr>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名    称：新疆庆信达项目管理有限公司　</w:t>
      </w:r>
    </w:p>
    <w:p>
      <w:pPr>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地    址：和田市人民街18号玉都国际广场金座703室</w:t>
      </w:r>
    </w:p>
    <w:p>
      <w:pPr>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联系方式：0903-7820626　　</w:t>
      </w:r>
    </w:p>
    <w:p>
      <w:pPr>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b w:val="0"/>
          <w:kern w:val="2"/>
          <w:sz w:val="24"/>
          <w:szCs w:val="24"/>
          <w:lang w:val="en-US" w:eastAsia="zh-CN" w:bidi="ar-SA"/>
        </w:rPr>
      </w:pPr>
    </w:p>
    <w:p>
      <w:pPr>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3.项目联系方式</w:t>
      </w:r>
    </w:p>
    <w:p>
      <w:pPr>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项目联系人：郑泽娟</w:t>
      </w:r>
    </w:p>
    <w:p>
      <w:pPr>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4"/>
          <w:szCs w:val="24"/>
        </w:rPr>
      </w:pPr>
      <w:r>
        <w:rPr>
          <w:rFonts w:hint="eastAsia" w:ascii="仿宋" w:hAnsi="仿宋" w:eastAsia="仿宋" w:cs="仿宋"/>
          <w:b w:val="0"/>
          <w:kern w:val="2"/>
          <w:sz w:val="24"/>
          <w:szCs w:val="24"/>
          <w:lang w:val="en-US" w:eastAsia="zh-CN" w:bidi="ar-SA"/>
        </w:rPr>
        <w:t>电　　  话：0903-7820626</w:t>
      </w:r>
    </w:p>
    <w:p>
      <w:pPr>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027DA"/>
    <w:rsid w:val="02987B74"/>
    <w:rsid w:val="048A633F"/>
    <w:rsid w:val="06EF2FA2"/>
    <w:rsid w:val="0A2D03DC"/>
    <w:rsid w:val="0ACC51A0"/>
    <w:rsid w:val="0B8C32E1"/>
    <w:rsid w:val="0C6B2C64"/>
    <w:rsid w:val="0C862119"/>
    <w:rsid w:val="0CC5476D"/>
    <w:rsid w:val="0CDD0FA5"/>
    <w:rsid w:val="0D1D1F35"/>
    <w:rsid w:val="105826E5"/>
    <w:rsid w:val="10C87EA7"/>
    <w:rsid w:val="123C6D39"/>
    <w:rsid w:val="129E586A"/>
    <w:rsid w:val="16A44F1B"/>
    <w:rsid w:val="17DF7699"/>
    <w:rsid w:val="1B556D3A"/>
    <w:rsid w:val="1CB3587E"/>
    <w:rsid w:val="1E5336A7"/>
    <w:rsid w:val="1E58477B"/>
    <w:rsid w:val="1F2F00CB"/>
    <w:rsid w:val="20CF6BF6"/>
    <w:rsid w:val="22561326"/>
    <w:rsid w:val="22937B65"/>
    <w:rsid w:val="25E67079"/>
    <w:rsid w:val="28AD4543"/>
    <w:rsid w:val="29E3121F"/>
    <w:rsid w:val="2AC848F7"/>
    <w:rsid w:val="2AF44FC1"/>
    <w:rsid w:val="2BA4691C"/>
    <w:rsid w:val="2D003A0D"/>
    <w:rsid w:val="30656A38"/>
    <w:rsid w:val="32206981"/>
    <w:rsid w:val="32CA473F"/>
    <w:rsid w:val="385F4C89"/>
    <w:rsid w:val="389E4A6F"/>
    <w:rsid w:val="3AE34D2F"/>
    <w:rsid w:val="3D18027B"/>
    <w:rsid w:val="3E550ABE"/>
    <w:rsid w:val="41006CBB"/>
    <w:rsid w:val="411C1798"/>
    <w:rsid w:val="41D1217F"/>
    <w:rsid w:val="4244039E"/>
    <w:rsid w:val="43252EEA"/>
    <w:rsid w:val="4ADE0D1B"/>
    <w:rsid w:val="4CEA10A3"/>
    <w:rsid w:val="4DFD5FE8"/>
    <w:rsid w:val="52A82A88"/>
    <w:rsid w:val="54A76DD9"/>
    <w:rsid w:val="54DF2178"/>
    <w:rsid w:val="55A2018D"/>
    <w:rsid w:val="57352285"/>
    <w:rsid w:val="59C11B48"/>
    <w:rsid w:val="5A692400"/>
    <w:rsid w:val="5FB16742"/>
    <w:rsid w:val="60F908E6"/>
    <w:rsid w:val="626F29D3"/>
    <w:rsid w:val="638C6FD1"/>
    <w:rsid w:val="6D387DFB"/>
    <w:rsid w:val="6D3A39AF"/>
    <w:rsid w:val="6EA27C2C"/>
    <w:rsid w:val="6FFB0FE3"/>
    <w:rsid w:val="744946A8"/>
    <w:rsid w:val="752A6A53"/>
    <w:rsid w:val="75734A39"/>
    <w:rsid w:val="76834321"/>
    <w:rsid w:val="7792375A"/>
    <w:rsid w:val="7AF460F1"/>
    <w:rsid w:val="7B051C57"/>
    <w:rsid w:val="7E7D0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3">
    <w:name w:val="heading 1"/>
    <w:basedOn w:val="1"/>
    <w:next w:val="1"/>
    <w:qFormat/>
    <w:uiPriority w:val="0"/>
    <w:pPr>
      <w:keepNext/>
      <w:keepLines/>
      <w:spacing w:before="100" w:after="90" w:line="576" w:lineRule="auto"/>
      <w:jc w:val="center"/>
      <w:outlineLvl w:val="0"/>
    </w:pPr>
    <w:rPr>
      <w:b/>
      <w:kern w:val="44"/>
      <w:sz w:val="36"/>
      <w:szCs w:val="44"/>
    </w:rPr>
  </w:style>
  <w:style w:type="paragraph" w:styleId="4">
    <w:name w:val="heading 2"/>
    <w:basedOn w:val="1"/>
    <w:next w:val="1"/>
    <w:unhideWhenUsed/>
    <w:qFormat/>
    <w:uiPriority w:val="0"/>
    <w:pPr>
      <w:keepNext/>
      <w:keepLines/>
      <w:spacing w:before="240" w:after="240"/>
      <w:outlineLvl w:val="1"/>
    </w:pPr>
    <w:rPr>
      <w:rFonts w:ascii="Arial" w:hAnsi="Arial"/>
      <w:b/>
    </w:rPr>
  </w:style>
  <w:style w:type="paragraph" w:styleId="5">
    <w:name w:val="heading 3"/>
    <w:basedOn w:val="1"/>
    <w:next w:val="1"/>
    <w:semiHidden/>
    <w:unhideWhenUsed/>
    <w:qFormat/>
    <w:uiPriority w:val="0"/>
    <w:pPr>
      <w:keepNext/>
      <w:keepLines/>
      <w:jc w:val="left"/>
      <w:outlineLvl w:val="2"/>
    </w:pPr>
    <w:rPr>
      <w:b/>
      <w:bCs/>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1"/>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styleId="6">
    <w:name w:val="Normal Indent"/>
    <w:basedOn w:val="1"/>
    <w:next w:val="1"/>
    <w:qFormat/>
    <w:uiPriority w:val="0"/>
    <w:pPr>
      <w:adjustRightInd w:val="0"/>
      <w:ind w:firstLine="420"/>
    </w:pPr>
    <w:rPr>
      <w:rFonts w:ascii="Times New Roman" w:eastAsia="楷体_GB2312"/>
      <w:sz w:val="24"/>
    </w:rPr>
  </w:style>
  <w:style w:type="paragraph" w:styleId="7">
    <w:name w:val="Body Text Indent"/>
    <w:basedOn w:val="1"/>
    <w:qFormat/>
    <w:uiPriority w:val="0"/>
    <w:pPr>
      <w:spacing w:line="360" w:lineRule="auto"/>
      <w:ind w:firstLine="560" w:firstLineChars="200"/>
    </w:pPr>
    <w:rPr>
      <w:sz w:val="28"/>
    </w:rPr>
  </w:style>
  <w:style w:type="paragraph" w:styleId="8">
    <w:name w:val="Plain Text"/>
    <w:basedOn w:val="1"/>
    <w:qFormat/>
    <w:uiPriority w:val="0"/>
    <w:rPr>
      <w:rFonts w:ascii="宋体" w:hAnsi="Courier New"/>
      <w:sz w:val="11"/>
      <w:szCs w:val="20"/>
    </w:rPr>
  </w:style>
  <w:style w:type="paragraph" w:styleId="9">
    <w:name w:val="Normal (Web)"/>
    <w:basedOn w:val="1"/>
    <w:qFormat/>
    <w:uiPriority w:val="0"/>
    <w:pPr>
      <w:spacing w:before="100" w:beforeLines="0" w:beforeAutospacing="1" w:after="100" w:afterLines="0" w:afterAutospacing="1"/>
    </w:pPr>
    <w:rPr>
      <w:rFonts w:ascii="宋体" w:hAnsi="宋体" w:cs="宋体"/>
      <w:sz w:val="24"/>
      <w:szCs w:val="24"/>
    </w:rPr>
  </w:style>
  <w:style w:type="paragraph" w:styleId="10">
    <w:name w:val="Body Text First Indent 2"/>
    <w:basedOn w:val="7"/>
    <w:qFormat/>
    <w:uiPriority w:val="0"/>
    <w:pPr>
      <w:widowControl w:val="0"/>
      <w:adjustRightInd/>
      <w:snapToGrid/>
      <w:spacing w:line="360" w:lineRule="auto"/>
      <w:ind w:firstLine="420" w:firstLineChars="200"/>
      <w:jc w:val="both"/>
    </w:pPr>
    <w:rPr>
      <w:rFonts w:ascii="Times New Roman" w:hAnsi="Times New Roman" w:eastAsia="仿宋_GB2312" w:cs="Times New Roman"/>
      <w:spacing w:val="15"/>
      <w:kern w:val="10"/>
      <w:sz w:val="24"/>
      <w:szCs w:val="24"/>
    </w:rPr>
  </w:style>
  <w:style w:type="character" w:styleId="13">
    <w:name w:val="Strong"/>
    <w:basedOn w:val="12"/>
    <w:qFormat/>
    <w:uiPriority w:val="0"/>
  </w:style>
  <w:style w:type="character" w:styleId="14">
    <w:name w:val="FollowedHyperlink"/>
    <w:basedOn w:val="12"/>
    <w:qFormat/>
    <w:uiPriority w:val="0"/>
    <w:rPr>
      <w:color w:val="800080"/>
      <w:u w:val="none"/>
    </w:rPr>
  </w:style>
  <w:style w:type="character" w:styleId="15">
    <w:name w:val="Emphasis"/>
    <w:basedOn w:val="12"/>
    <w:qFormat/>
    <w:uiPriority w:val="0"/>
  </w:style>
  <w:style w:type="character" w:styleId="16">
    <w:name w:val="HTML Definition"/>
    <w:basedOn w:val="12"/>
    <w:qFormat/>
    <w:uiPriority w:val="0"/>
  </w:style>
  <w:style w:type="character" w:styleId="17">
    <w:name w:val="HTML Typewriter"/>
    <w:basedOn w:val="12"/>
    <w:qFormat/>
    <w:uiPriority w:val="0"/>
    <w:rPr>
      <w:rFonts w:hint="default" w:ascii="monospace" w:hAnsi="monospace" w:eastAsia="monospace" w:cs="monospace"/>
      <w:sz w:val="20"/>
    </w:rPr>
  </w:style>
  <w:style w:type="character" w:styleId="18">
    <w:name w:val="HTML Acronym"/>
    <w:basedOn w:val="12"/>
    <w:qFormat/>
    <w:uiPriority w:val="0"/>
  </w:style>
  <w:style w:type="character" w:styleId="19">
    <w:name w:val="HTML Variable"/>
    <w:basedOn w:val="12"/>
    <w:qFormat/>
    <w:uiPriority w:val="0"/>
  </w:style>
  <w:style w:type="character" w:styleId="20">
    <w:name w:val="Hyperlink"/>
    <w:basedOn w:val="12"/>
    <w:qFormat/>
    <w:uiPriority w:val="0"/>
    <w:rPr>
      <w:color w:val="0000FF"/>
      <w:u w:val="none"/>
    </w:rPr>
  </w:style>
  <w:style w:type="character" w:styleId="21">
    <w:name w:val="HTML Code"/>
    <w:basedOn w:val="12"/>
    <w:qFormat/>
    <w:uiPriority w:val="0"/>
    <w:rPr>
      <w:rFonts w:hint="default" w:ascii="monospace" w:hAnsi="monospace" w:eastAsia="monospace" w:cs="monospace"/>
      <w:sz w:val="20"/>
    </w:rPr>
  </w:style>
  <w:style w:type="character" w:styleId="22">
    <w:name w:val="HTML Cite"/>
    <w:basedOn w:val="12"/>
    <w:qFormat/>
    <w:uiPriority w:val="0"/>
  </w:style>
  <w:style w:type="character" w:styleId="23">
    <w:name w:val="HTML Keyboard"/>
    <w:basedOn w:val="12"/>
    <w:qFormat/>
    <w:uiPriority w:val="0"/>
    <w:rPr>
      <w:rFonts w:ascii="monospace" w:hAnsi="monospace" w:eastAsia="monospace" w:cs="monospace"/>
      <w:sz w:val="20"/>
    </w:rPr>
  </w:style>
  <w:style w:type="character" w:styleId="24">
    <w:name w:val="HTML Sample"/>
    <w:basedOn w:val="12"/>
    <w:qFormat/>
    <w:uiPriority w:val="0"/>
    <w:rPr>
      <w:rFonts w:hint="default" w:ascii="monospace" w:hAnsi="monospace" w:eastAsia="monospace" w:cs="monospace"/>
    </w:rPr>
  </w:style>
  <w:style w:type="paragraph" w:customStyle="1" w:styleId="25">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缺省文本"/>
    <w:qFormat/>
    <w:uiPriority w:val="0"/>
    <w:pPr>
      <w:widowControl w:val="0"/>
      <w:autoSpaceDE w:val="0"/>
      <w:autoSpaceDN w:val="0"/>
      <w:adjustRightInd w:val="0"/>
    </w:pPr>
    <w:rPr>
      <w:rFonts w:ascii="Calibri" w:hAnsi="Calibri" w:eastAsia="宋体" w:cs="Times New Roman"/>
      <w:color w:val="000000"/>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hu</dc:creator>
  <cp:lastModifiedBy>z</cp:lastModifiedBy>
  <cp:lastPrinted>2021-11-16T11:25:00Z</cp:lastPrinted>
  <dcterms:modified xsi:type="dcterms:W3CDTF">2021-12-27T03:14:55Z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3C3F5A10A35B4C5ABB0207051F2EE688</vt:lpwstr>
  </property>
</Properties>
</file>