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snapToGrid w:val="0"/>
        <w:spacing w:before="0" w:after="0" w:line="240" w:lineRule="auto"/>
        <w:jc w:val="right"/>
        <w:textAlignment w:val="auto"/>
        <w:rPr>
          <w:rFonts w:hint="eastAsia" w:ascii="仿宋" w:hAnsi="仿宋" w:eastAsia="仿宋" w:cs="仿宋"/>
          <w:b/>
          <w:bCs/>
          <w:kern w:val="2"/>
          <w:sz w:val="24"/>
          <w:szCs w:val="24"/>
          <w:lang w:val="en-US" w:eastAsia="zh-CN" w:bidi="ar-SA"/>
        </w:rPr>
      </w:pPr>
      <w:bookmarkStart w:id="0" w:name="_Toc9033"/>
      <w:r>
        <w:rPr>
          <w:rFonts w:hint="eastAsia" w:ascii="仿宋" w:hAnsi="仿宋" w:eastAsia="仿宋" w:cs="仿宋"/>
          <w:b/>
          <w:bCs/>
          <w:kern w:val="2"/>
          <w:sz w:val="24"/>
          <w:szCs w:val="24"/>
          <w:lang w:val="en-US" w:eastAsia="zh-CN" w:bidi="ar-SA"/>
        </w:rPr>
        <w:t xml:space="preserve">             采购备案处</w:t>
      </w:r>
    </w:p>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于田县2022年债券项目编制事前绩效评估报告服务采购</w:t>
      </w:r>
    </w:p>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项目</w:t>
      </w:r>
      <w:r>
        <w:rPr>
          <w:rFonts w:hint="eastAsia" w:ascii="仿宋" w:hAnsi="仿宋" w:eastAsia="仿宋" w:cs="仿宋"/>
          <w:sz w:val="32"/>
          <w:szCs w:val="32"/>
        </w:rPr>
        <w:t>竞争性</w:t>
      </w:r>
      <w:r>
        <w:rPr>
          <w:rFonts w:hint="eastAsia" w:ascii="仿宋" w:hAnsi="仿宋" w:eastAsia="仿宋" w:cs="仿宋"/>
          <w:sz w:val="32"/>
          <w:szCs w:val="32"/>
          <w:lang w:eastAsia="zh-CN"/>
        </w:rPr>
        <w:t>磋商</w:t>
      </w:r>
      <w:r>
        <w:rPr>
          <w:rFonts w:hint="eastAsia" w:ascii="仿宋" w:hAnsi="仿宋" w:eastAsia="仿宋" w:cs="仿宋"/>
          <w:sz w:val="32"/>
          <w:szCs w:val="32"/>
        </w:rPr>
        <w:t>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eastAsia="zh-CN"/>
        </w:rPr>
        <w:t>于田县2022年债券项目编制事前绩效评估报告服务采购项目</w:t>
      </w:r>
      <w:r>
        <w:rPr>
          <w:rFonts w:hint="eastAsia" w:ascii="仿宋" w:hAnsi="仿宋" w:eastAsia="仿宋" w:cs="仿宋"/>
          <w:sz w:val="24"/>
          <w:szCs w:val="24"/>
          <w:u w:val="single"/>
        </w:rPr>
        <w:t>的潜在供应商应在</w:t>
      </w:r>
      <w:r>
        <w:rPr>
          <w:rFonts w:hint="eastAsia" w:ascii="仿宋" w:hAnsi="仿宋" w:eastAsia="仿宋" w:cs="仿宋"/>
          <w:sz w:val="24"/>
          <w:szCs w:val="24"/>
          <w:u w:val="single"/>
          <w:lang w:eastAsia="zh-CN"/>
        </w:rPr>
        <w:t>线下</w:t>
      </w:r>
      <w:r>
        <w:rPr>
          <w:rFonts w:hint="eastAsia" w:ascii="仿宋" w:hAnsi="仿宋" w:eastAsia="仿宋" w:cs="仿宋"/>
          <w:sz w:val="24"/>
          <w:szCs w:val="24"/>
          <w:u w:val="single"/>
        </w:rPr>
        <w:t>获取招标文件，并于</w:t>
      </w:r>
      <w:r>
        <w:rPr>
          <w:rFonts w:hint="eastAsia" w:ascii="仿宋" w:hAnsi="仿宋" w:eastAsia="仿宋" w:cs="仿宋"/>
          <w:sz w:val="24"/>
          <w:szCs w:val="24"/>
          <w:u w:val="single"/>
          <w:lang w:eastAsia="zh-CN"/>
        </w:rPr>
        <w:t>20</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lang w:eastAsia="zh-CN"/>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lang w:eastAsia="zh-CN"/>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lang w:eastAsia="zh-CN"/>
        </w:rPr>
        <w:t xml:space="preserve">日 </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lang w:eastAsia="zh-CN"/>
        </w:rPr>
        <w:t>:00</w:t>
      </w:r>
      <w:r>
        <w:rPr>
          <w:rFonts w:hint="eastAsia" w:ascii="仿宋" w:hAnsi="仿宋" w:eastAsia="仿宋" w:cs="仿宋"/>
          <w:sz w:val="24"/>
          <w:szCs w:val="24"/>
          <w:u w:val="single"/>
        </w:rPr>
        <w:t xml:space="preserve"> （北京时间）前提交（上传）响应文件。</w:t>
      </w:r>
    </w:p>
    <w:p>
      <w:pPr>
        <w:pStyle w:val="4"/>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val="0"/>
          <w:sz w:val="24"/>
          <w:szCs w:val="24"/>
        </w:rPr>
      </w:pPr>
      <w:bookmarkStart w:id="1" w:name="_Toc35393798"/>
      <w:bookmarkStart w:id="2" w:name="_Toc11674"/>
      <w:bookmarkStart w:id="3" w:name="_Toc28359012"/>
      <w:bookmarkStart w:id="4" w:name="_Toc14464"/>
      <w:bookmarkStart w:id="5" w:name="_Toc28359089"/>
      <w:bookmarkStart w:id="6" w:name="_Toc35393629"/>
      <w:r>
        <w:rPr>
          <w:rFonts w:hint="eastAsia" w:ascii="仿宋" w:hAnsi="仿宋" w:eastAsia="仿宋" w:cs="仿宋"/>
          <w:b w:val="0"/>
          <w:sz w:val="24"/>
          <w:szCs w:val="24"/>
        </w:rPr>
        <w:t>一、项目基本情况</w:t>
      </w:r>
      <w:bookmarkEnd w:id="1"/>
      <w:bookmarkEnd w:id="2"/>
      <w:bookmarkEnd w:id="3"/>
      <w:bookmarkEnd w:id="4"/>
      <w:bookmarkEnd w:id="5"/>
      <w:bookmarkEnd w:id="6"/>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项目编号：</w:t>
      </w:r>
      <w:r>
        <w:rPr>
          <w:rFonts w:hint="eastAsia" w:ascii="仿宋" w:hAnsi="仿宋" w:eastAsia="仿宋" w:cs="仿宋"/>
          <w:sz w:val="24"/>
          <w:szCs w:val="24"/>
          <w:lang w:val="en-US" w:eastAsia="zh-CN"/>
        </w:rPr>
        <w:t>YTCGD</w:t>
      </w:r>
      <w:r>
        <w:rPr>
          <w:rFonts w:hint="eastAsia" w:ascii="仿宋" w:hAnsi="仿宋" w:eastAsia="仿宋" w:cs="仿宋"/>
          <w:sz w:val="24"/>
          <w:szCs w:val="24"/>
          <w:lang w:eastAsia="zh-CN"/>
        </w:rPr>
        <w:t>-CS-20</w:t>
      </w:r>
      <w:r>
        <w:rPr>
          <w:rFonts w:hint="eastAsia" w:ascii="仿宋" w:hAnsi="仿宋" w:eastAsia="仿宋" w:cs="仿宋"/>
          <w:sz w:val="24"/>
          <w:szCs w:val="24"/>
          <w:lang w:val="en-US" w:eastAsia="zh-CN"/>
        </w:rPr>
        <w:t>22</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004</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于田县2022年债券项目编制事前绩效评估报告服务采购项目</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w:t>
      </w:r>
      <w:r>
        <w:rPr>
          <w:rFonts w:hint="eastAsia" w:ascii="仿宋" w:hAnsi="仿宋" w:eastAsia="仿宋" w:cs="仿宋"/>
          <w:sz w:val="24"/>
          <w:szCs w:val="24"/>
          <w:lang w:eastAsia="zh-CN"/>
        </w:rPr>
        <w:t>□</w:t>
      </w:r>
      <w:r>
        <w:rPr>
          <w:rFonts w:hint="eastAsia" w:ascii="仿宋" w:hAnsi="仿宋" w:eastAsia="仿宋" w:cs="仿宋"/>
          <w:sz w:val="24"/>
          <w:szCs w:val="24"/>
        </w:rPr>
        <w:t xml:space="preserve">竞争性谈判 </w:t>
      </w:r>
      <w:r>
        <w:rPr>
          <w:rFonts w:hint="eastAsia" w:ascii="仿宋" w:hAnsi="仿宋" w:eastAsia="仿宋" w:cs="仿宋"/>
          <w:sz w:val="24"/>
          <w:szCs w:val="24"/>
          <w:lang w:eastAsia="zh-CN"/>
        </w:rPr>
        <w:t>☑</w:t>
      </w:r>
      <w:r>
        <w:rPr>
          <w:rFonts w:hint="eastAsia" w:ascii="仿宋" w:hAnsi="仿宋" w:eastAsia="仿宋" w:cs="仿宋"/>
          <w:sz w:val="24"/>
          <w:szCs w:val="24"/>
        </w:rPr>
        <w:t xml:space="preserve">竞争性磋商 </w:t>
      </w:r>
      <w:r>
        <w:rPr>
          <w:rFonts w:hint="eastAsia" w:ascii="仿宋" w:hAnsi="仿宋" w:eastAsia="仿宋" w:cs="仿宋"/>
          <w:sz w:val="24"/>
          <w:szCs w:val="24"/>
          <w:lang w:eastAsia="zh-CN"/>
        </w:rPr>
        <w:t>□</w:t>
      </w:r>
      <w:r>
        <w:rPr>
          <w:rFonts w:hint="eastAsia" w:ascii="仿宋" w:hAnsi="仿宋" w:eastAsia="仿宋" w:cs="仿宋"/>
          <w:sz w:val="24"/>
          <w:szCs w:val="24"/>
        </w:rPr>
        <w:t>询价</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990000.00</w:t>
      </w:r>
      <w:r>
        <w:rPr>
          <w:rFonts w:hint="eastAsia" w:ascii="仿宋" w:hAnsi="仿宋" w:eastAsia="仿宋" w:cs="仿宋"/>
          <w:sz w:val="24"/>
          <w:szCs w:val="24"/>
        </w:rPr>
        <w:t>元</w:t>
      </w:r>
    </w:p>
    <w:p>
      <w:pPr>
        <w:pageBreakBefore w:val="0"/>
        <w:widowControl w:val="0"/>
        <w:kinsoku/>
        <w:wordWrap/>
        <w:overflowPunct/>
        <w:topLinePunct w:val="0"/>
        <w:autoSpaceDE/>
        <w:autoSpaceDN/>
        <w:bidi w:val="0"/>
        <w:adjustRightInd/>
        <w:snapToGrid w:val="0"/>
        <w:spacing w:line="240" w:lineRule="auto"/>
        <w:ind w:left="480" w:leftChars="200" w:firstLine="0" w:firstLineChars="0"/>
        <w:textAlignment w:val="auto"/>
        <w:rPr>
          <w:rFonts w:hint="eastAsia" w:ascii="仿宋" w:hAnsi="仿宋" w:eastAsia="仿宋" w:cs="仿宋"/>
          <w:color w:val="000000"/>
          <w:sz w:val="24"/>
          <w:szCs w:val="24"/>
        </w:rPr>
      </w:pPr>
      <w:r>
        <w:rPr>
          <w:rFonts w:hint="eastAsia" w:ascii="仿宋" w:hAnsi="仿宋" w:eastAsia="仿宋" w:cs="仿宋"/>
          <w:sz w:val="24"/>
          <w:szCs w:val="24"/>
        </w:rPr>
        <w:t>最高限价：990000.00元</w:t>
      </w:r>
      <w:r>
        <w:rPr>
          <w:rFonts w:hint="eastAsia" w:ascii="仿宋" w:hAnsi="仿宋" w:eastAsia="仿宋" w:cs="仿宋"/>
          <w:sz w:val="24"/>
          <w:szCs w:val="24"/>
        </w:rPr>
        <w:br w:type="textWrapping"/>
      </w:r>
      <w:r>
        <w:rPr>
          <w:rFonts w:hint="eastAsia" w:ascii="仿宋" w:hAnsi="仿宋" w:eastAsia="仿宋" w:cs="仿宋"/>
          <w:sz w:val="24"/>
          <w:szCs w:val="24"/>
        </w:rPr>
        <w:t>采购需求：</w:t>
      </w:r>
      <w:r>
        <w:rPr>
          <w:rFonts w:hint="eastAsia" w:ascii="仿宋" w:hAnsi="仿宋" w:eastAsia="仿宋" w:cs="仿宋"/>
          <w:sz w:val="24"/>
          <w:szCs w:val="24"/>
          <w:lang w:eastAsia="zh-CN"/>
        </w:rPr>
        <w:t>按照于田县确定的债券项目编制绩效评估工作；</w:t>
      </w:r>
      <w:r>
        <w:rPr>
          <w:rFonts w:hint="eastAsia" w:ascii="仿宋" w:hAnsi="仿宋" w:eastAsia="仿宋" w:cs="仿宋"/>
          <w:sz w:val="24"/>
          <w:szCs w:val="24"/>
        </w:rPr>
        <w:t xml:space="preserve"> </w:t>
      </w:r>
      <w:r>
        <w:rPr>
          <w:rFonts w:hint="eastAsia" w:ascii="仿宋" w:hAnsi="仿宋" w:eastAsia="仿宋" w:cs="仿宋"/>
          <w:color w:val="000000"/>
          <w:sz w:val="24"/>
          <w:szCs w:val="24"/>
        </w:rPr>
        <w:t>          </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合同履行期限：/</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i/>
          <w:sz w:val="24"/>
          <w:szCs w:val="24"/>
          <w:lang w:val="en-US" w:eastAsia="zh-CN"/>
        </w:rPr>
        <w:t>否</w:t>
      </w:r>
      <w:r>
        <w:rPr>
          <w:rFonts w:hint="eastAsia" w:ascii="仿宋" w:hAnsi="仿宋" w:eastAsia="仿宋" w:cs="仿宋"/>
          <w:sz w:val="24"/>
          <w:szCs w:val="24"/>
        </w:rPr>
        <w:t>）接受联合体。</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bCs w:val="0"/>
          <w:sz w:val="24"/>
          <w:szCs w:val="24"/>
        </w:rPr>
      </w:pPr>
      <w:bookmarkStart w:id="7" w:name="_Toc28359014"/>
      <w:bookmarkStart w:id="8" w:name="_Toc17402"/>
      <w:bookmarkStart w:id="9" w:name="_Toc35393800"/>
      <w:bookmarkStart w:id="10" w:name="_Toc20889"/>
      <w:bookmarkStart w:id="11" w:name="_Toc35393631"/>
      <w:bookmarkStart w:id="12" w:name="_Toc28359091"/>
      <w:r>
        <w:rPr>
          <w:rFonts w:hint="eastAsia" w:ascii="仿宋" w:hAnsi="仿宋" w:eastAsia="仿宋" w:cs="仿宋"/>
          <w:b/>
          <w:bCs w:val="0"/>
          <w:sz w:val="24"/>
          <w:szCs w:val="24"/>
        </w:rPr>
        <w:t>1.满足《中华人民共和国政府采购法》第二十二条规定；</w:t>
      </w:r>
    </w:p>
    <w:p>
      <w:pPr>
        <w:pStyle w:val="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right="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2.落实政府采购政策需满足的资格要求：</w:t>
      </w:r>
    </w:p>
    <w:p>
      <w:pPr>
        <w:pStyle w:val="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right="0"/>
        <w:textAlignment w:val="auto"/>
        <w:rPr>
          <w:rFonts w:hint="eastAsia" w:ascii="仿宋" w:hAnsi="仿宋" w:eastAsia="仿宋" w:cs="仿宋"/>
          <w:bCs/>
          <w:sz w:val="24"/>
          <w:szCs w:val="24"/>
          <w:lang w:eastAsia="zh-CN"/>
        </w:rPr>
      </w:pPr>
      <w:r>
        <w:rPr>
          <w:rFonts w:hint="eastAsia" w:ascii="仿宋" w:hAnsi="仿宋" w:eastAsia="仿宋" w:cs="仿宋"/>
          <w:i w:val="0"/>
          <w:caps w:val="0"/>
          <w:color w:val="000000"/>
          <w:spacing w:val="0"/>
          <w:kern w:val="0"/>
          <w:sz w:val="24"/>
          <w:szCs w:val="24"/>
          <w:highlight w:val="none"/>
          <w:lang w:val="en-US" w:eastAsia="zh-CN" w:bidi="ar-SA"/>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bCs w:val="0"/>
          <w:sz w:val="24"/>
          <w:szCs w:val="24"/>
        </w:rPr>
      </w:pPr>
      <w:r>
        <w:rPr>
          <w:rFonts w:hint="eastAsia" w:ascii="仿宋" w:hAnsi="仿宋" w:eastAsia="仿宋" w:cs="仿宋"/>
          <w:b/>
          <w:bCs w:val="0"/>
          <w:sz w:val="24"/>
          <w:szCs w:val="24"/>
        </w:rPr>
        <w:t>3.本项目的特定资格要求:</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投标人须具备在中华人民共和国依法注册的独立法人，具备有效的营业执照（三证合一）；</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3、具有良好的商业信誉和健全的财务会计制度（提供2020年的财务审计报告（2021年新成立的公司可不提供财务审计报告））</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4、投标单位需提供税务机关出具近三个月的完税证明；</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凡拟参加本次招标项目的投标人，如在“信用中国”网站（</w:t>
      </w:r>
      <w:r>
        <w:rPr>
          <w:rFonts w:hint="eastAsia" w:ascii="仿宋" w:hAnsi="仿宋" w:eastAsia="仿宋" w:cs="仿宋"/>
          <w:sz w:val="24"/>
          <w:szCs w:val="24"/>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www.creditchina.gov.cn）、中国政府采购网（</w:t>
      </w:r>
      <w:r>
        <w:rPr>
          <w:rFonts w:hint="eastAsia" w:ascii="仿宋" w:hAnsi="仿宋" w:eastAsia="仿宋" w:cs="仿宋"/>
          <w:sz w:val="24"/>
          <w:szCs w:val="24"/>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www.ccgp.gov.cn）、国家企业信用信息公示系统（</w:t>
      </w:r>
      <w:r>
        <w:rPr>
          <w:rFonts w:hint="eastAsia" w:ascii="仿宋" w:hAnsi="仿宋" w:eastAsia="仿宋" w:cs="仿宋"/>
          <w:sz w:val="24"/>
          <w:szCs w:val="24"/>
        </w:rPr>
        <w:drawing>
          <wp:inline distT="0" distB="0" distL="114300" distR="114300">
            <wp:extent cx="190500" cy="1428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http://www.gsxt.gov.cn）、中国裁判文书网（</w:t>
      </w:r>
      <w:r>
        <w:rPr>
          <w:rFonts w:hint="eastAsia" w:ascii="仿宋" w:hAnsi="仿宋" w:eastAsia="仿宋" w:cs="仿宋"/>
          <w:sz w:val="24"/>
          <w:szCs w:val="24"/>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rPr>
      </w:pPr>
      <w:r>
        <w:rPr>
          <w:rFonts w:hint="eastAsia" w:ascii="仿宋" w:hAnsi="仿宋" w:eastAsia="仿宋" w:cs="仿宋"/>
          <w:sz w:val="24"/>
          <w:szCs w:val="24"/>
          <w:lang w:val="en-US" w:eastAsia="zh-CN"/>
        </w:rPr>
        <w:t>6、</w:t>
      </w:r>
      <w:r>
        <w:rPr>
          <w:rFonts w:hint="eastAsia" w:ascii="仿宋" w:hAnsi="仿宋" w:eastAsia="仿宋" w:cs="仿宋"/>
          <w:sz w:val="24"/>
          <w:szCs w:val="24"/>
        </w:rPr>
        <w:t>本项目不接受联合体投标。</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三、获取采购文件</w:t>
      </w:r>
      <w:bookmarkEnd w:id="7"/>
      <w:bookmarkEnd w:id="8"/>
      <w:bookmarkEnd w:id="9"/>
      <w:bookmarkEnd w:id="10"/>
      <w:bookmarkEnd w:id="11"/>
      <w:bookmarkEnd w:id="12"/>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bookmarkStart w:id="13" w:name="_Toc28359015"/>
      <w:bookmarkStart w:id="14" w:name="_Toc35393632"/>
      <w:bookmarkStart w:id="15" w:name="_Toc7922"/>
      <w:bookmarkStart w:id="16" w:name="_Toc22996"/>
      <w:bookmarkStart w:id="17" w:name="_Toc28359092"/>
      <w:bookmarkStart w:id="18" w:name="_Toc35393801"/>
      <w:r>
        <w:rPr>
          <w:rFonts w:hint="eastAsia" w:ascii="仿宋" w:hAnsi="仿宋" w:eastAsia="仿宋" w:cs="仿宋"/>
          <w:sz w:val="24"/>
          <w:szCs w:val="24"/>
        </w:rPr>
        <w:t>时间： 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日至  20</w:t>
      </w:r>
      <w:r>
        <w:rPr>
          <w:rFonts w:hint="eastAsia" w:ascii="仿宋" w:hAnsi="仿宋" w:eastAsia="仿宋" w:cs="仿宋"/>
          <w:sz w:val="24"/>
          <w:szCs w:val="24"/>
          <w:lang w:val="en-US" w:eastAsia="zh-CN"/>
        </w:rPr>
        <w:t>22</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日（提供期限自本公告发布之日起不得少于</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个工作日），每天上午10:</w:t>
      </w:r>
      <w:r>
        <w:rPr>
          <w:rFonts w:hint="eastAsia" w:ascii="仿宋" w:hAnsi="仿宋" w:eastAsia="仿宋" w:cs="仿宋"/>
          <w:sz w:val="24"/>
          <w:szCs w:val="24"/>
          <w:lang w:val="en-US" w:eastAsia="zh-CN"/>
        </w:rPr>
        <w:t>3</w:t>
      </w:r>
      <w:r>
        <w:rPr>
          <w:rFonts w:hint="eastAsia" w:ascii="仿宋" w:hAnsi="仿宋" w:eastAsia="仿宋" w:cs="仿宋"/>
          <w:sz w:val="24"/>
          <w:szCs w:val="24"/>
        </w:rPr>
        <w:t>0　至1</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00</w:t>
      </w:r>
      <w:r>
        <w:rPr>
          <w:rFonts w:hint="eastAsia" w:ascii="仿宋" w:hAnsi="仿宋" w:eastAsia="仿宋" w:cs="仿宋"/>
          <w:sz w:val="24"/>
          <w:szCs w:val="24"/>
        </w:rPr>
        <w:t>，下午16:00至19:</w:t>
      </w:r>
      <w:r>
        <w:rPr>
          <w:rFonts w:hint="eastAsia" w:ascii="仿宋" w:hAnsi="仿宋" w:eastAsia="仿宋" w:cs="仿宋"/>
          <w:sz w:val="24"/>
          <w:szCs w:val="24"/>
          <w:lang w:val="en-US" w:eastAsia="zh-CN"/>
        </w:rPr>
        <w:t>0</w:t>
      </w:r>
      <w:r>
        <w:rPr>
          <w:rFonts w:hint="eastAsia" w:ascii="仿宋" w:hAnsi="仿宋" w:eastAsia="仿宋" w:cs="仿宋"/>
          <w:sz w:val="24"/>
          <w:szCs w:val="24"/>
        </w:rPr>
        <w:t>0（北京时间，法定节假日除外）</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地点：新疆庆信达项目管理有限公司（和田市人民街18号玉都国际广场金座703室）</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方式：满足上述投标资质的投标人，携带第二条申请人的资格要求的相关证件（原件及加盖单位鲜公章的复印件各一套核对）</w:t>
      </w:r>
      <w:bookmarkStart w:id="41" w:name="_GoBack"/>
      <w:bookmarkEnd w:id="41"/>
      <w:r>
        <w:rPr>
          <w:rFonts w:hint="eastAsia" w:ascii="仿宋" w:hAnsi="仿宋" w:eastAsia="仿宋" w:cs="仿宋"/>
          <w:sz w:val="24"/>
          <w:szCs w:val="24"/>
        </w:rPr>
        <w:t>，审查合格后现场获取招标文件</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售价：200元/份（售后不退）</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四、响应文件提交</w:t>
      </w:r>
      <w:bookmarkEnd w:id="13"/>
      <w:bookmarkEnd w:id="14"/>
      <w:bookmarkEnd w:id="15"/>
      <w:bookmarkEnd w:id="16"/>
      <w:bookmarkEnd w:id="17"/>
      <w:bookmarkEnd w:id="18"/>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rPr>
        <w:t xml:space="preserve"> 202</w:t>
      </w:r>
      <w:r>
        <w:rPr>
          <w:rFonts w:hint="eastAsia" w:ascii="仿宋" w:hAnsi="仿宋" w:eastAsia="仿宋" w:cs="仿宋"/>
          <w:sz w:val="24"/>
          <w:szCs w:val="24"/>
          <w:u w:val="single"/>
          <w:lang w:val="en-US" w:eastAsia="zh-CN"/>
        </w:rPr>
        <w:t>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1</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7</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12</w:t>
      </w:r>
      <w:r>
        <w:rPr>
          <w:rFonts w:hint="eastAsia" w:ascii="仿宋" w:hAnsi="仿宋" w:eastAsia="仿宋" w:cs="仿宋"/>
          <w:bCs/>
          <w:sz w:val="24"/>
          <w:szCs w:val="24"/>
          <w:u w:val="single"/>
        </w:rPr>
        <w:t xml:space="preserve">点 </w:t>
      </w:r>
      <w:r>
        <w:rPr>
          <w:rFonts w:hint="eastAsia" w:ascii="仿宋" w:hAnsi="仿宋" w:eastAsia="仿宋" w:cs="仿宋"/>
          <w:bCs/>
          <w:sz w:val="24"/>
          <w:szCs w:val="24"/>
          <w:u w:val="single"/>
          <w:lang w:val="en-US" w:eastAsia="zh-CN"/>
        </w:rPr>
        <w:t>0</w:t>
      </w:r>
      <w:r>
        <w:rPr>
          <w:rFonts w:hint="eastAsia" w:ascii="仿宋" w:hAnsi="仿宋" w:eastAsia="仿宋" w:cs="仿宋"/>
          <w:bCs/>
          <w:sz w:val="24"/>
          <w:szCs w:val="24"/>
          <w:u w:val="single"/>
        </w:rPr>
        <w:t>0分</w:t>
      </w:r>
      <w:r>
        <w:rPr>
          <w:rFonts w:hint="eastAsia" w:ascii="仿宋" w:hAnsi="仿宋" w:eastAsia="仿宋" w:cs="仿宋"/>
          <w:bCs/>
          <w:sz w:val="24"/>
          <w:szCs w:val="24"/>
        </w:rPr>
        <w:t>（北京时间）</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腾讯会议不见面开标</w:t>
      </w:r>
    </w:p>
    <w:p>
      <w:pPr>
        <w:pStyle w:val="4"/>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val="0"/>
          <w:sz w:val="24"/>
          <w:szCs w:val="24"/>
        </w:rPr>
      </w:pPr>
      <w:bookmarkStart w:id="19" w:name="_Toc30975"/>
      <w:bookmarkStart w:id="20" w:name="_Toc35393633"/>
      <w:bookmarkStart w:id="21" w:name="_Toc297"/>
      <w:bookmarkStart w:id="22" w:name="_Toc28359093"/>
      <w:bookmarkStart w:id="23" w:name="_Toc28359016"/>
      <w:bookmarkStart w:id="24" w:name="_Toc35393802"/>
      <w:r>
        <w:rPr>
          <w:rFonts w:hint="eastAsia" w:ascii="仿宋" w:hAnsi="仿宋" w:eastAsia="仿宋" w:cs="仿宋"/>
          <w:b w:val="0"/>
          <w:sz w:val="24"/>
          <w:szCs w:val="24"/>
        </w:rPr>
        <w:t>五、开启</w:t>
      </w:r>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rPr>
        <w:t xml:space="preserve"> 20</w:t>
      </w:r>
      <w:r>
        <w:rPr>
          <w:rFonts w:hint="eastAsia" w:ascii="仿宋" w:hAnsi="仿宋" w:eastAsia="仿宋" w:cs="仿宋"/>
          <w:sz w:val="24"/>
          <w:szCs w:val="24"/>
          <w:u w:val="single"/>
          <w:lang w:val="en-US" w:eastAsia="zh-CN"/>
        </w:rPr>
        <w:t>22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1</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7</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12</w:t>
      </w:r>
      <w:r>
        <w:rPr>
          <w:rFonts w:hint="eastAsia" w:ascii="仿宋" w:hAnsi="仿宋" w:eastAsia="仿宋" w:cs="仿宋"/>
          <w:bCs/>
          <w:sz w:val="24"/>
          <w:szCs w:val="24"/>
          <w:u w:val="single"/>
        </w:rPr>
        <w:t xml:space="preserve">点 </w:t>
      </w:r>
      <w:r>
        <w:rPr>
          <w:rFonts w:hint="eastAsia" w:ascii="仿宋" w:hAnsi="仿宋" w:eastAsia="仿宋" w:cs="仿宋"/>
          <w:bCs/>
          <w:sz w:val="24"/>
          <w:szCs w:val="24"/>
          <w:u w:val="single"/>
          <w:lang w:val="en-US" w:eastAsia="zh-CN"/>
        </w:rPr>
        <w:t>0</w:t>
      </w:r>
      <w:r>
        <w:rPr>
          <w:rFonts w:hint="eastAsia" w:ascii="仿宋" w:hAnsi="仿宋" w:eastAsia="仿宋" w:cs="仿宋"/>
          <w:bCs/>
          <w:sz w:val="24"/>
          <w:szCs w:val="24"/>
          <w:u w:val="single"/>
        </w:rPr>
        <w:t>0分</w:t>
      </w:r>
      <w:r>
        <w:rPr>
          <w:rFonts w:hint="eastAsia" w:ascii="仿宋" w:hAnsi="仿宋" w:eastAsia="仿宋" w:cs="仿宋"/>
          <w:bCs/>
          <w:sz w:val="24"/>
          <w:szCs w:val="24"/>
        </w:rPr>
        <w:t>（北京时间）</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lang w:eastAsia="zh-CN"/>
        </w:rPr>
      </w:pPr>
      <w:bookmarkStart w:id="25" w:name="_Toc28359094"/>
      <w:bookmarkStart w:id="26" w:name="_Toc35393634"/>
      <w:bookmarkStart w:id="27" w:name="_Toc35393803"/>
      <w:bookmarkStart w:id="28" w:name="_Toc28359017"/>
      <w:bookmarkStart w:id="29" w:name="_Toc15664"/>
      <w:bookmarkStart w:id="30" w:name="_Toc135"/>
      <w:r>
        <w:rPr>
          <w:rFonts w:hint="eastAsia" w:ascii="仿宋" w:hAnsi="仿宋" w:eastAsia="仿宋" w:cs="仿宋"/>
          <w:sz w:val="24"/>
          <w:szCs w:val="24"/>
        </w:rPr>
        <w:t>地点：</w:t>
      </w:r>
      <w:r>
        <w:rPr>
          <w:rFonts w:hint="eastAsia" w:ascii="仿宋" w:hAnsi="仿宋" w:eastAsia="仿宋" w:cs="仿宋"/>
          <w:sz w:val="24"/>
          <w:szCs w:val="24"/>
          <w:lang w:eastAsia="zh-CN"/>
        </w:rPr>
        <w:t>腾讯会议不见面开标</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rPr>
      </w:pPr>
      <w:r>
        <w:rPr>
          <w:rFonts w:hint="eastAsia" w:ascii="仿宋" w:hAnsi="仿宋" w:eastAsia="仿宋" w:cs="仿宋"/>
          <w:bCs/>
          <w:sz w:val="24"/>
          <w:szCs w:val="24"/>
        </w:rPr>
        <w:t>六、公告期限</w:t>
      </w:r>
      <w:bookmarkEnd w:id="25"/>
      <w:bookmarkEnd w:id="26"/>
      <w:bookmarkEnd w:id="27"/>
      <w:bookmarkEnd w:id="28"/>
      <w:bookmarkEnd w:id="29"/>
      <w:bookmarkEnd w:id="30"/>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个工作日。</w:t>
      </w:r>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lang w:val="en-US" w:eastAsia="zh-CN"/>
        </w:rPr>
      </w:pPr>
      <w:bookmarkStart w:id="31" w:name="_Toc35393635"/>
      <w:bookmarkStart w:id="32" w:name="_Toc35393804"/>
      <w:bookmarkStart w:id="33" w:name="_Toc25927"/>
      <w:bookmarkStart w:id="34" w:name="_Toc23752"/>
      <w:r>
        <w:rPr>
          <w:rFonts w:hint="eastAsia" w:ascii="仿宋" w:hAnsi="仿宋" w:eastAsia="仿宋" w:cs="仿宋"/>
          <w:b w:val="0"/>
          <w:sz w:val="24"/>
          <w:szCs w:val="24"/>
        </w:rPr>
        <w:t>七、其他补充事宜</w:t>
      </w:r>
      <w:bookmarkEnd w:id="31"/>
      <w:bookmarkEnd w:id="32"/>
      <w:r>
        <w:rPr>
          <w:rFonts w:hint="eastAsia" w:ascii="仿宋" w:hAnsi="仿宋" w:eastAsia="仿宋" w:cs="仿宋"/>
          <w:b w:val="0"/>
          <w:sz w:val="24"/>
          <w:szCs w:val="24"/>
          <w:lang w:eastAsia="zh-CN"/>
        </w:rPr>
        <w:t>：</w:t>
      </w:r>
      <w:r>
        <w:rPr>
          <w:rFonts w:hint="eastAsia" w:ascii="仿宋" w:hAnsi="仿宋" w:eastAsia="仿宋" w:cs="仿宋"/>
          <w:b w:val="0"/>
          <w:sz w:val="24"/>
          <w:szCs w:val="24"/>
          <w:lang w:val="en-US" w:eastAsia="zh-CN"/>
        </w:rPr>
        <w:t>无</w:t>
      </w:r>
      <w:bookmarkEnd w:id="33"/>
      <w:bookmarkEnd w:id="34"/>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val="0"/>
          <w:sz w:val="24"/>
          <w:szCs w:val="24"/>
        </w:rPr>
      </w:pPr>
      <w:bookmarkStart w:id="35" w:name="_Toc1455"/>
      <w:bookmarkStart w:id="36" w:name="_Toc35393636"/>
      <w:bookmarkStart w:id="37" w:name="_Toc35393805"/>
      <w:bookmarkStart w:id="38" w:name="_Toc28359095"/>
      <w:bookmarkStart w:id="39" w:name="_Toc28359018"/>
      <w:bookmarkStart w:id="40" w:name="_Toc20454"/>
      <w:r>
        <w:rPr>
          <w:rFonts w:hint="eastAsia" w:ascii="仿宋" w:hAnsi="仿宋" w:eastAsia="仿宋" w:cs="仿宋"/>
          <w:b w:val="0"/>
          <w:sz w:val="24"/>
          <w:szCs w:val="24"/>
        </w:rPr>
        <w:t>八、凡对本次采购提出询问，请按以下方式联系。</w:t>
      </w:r>
      <w:bookmarkEnd w:id="35"/>
      <w:bookmarkEnd w:id="36"/>
      <w:bookmarkEnd w:id="37"/>
      <w:bookmarkEnd w:id="38"/>
      <w:bookmarkEnd w:id="39"/>
      <w:bookmarkEnd w:id="40"/>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1.采购人信息</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名    称：于田县财政局</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地    址：于田县　　　　</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联系方式：18092579168　</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2.采购代理机构信息（如有）</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名    称：新疆庆信达项目管理有限公司　</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地    址：和田市人民街18号玉都国际广场金座703室</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联系方式：0903-7820626　　</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3.项目联系方式</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项目联系人：郑泽娟</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b w:val="0"/>
          <w:kern w:val="2"/>
          <w:sz w:val="24"/>
          <w:szCs w:val="24"/>
          <w:lang w:val="en-US" w:eastAsia="zh-CN" w:bidi="ar-SA"/>
        </w:rPr>
        <w:t>电　　  话：0903-7820626</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A633F"/>
    <w:rsid w:val="06EF2FA2"/>
    <w:rsid w:val="0A2D03DC"/>
    <w:rsid w:val="0B8C32E1"/>
    <w:rsid w:val="0CC5476D"/>
    <w:rsid w:val="0D1D1F35"/>
    <w:rsid w:val="105826E5"/>
    <w:rsid w:val="10C87EA7"/>
    <w:rsid w:val="123C6D39"/>
    <w:rsid w:val="129E586A"/>
    <w:rsid w:val="16A44F1B"/>
    <w:rsid w:val="17DF7699"/>
    <w:rsid w:val="1B556D3A"/>
    <w:rsid w:val="1E5336A7"/>
    <w:rsid w:val="1E58477B"/>
    <w:rsid w:val="1F2F00CB"/>
    <w:rsid w:val="20CF6BF6"/>
    <w:rsid w:val="22561326"/>
    <w:rsid w:val="22937B65"/>
    <w:rsid w:val="25E67079"/>
    <w:rsid w:val="29E3121F"/>
    <w:rsid w:val="2AC848F7"/>
    <w:rsid w:val="2AF44FC1"/>
    <w:rsid w:val="2D003A0D"/>
    <w:rsid w:val="32206981"/>
    <w:rsid w:val="32CA473F"/>
    <w:rsid w:val="36CE4B74"/>
    <w:rsid w:val="38571830"/>
    <w:rsid w:val="389E4A6F"/>
    <w:rsid w:val="3D18027B"/>
    <w:rsid w:val="3E550ABE"/>
    <w:rsid w:val="40C96C5A"/>
    <w:rsid w:val="41006CBB"/>
    <w:rsid w:val="411C1798"/>
    <w:rsid w:val="4244039E"/>
    <w:rsid w:val="43252EEA"/>
    <w:rsid w:val="45905EAD"/>
    <w:rsid w:val="4ADE0D1B"/>
    <w:rsid w:val="4CEA10A3"/>
    <w:rsid w:val="4DFD5FE8"/>
    <w:rsid w:val="54A76DD9"/>
    <w:rsid w:val="54DF2178"/>
    <w:rsid w:val="55A2018D"/>
    <w:rsid w:val="57352285"/>
    <w:rsid w:val="59C11B48"/>
    <w:rsid w:val="5A692400"/>
    <w:rsid w:val="5B8C73EB"/>
    <w:rsid w:val="5FB16742"/>
    <w:rsid w:val="60F908E6"/>
    <w:rsid w:val="626F29D3"/>
    <w:rsid w:val="638C6FD1"/>
    <w:rsid w:val="64C472F9"/>
    <w:rsid w:val="6A470981"/>
    <w:rsid w:val="6D387DFB"/>
    <w:rsid w:val="6D3A39AF"/>
    <w:rsid w:val="6EA27C2C"/>
    <w:rsid w:val="6FFB0FE3"/>
    <w:rsid w:val="73E849F9"/>
    <w:rsid w:val="744946A8"/>
    <w:rsid w:val="752A6A53"/>
    <w:rsid w:val="75530B22"/>
    <w:rsid w:val="75734A39"/>
    <w:rsid w:val="76834321"/>
    <w:rsid w:val="793A4926"/>
    <w:rsid w:val="7AF460F1"/>
    <w:rsid w:val="7B051C57"/>
    <w:rsid w:val="7E7D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after="90" w:line="576" w:lineRule="auto"/>
      <w:jc w:val="center"/>
      <w:outlineLvl w:val="0"/>
    </w:pPr>
    <w:rPr>
      <w:b/>
      <w:kern w:val="44"/>
      <w:sz w:val="36"/>
      <w:szCs w:val="44"/>
    </w:rPr>
  </w:style>
  <w:style w:type="paragraph" w:styleId="4">
    <w:name w:val="heading 2"/>
    <w:basedOn w:val="1"/>
    <w:next w:val="1"/>
    <w:unhideWhenUsed/>
    <w:qFormat/>
    <w:uiPriority w:val="0"/>
    <w:pPr>
      <w:keepNext/>
      <w:keepLines/>
      <w:spacing w:before="240" w:after="240"/>
      <w:outlineLvl w:val="1"/>
    </w:pPr>
    <w:rPr>
      <w:rFonts w:ascii="Arial" w:hAnsi="Arial"/>
      <w:b/>
    </w:rPr>
  </w:style>
  <w:style w:type="paragraph" w:styleId="5">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styleId="6">
    <w:name w:val="Normal Indent"/>
    <w:basedOn w:val="1"/>
    <w:next w:val="1"/>
    <w:qFormat/>
    <w:uiPriority w:val="0"/>
    <w:pPr>
      <w:adjustRightInd w:val="0"/>
      <w:ind w:firstLine="420"/>
    </w:pPr>
    <w:rPr>
      <w:rFonts w:ascii="Times New Roman" w:eastAsia="楷体_GB2312"/>
      <w:sz w:val="24"/>
    </w:rPr>
  </w:style>
  <w:style w:type="paragraph" w:styleId="7">
    <w:name w:val="Body Text Indent"/>
    <w:basedOn w:val="1"/>
    <w:qFormat/>
    <w:uiPriority w:val="0"/>
    <w:pPr>
      <w:spacing w:line="360" w:lineRule="auto"/>
      <w:ind w:firstLine="560" w:firstLineChars="200"/>
    </w:pPr>
    <w:rPr>
      <w:sz w:val="28"/>
    </w:rPr>
  </w:style>
  <w:style w:type="paragraph" w:styleId="8">
    <w:name w:val="Plain Text"/>
    <w:basedOn w:val="1"/>
    <w:qFormat/>
    <w:uiPriority w:val="0"/>
    <w:rPr>
      <w:rFonts w:ascii="宋体" w:hAnsi="Courier New"/>
      <w:sz w:val="11"/>
      <w:szCs w:val="20"/>
    </w:rPr>
  </w:style>
  <w:style w:type="paragraph" w:styleId="9">
    <w:name w:val="Normal (Web)"/>
    <w:basedOn w:val="1"/>
    <w:qFormat/>
    <w:uiPriority w:val="0"/>
    <w:pPr>
      <w:spacing w:before="100" w:beforeLines="0" w:beforeAutospacing="1" w:after="100" w:afterLines="0" w:afterAutospacing="1"/>
    </w:pPr>
    <w:rPr>
      <w:rFonts w:ascii="宋体" w:hAnsi="宋体" w:cs="宋体"/>
      <w:sz w:val="24"/>
      <w:szCs w:val="24"/>
    </w:rPr>
  </w:style>
  <w:style w:type="paragraph" w:styleId="10">
    <w:name w:val="Body Text First Indent 2"/>
    <w:basedOn w:val="7"/>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dc:creator>
  <cp:lastModifiedBy>z</cp:lastModifiedBy>
  <cp:lastPrinted>2021-11-16T11:25:00Z</cp:lastPrinted>
  <dcterms:modified xsi:type="dcterms:W3CDTF">2021-12-27T03:21:26Z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3C3F5A10A35B4C5ABB0207051F2EE688</vt:lpwstr>
  </property>
</Properties>
</file>