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eastAsia="zh-CN"/>
        </w:rPr>
        <w:t>巴楚县2021年寒假中小学（幼儿园）教师国通语强化培训服务采购项目</w:t>
      </w:r>
      <w:r>
        <w:rPr>
          <w:rFonts w:hint="eastAsia" w:ascii="宋体" w:hAnsi="宋体" w:cs="宋体"/>
          <w:b/>
          <w:sz w:val="52"/>
          <w:szCs w:val="52"/>
        </w:rPr>
        <w:t>竞争性磋商文件</w:t>
      </w:r>
      <w:r>
        <w:rPr>
          <w:rFonts w:hint="eastAsia" w:ascii="宋体" w:hAnsi="宋体" w:cs="宋体"/>
          <w:b/>
          <w:sz w:val="52"/>
          <w:szCs w:val="52"/>
          <w:lang w:eastAsia="zh-CN"/>
        </w:rPr>
        <w:t>（二标段）</w:t>
      </w:r>
    </w:p>
    <w:p>
      <w:pPr>
        <w:pStyle w:val="11"/>
        <w:ind w:firstLine="1606"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2021-</w:t>
      </w:r>
      <w:r>
        <w:rPr>
          <w:rFonts w:hint="default" w:cs="宋体"/>
          <w:b/>
          <w:sz w:val="32"/>
          <w:szCs w:val="32"/>
          <w:lang w:val="en-US" w:eastAsia="zh-CN"/>
        </w:rPr>
        <w:t>1</w:t>
      </w:r>
      <w:r>
        <w:rPr>
          <w:rFonts w:hint="eastAsia" w:cs="宋体"/>
          <w:b/>
          <w:sz w:val="32"/>
          <w:szCs w:val="32"/>
          <w:lang w:val="en-US" w:eastAsia="zh-CN"/>
        </w:rPr>
        <w:t>9</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巴楚县教师进修学校</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张睿纲</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18399655662</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0998-6210619</w:t>
      </w:r>
    </w:p>
    <w:p>
      <w:pPr>
        <w:autoSpaceDE w:val="0"/>
        <w:autoSpaceDN w:val="0"/>
        <w:adjustRightInd w:val="0"/>
        <w:spacing w:line="480" w:lineRule="auto"/>
        <w:rPr>
          <w:rFonts w:ascii="宋体" w:cs="宋体"/>
          <w:b/>
          <w:color w:val="000000"/>
          <w:kern w:val="0"/>
          <w:sz w:val="30"/>
          <w:szCs w:val="30"/>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2021年</w:t>
      </w:r>
      <w:r>
        <w:rPr>
          <w:rFonts w:hint="eastAsia" w:ascii="宋体" w:cs="宋体"/>
          <w:b/>
          <w:bCs/>
          <w:color w:val="000000"/>
          <w:kern w:val="0"/>
          <w:sz w:val="30"/>
          <w:szCs w:val="30"/>
          <w:highlight w:val="none"/>
          <w:u w:val="single"/>
          <w:lang w:val="en-US" w:eastAsia="zh-CN"/>
        </w:rPr>
        <w:t>12</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27日</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518923060"/>
      <w:bookmarkStart w:id="7" w:name="_Toc25430_WPSOffice_Level1"/>
      <w:bookmarkStart w:id="8" w:name="_Toc9485"/>
      <w:bookmarkStart w:id="9" w:name="_Toc29867"/>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16905_WPSOffice_Level2"/>
      <w:bookmarkStart w:id="11" w:name="_Toc12013"/>
      <w:bookmarkStart w:id="12" w:name="_Toc4676_WPSOffice_Level2"/>
      <w:bookmarkStart w:id="13" w:name="_Toc520356144"/>
      <w:bookmarkStart w:id="14" w:name="_Toc518923061"/>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2643"/>
      <w:bookmarkStart w:id="16" w:name="_Toc11813_WPSOffice_Level2"/>
      <w:bookmarkStart w:id="17" w:name="_Toc11482_WPSOffice_Level2"/>
      <w:bookmarkStart w:id="18" w:name="_Toc51892306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8946_WPSOffice_Level2"/>
      <w:bookmarkStart w:id="20" w:name="_Toc520356145"/>
      <w:bookmarkStart w:id="21" w:name="_Toc28166"/>
      <w:bookmarkStart w:id="22" w:name="_Toc8601_WPSOffice_Level2"/>
      <w:bookmarkStart w:id="23" w:name="_Toc518923063"/>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1523_WPSOffice_Level2"/>
      <w:bookmarkStart w:id="25" w:name="_Toc32365"/>
      <w:bookmarkStart w:id="26" w:name="_Toc8368_WPSOffice_Level2"/>
      <w:bookmarkStart w:id="27" w:name="_Toc518923064"/>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518923065"/>
      <w:bookmarkStart w:id="29" w:name="_Toc520356146"/>
      <w:bookmarkStart w:id="30" w:name="_Toc216582806"/>
      <w:bookmarkStart w:id="31" w:name="_Toc809"/>
      <w:bookmarkStart w:id="32" w:name="_Toc10894_WPSOffice_Level1"/>
      <w:bookmarkStart w:id="33" w:name="_Toc23787"/>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22990"/>
      <w:bookmarkStart w:id="35" w:name="_Toc520356147"/>
      <w:bookmarkStart w:id="36" w:name="_Toc15218_WPSOffice_Level2"/>
      <w:bookmarkStart w:id="37" w:name="_Toc15303_WPSOffice_Level2"/>
      <w:bookmarkStart w:id="38" w:name="_Toc518923066"/>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1314"/>
      <w:bookmarkStart w:id="41" w:name="_Toc90_WPSOffice_Level2"/>
      <w:bookmarkStart w:id="42" w:name="_Toc518923067"/>
      <w:bookmarkStart w:id="43" w:name="_Toc29081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31699_WPSOffice_Level2"/>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4436_WPSOffice_Level1"/>
      <w:bookmarkStart w:id="53" w:name="_Toc25389"/>
      <w:bookmarkStart w:id="54" w:name="_Toc26563"/>
      <w:bookmarkStart w:id="55" w:name="_Toc518923069"/>
      <w:bookmarkStart w:id="56" w:name="_Toc216582807"/>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13590_WPSOffice_Level2"/>
      <w:bookmarkStart w:id="58" w:name="_Toc516367021"/>
      <w:bookmarkStart w:id="59" w:name="_Toc6728"/>
      <w:bookmarkStart w:id="60" w:name="_Toc20686_WPSOffice_Level2"/>
      <w:bookmarkStart w:id="61" w:name="_Toc518923070"/>
      <w:bookmarkStart w:id="62" w:name="_Toc52035615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676"/>
      <w:bookmarkStart w:id="64" w:name="_Toc516367022"/>
      <w:bookmarkStart w:id="65" w:name="_Ref467306195"/>
      <w:bookmarkStart w:id="66" w:name="_Toc28579_WPSOffice_Level2"/>
      <w:bookmarkStart w:id="67" w:name="_Toc31935_WPSOffice_Level2"/>
      <w:bookmarkStart w:id="68" w:name="_Toc15487"/>
      <w:bookmarkStart w:id="69" w:name="_Toc520356152"/>
      <w:bookmarkStart w:id="70" w:name="_Toc518923071"/>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08185920"/>
      <w:bookmarkStart w:id="73" w:name="_Toc10751_WPSOffice_Level2"/>
      <w:bookmarkStart w:id="74" w:name="_Toc516367023"/>
      <w:bookmarkStart w:id="75" w:name="_Toc518923072"/>
      <w:bookmarkStart w:id="76" w:name="_Toc2671"/>
      <w:bookmarkStart w:id="77" w:name="_Toc520356153"/>
      <w:bookmarkStart w:id="78" w:name="_Toc5768_WPSOffice_Level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16199"/>
      <w:bookmarkStart w:id="86" w:name="_Ref467306513"/>
      <w:bookmarkStart w:id="87" w:name="_Toc520356156"/>
      <w:bookmarkStart w:id="88" w:name="_Toc518923074"/>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518923076"/>
      <w:bookmarkStart w:id="96" w:name="_Toc20355"/>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27303"/>
      <w:bookmarkStart w:id="102" w:name="_Toc31308_WPSOffice_Level2"/>
      <w:bookmarkStart w:id="103" w:name="_Toc518923077"/>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22303"/>
      <w:bookmarkStart w:id="105" w:name="_Toc216582808"/>
      <w:bookmarkStart w:id="106" w:name="_Toc9633"/>
      <w:bookmarkStart w:id="107" w:name="_Toc518923078"/>
      <w:bookmarkStart w:id="108" w:name="_Toc30674_WPSOffice_Level1"/>
      <w:bookmarkStart w:id="109" w:name="_Toc520356159"/>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24004_WPSOffice_Level2"/>
      <w:bookmarkStart w:id="111" w:name="_Toc13247"/>
      <w:bookmarkStart w:id="112" w:name="_Toc518923079"/>
      <w:bookmarkStart w:id="113" w:name="_Toc520356160"/>
      <w:bookmarkStart w:id="114" w:name="_Toc22654_WPSOffice_Level2"/>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18923080"/>
      <w:bookmarkStart w:id="116" w:name="_Toc25787"/>
      <w:bookmarkStart w:id="117" w:name="_Toc520356161"/>
      <w:bookmarkStart w:id="118" w:name="_Toc14358_WPSOffice_Level2"/>
      <w:bookmarkStart w:id="119" w:name="_Toc17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17985_WPSOffice_Level2"/>
      <w:bookmarkStart w:id="121" w:name="_Toc13921"/>
      <w:bookmarkStart w:id="122" w:name="_Toc520356162"/>
      <w:bookmarkStart w:id="123" w:name="_Toc518923081"/>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10257"/>
      <w:bookmarkStart w:id="126" w:name="_Toc216582809"/>
      <w:bookmarkStart w:id="127" w:name="_Toc518923082"/>
      <w:bookmarkStart w:id="128" w:name="_Toc520356163"/>
    </w:p>
    <w:p>
      <w:pPr>
        <w:pStyle w:val="4"/>
        <w:spacing w:before="0" w:line="400" w:lineRule="exact"/>
        <w:ind w:left="1079"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20356164"/>
      <w:bookmarkStart w:id="132" w:name="_Toc518923083"/>
      <w:bookmarkStart w:id="133" w:name="_Toc865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34"/>
      <w:bookmarkStart w:id="139" w:name="_Toc21320_WPSOffice_Level2"/>
      <w:bookmarkStart w:id="140" w:name="_Toc435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6842"/>
      <w:bookmarkStart w:id="143" w:name="_Toc518923085"/>
      <w:bookmarkStart w:id="144" w:name="_Toc31689_WPSOffice_Level2"/>
      <w:bookmarkStart w:id="145" w:name="_Toc17843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26452_WPSOffice_Level2"/>
      <w:bookmarkStart w:id="149" w:name="_Toc6346_WPSOffice_Level2"/>
      <w:bookmarkStart w:id="150" w:name="_Toc8603"/>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25236_WPSOffice_Level2"/>
      <w:bookmarkStart w:id="154" w:name="_Toc518923087"/>
      <w:bookmarkStart w:id="155" w:name="_Toc25255"/>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0835"/>
      <w:bookmarkStart w:id="157" w:name="_Toc518923088"/>
      <w:bookmarkStart w:id="158" w:name="_Toc14330_WPSOffice_Level2"/>
      <w:bookmarkStart w:id="159" w:name="_Toc22743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30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30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6"/>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70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823"/>
      <w:bookmarkStart w:id="163" w:name="_Toc518923089"/>
      <w:bookmarkStart w:id="164" w:name="_Toc21686_WPSOffice_Level2"/>
      <w:bookmarkStart w:id="165" w:name="_Toc27560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4205_WPSOffice_Level2"/>
      <w:bookmarkStart w:id="167" w:name="_Toc23660"/>
      <w:bookmarkStart w:id="168" w:name="_Toc16649_WPSOffice_Level2"/>
      <w:bookmarkStart w:id="169" w:name="_Toc51892309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18923092"/>
      <w:bookmarkStart w:id="177" w:name="_Toc4749_WPSOffice_Level2"/>
      <w:bookmarkStart w:id="178" w:name="_Toc31921_WPSOffice_Level2"/>
      <w:bookmarkStart w:id="179" w:name="_Toc520356170"/>
      <w:bookmarkStart w:id="180" w:name="_Ref467307010"/>
      <w:bookmarkStart w:id="181" w:name="_Toc32578"/>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3689_WPSOffice_Level2"/>
      <w:bookmarkStart w:id="184" w:name="_Toc2420_WPSOffice_Level2"/>
      <w:bookmarkStart w:id="185" w:name="_Toc518923093"/>
      <w:bookmarkStart w:id="186" w:name="_Toc10555"/>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518923094"/>
      <w:bookmarkStart w:id="190" w:name="_Toc620_WPSOffice_Level2"/>
      <w:bookmarkStart w:id="191" w:name="_Toc17336_WPSOffice_Level2"/>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18072"/>
      <w:bookmarkStart w:id="195" w:name="_Toc518923095"/>
      <w:bookmarkStart w:id="196" w:name="_Toc7273_WPSOffice_Level2"/>
      <w:bookmarkStart w:id="197" w:name="_Toc22810_WPSOffice_Level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23285_WPSOffice_Level2"/>
      <w:bookmarkStart w:id="199" w:name="_Toc520356175"/>
      <w:bookmarkStart w:id="200" w:name="_Toc16952"/>
      <w:bookmarkStart w:id="201" w:name="_Toc518923096"/>
      <w:bookmarkStart w:id="202" w:name="_Ref467306978"/>
      <w:bookmarkStart w:id="203" w:name="_Ref467306377"/>
      <w:bookmarkStart w:id="204" w:name="_Ref467307204"/>
      <w:bookmarkStart w:id="205" w:name="_Toc9717_WPSOffice_Level2"/>
      <w:bookmarkStart w:id="206" w:name="_Ref46730706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Toc520356176"/>
      <w:bookmarkStart w:id="209"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4147_WPSOffice_Level2"/>
      <w:bookmarkStart w:id="211" w:name="_Toc518923097"/>
      <w:bookmarkStart w:id="212" w:name="_Toc4302"/>
      <w:bookmarkStart w:id="213" w:name="_Toc10642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8476"/>
      <w:bookmarkStart w:id="215" w:name="_Toc518923098"/>
      <w:bookmarkStart w:id="216" w:name="_Toc12960_WPSOffice_Level2"/>
      <w:bookmarkStart w:id="217" w:name="_Toc21635_WPSOffice_Level2"/>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0567_WPSOffice_Level2"/>
      <w:bookmarkStart w:id="219" w:name="_Toc31411"/>
      <w:bookmarkStart w:id="220" w:name="_Toc9330_WPSOffice_Level2"/>
      <w:bookmarkStart w:id="221" w:name="_Toc518923099"/>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4701"/>
      <w:bookmarkStart w:id="223" w:name="_Toc518923100"/>
      <w:bookmarkStart w:id="224" w:name="_Toc9469_WPSOffice_Level2"/>
      <w:bookmarkStart w:id="225" w:name="_Toc5233_WPSOffice_Level2"/>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518923101"/>
      <w:bookmarkStart w:id="227" w:name="_Toc21055"/>
      <w:bookmarkStart w:id="228" w:name="_Toc27811_WPSOffice_Level2"/>
      <w:bookmarkStart w:id="229" w:name="_Toc27272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18483"/>
      <w:bookmarkStart w:id="231" w:name="_Toc23883"/>
      <w:bookmarkStart w:id="232" w:name="_Toc518923103"/>
      <w:bookmarkStart w:id="233" w:name="_Toc21504_WPSOffice_Level1"/>
      <w:bookmarkStart w:id="234" w:name="_Toc3584_WPSOffice_Level1"/>
      <w:bookmarkStart w:id="235" w:name="_Toc220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9904"/>
      <w:bookmarkStart w:id="237" w:name="_Toc518923104"/>
      <w:bookmarkStart w:id="238" w:name="_Toc391_WPSOffice_Level1"/>
      <w:bookmarkStart w:id="239" w:name="_Toc27788"/>
      <w:bookmarkStart w:id="240" w:name="_Toc25500_WPSOffice_Level1"/>
      <w:bookmarkStart w:id="241" w:name="_Toc10323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515904842"/>
      <w:bookmarkStart w:id="243" w:name="_Toc11516_WPSOffice_Level1"/>
      <w:bookmarkStart w:id="244" w:name="_Toc13630"/>
      <w:bookmarkStart w:id="245" w:name="_Toc518923105"/>
      <w:bookmarkStart w:id="246" w:name="_Toc20933_WPSOffice_Level1"/>
      <w:bookmarkStart w:id="247" w:name="_Toc27405_WPSOffice_Level1"/>
      <w:bookmarkStart w:id="248" w:name="_Toc30995"/>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6543_WPSOffice_Level1"/>
      <w:bookmarkStart w:id="260" w:name="_Toc2970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808"/>
      <w:bookmarkStart w:id="264" w:name="_Toc216582812"/>
      <w:bookmarkStart w:id="265" w:name="_Toc518923106"/>
      <w:bookmarkStart w:id="266" w:name="_Toc22577_WPSOffice_Level1"/>
      <w:bookmarkStart w:id="267" w:name="_Toc6923"/>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25620_WPSOffice_Level2"/>
      <w:bookmarkStart w:id="269" w:name="_Toc30069"/>
      <w:bookmarkStart w:id="270" w:name="_Toc515647803"/>
      <w:bookmarkStart w:id="271" w:name="_Toc6762_WPSOffice_Level2"/>
      <w:bookmarkStart w:id="272" w:name="_Toc18974"/>
      <w:bookmarkStart w:id="273" w:name="_Toc27612"/>
      <w:bookmarkStart w:id="274" w:name="_Toc18694"/>
      <w:bookmarkStart w:id="275" w:name="_Toc975"/>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Ref467988698"/>
      <w:bookmarkStart w:id="280" w:name="_Toc520356217"/>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6568"/>
      <w:bookmarkStart w:id="283" w:name="_Toc16750"/>
      <w:bookmarkStart w:id="284" w:name="_Toc515647804"/>
      <w:bookmarkStart w:id="285" w:name="_Toc11138"/>
      <w:bookmarkStart w:id="286" w:name="_Toc14118"/>
      <w:bookmarkStart w:id="287" w:name="_Toc30524"/>
      <w:bookmarkStart w:id="288" w:name="_Toc30630"/>
      <w:bookmarkStart w:id="289" w:name="_Toc21614"/>
      <w:bookmarkStart w:id="290" w:name="_Toc3620"/>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项目名称：巴楚县2021年寒假中小学（幼儿园）教师国通语强化培训服务采购项目</w:t>
      </w:r>
      <w:r>
        <w:rPr>
          <w:rFonts w:hint="eastAsia" w:ascii="仿宋" w:hAnsi="仿宋" w:eastAsia="仿宋" w:cs="仿宋"/>
          <w:sz w:val="28"/>
          <w:szCs w:val="28"/>
          <w:lang w:eastAsia="zh-CN"/>
        </w:rPr>
        <w:t>（二标段）</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539"/>
        <w:gridCol w:w="1755"/>
        <w:gridCol w:w="1046"/>
        <w:gridCol w:w="1070"/>
        <w:gridCol w:w="1155"/>
        <w:gridCol w:w="1435"/>
      </w:tblGrid>
      <w:tr>
        <w:tblPrEx>
          <w:tblCellMar>
            <w:top w:w="0" w:type="dxa"/>
            <w:left w:w="0" w:type="dxa"/>
            <w:bottom w:w="0" w:type="dxa"/>
            <w:right w:w="0" w:type="dxa"/>
          </w:tblCellMar>
        </w:tblPrEx>
        <w:trPr>
          <w:trHeight w:val="669" w:hRule="atLeast"/>
        </w:trPr>
        <w:tc>
          <w:tcPr>
            <w:tcW w:w="153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5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53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rPr>
              <w:t>巴</w:t>
            </w:r>
            <w:r>
              <w:rPr>
                <w:rFonts w:hint="eastAsia" w:cs="宋体" w:asciiTheme="minorEastAsia" w:hAnsiTheme="minorEastAsia" w:eastAsiaTheme="minorEastAsia"/>
                <w:sz w:val="24"/>
              </w:rPr>
              <w:t>楚县2021年寒假中小学（幼儿园）教师国通语强化培训服务采购项目</w:t>
            </w:r>
            <w:r>
              <w:rPr>
                <w:rFonts w:hint="eastAsia" w:cs="宋体" w:asciiTheme="minorEastAsia" w:hAnsiTheme="minorEastAsia" w:eastAsiaTheme="minorEastAsia"/>
                <w:sz w:val="24"/>
                <w:lang w:eastAsia="zh-CN"/>
              </w:rPr>
              <w:t>（二标段）</w:t>
            </w:r>
          </w:p>
        </w:tc>
        <w:tc>
          <w:tcPr>
            <w:tcW w:w="175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default" w:cs="宋体" w:asciiTheme="minorEastAsia" w:hAnsiTheme="minorEastAsia" w:eastAsiaTheme="minorEastAsia"/>
                <w:sz w:val="24"/>
                <w:lang w:val="en-US" w:eastAsia="zh-CN"/>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项目名称：巴楚县2021年寒假中小学（幼儿园）教师国通语强化培训服务采购项目</w:t>
      </w:r>
      <w:r>
        <w:rPr>
          <w:rFonts w:hint="eastAsia" w:ascii="仿宋" w:hAnsi="仿宋" w:eastAsia="仿宋" w:cs="仿宋"/>
          <w:sz w:val="28"/>
          <w:szCs w:val="28"/>
          <w:lang w:eastAsia="zh-CN"/>
        </w:rPr>
        <w:t>（二标段）</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eastAsia="zh-CN"/>
        </w:rPr>
        <w:t>：</w:t>
      </w:r>
      <w:r>
        <w:rPr>
          <w:rFonts w:hint="eastAsia" w:ascii="仿宋" w:hAnsi="仿宋" w:eastAsia="仿宋" w:cs="仿宋"/>
          <w:sz w:val="28"/>
          <w:szCs w:val="28"/>
        </w:rPr>
        <w:t>元</w:t>
      </w:r>
    </w:p>
    <w:p>
      <w:pPr>
        <w:pStyle w:val="2"/>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巴楚县2021年寒假中小学（幼儿园）教师国通语强化</w:t>
            </w:r>
            <w:r>
              <w:rPr>
                <w:rFonts w:hint="eastAsia" w:cs="宋体" w:asciiTheme="minorEastAsia" w:hAnsiTheme="minorEastAsia" w:eastAsiaTheme="minorEastAsia"/>
                <w:sz w:val="24"/>
                <w:lang w:eastAsia="zh-CN"/>
              </w:rPr>
              <w:t>培训</w:t>
            </w:r>
            <w:r>
              <w:rPr>
                <w:rFonts w:hint="eastAsia" w:cs="宋体" w:asciiTheme="minorEastAsia" w:hAnsiTheme="minorEastAsia" w:eastAsiaTheme="minorEastAsia"/>
                <w:sz w:val="24"/>
              </w:rPr>
              <w:t>服务采购项目</w:t>
            </w:r>
            <w:r>
              <w:rPr>
                <w:rFonts w:hint="eastAsia" w:cs="宋体" w:asciiTheme="minorEastAsia" w:hAnsiTheme="minorEastAsia" w:eastAsiaTheme="minorEastAsia"/>
                <w:sz w:val="24"/>
                <w:lang w:eastAsia="zh-CN"/>
              </w:rPr>
              <w:t>（二标段）</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515647805"/>
      <w:bookmarkStart w:id="294" w:name="_Toc29899"/>
      <w:bookmarkStart w:id="295" w:name="_Toc28979"/>
      <w:bookmarkStart w:id="296" w:name="_Toc6475"/>
      <w:bookmarkStart w:id="297" w:name="_Toc16184"/>
      <w:bookmarkStart w:id="298" w:name="_Toc1957"/>
      <w:bookmarkStart w:id="299" w:name="_Toc32302"/>
      <w:bookmarkStart w:id="300" w:name="_Toc3087"/>
      <w:bookmarkStart w:id="301" w:name="_Toc17577"/>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pStyle w:val="6"/>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16640"/>
      <w:bookmarkStart w:id="306" w:name="_Toc515647807"/>
      <w:bookmarkStart w:id="307" w:name="_Toc5436"/>
      <w:bookmarkStart w:id="308" w:name="_Toc1083"/>
      <w:bookmarkStart w:id="309" w:name="_Toc21867"/>
      <w:bookmarkStart w:id="310" w:name="_Toc22472"/>
      <w:bookmarkStart w:id="311" w:name="_Toc13107"/>
      <w:bookmarkStart w:id="312" w:name="_Toc6829"/>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515647809"/>
      <w:bookmarkStart w:id="314" w:name="_Toc22138"/>
      <w:bookmarkStart w:id="315" w:name="_Toc8410"/>
      <w:bookmarkStart w:id="316" w:name="_Toc11047"/>
      <w:bookmarkStart w:id="317" w:name="_Toc4923"/>
      <w:bookmarkStart w:id="318" w:name="_Toc10290"/>
      <w:bookmarkStart w:id="319" w:name="_Toc15480"/>
      <w:bookmarkStart w:id="320" w:name="_Toc28445"/>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both"/>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31179"/>
      <w:bookmarkStart w:id="322" w:name="_Toc22500"/>
      <w:bookmarkStart w:id="323" w:name="_Toc6113"/>
      <w:bookmarkStart w:id="324" w:name="_Toc15031"/>
      <w:bookmarkStart w:id="325" w:name="_Toc8873"/>
      <w:bookmarkStart w:id="326" w:name="_Toc5167"/>
      <w:bookmarkStart w:id="327" w:name="_Toc23044"/>
      <w:bookmarkStart w:id="328" w:name="_Toc51564781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27589"/>
      <w:bookmarkStart w:id="331" w:name="_Toc518923111"/>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515647812"/>
      <w:bookmarkStart w:id="333" w:name="_Toc6008"/>
      <w:bookmarkStart w:id="334" w:name="_Toc1137"/>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29703"/>
      <w:bookmarkStart w:id="336" w:name="_Toc24488"/>
      <w:bookmarkStart w:id="337" w:name="_Toc11163"/>
      <w:bookmarkStart w:id="338" w:name="_Toc17207"/>
      <w:bookmarkStart w:id="339" w:name="_Toc11862"/>
      <w:bookmarkStart w:id="340" w:name="_Toc32295"/>
      <w:bookmarkStart w:id="341" w:name="_Toc15456"/>
      <w:bookmarkStart w:id="342" w:name="_Toc515647813"/>
      <w:bookmarkStart w:id="343" w:name="_Toc1218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9513_WPSOffice_Level2"/>
      <w:bookmarkStart w:id="350" w:name="_Toc5279"/>
      <w:bookmarkStart w:id="351" w:name="_Toc23485"/>
      <w:bookmarkStart w:id="352" w:name="_Toc6295"/>
      <w:bookmarkStart w:id="353" w:name="_Toc24267_WPSOffice_Level2"/>
      <w:bookmarkStart w:id="354" w:name="_Toc14915"/>
      <w:bookmarkStart w:id="355" w:name="_Toc515647817"/>
      <w:bookmarkStart w:id="356" w:name="_Toc26170"/>
      <w:bookmarkStart w:id="357" w:name="_Toc2041"/>
      <w:bookmarkStart w:id="358" w:name="_Toc23960"/>
      <w:bookmarkStart w:id="359" w:name="_Toc5068"/>
    </w:p>
    <w:p>
      <w:pPr>
        <w:pStyle w:val="16"/>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30193_WPSOffice_Level2"/>
      <w:bookmarkStart w:id="363" w:name="_Toc288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13833"/>
      <w:bookmarkStart w:id="374" w:name="_Toc24837"/>
      <w:bookmarkStart w:id="375" w:name="_Toc23925"/>
      <w:bookmarkStart w:id="376" w:name="_Toc1399"/>
      <w:bookmarkStart w:id="377" w:name="_Toc22563"/>
      <w:bookmarkStart w:id="378" w:name="_Toc515647820"/>
      <w:bookmarkStart w:id="379" w:name="_Toc28959"/>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991"/>
      <w:bookmarkStart w:id="381"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21009"/>
      <w:bookmarkStart w:id="384" w:name="_Toc4342"/>
      <w:bookmarkStart w:id="385" w:name="_Toc4280"/>
      <w:bookmarkStart w:id="386" w:name="_Toc515647821"/>
      <w:bookmarkStart w:id="387" w:name="_Toc28674"/>
      <w:bookmarkStart w:id="388" w:name="_Toc1980"/>
      <w:bookmarkStart w:id="389" w:name="_Toc23"/>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390" w:name="_Hlt520274407"/>
      <w:bookmarkEnd w:id="390"/>
      <w:bookmarkStart w:id="391" w:name="_Hlt520343392"/>
      <w:bookmarkEnd w:id="391"/>
      <w:bookmarkStart w:id="392" w:name="_Hlt520274393"/>
      <w:bookmarkEnd w:id="392"/>
      <w:bookmarkStart w:id="393" w:name="_Hlt520273973"/>
      <w:bookmarkEnd w:id="393"/>
      <w:bookmarkStart w:id="394" w:name="_Hlt520350957"/>
      <w:bookmarkEnd w:id="394"/>
      <w:bookmarkStart w:id="395" w:name="_Hlt520350918"/>
      <w:bookmarkEnd w:id="395"/>
      <w:bookmarkStart w:id="396" w:name="_Hlt520274911"/>
      <w:bookmarkEnd w:id="396"/>
      <w:bookmarkStart w:id="397" w:name="_Hlt520343000"/>
      <w:bookmarkEnd w:id="397"/>
      <w:bookmarkStart w:id="398" w:name="_Hlt520273711"/>
      <w:bookmarkEnd w:id="398"/>
      <w:bookmarkStart w:id="399" w:name="_Hlt520271212"/>
      <w:bookmarkEnd w:id="399"/>
      <w:bookmarkStart w:id="400" w:name="_Hlt520274065"/>
      <w:bookmarkEnd w:id="400"/>
      <w:bookmarkStart w:id="401" w:name="_Toc10725"/>
      <w:bookmarkStart w:id="402" w:name="_Toc21312"/>
      <w:bookmarkStart w:id="403" w:name="_Toc515647823"/>
      <w:bookmarkStart w:id="404" w:name="_Toc281"/>
      <w:bookmarkStart w:id="405" w:name="_Toc26282"/>
      <w:bookmarkStart w:id="406" w:name="_Toc3916"/>
      <w:bookmarkStart w:id="407" w:name="_Toc17036"/>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30941"/>
      <w:bookmarkStart w:id="409" w:name="_Toc10977"/>
      <w:bookmarkStart w:id="410" w:name="_Toc515647824"/>
      <w:bookmarkStart w:id="411" w:name="_Toc19302"/>
      <w:bookmarkStart w:id="412" w:name="_Toc13461"/>
      <w:bookmarkStart w:id="413" w:name="_Toc11803"/>
      <w:bookmarkStart w:id="414" w:name="_Toc30508"/>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515647825"/>
      <w:bookmarkStart w:id="416" w:name="_Toc26728"/>
      <w:bookmarkStart w:id="417" w:name="_Toc31054"/>
      <w:bookmarkStart w:id="418" w:name="_Toc19284"/>
      <w:bookmarkStart w:id="419" w:name="_Toc23068"/>
      <w:bookmarkStart w:id="420" w:name="_Toc20016"/>
      <w:bookmarkStart w:id="421" w:name="_Toc8320"/>
      <w:bookmarkStart w:id="422" w:name="OLE_LINK13"/>
      <w:bookmarkStart w:id="423" w:name="OLE_LINK14"/>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515647827"/>
      <w:bookmarkStart w:id="425" w:name="_Toc28099"/>
      <w:bookmarkStart w:id="426" w:name="_Toc30795"/>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center"/>
        <w:rPr>
          <w:rFonts w:cs="宋体" w:asciiTheme="minorEastAsia" w:hAnsiTheme="minorEastAsia" w:eastAsiaTheme="minorEastAsia"/>
          <w:sz w:val="24"/>
        </w:rPr>
      </w:pPr>
      <w:bookmarkStart w:id="427" w:name="_Toc14172"/>
      <w:bookmarkStart w:id="428" w:name="_Toc17980"/>
      <w:bookmarkStart w:id="429" w:name="_Toc12633"/>
      <w:bookmarkStart w:id="430" w:name="_Toc2942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7414"/>
      <w:bookmarkStart w:id="432" w:name="_Toc9060"/>
      <w:bookmarkStart w:id="433" w:name="_Toc17333"/>
      <w:bookmarkStart w:id="434" w:name="_Toc9124"/>
      <w:bookmarkStart w:id="435" w:name="_Toc515647828"/>
      <w:bookmarkStart w:id="436" w:name="_Toc28910"/>
      <w:bookmarkStart w:id="437" w:name="_Toc9517"/>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672"/>
      <w:bookmarkStart w:id="439" w:name="_Toc19460"/>
      <w:bookmarkStart w:id="440" w:name="_Toc29188"/>
      <w:bookmarkStart w:id="441" w:name="_Toc30129"/>
      <w:bookmarkStart w:id="442" w:name="_Toc21017"/>
      <w:bookmarkStart w:id="443" w:name="_Toc1808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3771"/>
      <w:bookmarkStart w:id="445" w:name="_Toc18887"/>
      <w:bookmarkStart w:id="446" w:name="_Toc23729"/>
      <w:bookmarkStart w:id="447" w:name="_Toc28994"/>
      <w:bookmarkStart w:id="448" w:name="_Toc30798"/>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31119"/>
      <w:bookmarkStart w:id="450" w:name="_Toc9913"/>
      <w:bookmarkStart w:id="451" w:name="_Toc216582822"/>
      <w:bookmarkStart w:id="452" w:name="_Toc219175634"/>
      <w:bookmarkStart w:id="453" w:name="_Toc518923124"/>
      <w:bookmarkStart w:id="454" w:name="_Toc507399902"/>
      <w:bookmarkStart w:id="455" w:name="_Toc218935350"/>
      <w:bookmarkStart w:id="456" w:name="_Toc21156_WPSOffice_Level1"/>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518923125"/>
      <w:bookmarkStart w:id="459" w:name="_Toc216582823"/>
      <w:bookmarkStart w:id="460" w:name="_Toc28647"/>
      <w:bookmarkStart w:id="461" w:name="_Toc512937850"/>
      <w:r>
        <w:rPr>
          <w:rFonts w:hint="eastAsia" w:ascii="华文中宋" w:hAnsi="华文中宋" w:eastAsia="华文中宋" w:cs="Times New Roman"/>
          <w:b/>
          <w:bCs/>
          <w:kern w:val="44"/>
          <w:sz w:val="32"/>
          <w:szCs w:val="32"/>
          <w:lang w:val="en-US" w:eastAsia="zh-CN" w:bidi="ar-SA"/>
        </w:rPr>
        <w:t>巴楚县2021年寒假中小学（幼儿园）教师国通语强化培训服务采购项目竞争性磋商公告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巴楚县2021年寒假中小学（幼儿园）教师国通语强化培训服务采购项目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12"/>
      <w:bookmarkStart w:id="463" w:name="_Toc28359089"/>
      <w:bookmarkStart w:id="464" w:name="_Toc35393798"/>
      <w:bookmarkStart w:id="465" w:name="_Toc35393629"/>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w:t>
      </w:r>
      <w:r>
        <w:rPr>
          <w:rFonts w:hint="eastAsia" w:ascii="仿宋" w:hAnsi="仿宋" w:eastAsia="仿宋" w:cs="宋体"/>
          <w:sz w:val="28"/>
          <w:szCs w:val="28"/>
          <w:lang w:val="en-US" w:eastAsia="zh-CN"/>
        </w:rPr>
        <w:t>19</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巴楚县2021年寒假中小学（幼儿园）教师国通语强化培训服务采购项目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：一标段供餐服务采购：930000.00（玖拾叁万元整）；二标段国语培训服务采购：765000.00（柒拾陆万伍仟元整）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一标段：930000.00（玖拾叁万元整）；二标段：765000.00（柒拾陆万伍仟元整）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暂定</w:t>
      </w:r>
      <w:r>
        <w:rPr>
          <w:rFonts w:hint="eastAsia" w:ascii="仿宋_GB2312" w:eastAsia="仿宋_GB2312"/>
          <w:color w:val="auto"/>
          <w:kern w:val="2"/>
          <w:sz w:val="28"/>
          <w:szCs w:val="28"/>
          <w:highlight w:val="none"/>
          <w:lang w:val="en-US" w:eastAsia="zh-CN" w:bidi="ar-SA"/>
        </w:rPr>
        <w:t>45天</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35393799"/>
      <w:bookmarkStart w:id="467" w:name="_Toc28359090"/>
      <w:bookmarkStart w:id="468" w:name="_Toc28359013"/>
      <w:bookmarkStart w:id="469" w:name="_Toc3539363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2"/>
        <w:ind w:firstLine="562" w:firstLineChars="200"/>
        <w:rPr>
          <w:rFonts w:hint="eastAsia"/>
          <w:lang w:val="en-US" w:eastAsia="zh-CN"/>
        </w:rPr>
      </w:pPr>
      <w:r>
        <w:rPr>
          <w:rFonts w:hint="eastAsia" w:ascii="仿宋" w:hAnsi="仿宋" w:eastAsia="仿宋" w:cs="Times New Roman"/>
          <w:b/>
          <w:bCs w:val="0"/>
          <w:kern w:val="2"/>
          <w:sz w:val="28"/>
          <w:szCs w:val="28"/>
          <w:highlight w:val="none"/>
          <w:u w:val="none"/>
          <w:lang w:val="en-US" w:eastAsia="zh-CN" w:bidi="ar-SA"/>
        </w:rPr>
        <w:t>3、本项目特定的资格要求：一标段投标单位需提供《食品生产许可证》或《食品经营许可证》原件、复印件均可。</w:t>
      </w:r>
    </w:p>
    <w:p>
      <w:pPr>
        <w:pStyle w:val="4"/>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u w:val="none"/>
          <w:lang w:val="en-US" w:eastAsia="zh-CN" w:bidi="ar-SA"/>
        </w:rPr>
      </w:pPr>
      <w:bookmarkStart w:id="472" w:name="_Toc35393631"/>
      <w:bookmarkStart w:id="473" w:name="_Toc35393800"/>
      <w:r>
        <w:rPr>
          <w:rFonts w:hint="eastAsia" w:ascii="仿宋" w:hAnsi="仿宋" w:eastAsia="仿宋" w:cs="Times New Roman"/>
          <w:bCs/>
          <w:kern w:val="2"/>
          <w:sz w:val="28"/>
          <w:szCs w:val="28"/>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12月28日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1月6日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bookmarkStart w:id="474" w:name="_Toc28359015"/>
      <w:bookmarkStart w:id="475" w:name="_Toc35393801"/>
      <w:bookmarkStart w:id="476" w:name="_Toc28359092"/>
      <w:bookmarkStart w:id="477" w:name="_Toc3539363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bookmarkStart w:id="745" w:name="_GoBack"/>
      <w:bookmarkEnd w:id="745"/>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2"/>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93"/>
      <w:bookmarkStart w:id="479" w:name="_Toc28359016"/>
      <w:bookmarkStart w:id="480" w:name="_Toc35393633"/>
      <w:bookmarkStart w:id="481" w:name="_Toc35393802"/>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35393803"/>
      <w:bookmarkStart w:id="483" w:name="_Toc28359017"/>
      <w:bookmarkStart w:id="484" w:name="_Toc28359094"/>
      <w:bookmarkStart w:id="485" w:name="_Toc35393634"/>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795"/>
      <w:bookmarkStart w:id="489" w:name="_Toc35393626"/>
      <w:bookmarkStart w:id="490" w:name="_Toc35393636"/>
      <w:bookmarkStart w:id="491" w:name="_Toc28359095"/>
      <w:bookmarkStart w:id="492" w:name="_Toc28359018"/>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_GB2312" w:hAnsi="仿宋_GB2312" w:eastAsia="仿宋_GB2312" w:cs="仿宋_GB2312"/>
          <w:sz w:val="32"/>
          <w:szCs w:val="32"/>
          <w:highlight w:val="none"/>
          <w:lang w:val="en-US" w:eastAsia="zh-CN"/>
        </w:rPr>
        <w:t>巴楚县教师进修学校</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联系人：张睿纲</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巴楚县教育局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18399655662</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0998-6210619</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
      <w:pPr>
        <w:pStyle w:val="29"/>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jc w:val="left"/>
              <w:rPr>
                <w:rFonts w:ascii="宋体" w:hAnsi="宋体" w:cs="宋体"/>
                <w:color w:val="000000"/>
                <w:sz w:val="24"/>
                <w:highlight w:val="red"/>
                <w:u w:val="single"/>
              </w:rPr>
            </w:pPr>
            <w:r>
              <w:rPr>
                <w:rFonts w:hint="eastAsia" w:ascii="宋体" w:hAnsi="宋体" w:cs="宋体"/>
                <w:color w:val="000000"/>
                <w:sz w:val="24"/>
              </w:rPr>
              <w:t>采购人：</w:t>
            </w:r>
            <w:r>
              <w:rPr>
                <w:rFonts w:hint="eastAsia" w:ascii="仿宋_GB2312" w:hAnsi="仿宋_GB2312" w:eastAsia="仿宋_GB2312" w:cs="仿宋_GB2312"/>
                <w:sz w:val="32"/>
                <w:szCs w:val="32"/>
                <w:highlight w:val="none"/>
                <w:u w:val="single"/>
                <w:lang w:val="en-US" w:eastAsia="zh-CN"/>
              </w:rPr>
              <w:t>巴楚县教师进修学校</w:t>
            </w:r>
          </w:p>
          <w:p>
            <w:pPr>
              <w:pStyle w:val="2"/>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仿宋" w:hAnsi="仿宋" w:eastAsia="仿宋"/>
                <w:sz w:val="28"/>
                <w:szCs w:val="28"/>
                <w:highlight w:val="none"/>
                <w:u w:val="single"/>
                <w:lang w:val="en-US" w:eastAsia="zh-CN"/>
              </w:rPr>
              <w:t>张睿纲</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仿宋" w:hAnsi="仿宋" w:eastAsia="仿宋"/>
                <w:sz w:val="28"/>
                <w:szCs w:val="28"/>
                <w:highlight w:val="none"/>
                <w:u w:val="single"/>
                <w:lang w:val="en-US" w:eastAsia="zh-CN"/>
              </w:rPr>
              <w:t>18399655662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ascii="宋体" w:hAnsi="宋体" w:cs="宋体"/>
                <w:color w:val="000000"/>
                <w:sz w:val="24"/>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w:t>
            </w:r>
            <w:r>
              <w:rPr>
                <w:rFonts w:hint="eastAsia" w:ascii="宋体" w:hAnsi="宋体" w:cs="宋体"/>
                <w:sz w:val="24"/>
                <w:u w:val="single"/>
              </w:rPr>
              <w:t>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Cs/>
                <w:color w:val="000000"/>
                <w:kern w:val="0"/>
                <w:sz w:val="24"/>
                <w:lang w:val="en-US" w:eastAsia="zh-CN"/>
              </w:rPr>
            </w:pP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highlight w:val="none"/>
                <w:lang w:val="en-US" w:eastAsia="zh-CN"/>
              </w:rPr>
              <w:t>巴楚县2021年寒假中小学（幼儿园）教师国通语强化培训服务采购项目二标段</w:t>
            </w:r>
            <w:r>
              <w:rPr>
                <w:rFonts w:hint="eastAsia" w:ascii="宋体" w:hAnsi="宋体" w:cs="Arial"/>
                <w:bCs/>
                <w:color w:val="000000"/>
                <w:kern w:val="0"/>
                <w:sz w:val="24"/>
                <w:highlight w:val="none"/>
                <w:lang w:eastAsia="zh-CN"/>
              </w:rPr>
              <w:t>；</w:t>
            </w:r>
            <w:r>
              <w:rPr>
                <w:rFonts w:hint="eastAsia" w:ascii="宋体" w:hAnsi="宋体" w:cs="Arial"/>
                <w:bCs/>
                <w:color w:val="000000"/>
                <w:kern w:val="0"/>
                <w:sz w:val="24"/>
                <w:highlight w:val="none"/>
                <w:lang w:val="en-US" w:eastAsia="zh-CN"/>
              </w:rPr>
              <w:t>最高限价：765000.00元（柒拾陆万伍仟元整）</w:t>
            </w:r>
            <w:r>
              <w:rPr>
                <w:rFonts w:hint="eastAsia" w:ascii="宋体" w:hAnsi="宋体" w:cs="Arial"/>
                <w:bCs/>
                <w:color w:val="000000"/>
                <w:kern w:val="0"/>
                <w:sz w:val="24"/>
                <w:highlight w:val="none"/>
              </w:rPr>
              <w:t>;服务期限</w:t>
            </w:r>
            <w:r>
              <w:rPr>
                <w:rFonts w:hint="eastAsia" w:ascii="宋体" w:hAnsi="宋体" w:cs="Arial"/>
                <w:bCs/>
                <w:color w:val="auto"/>
                <w:kern w:val="0"/>
                <w:sz w:val="24"/>
                <w:highlight w:val="none"/>
              </w:rPr>
              <w:t>:</w:t>
            </w:r>
            <w:r>
              <w:rPr>
                <w:rFonts w:hint="eastAsia" w:ascii="仿宋_GB2312" w:eastAsia="仿宋_GB2312"/>
                <w:color w:val="auto"/>
                <w:kern w:val="2"/>
                <w:sz w:val="28"/>
                <w:szCs w:val="28"/>
                <w:highlight w:val="none"/>
                <w:lang w:val="en-US" w:eastAsia="zh-CN" w:bidi="ar-SA"/>
              </w:rPr>
              <w:t>45天</w:t>
            </w:r>
            <w:r>
              <w:rPr>
                <w:rFonts w:hint="eastAsia" w:ascii="宋体" w:hAnsi="宋体" w:cs="Arial"/>
                <w:bCs/>
                <w:color w:val="000000"/>
                <w:kern w:val="0"/>
                <w:sz w:val="24"/>
                <w:highlight w:val="none"/>
              </w:rPr>
              <w:t>(具体情况由中标单位和业主在合同中约定);服务地点:</w:t>
            </w:r>
            <w:r>
              <w:rPr>
                <w:rFonts w:hint="eastAsia" w:ascii="宋体" w:hAnsi="宋体" w:cs="Arial"/>
                <w:bCs/>
                <w:color w:val="000000"/>
                <w:kern w:val="0"/>
                <w:sz w:val="24"/>
                <w:highlight w:val="none"/>
                <w:lang w:eastAsia="zh-CN"/>
              </w:rPr>
              <w:t>暂定</w:t>
            </w:r>
            <w:r>
              <w:rPr>
                <w:rFonts w:hint="eastAsia" w:ascii="宋体" w:hAnsi="宋体" w:cs="Arial"/>
                <w:bCs/>
                <w:color w:val="000000"/>
                <w:kern w:val="0"/>
                <w:sz w:val="24"/>
                <w:highlight w:val="none"/>
              </w:rPr>
              <w:t>巴楚县</w:t>
            </w:r>
            <w:r>
              <w:rPr>
                <w:rFonts w:hint="eastAsia" w:ascii="宋体" w:hAnsi="宋体" w:cs="Arial"/>
                <w:bCs/>
                <w:color w:val="000000"/>
                <w:kern w:val="0"/>
                <w:sz w:val="24"/>
                <w:highlight w:val="none"/>
                <w:lang w:eastAsia="zh-CN"/>
              </w:rPr>
              <w:t>第七中学</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10000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壹万元整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1月7日</w:t>
            </w:r>
            <w:r>
              <w:rPr>
                <w:rFonts w:ascii="仿宋_GB2312" w:eastAsia="仿宋_GB2312"/>
                <w:b/>
                <w:bCs/>
                <w:sz w:val="24"/>
                <w:highlight w:val="none"/>
              </w:rPr>
              <w:t>1</w:t>
            </w:r>
            <w:r>
              <w:rPr>
                <w:rFonts w:hint="eastAsia" w:ascii="仿宋_GB2312" w:eastAsia="仿宋_GB2312"/>
                <w:b/>
                <w:bCs/>
                <w:sz w:val="24"/>
                <w:highlight w:val="none"/>
              </w:rPr>
              <w:t>1时0</w:t>
            </w:r>
            <w:r>
              <w:rPr>
                <w:rFonts w:ascii="仿宋_GB2312" w:eastAsia="仿宋_GB2312"/>
                <w:b/>
                <w:bCs/>
                <w:sz w:val="24"/>
                <w:highlight w:val="none"/>
              </w:rPr>
              <w:t>0</w:t>
            </w:r>
            <w:r>
              <w:rPr>
                <w:rFonts w:hint="eastAsia" w:ascii="仿宋_GB2312" w:eastAsia="仿宋_GB2312"/>
                <w:b/>
                <w:bCs/>
                <w:sz w:val="24"/>
                <w:highlight w:val="none"/>
              </w:rPr>
              <w:t>分</w:t>
            </w:r>
            <w:r>
              <w:rPr>
                <w:rFonts w:hint="eastAsia" w:ascii="仿宋_GB2312" w:eastAsia="仿宋_GB2312"/>
                <w:b/>
                <w:bCs/>
                <w:sz w:val="24"/>
              </w:rPr>
              <w:t>（以到行政服务中心账户时间为准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账户名称：</w:t>
            </w:r>
            <w:r>
              <w:rPr>
                <w:rFonts w:hint="eastAsia" w:ascii="仿宋_GB2312" w:hAnsi="Times New Roman" w:eastAsia="仿宋_GB2312" w:cs="Times New Roman"/>
                <w:b/>
                <w:bCs/>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rPr>
              <w:t>投标截止时间</w:t>
            </w:r>
            <w:r>
              <w:rPr>
                <w:rFonts w:hint="eastAsia" w:ascii="宋体" w:hAnsi="宋体" w:cs="宋体"/>
                <w:sz w:val="24"/>
                <w:highlight w:val="none"/>
              </w:rPr>
              <w:t>：</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1月7日</w:t>
            </w:r>
            <w:r>
              <w:rPr>
                <w:rFonts w:hint="eastAsia" w:ascii="宋体" w:hAnsi="宋体" w:cs="宋体"/>
                <w:color w:val="000000"/>
                <w:sz w:val="24"/>
                <w:highlight w:val="none"/>
                <w:u w:val="single"/>
              </w:rPr>
              <w:t>上午11:00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1月7日</w:t>
            </w:r>
            <w:r>
              <w:rPr>
                <w:rFonts w:hint="eastAsia" w:ascii="宋体" w:hAnsi="宋体" w:cs="宋体"/>
                <w:color w:val="000000"/>
                <w:sz w:val="24"/>
                <w:highlight w:val="none"/>
                <w:u w:val="single"/>
              </w:rPr>
              <w:t>上午11:00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518923126"/>
      <w:bookmarkStart w:id="495" w:name="_Toc216582825"/>
      <w:bookmarkStart w:id="496" w:name="_Toc218935354"/>
      <w:bookmarkStart w:id="497" w:name="_Toc219175638"/>
      <w:bookmarkStart w:id="498" w:name="_Toc507399906"/>
      <w:bookmarkStart w:id="499" w:name="_Toc21132"/>
      <w:bookmarkStart w:id="500" w:name="_Toc216582811"/>
      <w:bookmarkStart w:id="501" w:name="_Toc512937852"/>
      <w:bookmarkStart w:id="502" w:name="_Toc29079_WPSOffice_Level1"/>
      <w:bookmarkStart w:id="503" w:name="_Toc218935351"/>
      <w:bookmarkStart w:id="504" w:name="_Toc7112"/>
      <w:bookmarkStart w:id="505" w:name="_Toc219175635"/>
      <w:bookmarkStart w:id="506" w:name="_Toc216513787"/>
      <w:r>
        <w:rPr>
          <w:rFonts w:hint="eastAsia" w:ascii="宋体" w:hAnsi="宋体" w:cs="宋体"/>
          <w:b/>
          <w:kern w:val="0"/>
          <w:sz w:val="32"/>
          <w:szCs w:val="32"/>
        </w:rPr>
        <w:t>资格审查表</w:t>
      </w:r>
    </w:p>
    <w:p>
      <w:pPr>
        <w:rPr>
          <w:rFonts w:ascii="宋体" w:hAnsi="宋体" w:cs="宋体"/>
        </w:rPr>
      </w:pPr>
    </w:p>
    <w:tbl>
      <w:tblPr>
        <w:tblStyle w:val="34"/>
        <w:tblW w:w="12733" w:type="dxa"/>
        <w:jc w:val="center"/>
        <w:tblLayout w:type="fixed"/>
        <w:tblCellMar>
          <w:top w:w="0" w:type="dxa"/>
          <w:left w:w="108" w:type="dxa"/>
          <w:bottom w:w="0" w:type="dxa"/>
          <w:right w:w="108" w:type="dxa"/>
        </w:tblCellMar>
      </w:tblPr>
      <w:tblGrid>
        <w:gridCol w:w="1484"/>
        <w:gridCol w:w="4460"/>
        <w:gridCol w:w="3464"/>
        <w:gridCol w:w="1923"/>
        <w:gridCol w:w="1402"/>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984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515647831"/>
      <w:bookmarkStart w:id="508" w:name="_Toc22779"/>
      <w:bookmarkStart w:id="509" w:name="_Toc9887"/>
      <w:bookmarkStart w:id="510" w:name="_Toc9032"/>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第5章</w:t>
      </w:r>
      <w:bookmarkEnd w:id="507"/>
      <w:bookmarkEnd w:id="508"/>
      <w:bookmarkEnd w:id="509"/>
      <w:bookmarkEnd w:id="510"/>
    </w:p>
    <w:p>
      <w:pPr>
        <w:ind w:left="2570"/>
        <w:rPr>
          <w:rFonts w:ascii="宋体" w:hAnsi="宋体"/>
          <w:b/>
          <w:color w:val="000000"/>
          <w:kern w:val="0"/>
          <w:sz w:val="24"/>
          <w:szCs w:val="20"/>
        </w:rPr>
      </w:pPr>
    </w:p>
    <w:p>
      <w:pPr>
        <w:jc w:val="center"/>
        <w:rPr>
          <w:rFonts w:hint="eastAsia" w:ascii="黑体" w:hAnsi="黑体" w:eastAsia="黑体" w:cs="黑体"/>
          <w:sz w:val="44"/>
          <w:szCs w:val="44"/>
        </w:rPr>
      </w:pPr>
      <w:bookmarkStart w:id="511" w:name="_Toc287112607"/>
      <w:bookmarkStart w:id="512" w:name="_Toc387416363"/>
      <w:bookmarkStart w:id="513" w:name="_Toc1213263"/>
      <w:bookmarkStart w:id="514" w:name="_Toc507399904"/>
      <w:r>
        <w:rPr>
          <w:rFonts w:hint="eastAsia" w:ascii="黑体" w:hAnsi="黑体" w:eastAsia="黑体" w:cs="黑体"/>
          <w:sz w:val="44"/>
          <w:szCs w:val="44"/>
        </w:rPr>
        <w:t>巴楚县2021年寒假中小学（幼儿园）教师国通语强化培训服务采购项目相关要求</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中央、国务院关于全面深化新时代教师队伍建设改革的实施意见》，为全面落实“一年强规范，两年提质量，三年树品牌”的总目标，紧扣《巴楚县三十件事工作方案》要求,不断提高教育系统教职工国家通用语言能力，现需对培训期间供餐服务进行招标。具体情况如下：</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一、项目基本情况</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本次培训采取线上线下相结合的形式，紧紧围绕国家通用语言能力提升这一目标，对</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不达标教师共450人</w:t>
      </w:r>
      <w:r>
        <w:rPr>
          <w:rFonts w:hint="eastAsia" w:ascii="仿宋_GB2312" w:hAnsi="仿宋_GB2312" w:eastAsia="仿宋_GB2312" w:cs="仿宋_GB2312"/>
          <w:sz w:val="32"/>
          <w:szCs w:val="32"/>
          <w:lang w:eastAsia="zh-CN"/>
        </w:rPr>
        <w:t>（根据前测情况可适当增加或减少）</w:t>
      </w:r>
      <w:r>
        <w:rPr>
          <w:rFonts w:hint="eastAsia" w:ascii="仿宋_GB2312" w:hAnsi="仿宋_GB2312" w:eastAsia="仿宋_GB2312" w:cs="仿宋_GB2312"/>
          <w:sz w:val="32"/>
          <w:szCs w:val="32"/>
        </w:rPr>
        <w:t>开展培训。先通过前测，诊断了解学员的</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现状与问题，通过专家讲座、情境体验、任务驱动、参与式等培训方式，再通过以“识”、“读”、“听”、“说”为主要形式的训练，帮助参训学员了解国</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语法规政策和标准规范，学习</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元素和发音方法、提高口语技能，</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达到国家标准水平，促进参训学员在教育教学工作中</w:t>
      </w:r>
      <w:r>
        <w:rPr>
          <w:rFonts w:hint="eastAsia" w:ascii="仿宋_GB2312" w:hAnsi="仿宋_GB2312" w:eastAsia="仿宋_GB2312" w:cs="仿宋_GB2312"/>
          <w:sz w:val="32"/>
          <w:szCs w:val="32"/>
          <w:lang w:eastAsia="zh-CN"/>
        </w:rPr>
        <w:t>达到国家要求水平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具体情况如下：</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val="en-US" w:eastAsia="zh-CN"/>
        </w:rPr>
        <w:t>1、培训时间</w:t>
      </w:r>
      <w:r>
        <w:rPr>
          <w:rFonts w:hint="eastAsia" w:ascii="仿宋_GB2312" w:hAnsi="仿宋_GB2312" w:eastAsia="仿宋_GB2312" w:cs="仿宋_GB2312"/>
          <w:sz w:val="32"/>
          <w:szCs w:val="32"/>
          <w:lang w:val="en-US" w:eastAsia="zh-CN"/>
        </w:rPr>
        <w:t>：2022年1月8日-2月15日（春节前20天，春节后10天）；</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sz w:val="32"/>
          <w:szCs w:val="32"/>
          <w:lang w:val="en-US" w:eastAsia="zh-CN"/>
        </w:rPr>
        <w:t>2、培训方式</w:t>
      </w:r>
      <w:r>
        <w:rPr>
          <w:rFonts w:hint="eastAsia" w:ascii="仿宋_GB2312" w:hAnsi="仿宋_GB2312" w:eastAsia="仿宋_GB2312" w:cs="仿宋_GB2312"/>
          <w:sz w:val="32"/>
          <w:szCs w:val="32"/>
          <w:lang w:val="en-US" w:eastAsia="zh-CN"/>
        </w:rPr>
        <w:t>：线上15天（线上培训时间以进修学校要求为准），线下15天集中培训。</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rPr>
        <w:t>二、采购相关要求</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1、为保证培训的针对性和培训效果，在培训前应对学员现有的</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使用水平的个体差异进行简要测评以确定其大致的等次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进而调整授课培训内容、采用差异化授课模式与方法最终提升其</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使用水平从而顺利通过水平测试。</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2、分级/分班授课安排：根据</w:t>
      </w:r>
      <w:r>
        <w:rPr>
          <w:rFonts w:hint="eastAsia" w:ascii="仿宋_GB2312" w:hAnsi="仿宋_GB2312" w:eastAsia="仿宋_GB2312" w:cs="仿宋_GB2312"/>
          <w:sz w:val="32"/>
          <w:szCs w:val="32"/>
          <w:lang w:eastAsia="zh-CN"/>
        </w:rPr>
        <w:t>国通语</w:t>
      </w:r>
      <w:r>
        <w:rPr>
          <w:rFonts w:hint="eastAsia" w:ascii="仿宋_GB2312" w:hAnsi="仿宋_GB2312" w:eastAsia="仿宋_GB2312" w:cs="仿宋_GB2312"/>
          <w:sz w:val="32"/>
          <w:szCs w:val="32"/>
        </w:rPr>
        <w:t>水平三级六等的等级设定及相应要求，以及前测数据了解的</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者具备的现有水平进行分级分班。原则上按45人/班配置。</w:t>
      </w:r>
    </w:p>
    <w:p>
      <w:pPr>
        <w:pStyle w:val="2"/>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3、师资力量：具有国家级评测证书最少提供1名，省级评测证书最少提供2名。</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rPr>
        <w:t>三、磋商范围</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1、根据培训项目遴选授课专家，制定课程计划，提供相关教学管理和服务。</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2、线上培训平台及相关课程，确保每位学员都有自己的独立账号。</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3、与培训相关的教材和资料。</w:t>
      </w:r>
    </w:p>
    <w:p>
      <w:pPr>
        <w:pageBreakBefore w:val="0"/>
        <w:kinsoku/>
        <w:wordWrap/>
        <w:overflowPunct/>
        <w:topLinePunct w:val="0"/>
        <w:autoSpaceDE/>
        <w:autoSpaceDN/>
        <w:bidi w:val="0"/>
        <w:adjustRightInd w:val="0"/>
        <w:snapToGrid w:val="0"/>
        <w:spacing w:line="520" w:lineRule="exact"/>
        <w:ind w:firstLine="643" w:firstLineChars="200"/>
        <w:textAlignment w:val="auto"/>
        <w:rPr>
          <w:rFonts w:ascii="楷体" w:hAnsi="楷体" w:eastAsia="楷体" w:cs="楷体"/>
          <w:b/>
          <w:sz w:val="32"/>
          <w:szCs w:val="32"/>
        </w:rPr>
      </w:pPr>
      <w:r>
        <w:rPr>
          <w:rFonts w:hint="eastAsia" w:ascii="楷体" w:hAnsi="楷体" w:eastAsia="楷体" w:cs="楷体"/>
          <w:b/>
          <w:sz w:val="32"/>
          <w:szCs w:val="32"/>
          <w:lang w:eastAsia="zh-CN"/>
        </w:rPr>
        <w:t>四、</w:t>
      </w:r>
      <w:r>
        <w:rPr>
          <w:rFonts w:hint="eastAsia" w:ascii="楷体" w:hAnsi="楷体" w:eastAsia="楷体" w:cs="楷体"/>
          <w:b/>
          <w:sz w:val="32"/>
          <w:szCs w:val="32"/>
        </w:rPr>
        <w:t>经费保障及管理</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费用由财政拨付的基本工资的2%及使用学校公用经费5%费用予以支付，</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服务按</w:t>
      </w:r>
      <w:r>
        <w:rPr>
          <w:rFonts w:hint="eastAsia" w:ascii="仿宋_GB2312" w:hAnsi="仿宋_GB2312" w:eastAsia="仿宋_GB2312" w:cs="仿宋_GB2312"/>
          <w:sz w:val="32"/>
          <w:szCs w:val="32"/>
        </w:rPr>
        <w:t>1700元/人（含线上平台使用费、教材费、资料费</w:t>
      </w:r>
      <w:r>
        <w:rPr>
          <w:rFonts w:hint="eastAsia" w:ascii="仿宋_GB2312" w:hAnsi="仿宋_GB2312" w:eastAsia="仿宋_GB2312" w:cs="仿宋_GB2312"/>
          <w:sz w:val="32"/>
          <w:szCs w:val="32"/>
          <w:lang w:eastAsia="zh-CN"/>
        </w:rPr>
        <w:t>、课时费、专家咨询费、师资往返交通及食宿费、其他有关师资的各项支出</w:t>
      </w:r>
      <w:r>
        <w:rPr>
          <w:rFonts w:hint="eastAsia" w:ascii="仿宋_GB2312" w:hAnsi="仿宋_GB2312" w:eastAsia="仿宋_GB2312" w:cs="仿宋_GB2312"/>
          <w:sz w:val="32"/>
          <w:szCs w:val="32"/>
        </w:rPr>
        <w:t>，不含普通话测试费）</w:t>
      </w:r>
      <w:r>
        <w:rPr>
          <w:rFonts w:hint="eastAsia" w:ascii="仿宋_GB2312" w:hAnsi="仿宋_GB2312" w:eastAsia="仿宋_GB2312" w:cs="仿宋_GB2312"/>
          <w:sz w:val="32"/>
          <w:szCs w:val="32"/>
          <w:lang w:val="en-US" w:eastAsia="zh-CN"/>
        </w:rPr>
        <w:t>予以实施，培训费用依据培训考核结果，</w:t>
      </w:r>
      <w:r>
        <w:rPr>
          <w:rFonts w:hint="eastAsia" w:ascii="仿宋_GB2312" w:hAnsi="仿宋_GB2312" w:eastAsia="仿宋_GB2312" w:cs="仿宋_GB2312"/>
          <w:sz w:val="32"/>
          <w:szCs w:val="32"/>
        </w:rPr>
        <w:t>培训结束后所有学员参加下一次自治区普通话统一测试，</w:t>
      </w:r>
      <w:r>
        <w:rPr>
          <w:rFonts w:hint="eastAsia" w:ascii="仿宋_GB2312" w:hAnsi="仿宋_GB2312" w:eastAsia="仿宋_GB2312" w:cs="仿宋_GB2312"/>
          <w:sz w:val="32"/>
          <w:szCs w:val="32"/>
          <w:lang w:eastAsia="zh-CN"/>
        </w:rPr>
        <w:t>由投标方负责协助报名工作，</w:t>
      </w:r>
      <w:r>
        <w:rPr>
          <w:rFonts w:hint="eastAsia" w:ascii="仿宋_GB2312" w:hAnsi="仿宋_GB2312" w:eastAsia="仿宋_GB2312" w:cs="仿宋_GB2312"/>
          <w:sz w:val="32"/>
          <w:szCs w:val="32"/>
        </w:rPr>
        <w:t>取得二级乙等及以上为合格，合格人数达到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0%，全额</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付培训费，合格人数达到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0%支付培训费，合格人数达到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0%支付培训费，以此类推，合格人数每下降10个点，扣出10%的培训费。</w:t>
      </w:r>
    </w:p>
    <w:p>
      <w:pPr>
        <w:pStyle w:val="4"/>
        <w:rPr>
          <w:rFonts w:hint="eastAsia"/>
          <w:sz w:val="24"/>
          <w:szCs w:val="24"/>
        </w:rPr>
      </w:pPr>
    </w:p>
    <w:p>
      <w:pPr>
        <w:pStyle w:val="4"/>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1"/>
      <w:bookmarkEnd w:id="512"/>
      <w:r>
        <w:rPr>
          <w:rFonts w:hint="eastAsia"/>
          <w:sz w:val="24"/>
          <w:szCs w:val="24"/>
        </w:rPr>
        <w:t>评标</w:t>
      </w:r>
      <w:bookmarkEnd w:id="513"/>
    </w:p>
    <w:p>
      <w:pPr>
        <w:pStyle w:val="6"/>
        <w:spacing w:before="72" w:after="72"/>
        <w:rPr>
          <w:szCs w:val="24"/>
        </w:rPr>
      </w:pPr>
      <w:bookmarkStart w:id="515" w:name="_Toc157176486"/>
      <w:bookmarkStart w:id="516" w:name="_Toc157179295"/>
      <w:bookmarkStart w:id="517" w:name="_Toc157182372"/>
      <w:bookmarkStart w:id="518" w:name="_Toc184891545"/>
      <w:bookmarkStart w:id="519" w:name="_Toc157179518"/>
      <w:bookmarkStart w:id="520" w:name="_Toc143596671"/>
      <w:bookmarkStart w:id="521" w:name="_Toc287112608"/>
      <w:bookmarkStart w:id="522" w:name="_Toc387416364"/>
      <w:bookmarkStart w:id="523" w:name="_Toc157176931"/>
      <w:bookmarkStart w:id="524" w:name="_Toc217102232"/>
      <w:bookmarkStart w:id="525" w:name="_Toc143596260"/>
      <w:bookmarkStart w:id="526" w:name="_Toc157179740"/>
      <w:bookmarkStart w:id="527" w:name="_Toc184891772"/>
      <w:bookmarkStart w:id="528" w:name="_Toc157175819"/>
      <w:bookmarkStart w:id="529" w:name="_Toc1213264"/>
      <w:r>
        <w:rPr>
          <w:rFonts w:hint="eastAsia"/>
          <w:szCs w:val="24"/>
        </w:rPr>
        <w:t>1</w:t>
      </w:r>
      <w:r>
        <w:rPr>
          <w:szCs w:val="24"/>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rPr>
        <w:t>开标</w:t>
      </w:r>
      <w:bookmarkEnd w:id="529"/>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color w:val="000000"/>
        </w:rPr>
      </w:pPr>
      <w:bookmarkStart w:id="530" w:name="_Toc184891546"/>
      <w:bookmarkStart w:id="531" w:name="_Toc157176932"/>
      <w:bookmarkStart w:id="532" w:name="_Toc143596261"/>
      <w:bookmarkStart w:id="533" w:name="_Toc217102233"/>
      <w:bookmarkStart w:id="534" w:name="_Toc143596672"/>
      <w:bookmarkStart w:id="535" w:name="_Toc157176487"/>
      <w:bookmarkStart w:id="536" w:name="_Toc157179519"/>
      <w:bookmarkStart w:id="537" w:name="_Toc157179296"/>
      <w:bookmarkStart w:id="538" w:name="_Toc157175820"/>
      <w:bookmarkStart w:id="539" w:name="_Toc387416365"/>
      <w:bookmarkStart w:id="540" w:name="_Toc157179741"/>
      <w:bookmarkStart w:id="541" w:name="_Toc157182373"/>
      <w:bookmarkStart w:id="542" w:name="_Toc184891773"/>
      <w:bookmarkStart w:id="543" w:name="_Toc287112609"/>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4"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4"/>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5" w:name="_Toc389087478"/>
      <w:bookmarkStart w:id="546" w:name="_Toc389085275"/>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5"/>
      <w:bookmarkEnd w:id="546"/>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7"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7"/>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48" w:name="_Toc1213265"/>
      <w:r>
        <w:rPr>
          <w:rFonts w:hint="eastAsia"/>
          <w:szCs w:val="24"/>
        </w:rPr>
        <w:t>3</w:t>
      </w:r>
      <w:r>
        <w:rPr>
          <w:szCs w:val="24"/>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rPr>
        <w:t>评标小组</w:t>
      </w:r>
      <w:bookmarkEnd w:id="548"/>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262"/>
      <w:bookmarkStart w:id="550" w:name="_Toc143596673"/>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1" w:name="_Toc387416366"/>
      <w:bookmarkStart w:id="552" w:name="_Toc184891774"/>
      <w:bookmarkStart w:id="553" w:name="_Toc287112610"/>
      <w:bookmarkStart w:id="554" w:name="_Toc1213266"/>
      <w:bookmarkStart w:id="555" w:name="_Toc217102234"/>
      <w:bookmarkStart w:id="556" w:name="_Toc184891547"/>
      <w:bookmarkStart w:id="557" w:name="_Toc157182374"/>
      <w:r>
        <w:rPr>
          <w:rFonts w:hint="eastAsia"/>
          <w:szCs w:val="24"/>
        </w:rPr>
        <w:t>4</w:t>
      </w:r>
      <w:r>
        <w:rPr>
          <w:szCs w:val="24"/>
        </w:rPr>
        <w:t>.</w:t>
      </w:r>
      <w:r>
        <w:rPr>
          <w:rFonts w:hint="eastAsia"/>
          <w:szCs w:val="24"/>
        </w:rPr>
        <w:t>评标</w:t>
      </w:r>
      <w:r>
        <w:rPr>
          <w:szCs w:val="24"/>
        </w:rPr>
        <w:t>办法和程序</w:t>
      </w:r>
      <w:bookmarkEnd w:id="549"/>
      <w:bookmarkEnd w:id="550"/>
      <w:bookmarkEnd w:id="551"/>
      <w:bookmarkEnd w:id="552"/>
      <w:bookmarkEnd w:id="553"/>
      <w:bookmarkEnd w:id="554"/>
      <w:bookmarkEnd w:id="555"/>
      <w:bookmarkEnd w:id="556"/>
      <w:bookmarkEnd w:id="557"/>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58" w:name="_Toc1213267"/>
      <w:r>
        <w:rPr>
          <w:rFonts w:hint="eastAsia"/>
          <w:szCs w:val="24"/>
        </w:rPr>
        <w:t>符合性审查表</w:t>
      </w:r>
      <w:bookmarkEnd w:id="558"/>
    </w:p>
    <w:p>
      <w:pPr>
        <w:ind w:left="-120"/>
        <w:jc w:val="left"/>
        <w:rPr>
          <w:bCs/>
          <w:szCs w:val="20"/>
        </w:rPr>
      </w:pPr>
      <w:r>
        <w:rPr>
          <w:rFonts w:hint="eastAsia"/>
          <w:bCs/>
          <w:szCs w:val="20"/>
        </w:rPr>
        <w:t>项目名称</w:t>
      </w:r>
      <w:r>
        <w:rPr>
          <w:bCs/>
          <w:szCs w:val="20"/>
        </w:rPr>
        <w:t>：</w:t>
      </w:r>
    </w:p>
    <w:tbl>
      <w:tblPr>
        <w:tblStyle w:val="3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4"/>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red"/>
        </w:rPr>
      </w:pPr>
      <w:bookmarkStart w:id="559" w:name="_Toc1213268"/>
      <w:r>
        <w:rPr>
          <w:rFonts w:hint="eastAsia"/>
          <w:color w:val="auto"/>
          <w:szCs w:val="24"/>
          <w:highlight w:val="red"/>
        </w:rPr>
        <w:t>商务、</w:t>
      </w:r>
      <w:r>
        <w:rPr>
          <w:color w:val="auto"/>
          <w:szCs w:val="24"/>
          <w:highlight w:val="red"/>
        </w:rPr>
        <w:t>技术评分细则表</w:t>
      </w:r>
      <w:bookmarkEnd w:id="559"/>
    </w:p>
    <w:tbl>
      <w:tblPr>
        <w:tblStyle w:val="34"/>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045"/>
        <w:gridCol w:w="941"/>
        <w:gridCol w:w="6163"/>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color w:val="auto"/>
                <w:szCs w:val="21"/>
                <w:highlight w:val="none"/>
              </w:rPr>
            </w:pPr>
            <w:r>
              <w:rPr>
                <w:color w:val="auto"/>
                <w:szCs w:val="21"/>
                <w:highlight w:val="none"/>
              </w:rPr>
              <w:t>序号</w:t>
            </w:r>
          </w:p>
        </w:tc>
        <w:tc>
          <w:tcPr>
            <w:tcW w:w="1045" w:type="dxa"/>
            <w:vAlign w:val="center"/>
          </w:tcPr>
          <w:p>
            <w:pPr>
              <w:jc w:val="center"/>
              <w:rPr>
                <w:color w:val="auto"/>
                <w:szCs w:val="21"/>
                <w:highlight w:val="none"/>
              </w:rPr>
            </w:pPr>
            <w:r>
              <w:rPr>
                <w:color w:val="auto"/>
                <w:szCs w:val="21"/>
                <w:highlight w:val="none"/>
              </w:rPr>
              <w:t>评审因素</w:t>
            </w:r>
          </w:p>
        </w:tc>
        <w:tc>
          <w:tcPr>
            <w:tcW w:w="941" w:type="dxa"/>
            <w:vAlign w:val="center"/>
          </w:tcPr>
          <w:p>
            <w:pPr>
              <w:jc w:val="center"/>
              <w:rPr>
                <w:color w:val="auto"/>
                <w:szCs w:val="21"/>
                <w:highlight w:val="none"/>
              </w:rPr>
            </w:pPr>
            <w:r>
              <w:rPr>
                <w:color w:val="auto"/>
                <w:szCs w:val="21"/>
                <w:highlight w:val="none"/>
              </w:rPr>
              <w:t>分值</w:t>
            </w:r>
          </w:p>
        </w:tc>
        <w:tc>
          <w:tcPr>
            <w:tcW w:w="6163"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color w:val="auto"/>
                <w:szCs w:val="21"/>
                <w:highlight w:val="none"/>
              </w:rPr>
            </w:pPr>
            <w:r>
              <w:rPr>
                <w:b/>
                <w:color w:val="auto"/>
                <w:szCs w:val="21"/>
                <w:highlight w:val="none"/>
              </w:rPr>
              <w:t>1</w:t>
            </w:r>
          </w:p>
        </w:tc>
        <w:tc>
          <w:tcPr>
            <w:tcW w:w="1045" w:type="dxa"/>
            <w:vAlign w:val="center"/>
          </w:tcPr>
          <w:p>
            <w:pPr>
              <w:rPr>
                <w:b/>
                <w:color w:val="auto"/>
                <w:szCs w:val="21"/>
                <w:highlight w:val="none"/>
              </w:rPr>
            </w:pPr>
            <w:r>
              <w:rPr>
                <w:rFonts w:hint="eastAsia"/>
                <w:b/>
                <w:color w:val="auto"/>
                <w:szCs w:val="21"/>
                <w:highlight w:val="none"/>
              </w:rPr>
              <w:t>响应报价</w:t>
            </w:r>
          </w:p>
        </w:tc>
        <w:tc>
          <w:tcPr>
            <w:tcW w:w="941" w:type="dxa"/>
            <w:vAlign w:val="center"/>
          </w:tcPr>
          <w:p>
            <w:pPr>
              <w:jc w:val="center"/>
              <w:rPr>
                <w:rFonts w:hint="default" w:eastAsia="宋体"/>
                <w:b/>
                <w:color w:val="auto"/>
                <w:szCs w:val="21"/>
                <w:highlight w:val="none"/>
                <w:lang w:val="en-US" w:eastAsia="zh-CN"/>
              </w:rPr>
            </w:pPr>
            <w:r>
              <w:rPr>
                <w:rFonts w:hint="eastAsia"/>
                <w:b/>
                <w:color w:val="auto"/>
                <w:szCs w:val="21"/>
                <w:highlight w:val="none"/>
                <w:lang w:val="en-US" w:eastAsia="zh-CN"/>
              </w:rPr>
              <w:t>30</w:t>
            </w:r>
          </w:p>
        </w:tc>
        <w:tc>
          <w:tcPr>
            <w:tcW w:w="6163" w:type="dxa"/>
            <w:vAlign w:val="center"/>
          </w:tcPr>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价格分统一采用低价优先法计算，即满足招标文件要求且最后报价最低的投标人的价格为评标基准价，其价格分为满分。</w:t>
            </w:r>
          </w:p>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投标人的价格分统一按照下列公式计算：</w:t>
            </w:r>
          </w:p>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投标报价得分=（评标基准价/最后投标报价）X价格权值X100</w:t>
            </w:r>
          </w:p>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供应商的价格分统一按照下列公式计算：</w:t>
            </w:r>
          </w:p>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项目评审过程中，不得去掉最后报价中的最高报价和最低报价。</w:t>
            </w:r>
          </w:p>
          <w:p>
            <w:pP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价格评审得分保留小数点后两位，第三位四舍五入。</w:t>
            </w:r>
          </w:p>
          <w:p>
            <w:pPr>
              <w:rPr>
                <w:color w:val="auto"/>
                <w:szCs w:val="21"/>
                <w:highlight w:val="none"/>
              </w:rPr>
            </w:pPr>
            <w:r>
              <w:rPr>
                <w:rFonts w:hint="eastAsia" w:ascii="宋体" w:hAnsi="宋体" w:eastAsia="宋体"/>
                <w:b/>
                <w:color w:val="auto"/>
                <w:szCs w:val="21"/>
                <w:highlight w:val="none"/>
                <w:lang w:val="en-US" w:eastAsia="zh-CN"/>
              </w:rPr>
              <w:t>综合得分最高者优先推荐。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1</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企业综合实力</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0-7</w:t>
            </w:r>
          </w:p>
        </w:tc>
        <w:tc>
          <w:tcPr>
            <w:tcW w:w="6163" w:type="dxa"/>
            <w:vAlign w:val="center"/>
          </w:tcPr>
          <w:p>
            <w:pPr>
              <w:jc w:val="left"/>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val="en-US" w:eastAsia="zh-CN" w:bidi="ar-SA"/>
              </w:rPr>
              <w:t>综合衡量各投标企业技术力量、企业实力，投标单位认为可证明企业实力的也可自行提供，横向对比，分值0-</w:t>
            </w:r>
            <w:r>
              <w:rPr>
                <w:rFonts w:hint="eastAsia" w:ascii="宋体" w:hAnsi="宋体" w:cs="Times New Roman"/>
                <w:color w:val="000000"/>
                <w:kern w:val="0"/>
                <w:sz w:val="24"/>
                <w:szCs w:val="20"/>
                <w:highlight w:val="none"/>
                <w:lang w:val="en-US" w:eastAsia="zh-CN" w:bidi="ar-SA"/>
              </w:rPr>
              <w:t>7</w:t>
            </w:r>
            <w:r>
              <w:rPr>
                <w:rFonts w:hint="eastAsia" w:ascii="宋体" w:hAnsi="宋体" w:eastAsia="宋体" w:cs="Times New Roman"/>
                <w:color w:val="000000"/>
                <w:kern w:val="0"/>
                <w:sz w:val="24"/>
                <w:szCs w:val="20"/>
                <w:highlight w:val="none"/>
                <w:lang w:val="en-US" w:eastAsia="zh-CN" w:bidi="ar-SA"/>
              </w:rPr>
              <w:t>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938" w:hRule="atLeast"/>
          <w:jc w:val="center"/>
        </w:trPr>
        <w:tc>
          <w:tcPr>
            <w:tcW w:w="51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2</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 w:hAnsi="仿宋" w:eastAsia="仿宋" w:cs="宋体"/>
                <w:spacing w:val="-2"/>
                <w:sz w:val="28"/>
                <w:szCs w:val="28"/>
                <w:highlight w:val="none"/>
                <w:lang w:eastAsia="zh-CN"/>
              </w:rPr>
              <w:t>师资力量</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0-12</w:t>
            </w:r>
          </w:p>
        </w:tc>
        <w:tc>
          <w:tcPr>
            <w:tcW w:w="6163" w:type="dxa"/>
            <w:vAlign w:val="center"/>
          </w:tcPr>
          <w:p>
            <w:pPr>
              <w:jc w:val="left"/>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val="en-US" w:eastAsia="zh-CN" w:bidi="ar-SA"/>
              </w:rPr>
              <w:t>具有国家级评测证书最少提供1名，省级评测证书最少提供2名。</w:t>
            </w:r>
          </w:p>
          <w:p>
            <w:pPr>
              <w:jc w:val="left"/>
              <w:rPr>
                <w:rFonts w:hint="default" w:ascii="仿宋_GB2312" w:hAnsi="仿宋_GB2312" w:eastAsia="仿宋_GB2312" w:cs="仿宋_GB2312"/>
                <w:color w:val="auto"/>
                <w:kern w:val="2"/>
                <w:sz w:val="28"/>
                <w:szCs w:val="28"/>
                <w:highlight w:val="none"/>
                <w:lang w:val="en-US" w:eastAsia="zh-CN" w:bidi="ar-SA"/>
              </w:rPr>
            </w:pPr>
            <w:r>
              <w:rPr>
                <w:rFonts w:hint="eastAsia" w:ascii="宋体" w:hAnsi="宋体" w:eastAsia="宋体" w:cs="Times New Roman"/>
                <w:color w:val="000000"/>
                <w:kern w:val="0"/>
                <w:sz w:val="24"/>
                <w:szCs w:val="20"/>
                <w:highlight w:val="none"/>
                <w:lang w:val="en-US" w:eastAsia="zh-CN" w:bidi="ar-SA"/>
              </w:rPr>
              <w:t>提供授课专家教师资格证书及国家级、省级普通话评测证书，国家级</w:t>
            </w:r>
            <w:r>
              <w:rPr>
                <w:rFonts w:hint="eastAsia" w:ascii="宋体" w:hAnsi="宋体" w:cs="Times New Roman"/>
                <w:color w:val="000000"/>
                <w:kern w:val="0"/>
                <w:sz w:val="24"/>
                <w:szCs w:val="20"/>
                <w:highlight w:val="none"/>
                <w:lang w:val="en-US" w:eastAsia="zh-CN" w:bidi="ar-SA"/>
              </w:rPr>
              <w:t>评测证书每多提供一位得2分，</w:t>
            </w:r>
            <w:r>
              <w:rPr>
                <w:rFonts w:hint="eastAsia" w:ascii="宋体" w:hAnsi="宋体" w:eastAsia="宋体" w:cs="Times New Roman"/>
                <w:color w:val="000000"/>
                <w:kern w:val="0"/>
                <w:sz w:val="24"/>
                <w:szCs w:val="20"/>
                <w:highlight w:val="none"/>
                <w:lang w:val="en-US" w:eastAsia="zh-CN" w:bidi="ar-SA"/>
              </w:rPr>
              <w:t>最高得</w:t>
            </w:r>
            <w:r>
              <w:rPr>
                <w:rFonts w:hint="eastAsia" w:ascii="宋体" w:hAnsi="宋体" w:cs="Times New Roman"/>
                <w:color w:val="000000"/>
                <w:kern w:val="0"/>
                <w:sz w:val="24"/>
                <w:szCs w:val="20"/>
                <w:highlight w:val="none"/>
                <w:lang w:val="en-US" w:eastAsia="zh-CN" w:bidi="ar-SA"/>
              </w:rPr>
              <w:t>6</w:t>
            </w:r>
            <w:r>
              <w:rPr>
                <w:rFonts w:hint="eastAsia" w:ascii="宋体" w:hAnsi="宋体" w:eastAsia="宋体" w:cs="Times New Roman"/>
                <w:color w:val="000000"/>
                <w:kern w:val="0"/>
                <w:sz w:val="24"/>
                <w:szCs w:val="20"/>
                <w:highlight w:val="none"/>
                <w:lang w:val="en-US" w:eastAsia="zh-CN" w:bidi="ar-SA"/>
              </w:rPr>
              <w:t>分</w:t>
            </w:r>
            <w:r>
              <w:rPr>
                <w:rFonts w:hint="eastAsia" w:ascii="宋体" w:hAnsi="宋体" w:cs="Times New Roman"/>
                <w:color w:val="000000"/>
                <w:kern w:val="0"/>
                <w:sz w:val="24"/>
                <w:szCs w:val="20"/>
                <w:highlight w:val="none"/>
                <w:lang w:val="en-US" w:eastAsia="zh-CN" w:bidi="ar-SA"/>
              </w:rPr>
              <w:t>。</w:t>
            </w:r>
            <w:r>
              <w:rPr>
                <w:rFonts w:hint="eastAsia" w:ascii="宋体" w:hAnsi="宋体" w:eastAsia="宋体" w:cs="Times New Roman"/>
                <w:color w:val="000000"/>
                <w:kern w:val="0"/>
                <w:sz w:val="24"/>
                <w:szCs w:val="20"/>
                <w:highlight w:val="none"/>
                <w:lang w:val="en-US" w:eastAsia="zh-CN" w:bidi="ar-SA"/>
              </w:rPr>
              <w:t>省级评测证书</w:t>
            </w:r>
            <w:r>
              <w:rPr>
                <w:rFonts w:hint="eastAsia" w:ascii="宋体" w:hAnsi="宋体" w:cs="Times New Roman"/>
                <w:color w:val="000000"/>
                <w:kern w:val="0"/>
                <w:sz w:val="24"/>
                <w:szCs w:val="20"/>
                <w:highlight w:val="none"/>
                <w:lang w:val="en-US" w:eastAsia="zh-CN" w:bidi="ar-SA"/>
              </w:rPr>
              <w:t>每多提供一位得1分，最高得6分。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41" w:hRule="atLeast"/>
          <w:jc w:val="center"/>
        </w:trPr>
        <w:tc>
          <w:tcPr>
            <w:tcW w:w="51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 w:hAnsi="仿宋" w:eastAsia="仿宋" w:cs="宋体"/>
                <w:spacing w:val="-2"/>
                <w:sz w:val="28"/>
                <w:szCs w:val="28"/>
                <w:highlight w:val="none"/>
              </w:rPr>
              <w:t>项目实施</w:t>
            </w:r>
            <w:r>
              <w:rPr>
                <w:rFonts w:hint="eastAsia" w:ascii="仿宋_GB2312" w:hAnsi="仿宋_GB2312" w:eastAsia="仿宋_GB2312" w:cs="仿宋_GB2312"/>
                <w:color w:val="auto"/>
                <w:sz w:val="28"/>
                <w:szCs w:val="28"/>
                <w:highlight w:val="none"/>
              </w:rPr>
              <w:t xml:space="preserve"> </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0-10</w:t>
            </w:r>
          </w:p>
        </w:tc>
        <w:tc>
          <w:tcPr>
            <w:tcW w:w="6163" w:type="dxa"/>
            <w:vAlign w:val="center"/>
          </w:tcPr>
          <w:p>
            <w:pPr>
              <w:jc w:val="left"/>
              <w:rPr>
                <w:rFonts w:hint="eastAsia" w:ascii="宋体" w:hAnsi="宋体" w:eastAsia="宋体" w:cs="Times New Roman"/>
                <w:color w:val="000000"/>
                <w:kern w:val="0"/>
                <w:sz w:val="24"/>
                <w:szCs w:val="20"/>
                <w:highlight w:val="none"/>
                <w:lang w:val="en-US" w:eastAsia="zh-CN" w:bidi="ar-SA"/>
              </w:rPr>
            </w:pPr>
            <w:r>
              <w:rPr>
                <w:rFonts w:hint="eastAsia" w:ascii="宋体" w:hAnsi="宋体" w:eastAsia="宋体" w:cs="Times New Roman"/>
                <w:color w:val="000000"/>
                <w:kern w:val="0"/>
                <w:sz w:val="24"/>
                <w:szCs w:val="20"/>
                <w:highlight w:val="none"/>
                <w:lang w:val="en-US" w:eastAsia="zh-CN" w:bidi="ar-SA"/>
              </w:rPr>
              <w:t>提供的项目管理、项目组织、质量保证、培训等方案合理可 行，实施思路清晰、人员安排合理、体系健全，确保项目按期保质完成。</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rPr>
              <w:t>优： 8-10 分，良： 5-8 分，一般： 0-5 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4</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宋体"/>
                <w:spacing w:val="-3"/>
                <w:sz w:val="28"/>
                <w:szCs w:val="28"/>
                <w:highlight w:val="none"/>
              </w:rPr>
              <w:t>系</w:t>
            </w:r>
            <w:r>
              <w:rPr>
                <w:rFonts w:hint="eastAsia" w:ascii="仿宋" w:hAnsi="仿宋" w:eastAsia="仿宋" w:cs="宋体"/>
                <w:spacing w:val="-2"/>
                <w:sz w:val="28"/>
                <w:szCs w:val="28"/>
                <w:highlight w:val="none"/>
              </w:rPr>
              <w:t>统设计</w:t>
            </w:r>
            <w:r>
              <w:rPr>
                <w:rFonts w:hint="eastAsia" w:ascii="仿宋" w:hAnsi="仿宋" w:eastAsia="仿宋" w:cs="宋体"/>
                <w:spacing w:val="-2"/>
                <w:sz w:val="28"/>
                <w:szCs w:val="28"/>
                <w:highlight w:val="none"/>
                <w:lang w:val="en-US" w:eastAsia="zh-CN"/>
              </w:rPr>
              <w:t>方</w:t>
            </w:r>
            <w:r>
              <w:rPr>
                <w:rFonts w:hint="eastAsia" w:ascii="仿宋" w:hAnsi="仿宋" w:eastAsia="仿宋" w:cs="宋体"/>
                <w:spacing w:val="-2"/>
                <w:sz w:val="28"/>
                <w:szCs w:val="28"/>
                <w:highlight w:val="none"/>
              </w:rPr>
              <w:t xml:space="preserve"> 案</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0-10</w:t>
            </w:r>
          </w:p>
        </w:tc>
        <w:tc>
          <w:tcPr>
            <w:tcW w:w="6163" w:type="dxa"/>
            <w:vAlign w:val="center"/>
          </w:tcPr>
          <w:p>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有健全的管理制度、学习流程、监督机制、信息反馈渠道及处理机制，培训管理指标能够达到甲方要求，建立和完善档案管理制度，体现标准化服务。</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rPr>
              <w:t>优：8-10分，良：5-8分，一般：0-</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51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5</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 w:hAnsi="仿宋" w:eastAsia="仿宋" w:cs="宋体"/>
                <w:spacing w:val="-2"/>
                <w:sz w:val="28"/>
                <w:szCs w:val="28"/>
                <w:highlight w:val="none"/>
              </w:rPr>
              <w:t>技术支持与售后服务</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0-8</w:t>
            </w:r>
          </w:p>
        </w:tc>
        <w:tc>
          <w:tcPr>
            <w:tcW w:w="6163" w:type="dxa"/>
            <w:vAlign w:val="center"/>
          </w:tcPr>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z w:val="28"/>
                <w:szCs w:val="28"/>
                <w:highlight w:val="none"/>
              </w:rPr>
              <w:t xml:space="preserve">具有完善的售后服务方案得 </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-8（包括未取得相应证书的解决办法）；售后服务方案较为合理的得0-4。具体由评委视具体情况给分。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511"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p>
        </w:tc>
        <w:tc>
          <w:tcPr>
            <w:tcW w:w="1045" w:type="dxa"/>
            <w:vAlign w:val="center"/>
          </w:tcPr>
          <w:p>
            <w:pPr>
              <w:jc w:val="center"/>
              <w:rPr>
                <w:rFonts w:hint="eastAsia" w:ascii="仿宋" w:hAnsi="仿宋" w:eastAsia="仿宋" w:cs="宋体"/>
                <w:spacing w:val="-2"/>
                <w:sz w:val="28"/>
                <w:szCs w:val="28"/>
                <w:highlight w:val="none"/>
                <w:lang w:eastAsia="zh-CN"/>
              </w:rPr>
            </w:pPr>
            <w:r>
              <w:rPr>
                <w:rFonts w:hint="eastAsia" w:ascii="仿宋" w:hAnsi="仿宋" w:eastAsia="仿宋" w:cs="宋体"/>
                <w:spacing w:val="-2"/>
                <w:sz w:val="28"/>
                <w:szCs w:val="28"/>
                <w:highlight w:val="none"/>
                <w:lang w:eastAsia="zh-CN"/>
              </w:rPr>
              <w:t>课程安排</w:t>
            </w:r>
          </w:p>
        </w:tc>
        <w:tc>
          <w:tcPr>
            <w:tcW w:w="941"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0-10</w:t>
            </w:r>
          </w:p>
        </w:tc>
        <w:tc>
          <w:tcPr>
            <w:tcW w:w="6163"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根据</w:t>
            </w:r>
            <w:r>
              <w:rPr>
                <w:rFonts w:hint="eastAsia" w:ascii="仿宋_GB2312" w:hAnsi="仿宋_GB2312" w:eastAsia="仿宋_GB2312" w:cs="仿宋_GB2312"/>
                <w:color w:val="auto"/>
                <w:sz w:val="28"/>
                <w:szCs w:val="28"/>
                <w:highlight w:val="none"/>
                <w:lang w:eastAsia="zh-CN"/>
              </w:rPr>
              <w:t>国通语</w:t>
            </w:r>
            <w:r>
              <w:rPr>
                <w:rFonts w:hint="eastAsia" w:ascii="仿宋_GB2312" w:hAnsi="仿宋_GB2312" w:eastAsia="仿宋_GB2312" w:cs="仿宋_GB2312"/>
                <w:color w:val="auto"/>
                <w:sz w:val="28"/>
                <w:szCs w:val="28"/>
                <w:highlight w:val="none"/>
              </w:rPr>
              <w:t>水平三级六等的等级设定及相应要求</w:t>
            </w:r>
            <w:r>
              <w:rPr>
                <w:rFonts w:hint="eastAsia" w:ascii="仿宋_GB2312" w:hAnsi="仿宋_GB2312" w:eastAsia="仿宋_GB2312" w:cs="仿宋_GB2312"/>
                <w:color w:val="auto"/>
                <w:sz w:val="28"/>
                <w:szCs w:val="28"/>
                <w:highlight w:val="none"/>
                <w:lang w:eastAsia="zh-CN"/>
              </w:rPr>
              <w:t>，提供课程安排合理。</w:t>
            </w:r>
          </w:p>
          <w:p>
            <w:pPr>
              <w:jc w:val="left"/>
              <w:rPr>
                <w:rFonts w:hint="eastAsia" w:ascii="仿宋" w:hAnsi="仿宋" w:eastAsia="仿宋_GB2312" w:cs="宋体"/>
                <w:spacing w:val="-2"/>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优：8-10 分， 良：5-7分，一般：0-4分。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51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7</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企业履约能力</w:t>
            </w:r>
          </w:p>
        </w:tc>
        <w:tc>
          <w:tcPr>
            <w:tcW w:w="94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0-8</w:t>
            </w:r>
          </w:p>
        </w:tc>
        <w:tc>
          <w:tcPr>
            <w:tcW w:w="6163" w:type="dxa"/>
            <w:vAlign w:val="center"/>
          </w:tcPr>
          <w:p>
            <w:pPr>
              <w:jc w:val="left"/>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投标单位自行提供近年项目履约能力及相关证明材料，投标单位自行阐述自己单位履约能力，证明对该项目履约无问题，不提供资料的不给分，由专家专家评委进行综合评定，视具体情况给分，分值0-</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财务状况</w:t>
            </w:r>
          </w:p>
        </w:tc>
        <w:tc>
          <w:tcPr>
            <w:tcW w:w="94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2</w:t>
            </w:r>
          </w:p>
        </w:tc>
        <w:tc>
          <w:tcPr>
            <w:tcW w:w="6163" w:type="dxa"/>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1.如会计师事务所出具的上一年度财务审计报告或银行出具的说明投标人商业信誉或结算情况等事项的证明文件；招标采购单位保留审核原件的权利。</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2.银行出具的证明文件应能说明该投标人与银行之间业务往来正常，证明企业信誉良好的企业征信报告或其他获得专家评委认定后认可有效的资料均可。</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9</w:t>
            </w: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标函质量</w:t>
            </w:r>
          </w:p>
        </w:tc>
        <w:tc>
          <w:tcPr>
            <w:tcW w:w="94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w:t>
            </w:r>
          </w:p>
        </w:tc>
        <w:tc>
          <w:tcPr>
            <w:tcW w:w="6163" w:type="dxa"/>
            <w:vAlign w:val="center"/>
          </w:tcPr>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根据投标文件标函编制内容完整、齐全、叙述严谨；投标文件无涂改、错页、漏页现象；投标文件内容不得重复性、反复性出现资料，具体由评委视具体情况给分，分值0-</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tc>
        <w:tc>
          <w:tcPr>
            <w:tcW w:w="104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合计</w:t>
            </w:r>
          </w:p>
        </w:tc>
        <w:tc>
          <w:tcPr>
            <w:tcW w:w="941"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100</w:t>
            </w:r>
          </w:p>
        </w:tc>
        <w:tc>
          <w:tcPr>
            <w:tcW w:w="6163"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tc>
      </w:tr>
    </w:tbl>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bookmarkEnd w:id="514"/>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0" w:name="_Toc12949_WPSOffice_Level1"/>
      <w:bookmarkStart w:id="561" w:name="_Toc21888_WPSOffice_Level1"/>
      <w:bookmarkStart w:id="562"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3" w:name="_Hlt487972895"/>
      <w:bookmarkEnd w:id="563"/>
      <w:bookmarkStart w:id="564" w:name="_Toc216513788"/>
      <w:bookmarkStart w:id="565" w:name="_Toc487900382"/>
    </w:p>
    <w:bookmarkEnd w:id="560"/>
    <w:bookmarkEnd w:id="561"/>
    <w:bookmarkEnd w:id="562"/>
    <w:bookmarkEnd w:id="564"/>
    <w:bookmarkEnd w:id="565"/>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1" w:type="default"/>
          <w:footerReference r:id="rId22"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6" w:name="_Toc28855"/>
      <w:bookmarkStart w:id="567" w:name="_Toc19273"/>
      <w:bookmarkStart w:id="568" w:name="_Toc22967"/>
      <w:bookmarkStart w:id="569" w:name="_Toc20421"/>
      <w:bookmarkStart w:id="570" w:name="_Toc15367"/>
      <w:r>
        <w:rPr>
          <w:rFonts w:hint="eastAsia" w:asciiTheme="minorEastAsia" w:hAnsiTheme="minorEastAsia" w:eastAsiaTheme="minorEastAsia" w:cstheme="minorEastAsia"/>
          <w:b/>
          <w:sz w:val="24"/>
        </w:rPr>
        <w:t>1.1 合同组成部分</w:t>
      </w:r>
      <w:bookmarkEnd w:id="566"/>
      <w:bookmarkEnd w:id="567"/>
      <w:bookmarkEnd w:id="568"/>
      <w:bookmarkEnd w:id="569"/>
      <w:bookmarkEnd w:id="5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1" w:name="_Toc6773"/>
      <w:bookmarkStart w:id="572" w:name="_Toc22185"/>
      <w:bookmarkStart w:id="573" w:name="_Toc18585"/>
      <w:bookmarkStart w:id="574" w:name="_Toc6311"/>
      <w:bookmarkStart w:id="575" w:name="_Toc2918"/>
      <w:r>
        <w:rPr>
          <w:rFonts w:hint="eastAsia" w:asciiTheme="minorEastAsia" w:hAnsiTheme="minorEastAsia" w:eastAsiaTheme="minorEastAsia" w:cstheme="minorEastAsia"/>
          <w:b/>
          <w:sz w:val="24"/>
        </w:rPr>
        <w:t>1.2 标的</w:t>
      </w:r>
      <w:bookmarkEnd w:id="571"/>
      <w:bookmarkEnd w:id="572"/>
      <w:bookmarkEnd w:id="573"/>
      <w:bookmarkEnd w:id="574"/>
      <w:bookmarkEnd w:id="575"/>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6" w:name="_Toc4929"/>
      <w:bookmarkStart w:id="577" w:name="_Toc13918"/>
      <w:bookmarkStart w:id="578" w:name="_Toc1386"/>
      <w:bookmarkStart w:id="579" w:name="_Toc21124"/>
      <w:bookmarkStart w:id="580" w:name="_Toc5635"/>
      <w:r>
        <w:rPr>
          <w:rFonts w:hint="eastAsia" w:asciiTheme="minorEastAsia" w:hAnsiTheme="minorEastAsia" w:eastAsiaTheme="minorEastAsia" w:cstheme="minorEastAsia"/>
          <w:b/>
          <w:sz w:val="24"/>
        </w:rPr>
        <w:t>1.3 价款</w:t>
      </w:r>
      <w:bookmarkEnd w:id="576"/>
      <w:bookmarkEnd w:id="577"/>
      <w:bookmarkEnd w:id="578"/>
      <w:bookmarkEnd w:id="579"/>
      <w:bookmarkEnd w:id="58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1" w:name="_Toc14993"/>
      <w:bookmarkStart w:id="582" w:name="_Toc30158"/>
      <w:bookmarkStart w:id="583" w:name="_Toc3654"/>
      <w:bookmarkStart w:id="584" w:name="_Toc30506"/>
      <w:bookmarkStart w:id="585" w:name="_Toc26916"/>
      <w:r>
        <w:rPr>
          <w:rFonts w:hint="eastAsia" w:asciiTheme="minorEastAsia" w:hAnsiTheme="minorEastAsia" w:eastAsiaTheme="minorEastAsia" w:cstheme="minorEastAsia"/>
          <w:b/>
          <w:sz w:val="24"/>
        </w:rPr>
        <w:t>1.4 付款方式和发票开具方式</w:t>
      </w:r>
      <w:bookmarkEnd w:id="581"/>
      <w:bookmarkEnd w:id="582"/>
      <w:bookmarkEnd w:id="583"/>
      <w:bookmarkEnd w:id="584"/>
      <w:bookmarkEnd w:id="5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6" w:name="_Toc11108"/>
      <w:bookmarkStart w:id="587" w:name="_Toc8772"/>
      <w:bookmarkStart w:id="588" w:name="_Toc3625"/>
      <w:bookmarkStart w:id="589" w:name="_Toc31421"/>
      <w:bookmarkStart w:id="590" w:name="_Toc4760"/>
      <w:r>
        <w:rPr>
          <w:rFonts w:hint="eastAsia" w:asciiTheme="minorEastAsia" w:hAnsiTheme="minorEastAsia" w:eastAsiaTheme="minorEastAsia" w:cstheme="minorEastAsia"/>
          <w:b/>
          <w:sz w:val="24"/>
        </w:rPr>
        <w:t>1.5 履行期限、地点和方式</w:t>
      </w:r>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1" w:name="_Toc3079"/>
      <w:bookmarkStart w:id="592" w:name="_Toc24662"/>
      <w:bookmarkStart w:id="593" w:name="_Toc2375"/>
      <w:bookmarkStart w:id="594" w:name="_Toc8586"/>
      <w:bookmarkStart w:id="595" w:name="_Toc5698"/>
      <w:r>
        <w:rPr>
          <w:rFonts w:hint="eastAsia" w:asciiTheme="minorEastAsia" w:hAnsiTheme="minorEastAsia" w:eastAsiaTheme="minorEastAsia" w:cstheme="minorEastAsia"/>
          <w:b/>
          <w:sz w:val="24"/>
        </w:rPr>
        <w:t>1.6 违约责任</w:t>
      </w:r>
      <w:bookmarkEnd w:id="591"/>
      <w:bookmarkEnd w:id="592"/>
      <w:bookmarkEnd w:id="593"/>
      <w:bookmarkEnd w:id="594"/>
      <w:bookmarkEnd w:id="59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6" w:name="_Toc9497"/>
      <w:bookmarkStart w:id="597" w:name="_Toc18683"/>
      <w:bookmarkStart w:id="598" w:name="_Toc26807"/>
      <w:bookmarkStart w:id="599" w:name="_Toc30329"/>
      <w:bookmarkStart w:id="600" w:name="_Toc32454"/>
      <w:r>
        <w:rPr>
          <w:rFonts w:hint="eastAsia" w:asciiTheme="minorEastAsia" w:hAnsiTheme="minorEastAsia" w:eastAsiaTheme="minorEastAsia" w:cstheme="minorEastAsia"/>
          <w:b/>
          <w:sz w:val="24"/>
        </w:rPr>
        <w:t>1.7 合同争议的解决</w:t>
      </w:r>
      <w:bookmarkEnd w:id="596"/>
      <w:bookmarkEnd w:id="597"/>
      <w:bookmarkEnd w:id="598"/>
      <w:bookmarkEnd w:id="599"/>
      <w:bookmarkEnd w:id="6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1" w:name="_Toc26227"/>
      <w:bookmarkStart w:id="602" w:name="_Toc16417"/>
      <w:bookmarkStart w:id="603" w:name="_Toc15827"/>
      <w:bookmarkStart w:id="604" w:name="_Toc12273"/>
      <w:bookmarkStart w:id="605" w:name="_Toc23784"/>
      <w:r>
        <w:rPr>
          <w:rFonts w:hint="eastAsia" w:asciiTheme="minorEastAsia" w:hAnsiTheme="minorEastAsia" w:eastAsiaTheme="minorEastAsia" w:cstheme="minorEastAsia"/>
          <w:b/>
          <w:sz w:val="24"/>
        </w:rPr>
        <w:t>1.8 合同生效</w:t>
      </w:r>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6" w:name="_Toc331685783"/>
    </w:p>
    <w:p>
      <w:pPr>
        <w:widowControl/>
        <w:spacing w:line="560" w:lineRule="exact"/>
        <w:jc w:val="left"/>
        <w:rPr>
          <w:rFonts w:asciiTheme="minorEastAsia" w:hAnsiTheme="minorEastAsia" w:eastAsiaTheme="minorEastAsia" w:cstheme="minorEastAsia"/>
          <w:b/>
          <w:kern w:val="0"/>
          <w:sz w:val="24"/>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6"/>
    </w:p>
    <w:p>
      <w:pPr>
        <w:spacing w:line="560" w:lineRule="exact"/>
        <w:ind w:firstLine="482" w:firstLineChars="200"/>
        <w:outlineLvl w:val="0"/>
        <w:rPr>
          <w:rFonts w:asciiTheme="minorEastAsia" w:hAnsiTheme="minorEastAsia" w:eastAsiaTheme="minorEastAsia" w:cstheme="minorEastAsia"/>
          <w:b/>
          <w:sz w:val="24"/>
        </w:rPr>
      </w:pPr>
      <w:bookmarkStart w:id="607" w:name="_Ref467379195"/>
      <w:bookmarkStart w:id="608" w:name="_Toc25079"/>
      <w:bookmarkStart w:id="609" w:name="_Ref467378404"/>
      <w:bookmarkStart w:id="610" w:name="_Toc487900349"/>
      <w:bookmarkStart w:id="611" w:name="_Toc14021"/>
      <w:bookmarkStart w:id="612" w:name="_Ref467379109"/>
      <w:bookmarkStart w:id="613" w:name="_Ref467379205"/>
      <w:bookmarkStart w:id="614" w:name="_Ref467378463"/>
      <w:bookmarkStart w:id="615" w:name="_Toc259093669"/>
      <w:bookmarkStart w:id="616" w:name="_Toc5228"/>
      <w:bookmarkStart w:id="617" w:name="_Ref467379214"/>
      <w:bookmarkStart w:id="618" w:name="_Toc279701240"/>
      <w:bookmarkStart w:id="619" w:name="_Ref467378499"/>
      <w:bookmarkStart w:id="620" w:name="_Toc31297"/>
      <w:bookmarkStart w:id="621" w:name="_Ref467379225"/>
      <w:bookmarkStart w:id="622" w:name="_Ref467379094"/>
      <w:bookmarkStart w:id="623" w:name="_Toc19680"/>
      <w:bookmarkStart w:id="624" w:name="_Ref467379101"/>
      <w:r>
        <w:rPr>
          <w:rFonts w:hint="eastAsia" w:asciiTheme="minorEastAsia" w:hAnsiTheme="minorEastAsia" w:eastAsiaTheme="minorEastAsia" w:cstheme="minorEastAsia"/>
          <w:b/>
          <w:sz w:val="24"/>
        </w:rPr>
        <w:t>2.1 定义</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5" w:name="_Ref467378840"/>
      <w:r>
        <w:rPr>
          <w:rFonts w:hint="eastAsia" w:asciiTheme="minorEastAsia" w:hAnsiTheme="minorEastAsia" w:eastAsiaTheme="minorEastAsia" w:cstheme="minorEastAsia"/>
          <w:sz w:val="24"/>
        </w:rPr>
        <w:t>2.1.4 “甲方”系指与中标供应商签署合同的采购人</w:t>
      </w:r>
      <w:bookmarkEnd w:id="625"/>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6" w:name="_Ref467379400"/>
      <w:r>
        <w:rPr>
          <w:rFonts w:hint="eastAsia" w:asciiTheme="minorEastAsia" w:hAnsiTheme="minorEastAsia" w:eastAsiaTheme="minorEastAsia" w:cstheme="minorEastAsia"/>
          <w:sz w:val="24"/>
        </w:rPr>
        <w:t>2.1.5“乙方”系指根据合同约定提供服务的中标供应商</w:t>
      </w:r>
      <w:bookmarkEnd w:id="626"/>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7" w:name="_Ref467379436"/>
      <w:r>
        <w:rPr>
          <w:rFonts w:hint="eastAsia" w:asciiTheme="minorEastAsia" w:hAnsiTheme="minorEastAsia" w:eastAsiaTheme="minorEastAsia" w:cstheme="minorEastAsia"/>
          <w:sz w:val="24"/>
        </w:rPr>
        <w:t>2.1.6 “现场”系指合同约定提供服务的地点。</w:t>
      </w:r>
      <w:bookmarkEnd w:id="627"/>
    </w:p>
    <w:p>
      <w:pPr>
        <w:spacing w:line="560" w:lineRule="exact"/>
        <w:ind w:firstLine="482" w:firstLineChars="200"/>
        <w:outlineLvl w:val="0"/>
        <w:rPr>
          <w:rFonts w:asciiTheme="minorEastAsia" w:hAnsiTheme="minorEastAsia" w:eastAsiaTheme="minorEastAsia" w:cstheme="minorEastAsia"/>
          <w:b/>
          <w:sz w:val="24"/>
        </w:rPr>
      </w:pPr>
      <w:bookmarkStart w:id="628" w:name="_Toc487900350"/>
      <w:bookmarkStart w:id="629" w:name="_Toc3769"/>
      <w:bookmarkStart w:id="630" w:name="_Toc31402"/>
      <w:bookmarkStart w:id="631" w:name="_Toc23289"/>
      <w:bookmarkStart w:id="632" w:name="_Toc259093670"/>
      <w:bookmarkStart w:id="633" w:name="_Toc16752"/>
      <w:bookmarkStart w:id="634" w:name="_Toc279701241"/>
      <w:bookmarkStart w:id="635" w:name="_Toc19539"/>
      <w:r>
        <w:rPr>
          <w:rFonts w:hint="eastAsia" w:asciiTheme="minorEastAsia" w:hAnsiTheme="minorEastAsia" w:eastAsiaTheme="minorEastAsia" w:cstheme="minorEastAsia"/>
          <w:b/>
          <w:sz w:val="24"/>
        </w:rPr>
        <w:t>2.2 技术规范</w:t>
      </w:r>
      <w:bookmarkEnd w:id="628"/>
      <w:bookmarkEnd w:id="629"/>
      <w:bookmarkEnd w:id="630"/>
      <w:bookmarkEnd w:id="631"/>
      <w:bookmarkEnd w:id="632"/>
      <w:bookmarkEnd w:id="633"/>
      <w:bookmarkEnd w:id="634"/>
      <w:bookmarkEnd w:id="6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6" w:name="_Toc12412"/>
      <w:bookmarkStart w:id="637" w:name="_Toc27945"/>
      <w:bookmarkStart w:id="638" w:name="_Toc259093671"/>
      <w:bookmarkStart w:id="639" w:name="_Toc279701242"/>
      <w:bookmarkStart w:id="640" w:name="_Toc4133"/>
      <w:bookmarkStart w:id="641" w:name="_Toc13673"/>
      <w:bookmarkStart w:id="642" w:name="_Toc487900351"/>
      <w:bookmarkStart w:id="643" w:name="_Toc9161"/>
      <w:r>
        <w:rPr>
          <w:rFonts w:hint="eastAsia" w:asciiTheme="minorEastAsia" w:hAnsiTheme="minorEastAsia" w:eastAsiaTheme="minorEastAsia" w:cstheme="minorEastAsia"/>
          <w:b/>
          <w:sz w:val="24"/>
        </w:rPr>
        <w:t>2.3 知识产权</w:t>
      </w:r>
      <w:bookmarkEnd w:id="636"/>
      <w:bookmarkEnd w:id="637"/>
      <w:bookmarkEnd w:id="638"/>
      <w:bookmarkEnd w:id="639"/>
      <w:bookmarkEnd w:id="640"/>
      <w:bookmarkEnd w:id="641"/>
      <w:bookmarkEnd w:id="642"/>
      <w:bookmarkEnd w:id="64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4" w:name="_Ref467379657"/>
      <w:r>
        <w:rPr>
          <w:rFonts w:hint="eastAsia" w:asciiTheme="minorEastAsia" w:hAnsiTheme="minorEastAsia" w:eastAsiaTheme="minorEastAsia" w:cstheme="minorEastAsia"/>
          <w:sz w:val="24"/>
        </w:rPr>
        <w:t>2.4.1</w:t>
      </w:r>
      <w:bookmarkEnd w:id="644"/>
      <w:bookmarkStart w:id="645" w:name="_Toc186431854"/>
      <w:bookmarkStart w:id="646" w:name="_Ref467379807"/>
      <w:bookmarkStart w:id="647" w:name="_Toc279701247"/>
      <w:bookmarkStart w:id="648" w:name="_Toc487900357"/>
      <w:bookmarkStart w:id="649" w:name="_Ref467379793"/>
      <w:bookmarkStart w:id="650" w:name="_Toc259093676"/>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5"/>
      <w:bookmarkStart w:id="651" w:name="_Toc186431855"/>
      <w:r>
        <w:rPr>
          <w:rFonts w:hint="eastAsia" w:asciiTheme="minorEastAsia" w:hAnsiTheme="minorEastAsia" w:eastAsiaTheme="minorEastAsia" w:cstheme="minorEastAsia"/>
          <w:sz w:val="24"/>
        </w:rPr>
        <w:t>。</w:t>
      </w:r>
    </w:p>
    <w:bookmarkEnd w:id="651"/>
    <w:p>
      <w:pPr>
        <w:spacing w:line="560" w:lineRule="exact"/>
        <w:ind w:firstLine="482" w:firstLineChars="200"/>
        <w:outlineLvl w:val="0"/>
        <w:rPr>
          <w:rFonts w:asciiTheme="minorEastAsia" w:hAnsiTheme="minorEastAsia" w:eastAsiaTheme="minorEastAsia" w:cstheme="minorEastAsia"/>
          <w:b/>
          <w:sz w:val="24"/>
        </w:rPr>
      </w:pPr>
      <w:bookmarkStart w:id="652" w:name="_Toc22011"/>
      <w:bookmarkStart w:id="653" w:name="_Toc26555"/>
      <w:bookmarkStart w:id="654" w:name="_Toc15447"/>
      <w:bookmarkStart w:id="655" w:name="_Toc32670"/>
      <w:bookmarkStart w:id="656" w:name="_Toc31233"/>
      <w:r>
        <w:rPr>
          <w:rFonts w:hint="eastAsia" w:asciiTheme="minorEastAsia" w:hAnsiTheme="minorEastAsia" w:eastAsiaTheme="minorEastAsia" w:cstheme="minorEastAsia"/>
          <w:b/>
          <w:sz w:val="24"/>
        </w:rPr>
        <w:t>2.5 结算方式和付款条件</w:t>
      </w:r>
      <w:bookmarkEnd w:id="646"/>
      <w:bookmarkEnd w:id="647"/>
      <w:bookmarkEnd w:id="648"/>
      <w:bookmarkEnd w:id="649"/>
      <w:bookmarkEnd w:id="650"/>
      <w:bookmarkEnd w:id="652"/>
      <w:bookmarkEnd w:id="653"/>
      <w:bookmarkEnd w:id="654"/>
      <w:bookmarkEnd w:id="655"/>
      <w:bookmarkEnd w:id="65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7" w:name="_Toc259093677"/>
      <w:bookmarkStart w:id="658" w:name="_Toc487900358"/>
      <w:bookmarkStart w:id="659" w:name="_Ref467379923"/>
      <w:bookmarkStart w:id="660" w:name="_Ref467379863"/>
      <w:bookmarkStart w:id="661" w:name="_Ref467379852"/>
      <w:bookmarkStart w:id="662" w:name="_Toc279701248"/>
      <w:bookmarkStart w:id="663" w:name="_Toc18990"/>
      <w:bookmarkStart w:id="664" w:name="_Toc30507"/>
      <w:bookmarkStart w:id="665" w:name="_Toc13467"/>
      <w:bookmarkStart w:id="666" w:name="_Toc13154"/>
      <w:bookmarkStart w:id="667" w:name="_Toc16163"/>
      <w:r>
        <w:rPr>
          <w:rFonts w:hint="eastAsia" w:asciiTheme="minorEastAsia" w:hAnsiTheme="minorEastAsia" w:eastAsiaTheme="minorEastAsia" w:cstheme="minorEastAsia"/>
          <w:b/>
          <w:sz w:val="24"/>
        </w:rPr>
        <w:t>2.6 技术资料</w:t>
      </w:r>
      <w:bookmarkEnd w:id="657"/>
      <w:bookmarkEnd w:id="658"/>
      <w:bookmarkEnd w:id="659"/>
      <w:bookmarkEnd w:id="660"/>
      <w:bookmarkEnd w:id="661"/>
      <w:bookmarkEnd w:id="662"/>
      <w:r>
        <w:rPr>
          <w:rFonts w:hint="eastAsia" w:asciiTheme="minorEastAsia" w:hAnsiTheme="minorEastAsia" w:eastAsiaTheme="minorEastAsia" w:cstheme="minorEastAsia"/>
          <w:b/>
          <w:sz w:val="24"/>
        </w:rPr>
        <w:t>和保密义务</w:t>
      </w:r>
      <w:bookmarkEnd w:id="663"/>
      <w:bookmarkEnd w:id="664"/>
      <w:bookmarkEnd w:id="665"/>
      <w:bookmarkEnd w:id="666"/>
      <w:bookmarkEnd w:id="66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68" w:name="_Toc19069"/>
      <w:bookmarkStart w:id="669" w:name="_Toc259093681"/>
      <w:bookmarkStart w:id="670" w:name="_Toc487900362"/>
      <w:bookmarkStart w:id="671" w:name="_Toc279701252"/>
      <w:r>
        <w:rPr>
          <w:rFonts w:hint="eastAsia" w:asciiTheme="minorEastAsia" w:hAnsiTheme="minorEastAsia" w:eastAsiaTheme="minorEastAsia" w:cstheme="minorEastAsia"/>
          <w:b/>
          <w:sz w:val="24"/>
        </w:rPr>
        <w:t>2.7 质量保证</w:t>
      </w:r>
      <w:bookmarkEnd w:id="6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2" w:name="_Toc22267"/>
      <w:r>
        <w:rPr>
          <w:rFonts w:hint="eastAsia" w:asciiTheme="minorEastAsia" w:hAnsiTheme="minorEastAsia" w:eastAsiaTheme="minorEastAsia" w:cstheme="minorEastAsia"/>
          <w:b/>
          <w:sz w:val="24"/>
        </w:rPr>
        <w:t>2.8 延迟</w:t>
      </w:r>
      <w:bookmarkEnd w:id="669"/>
      <w:bookmarkEnd w:id="670"/>
      <w:bookmarkEnd w:id="671"/>
      <w:r>
        <w:rPr>
          <w:rFonts w:hint="eastAsia" w:asciiTheme="minorEastAsia" w:hAnsiTheme="minorEastAsia" w:eastAsiaTheme="minorEastAsia" w:cstheme="minorEastAsia"/>
          <w:b/>
          <w:sz w:val="24"/>
        </w:rPr>
        <w:t>履行</w:t>
      </w:r>
      <w:bookmarkEnd w:id="6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3" w:name="_Toc10611"/>
      <w:bookmarkStart w:id="674" w:name="_Toc487900364"/>
      <w:bookmarkStart w:id="675" w:name="_Ref467378121"/>
      <w:bookmarkStart w:id="676" w:name="_Toc279701254"/>
      <w:bookmarkStart w:id="677" w:name="_Toc259093683"/>
      <w:r>
        <w:rPr>
          <w:rFonts w:hint="eastAsia" w:asciiTheme="minorEastAsia" w:hAnsiTheme="minorEastAsia" w:eastAsiaTheme="minorEastAsia" w:cstheme="minorEastAsia"/>
          <w:b/>
          <w:sz w:val="24"/>
        </w:rPr>
        <w:t>2.9 合同变更</w:t>
      </w:r>
      <w:bookmarkEnd w:id="6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78" w:name="_Toc259093688"/>
      <w:bookmarkStart w:id="679" w:name="_Toc279701259"/>
      <w:bookmarkStart w:id="680" w:name="_Toc487900369"/>
    </w:p>
    <w:p>
      <w:pPr>
        <w:spacing w:line="560" w:lineRule="exact"/>
        <w:ind w:firstLine="482" w:firstLineChars="200"/>
        <w:outlineLvl w:val="0"/>
        <w:rPr>
          <w:rFonts w:asciiTheme="minorEastAsia" w:hAnsiTheme="minorEastAsia" w:eastAsiaTheme="minorEastAsia" w:cstheme="minorEastAsia"/>
          <w:b/>
          <w:sz w:val="24"/>
        </w:rPr>
      </w:pPr>
      <w:bookmarkStart w:id="681" w:name="_Toc10663"/>
      <w:bookmarkStart w:id="682" w:name="_Toc26689"/>
      <w:bookmarkStart w:id="683" w:name="_Toc23368"/>
      <w:bookmarkStart w:id="684" w:name="_Toc42"/>
      <w:bookmarkStart w:id="685" w:name="_Toc21830"/>
      <w:r>
        <w:rPr>
          <w:rFonts w:hint="eastAsia" w:asciiTheme="minorEastAsia" w:hAnsiTheme="minorEastAsia" w:eastAsiaTheme="minorEastAsia" w:cstheme="minorEastAsia"/>
          <w:b/>
          <w:sz w:val="24"/>
        </w:rPr>
        <w:t>2.10 合同转让</w:t>
      </w:r>
      <w:bookmarkEnd w:id="678"/>
      <w:bookmarkEnd w:id="679"/>
      <w:bookmarkEnd w:id="680"/>
      <w:r>
        <w:rPr>
          <w:rFonts w:hint="eastAsia" w:asciiTheme="minorEastAsia" w:hAnsiTheme="minorEastAsia" w:eastAsiaTheme="minorEastAsia" w:cstheme="minorEastAsia"/>
          <w:b/>
          <w:sz w:val="24"/>
        </w:rPr>
        <w:t>和分包</w:t>
      </w:r>
      <w:bookmarkEnd w:id="681"/>
      <w:bookmarkEnd w:id="682"/>
      <w:bookmarkEnd w:id="683"/>
      <w:bookmarkEnd w:id="684"/>
      <w:bookmarkEnd w:id="6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6" w:name="_Toc32494"/>
      <w:bookmarkStart w:id="687" w:name="_Toc14371"/>
      <w:bookmarkStart w:id="688" w:name="_Toc4720"/>
      <w:bookmarkStart w:id="689" w:name="_Toc26633"/>
      <w:bookmarkStart w:id="690" w:name="_Toc25571"/>
      <w:r>
        <w:rPr>
          <w:rFonts w:hint="eastAsia" w:asciiTheme="minorEastAsia" w:hAnsiTheme="minorEastAsia" w:eastAsiaTheme="minorEastAsia" w:cstheme="minorEastAsia"/>
          <w:b/>
          <w:sz w:val="24"/>
        </w:rPr>
        <w:t>2.11 不可抗力</w:t>
      </w:r>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1" w:name="_Toc25783"/>
      <w:bookmarkStart w:id="692" w:name="_Toc259093684"/>
      <w:bookmarkStart w:id="693" w:name="_Toc279701255"/>
      <w:bookmarkStart w:id="694" w:name="_Toc487900365"/>
      <w:bookmarkStart w:id="695" w:name="_Toc14115"/>
      <w:bookmarkStart w:id="696" w:name="_Toc23854"/>
      <w:bookmarkStart w:id="697" w:name="_Toc24465"/>
      <w:bookmarkStart w:id="698" w:name="_Toc3638"/>
      <w:r>
        <w:rPr>
          <w:rFonts w:hint="eastAsia" w:asciiTheme="minorEastAsia" w:hAnsiTheme="minorEastAsia" w:eastAsiaTheme="minorEastAsia" w:cstheme="minorEastAsia"/>
          <w:b/>
          <w:sz w:val="24"/>
        </w:rPr>
        <w:t>2.12 税费</w:t>
      </w:r>
      <w:bookmarkEnd w:id="691"/>
      <w:bookmarkEnd w:id="692"/>
      <w:bookmarkEnd w:id="693"/>
      <w:bookmarkEnd w:id="694"/>
      <w:bookmarkEnd w:id="695"/>
      <w:bookmarkEnd w:id="696"/>
      <w:bookmarkEnd w:id="697"/>
      <w:bookmarkEnd w:id="6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99" w:name="_Toc279701258"/>
      <w:bookmarkStart w:id="700" w:name="_Toc14814"/>
      <w:bookmarkStart w:id="701" w:name="_Toc7315"/>
      <w:bookmarkStart w:id="702" w:name="_Toc259093687"/>
      <w:bookmarkStart w:id="703" w:name="_Toc487900368"/>
      <w:bookmarkStart w:id="704" w:name="_Toc30105"/>
      <w:bookmarkStart w:id="705" w:name="_Toc25525"/>
      <w:bookmarkStart w:id="706" w:name="_Toc26883"/>
      <w:r>
        <w:rPr>
          <w:rFonts w:hint="eastAsia" w:asciiTheme="minorEastAsia" w:hAnsiTheme="minorEastAsia" w:eastAsiaTheme="minorEastAsia" w:cstheme="minorEastAsia"/>
          <w:b/>
          <w:sz w:val="24"/>
        </w:rPr>
        <w:t>2.13 乙方破产</w:t>
      </w:r>
      <w:bookmarkEnd w:id="699"/>
      <w:bookmarkEnd w:id="700"/>
      <w:bookmarkEnd w:id="701"/>
      <w:bookmarkEnd w:id="702"/>
      <w:bookmarkEnd w:id="703"/>
      <w:bookmarkEnd w:id="704"/>
      <w:bookmarkEnd w:id="705"/>
      <w:bookmarkEnd w:id="70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7" w:name="_Toc2016"/>
      <w:bookmarkStart w:id="708" w:name="_Toc23323"/>
      <w:bookmarkStart w:id="709" w:name="_Toc1123"/>
      <w:r>
        <w:rPr>
          <w:rFonts w:hint="eastAsia" w:asciiTheme="minorEastAsia" w:hAnsiTheme="minorEastAsia" w:eastAsiaTheme="minorEastAsia" w:cstheme="minorEastAsia"/>
          <w:b/>
          <w:sz w:val="24"/>
        </w:rPr>
        <w:t>2.14 合同中止、终止</w:t>
      </w:r>
      <w:bookmarkEnd w:id="707"/>
      <w:bookmarkEnd w:id="708"/>
      <w:bookmarkEnd w:id="70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0" w:name="_Toc17363"/>
      <w:bookmarkStart w:id="711" w:name="_Toc14525"/>
      <w:bookmarkStart w:id="712" w:name="_Toc1969"/>
      <w:r>
        <w:rPr>
          <w:rFonts w:hint="eastAsia" w:asciiTheme="minorEastAsia" w:hAnsiTheme="minorEastAsia" w:eastAsiaTheme="minorEastAsia" w:cstheme="minorEastAsia"/>
          <w:b/>
          <w:sz w:val="24"/>
        </w:rPr>
        <w:t>2.15 检验和验收</w:t>
      </w:r>
      <w:bookmarkEnd w:id="710"/>
      <w:bookmarkEnd w:id="711"/>
      <w:bookmarkEnd w:id="712"/>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4"/>
    <w:bookmarkEnd w:id="675"/>
    <w:bookmarkEnd w:id="676"/>
    <w:bookmarkEnd w:id="677"/>
    <w:p>
      <w:pPr>
        <w:spacing w:line="560" w:lineRule="exact"/>
        <w:ind w:firstLine="482" w:firstLineChars="200"/>
        <w:outlineLvl w:val="0"/>
        <w:rPr>
          <w:rFonts w:asciiTheme="minorEastAsia" w:hAnsiTheme="minorEastAsia" w:eastAsiaTheme="minorEastAsia" w:cstheme="minorEastAsia"/>
          <w:b/>
          <w:sz w:val="24"/>
        </w:rPr>
      </w:pPr>
      <w:bookmarkStart w:id="713" w:name="_Toc259093690"/>
      <w:bookmarkStart w:id="714" w:name="_Toc487900371"/>
      <w:bookmarkStart w:id="715" w:name="_Toc279701261"/>
      <w:bookmarkStart w:id="716" w:name="_Toc2308"/>
      <w:bookmarkStart w:id="717" w:name="_Toc12666"/>
      <w:bookmarkStart w:id="718" w:name="_Toc9808"/>
      <w:bookmarkStart w:id="719" w:name="_Toc31892"/>
      <w:bookmarkStart w:id="720" w:name="_Toc25198"/>
      <w:r>
        <w:rPr>
          <w:rFonts w:hint="eastAsia" w:asciiTheme="minorEastAsia" w:hAnsiTheme="minorEastAsia" w:eastAsiaTheme="minorEastAsia" w:cstheme="minorEastAsia"/>
          <w:b/>
          <w:sz w:val="24"/>
        </w:rPr>
        <w:t>2.16 通知</w:t>
      </w:r>
      <w:bookmarkEnd w:id="713"/>
      <w:bookmarkEnd w:id="714"/>
      <w:bookmarkEnd w:id="715"/>
      <w:r>
        <w:rPr>
          <w:rFonts w:hint="eastAsia" w:asciiTheme="minorEastAsia" w:hAnsiTheme="minorEastAsia" w:eastAsiaTheme="minorEastAsia" w:cstheme="minorEastAsia"/>
          <w:b/>
          <w:sz w:val="24"/>
        </w:rPr>
        <w:t>和送达</w:t>
      </w:r>
      <w:bookmarkEnd w:id="716"/>
      <w:bookmarkEnd w:id="717"/>
      <w:bookmarkEnd w:id="718"/>
      <w:bookmarkEnd w:id="719"/>
      <w:bookmarkEnd w:id="720"/>
    </w:p>
    <w:p>
      <w:pPr>
        <w:spacing w:line="560" w:lineRule="exact"/>
        <w:ind w:firstLine="480" w:firstLineChars="200"/>
        <w:rPr>
          <w:rFonts w:asciiTheme="minorEastAsia" w:hAnsiTheme="minorEastAsia" w:eastAsiaTheme="minorEastAsia" w:cstheme="minorEastAsia"/>
          <w:sz w:val="24"/>
        </w:rPr>
      </w:pPr>
      <w:bookmarkStart w:id="721" w:name="_Toc29220"/>
      <w:bookmarkStart w:id="722" w:name="_Toc7073"/>
      <w:bookmarkStart w:id="723" w:name="_Toc487900372"/>
      <w:bookmarkStart w:id="724" w:name="_Toc279701262"/>
      <w:bookmarkStart w:id="725"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1"/>
      <w:bookmarkEnd w:id="722"/>
    </w:p>
    <w:p>
      <w:pPr>
        <w:spacing w:line="560" w:lineRule="exact"/>
        <w:ind w:firstLine="480" w:firstLineChars="200"/>
        <w:rPr>
          <w:rFonts w:asciiTheme="minorEastAsia" w:hAnsiTheme="minorEastAsia" w:eastAsiaTheme="minorEastAsia" w:cstheme="minorEastAsia"/>
          <w:sz w:val="24"/>
        </w:rPr>
      </w:pPr>
      <w:bookmarkStart w:id="726" w:name="_Toc27674"/>
      <w:bookmarkStart w:id="727" w:name="_Toc18401"/>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6"/>
      <w:bookmarkEnd w:id="727"/>
    </w:p>
    <w:bookmarkEnd w:id="723"/>
    <w:bookmarkEnd w:id="724"/>
    <w:bookmarkEnd w:id="725"/>
    <w:p>
      <w:pPr>
        <w:spacing w:line="560" w:lineRule="exact"/>
        <w:ind w:firstLine="482" w:firstLineChars="200"/>
        <w:outlineLvl w:val="0"/>
        <w:rPr>
          <w:rFonts w:asciiTheme="minorEastAsia" w:hAnsiTheme="minorEastAsia" w:eastAsiaTheme="minorEastAsia" w:cstheme="minorEastAsia"/>
          <w:b/>
          <w:sz w:val="24"/>
        </w:rPr>
      </w:pPr>
      <w:bookmarkStart w:id="728" w:name="_Toc487900373"/>
      <w:bookmarkStart w:id="729" w:name="_Toc5063"/>
      <w:bookmarkStart w:id="730" w:name="_Toc20808"/>
      <w:bookmarkStart w:id="731" w:name="_Toc279701263"/>
      <w:bookmarkStart w:id="732" w:name="_Toc259093692"/>
      <w:bookmarkStart w:id="733" w:name="_Toc27644"/>
      <w:bookmarkStart w:id="734" w:name="_Toc28906"/>
      <w:bookmarkStart w:id="735" w:name="_Toc12254"/>
      <w:r>
        <w:rPr>
          <w:rFonts w:hint="eastAsia" w:asciiTheme="minorEastAsia" w:hAnsiTheme="minorEastAsia" w:eastAsiaTheme="minorEastAsia" w:cstheme="minorEastAsia"/>
          <w:b/>
          <w:sz w:val="24"/>
        </w:rPr>
        <w:t>2.17 合同使用的文字和适用的法律</w:t>
      </w:r>
      <w:bookmarkEnd w:id="728"/>
      <w:bookmarkEnd w:id="729"/>
      <w:bookmarkEnd w:id="730"/>
      <w:bookmarkEnd w:id="731"/>
      <w:bookmarkEnd w:id="732"/>
      <w:bookmarkEnd w:id="733"/>
      <w:bookmarkEnd w:id="734"/>
      <w:bookmarkEnd w:id="7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6" w:name="_Toc27127"/>
      <w:bookmarkStart w:id="737" w:name="_Toc1492"/>
      <w:bookmarkStart w:id="738" w:name="_Toc30096"/>
      <w:bookmarkStart w:id="739" w:name="_Toc22266"/>
      <w:bookmarkStart w:id="740" w:name="_Toc259093693"/>
      <w:bookmarkStart w:id="741" w:name="_Toc27403"/>
      <w:bookmarkStart w:id="742" w:name="_Toc279701264"/>
      <w:bookmarkStart w:id="743" w:name="_Toc487900374"/>
      <w:r>
        <w:rPr>
          <w:rFonts w:hint="eastAsia" w:asciiTheme="minorEastAsia" w:hAnsiTheme="minorEastAsia" w:eastAsiaTheme="minorEastAsia" w:cstheme="minorEastAsia"/>
          <w:b/>
          <w:sz w:val="24"/>
        </w:rPr>
        <w:t>2.18 履约保证金</w:t>
      </w:r>
      <w:bookmarkEnd w:id="736"/>
      <w:bookmarkEnd w:id="737"/>
      <w:bookmarkEnd w:id="738"/>
      <w:bookmarkEnd w:id="739"/>
      <w:bookmarkEnd w:id="740"/>
      <w:bookmarkEnd w:id="741"/>
      <w:bookmarkEnd w:id="74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3"/>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4" w:name="_Toc331685784"/>
      <w:r>
        <w:rPr>
          <w:rFonts w:hint="eastAsia" w:asciiTheme="minorEastAsia" w:hAnsiTheme="minorEastAsia" w:eastAsiaTheme="minorEastAsia" w:cstheme="minorEastAsia"/>
          <w:b/>
          <w:szCs w:val="24"/>
        </w:rPr>
        <w:t>第三部分合同专用条款</w:t>
      </w:r>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96"/>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1"/>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4"/>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1E44490"/>
    <w:rsid w:val="022D5F56"/>
    <w:rsid w:val="02916703"/>
    <w:rsid w:val="02A6711D"/>
    <w:rsid w:val="02E8354E"/>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720D6"/>
    <w:rsid w:val="079D69A1"/>
    <w:rsid w:val="07B97CA2"/>
    <w:rsid w:val="07F02425"/>
    <w:rsid w:val="081831DA"/>
    <w:rsid w:val="083F0BCA"/>
    <w:rsid w:val="087416D4"/>
    <w:rsid w:val="08A07B0D"/>
    <w:rsid w:val="08A71F12"/>
    <w:rsid w:val="08AA1DA5"/>
    <w:rsid w:val="08CA4B48"/>
    <w:rsid w:val="08F2696F"/>
    <w:rsid w:val="0913191F"/>
    <w:rsid w:val="095C26FE"/>
    <w:rsid w:val="09642EB4"/>
    <w:rsid w:val="09E5606A"/>
    <w:rsid w:val="0A387B0A"/>
    <w:rsid w:val="0A404BF1"/>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0735D0"/>
    <w:rsid w:val="1118255B"/>
    <w:rsid w:val="1154735C"/>
    <w:rsid w:val="116A2FEE"/>
    <w:rsid w:val="11EF2BBD"/>
    <w:rsid w:val="12216843"/>
    <w:rsid w:val="124F4F89"/>
    <w:rsid w:val="125457F4"/>
    <w:rsid w:val="126967B3"/>
    <w:rsid w:val="12DC2072"/>
    <w:rsid w:val="12F71113"/>
    <w:rsid w:val="13096C23"/>
    <w:rsid w:val="13477EED"/>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86528D"/>
    <w:rsid w:val="15CF19FA"/>
    <w:rsid w:val="15F77C50"/>
    <w:rsid w:val="16174847"/>
    <w:rsid w:val="1641446F"/>
    <w:rsid w:val="16706A2E"/>
    <w:rsid w:val="16B445A9"/>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EE0848"/>
    <w:rsid w:val="1CFE36B2"/>
    <w:rsid w:val="1D2C01B2"/>
    <w:rsid w:val="1D337526"/>
    <w:rsid w:val="1E1C2EE0"/>
    <w:rsid w:val="1E2D718E"/>
    <w:rsid w:val="1E4922A0"/>
    <w:rsid w:val="1E503F0D"/>
    <w:rsid w:val="1E551DFA"/>
    <w:rsid w:val="1F237F59"/>
    <w:rsid w:val="1F775599"/>
    <w:rsid w:val="1F9C1CE4"/>
    <w:rsid w:val="1F9F64A3"/>
    <w:rsid w:val="1F9F7EE2"/>
    <w:rsid w:val="1FCA3912"/>
    <w:rsid w:val="2009453A"/>
    <w:rsid w:val="20850A82"/>
    <w:rsid w:val="209F0482"/>
    <w:rsid w:val="20DB5F99"/>
    <w:rsid w:val="20F508CB"/>
    <w:rsid w:val="211F4EDF"/>
    <w:rsid w:val="21536A7E"/>
    <w:rsid w:val="217E237C"/>
    <w:rsid w:val="21C44F74"/>
    <w:rsid w:val="21E2159F"/>
    <w:rsid w:val="220A6DFB"/>
    <w:rsid w:val="22277F6E"/>
    <w:rsid w:val="22607C42"/>
    <w:rsid w:val="22815E6E"/>
    <w:rsid w:val="229C1803"/>
    <w:rsid w:val="22E279D3"/>
    <w:rsid w:val="22F8092A"/>
    <w:rsid w:val="23205D86"/>
    <w:rsid w:val="232F02B2"/>
    <w:rsid w:val="23512BA2"/>
    <w:rsid w:val="235558E1"/>
    <w:rsid w:val="23786FA6"/>
    <w:rsid w:val="23962431"/>
    <w:rsid w:val="239D2913"/>
    <w:rsid w:val="23CA32C9"/>
    <w:rsid w:val="23F77EB1"/>
    <w:rsid w:val="240B2DF3"/>
    <w:rsid w:val="2461365F"/>
    <w:rsid w:val="24624BE9"/>
    <w:rsid w:val="24832224"/>
    <w:rsid w:val="249A7538"/>
    <w:rsid w:val="24A67F0C"/>
    <w:rsid w:val="250D1E87"/>
    <w:rsid w:val="25136A12"/>
    <w:rsid w:val="25960A46"/>
    <w:rsid w:val="25960B87"/>
    <w:rsid w:val="25C120AA"/>
    <w:rsid w:val="25CC70D1"/>
    <w:rsid w:val="2657503E"/>
    <w:rsid w:val="267011E6"/>
    <w:rsid w:val="26CE04BC"/>
    <w:rsid w:val="273967E4"/>
    <w:rsid w:val="27650140"/>
    <w:rsid w:val="276A496A"/>
    <w:rsid w:val="27A350EA"/>
    <w:rsid w:val="27C21152"/>
    <w:rsid w:val="27DC26F2"/>
    <w:rsid w:val="280A3719"/>
    <w:rsid w:val="28143D90"/>
    <w:rsid w:val="28396AC9"/>
    <w:rsid w:val="289E5D1B"/>
    <w:rsid w:val="28B70805"/>
    <w:rsid w:val="28CF7770"/>
    <w:rsid w:val="28FB2A87"/>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EF7C4A"/>
    <w:rsid w:val="2BF05131"/>
    <w:rsid w:val="2C0A1914"/>
    <w:rsid w:val="2C6F54FE"/>
    <w:rsid w:val="2C8B2BC2"/>
    <w:rsid w:val="2CC77032"/>
    <w:rsid w:val="2D5874E9"/>
    <w:rsid w:val="2E0103AF"/>
    <w:rsid w:val="2ECC4C73"/>
    <w:rsid w:val="2F09602F"/>
    <w:rsid w:val="2F375E6B"/>
    <w:rsid w:val="2F484C45"/>
    <w:rsid w:val="2F557F65"/>
    <w:rsid w:val="2F7010F8"/>
    <w:rsid w:val="2FAE1590"/>
    <w:rsid w:val="2FEC4291"/>
    <w:rsid w:val="2FF95CBC"/>
    <w:rsid w:val="30090215"/>
    <w:rsid w:val="301C03DC"/>
    <w:rsid w:val="3073028E"/>
    <w:rsid w:val="307B0895"/>
    <w:rsid w:val="30DA1C03"/>
    <w:rsid w:val="30DC3F4B"/>
    <w:rsid w:val="31143681"/>
    <w:rsid w:val="31202994"/>
    <w:rsid w:val="312F2DFF"/>
    <w:rsid w:val="318A4203"/>
    <w:rsid w:val="31CE5E3B"/>
    <w:rsid w:val="31D528AF"/>
    <w:rsid w:val="321A0AA2"/>
    <w:rsid w:val="322873F3"/>
    <w:rsid w:val="322C4F5F"/>
    <w:rsid w:val="32954FA2"/>
    <w:rsid w:val="33291417"/>
    <w:rsid w:val="33612954"/>
    <w:rsid w:val="33C46DBF"/>
    <w:rsid w:val="33C64AD9"/>
    <w:rsid w:val="33EE5634"/>
    <w:rsid w:val="343E7EEC"/>
    <w:rsid w:val="34654056"/>
    <w:rsid w:val="34D73DF5"/>
    <w:rsid w:val="34E23003"/>
    <w:rsid w:val="352D1FED"/>
    <w:rsid w:val="358F297C"/>
    <w:rsid w:val="360704A5"/>
    <w:rsid w:val="36420B37"/>
    <w:rsid w:val="365E6AB0"/>
    <w:rsid w:val="36BF4266"/>
    <w:rsid w:val="36D84D32"/>
    <w:rsid w:val="36DE4A2C"/>
    <w:rsid w:val="37042FAF"/>
    <w:rsid w:val="3710696F"/>
    <w:rsid w:val="374D2C1B"/>
    <w:rsid w:val="37637359"/>
    <w:rsid w:val="37E013FA"/>
    <w:rsid w:val="37E83018"/>
    <w:rsid w:val="383279FC"/>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4E7A6F"/>
    <w:rsid w:val="3C536552"/>
    <w:rsid w:val="3CD5279B"/>
    <w:rsid w:val="3D133989"/>
    <w:rsid w:val="3D450D14"/>
    <w:rsid w:val="3DBD6779"/>
    <w:rsid w:val="3DE9514C"/>
    <w:rsid w:val="3E126736"/>
    <w:rsid w:val="3E2058F7"/>
    <w:rsid w:val="3E2152F1"/>
    <w:rsid w:val="3E254F74"/>
    <w:rsid w:val="3E37297D"/>
    <w:rsid w:val="3E765532"/>
    <w:rsid w:val="3E7E4C29"/>
    <w:rsid w:val="3E990920"/>
    <w:rsid w:val="3E9A01AB"/>
    <w:rsid w:val="3ECA2721"/>
    <w:rsid w:val="3EDA33A8"/>
    <w:rsid w:val="3F1246D0"/>
    <w:rsid w:val="3F4D4DFB"/>
    <w:rsid w:val="3F6A2E3E"/>
    <w:rsid w:val="3F9A5EB8"/>
    <w:rsid w:val="3FA52951"/>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24A7D66"/>
    <w:rsid w:val="4277622B"/>
    <w:rsid w:val="42886E4E"/>
    <w:rsid w:val="429E2FDE"/>
    <w:rsid w:val="429F7E96"/>
    <w:rsid w:val="42BA091A"/>
    <w:rsid w:val="42E348E7"/>
    <w:rsid w:val="42F92708"/>
    <w:rsid w:val="43133472"/>
    <w:rsid w:val="443B1BA5"/>
    <w:rsid w:val="44663053"/>
    <w:rsid w:val="44953313"/>
    <w:rsid w:val="44D4228E"/>
    <w:rsid w:val="44DD798D"/>
    <w:rsid w:val="44F119A0"/>
    <w:rsid w:val="453E3EEA"/>
    <w:rsid w:val="453F5F31"/>
    <w:rsid w:val="45A952B4"/>
    <w:rsid w:val="45C80AE2"/>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34027C"/>
    <w:rsid w:val="488726F9"/>
    <w:rsid w:val="48951C3A"/>
    <w:rsid w:val="48CD2F48"/>
    <w:rsid w:val="48EB41D1"/>
    <w:rsid w:val="48EC61C7"/>
    <w:rsid w:val="493F03A6"/>
    <w:rsid w:val="4983784B"/>
    <w:rsid w:val="498D790E"/>
    <w:rsid w:val="499B4168"/>
    <w:rsid w:val="49F32C6E"/>
    <w:rsid w:val="4A1F6D79"/>
    <w:rsid w:val="4A2E724F"/>
    <w:rsid w:val="4A2F4DA6"/>
    <w:rsid w:val="4A3571B5"/>
    <w:rsid w:val="4A6B379A"/>
    <w:rsid w:val="4A730D56"/>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7A0A98"/>
    <w:rsid w:val="4F8D0A94"/>
    <w:rsid w:val="4FEF2861"/>
    <w:rsid w:val="4FF43F30"/>
    <w:rsid w:val="4FF8102F"/>
    <w:rsid w:val="4FFD3C93"/>
    <w:rsid w:val="501651D3"/>
    <w:rsid w:val="503254B6"/>
    <w:rsid w:val="50413516"/>
    <w:rsid w:val="504D49B4"/>
    <w:rsid w:val="50646BE5"/>
    <w:rsid w:val="508D5E0B"/>
    <w:rsid w:val="50AD59A2"/>
    <w:rsid w:val="50BF504F"/>
    <w:rsid w:val="50CC6549"/>
    <w:rsid w:val="50D74B6F"/>
    <w:rsid w:val="51122FEA"/>
    <w:rsid w:val="5113060E"/>
    <w:rsid w:val="511E3D1B"/>
    <w:rsid w:val="51290EFC"/>
    <w:rsid w:val="513121B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D10548"/>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C0CB3"/>
    <w:rsid w:val="596F04FF"/>
    <w:rsid w:val="59C75A20"/>
    <w:rsid w:val="59ED5C6E"/>
    <w:rsid w:val="5A0617E3"/>
    <w:rsid w:val="5A116935"/>
    <w:rsid w:val="5A4D51B1"/>
    <w:rsid w:val="5A6C5F1D"/>
    <w:rsid w:val="5A6F4908"/>
    <w:rsid w:val="5AA02300"/>
    <w:rsid w:val="5B2D0E76"/>
    <w:rsid w:val="5B646496"/>
    <w:rsid w:val="5B6C7E8E"/>
    <w:rsid w:val="5B792EE8"/>
    <w:rsid w:val="5BB176CB"/>
    <w:rsid w:val="5BB3525D"/>
    <w:rsid w:val="5BF85B63"/>
    <w:rsid w:val="5C235097"/>
    <w:rsid w:val="5D606B34"/>
    <w:rsid w:val="5DA9161B"/>
    <w:rsid w:val="5DB5176B"/>
    <w:rsid w:val="5DDC18AA"/>
    <w:rsid w:val="5DDE4634"/>
    <w:rsid w:val="5DE83338"/>
    <w:rsid w:val="5E07729E"/>
    <w:rsid w:val="5E0B21C9"/>
    <w:rsid w:val="5E106FE8"/>
    <w:rsid w:val="5E1B0E5F"/>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AC2D53"/>
    <w:rsid w:val="60CF4739"/>
    <w:rsid w:val="61204699"/>
    <w:rsid w:val="613F6380"/>
    <w:rsid w:val="617839D3"/>
    <w:rsid w:val="618B2914"/>
    <w:rsid w:val="619C5535"/>
    <w:rsid w:val="61B8543B"/>
    <w:rsid w:val="621E2D67"/>
    <w:rsid w:val="62540D47"/>
    <w:rsid w:val="627B3800"/>
    <w:rsid w:val="62C43069"/>
    <w:rsid w:val="62E11C40"/>
    <w:rsid w:val="62F37D50"/>
    <w:rsid w:val="62FA7330"/>
    <w:rsid w:val="62FB47C0"/>
    <w:rsid w:val="6301497A"/>
    <w:rsid w:val="63182269"/>
    <w:rsid w:val="632E1DAF"/>
    <w:rsid w:val="633D4C0A"/>
    <w:rsid w:val="63614687"/>
    <w:rsid w:val="63730ABF"/>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BA451C"/>
    <w:rsid w:val="66D95088"/>
    <w:rsid w:val="67153C4F"/>
    <w:rsid w:val="675046C9"/>
    <w:rsid w:val="67E42DE3"/>
    <w:rsid w:val="67E45C09"/>
    <w:rsid w:val="680E1AEF"/>
    <w:rsid w:val="680F35AD"/>
    <w:rsid w:val="681B47DD"/>
    <w:rsid w:val="68746D29"/>
    <w:rsid w:val="689E2D2A"/>
    <w:rsid w:val="68BA6245"/>
    <w:rsid w:val="68CD4BF1"/>
    <w:rsid w:val="69197DE4"/>
    <w:rsid w:val="694133B6"/>
    <w:rsid w:val="6945663E"/>
    <w:rsid w:val="695E5625"/>
    <w:rsid w:val="69823CED"/>
    <w:rsid w:val="69B227A4"/>
    <w:rsid w:val="69B87C37"/>
    <w:rsid w:val="69BB33CD"/>
    <w:rsid w:val="69BE35B6"/>
    <w:rsid w:val="69C32790"/>
    <w:rsid w:val="69CD4A5E"/>
    <w:rsid w:val="69FB330B"/>
    <w:rsid w:val="6A440D73"/>
    <w:rsid w:val="6A48088C"/>
    <w:rsid w:val="6A62713F"/>
    <w:rsid w:val="6A916D3D"/>
    <w:rsid w:val="6AA96C71"/>
    <w:rsid w:val="6ADE6F27"/>
    <w:rsid w:val="6AE62CF1"/>
    <w:rsid w:val="6AFB18D2"/>
    <w:rsid w:val="6AFB4205"/>
    <w:rsid w:val="6B4A50BA"/>
    <w:rsid w:val="6B5775E2"/>
    <w:rsid w:val="6B8F0F58"/>
    <w:rsid w:val="6C070C78"/>
    <w:rsid w:val="6C1E52DC"/>
    <w:rsid w:val="6C510124"/>
    <w:rsid w:val="6C63376F"/>
    <w:rsid w:val="6CCB443B"/>
    <w:rsid w:val="6CD03FF3"/>
    <w:rsid w:val="6CD13A76"/>
    <w:rsid w:val="6CE61656"/>
    <w:rsid w:val="6D143528"/>
    <w:rsid w:val="6D171791"/>
    <w:rsid w:val="6D51346D"/>
    <w:rsid w:val="6D6B3A4A"/>
    <w:rsid w:val="6D7F1566"/>
    <w:rsid w:val="6DAB3296"/>
    <w:rsid w:val="6DB50664"/>
    <w:rsid w:val="6DBF3470"/>
    <w:rsid w:val="6DEB37CE"/>
    <w:rsid w:val="6E0539CA"/>
    <w:rsid w:val="6E137D94"/>
    <w:rsid w:val="6E1B027F"/>
    <w:rsid w:val="6E474F30"/>
    <w:rsid w:val="6E4B5A6B"/>
    <w:rsid w:val="6E717AD1"/>
    <w:rsid w:val="6EBB2453"/>
    <w:rsid w:val="6ECC1D7D"/>
    <w:rsid w:val="6ED058F5"/>
    <w:rsid w:val="6F0B7373"/>
    <w:rsid w:val="6F11155D"/>
    <w:rsid w:val="6F795D04"/>
    <w:rsid w:val="6FBA36B9"/>
    <w:rsid w:val="6FBA67EB"/>
    <w:rsid w:val="700D41B0"/>
    <w:rsid w:val="70124EFA"/>
    <w:rsid w:val="7058021D"/>
    <w:rsid w:val="70D533D8"/>
    <w:rsid w:val="70DF29A1"/>
    <w:rsid w:val="70F20AE9"/>
    <w:rsid w:val="710E1A7C"/>
    <w:rsid w:val="711841BB"/>
    <w:rsid w:val="712150B6"/>
    <w:rsid w:val="714233D4"/>
    <w:rsid w:val="71767ADD"/>
    <w:rsid w:val="71AE6E4F"/>
    <w:rsid w:val="71B27028"/>
    <w:rsid w:val="72736772"/>
    <w:rsid w:val="72B04752"/>
    <w:rsid w:val="72B4536B"/>
    <w:rsid w:val="72C1247E"/>
    <w:rsid w:val="73357BCD"/>
    <w:rsid w:val="73D16770"/>
    <w:rsid w:val="73E942E0"/>
    <w:rsid w:val="7428537F"/>
    <w:rsid w:val="743772C5"/>
    <w:rsid w:val="743C156A"/>
    <w:rsid w:val="7449604D"/>
    <w:rsid w:val="74566752"/>
    <w:rsid w:val="74886964"/>
    <w:rsid w:val="74B22400"/>
    <w:rsid w:val="75037E55"/>
    <w:rsid w:val="75721DF1"/>
    <w:rsid w:val="759D7430"/>
    <w:rsid w:val="75A751E0"/>
    <w:rsid w:val="75B44349"/>
    <w:rsid w:val="75E91CE8"/>
    <w:rsid w:val="75EC1791"/>
    <w:rsid w:val="7601232C"/>
    <w:rsid w:val="763931DE"/>
    <w:rsid w:val="7671679B"/>
    <w:rsid w:val="76716B5F"/>
    <w:rsid w:val="76C90347"/>
    <w:rsid w:val="76E27503"/>
    <w:rsid w:val="77335598"/>
    <w:rsid w:val="7736545B"/>
    <w:rsid w:val="773E2058"/>
    <w:rsid w:val="773E6738"/>
    <w:rsid w:val="774553B7"/>
    <w:rsid w:val="77AF7427"/>
    <w:rsid w:val="7808185B"/>
    <w:rsid w:val="78392496"/>
    <w:rsid w:val="78765F72"/>
    <w:rsid w:val="789B123B"/>
    <w:rsid w:val="78AB6FE1"/>
    <w:rsid w:val="78AF0701"/>
    <w:rsid w:val="78B26DFF"/>
    <w:rsid w:val="78C943A2"/>
    <w:rsid w:val="78D163BC"/>
    <w:rsid w:val="78F13B18"/>
    <w:rsid w:val="7921264D"/>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7056C8"/>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724D5A"/>
    <w:rsid w:val="7E88183C"/>
    <w:rsid w:val="7EAC722A"/>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3"/>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1"/>
    <w:semiHidden/>
    <w:unhideWhenUsed/>
    <w:qFormat/>
    <w:uiPriority w:val="99"/>
    <w:rPr>
      <w:rFonts w:ascii="宋体"/>
      <w:sz w:val="18"/>
      <w:szCs w:val="18"/>
    </w:rPr>
  </w:style>
  <w:style w:type="paragraph" w:styleId="10">
    <w:name w:val="annotation text"/>
    <w:basedOn w:val="1"/>
    <w:link w:val="70"/>
    <w:unhideWhenUsed/>
    <w:qFormat/>
    <w:uiPriority w:val="0"/>
    <w:pPr>
      <w:jc w:val="left"/>
    </w:pPr>
  </w:style>
  <w:style w:type="paragraph" w:styleId="11">
    <w:name w:val="Body Text"/>
    <w:basedOn w:val="1"/>
    <w:next w:val="12"/>
    <w:link w:val="57"/>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5"/>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sz w:val="24"/>
    </w:rPr>
  </w:style>
  <w:style w:type="paragraph" w:styleId="19">
    <w:name w:val="Body Text Indent 2"/>
    <w:basedOn w:val="1"/>
    <w:link w:val="76"/>
    <w:qFormat/>
    <w:uiPriority w:val="0"/>
    <w:pPr>
      <w:ind w:firstLine="480" w:firstLineChars="200"/>
    </w:pPr>
    <w:rPr>
      <w:rFonts w:ascii="仿宋_GB2312" w:eastAsia="仿宋_GB2312"/>
      <w:sz w:val="24"/>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5"/>
    <w:qFormat/>
    <w:uiPriority w:val="0"/>
    <w:rPr>
      <w:b/>
      <w:bCs/>
    </w:rPr>
  </w:style>
  <w:style w:type="paragraph" w:styleId="33">
    <w:name w:val="Body Text First Indent 2"/>
    <w:basedOn w:val="13"/>
    <w:link w:val="84"/>
    <w:qFormat/>
    <w:uiPriority w:val="0"/>
    <w:pPr>
      <w:ind w:firstLine="420" w:firstLineChars="200"/>
    </w:pPr>
  </w:style>
  <w:style w:type="table" w:styleId="35">
    <w:name w:val="Table Grid"/>
    <w:basedOn w:val="3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42"/>
    <w:link w:val="3"/>
    <w:qFormat/>
    <w:uiPriority w:val="0"/>
    <w:rPr>
      <w:rFonts w:ascii="宋体" w:hAnsi="Times New Roman" w:eastAsia="宋体" w:cs="Times New Roman"/>
      <w:b/>
      <w:kern w:val="44"/>
      <w:sz w:val="32"/>
      <w:szCs w:val="20"/>
    </w:rPr>
  </w:style>
  <w:style w:type="character" w:customStyle="1" w:styleId="49">
    <w:name w:val="标题 2 Char"/>
    <w:basedOn w:val="42"/>
    <w:link w:val="4"/>
    <w:qFormat/>
    <w:uiPriority w:val="0"/>
    <w:rPr>
      <w:rFonts w:ascii="Arial" w:hAnsi="Arial" w:eastAsia="黑体" w:cs="Times New Roman"/>
      <w:b/>
      <w:kern w:val="0"/>
      <w:sz w:val="30"/>
      <w:szCs w:val="20"/>
    </w:rPr>
  </w:style>
  <w:style w:type="character" w:customStyle="1" w:styleId="50">
    <w:name w:val="标题 3 Char"/>
    <w:basedOn w:val="42"/>
    <w:link w:val="6"/>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20"/>
    <w:qFormat/>
    <w:uiPriority w:val="0"/>
    <w:rPr>
      <w:rFonts w:ascii="Times New Roman" w:hAnsi="Times New Roman" w:eastAsia="宋体" w:cs="Times New Roman"/>
      <w:sz w:val="18"/>
      <w:szCs w:val="18"/>
    </w:rPr>
  </w:style>
  <w:style w:type="character" w:customStyle="1" w:styleId="56">
    <w:name w:val="页脚 Char"/>
    <w:link w:val="21"/>
    <w:qFormat/>
    <w:uiPriority w:val="0"/>
    <w:rPr>
      <w:rFonts w:ascii="宋体" w:hAnsi="Times New Roman" w:eastAsia="宋体" w:cs="Times New Roman"/>
      <w:sz w:val="18"/>
    </w:rPr>
  </w:style>
  <w:style w:type="character" w:customStyle="1" w:styleId="57">
    <w:name w:val="正文文本 Char"/>
    <w:link w:val="11"/>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2"/>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2"/>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6"/>
    <w:qFormat/>
    <w:uiPriority w:val="0"/>
    <w:rPr>
      <w:rFonts w:ascii="宋体" w:hAnsi="Courier New" w:eastAsia="宋体" w:cs="Times New Roman"/>
    </w:rPr>
  </w:style>
  <w:style w:type="character" w:customStyle="1" w:styleId="70">
    <w:name w:val="批注文字 Char2"/>
    <w:basedOn w:val="42"/>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3"/>
    <w:qFormat/>
    <w:uiPriority w:val="0"/>
    <w:rPr>
      <w:rFonts w:ascii="Times New Roman" w:hAnsi="Times New Roman" w:eastAsia="宋体" w:cs="Times New Roman"/>
      <w:sz w:val="24"/>
      <w:szCs w:val="24"/>
    </w:rPr>
  </w:style>
  <w:style w:type="character" w:customStyle="1" w:styleId="76">
    <w:name w:val="正文文本缩进 2 Char"/>
    <w:basedOn w:val="42"/>
    <w:link w:val="19"/>
    <w:qFormat/>
    <w:uiPriority w:val="0"/>
    <w:rPr>
      <w:rFonts w:ascii="仿宋_GB2312" w:hAnsi="Times New Roman" w:eastAsia="仿宋_GB2312" w:cs="Times New Roman"/>
      <w:sz w:val="24"/>
      <w:szCs w:val="24"/>
    </w:rPr>
  </w:style>
  <w:style w:type="character" w:customStyle="1" w:styleId="77">
    <w:name w:val="正文文本缩进 3 Char"/>
    <w:basedOn w:val="42"/>
    <w:link w:val="26"/>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42"/>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7"/>
    <w:qFormat/>
    <w:uiPriority w:val="0"/>
    <w:pPr>
      <w:spacing w:before="120" w:after="60"/>
    </w:pPr>
    <w:rPr>
      <w:color w:val="000000"/>
      <w:sz w:val="28"/>
    </w:rPr>
  </w:style>
  <w:style w:type="character" w:customStyle="1" w:styleId="101">
    <w:name w:val="文档结构图 Char"/>
    <w:basedOn w:val="42"/>
    <w:link w:val="9"/>
    <w:semiHidden/>
    <w:qFormat/>
    <w:uiPriority w:val="99"/>
    <w:rPr>
      <w:rFonts w:ascii="宋体" w:hAnsi="Times New Roman"/>
      <w:kern w:val="2"/>
      <w:sz w:val="18"/>
      <w:szCs w:val="18"/>
    </w:rPr>
  </w:style>
  <w:style w:type="paragraph" w:customStyle="1" w:styleId="102">
    <w:name w:val="Normal"/>
    <w:qFormat/>
    <w:uiPriority w:val="0"/>
    <w:rPr>
      <w:rFonts w:ascii="Times New Roman" w:hAnsi="Times New Roman" w:eastAsia="Times New Roman" w:cs="Times New Roman"/>
      <w:sz w:val="24"/>
      <w:szCs w:val="24"/>
      <w:lang w:bidi="ar-SA"/>
    </w:rPr>
  </w:style>
  <w:style w:type="paragraph" w:customStyle="1" w:styleId="103">
    <w:name w:val="NOTE_Normal"/>
    <w:basedOn w:val="1"/>
    <w:next w:val="11"/>
    <w:qFormat/>
    <w:uiPriority w:val="0"/>
  </w:style>
  <w:style w:type="paragraph" w:customStyle="1" w:styleId="104">
    <w:name w:val="Table Paragraph"/>
    <w:basedOn w:val="1"/>
    <w:qFormat/>
    <w:uiPriority w:val="1"/>
    <w:rPr>
      <w:rFonts w:ascii="宋体" w:hAnsi="宋体" w:eastAsia="宋体" w:cs="宋体"/>
      <w:lang w:val="zh-CN" w:eastAsia="zh-CN" w:bidi="zh-CN"/>
    </w:rPr>
  </w:style>
  <w:style w:type="table" w:customStyle="1" w:styleId="105">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TotalTime>0</TotalTime>
  <ScaleCrop>false</ScaleCrop>
  <LinksUpToDate>false</LinksUpToDate>
  <CharactersWithSpaces>43918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2021-12-27T11:32:33Z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EFE87D4A108B45448B4E4243C95BBE32</vt:lpwstr>
  </property>
</Properties>
</file>