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1200" w:lineRule="auto"/>
        <w:jc w:val="center"/>
        <w:rPr>
          <w:rFonts w:hint="eastAsia" w:ascii="仿宋" w:hAnsi="仿宋" w:eastAsia="仿宋" w:cs="仿宋"/>
          <w:b w:val="0"/>
          <w:bCs/>
          <w:color w:val="auto"/>
          <w:spacing w:val="26"/>
          <w:sz w:val="48"/>
          <w:szCs w:val="48"/>
          <w:highlight w:val="none"/>
          <w:lang w:eastAsia="zh-CN"/>
        </w:rPr>
      </w:pPr>
      <w:r>
        <w:rPr>
          <w:rFonts w:hint="eastAsia" w:ascii="仿宋" w:hAnsi="仿宋" w:eastAsia="仿宋" w:cs="仿宋"/>
          <w:b w:val="0"/>
          <w:bCs/>
          <w:color w:val="auto"/>
          <w:spacing w:val="26"/>
          <w:sz w:val="48"/>
          <w:szCs w:val="48"/>
          <w:highlight w:val="none"/>
          <w:lang w:eastAsia="zh-CN"/>
        </w:rPr>
        <w:t>洛浦县不动产登记三网迁移改造采购项目</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磋</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商</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文</w:t>
      </w:r>
    </w:p>
    <w:p>
      <w:pPr>
        <w:shd w:val="clear"/>
        <w:spacing w:line="1200" w:lineRule="auto"/>
        <w:jc w:val="center"/>
        <w:rPr>
          <w:rFonts w:hint="eastAsia" w:ascii="仿宋" w:hAnsi="仿宋" w:eastAsia="仿宋" w:cs="仿宋"/>
          <w:b w:val="0"/>
          <w:bCs/>
          <w:color w:val="000000" w:themeColor="text1"/>
          <w:spacing w:val="26"/>
          <w:sz w:val="48"/>
          <w:szCs w:val="48"/>
          <w:highlight w:val="none"/>
          <w14:textFill>
            <w14:solidFill>
              <w14:schemeClr w14:val="tx1"/>
            </w14:solidFill>
          </w14:textFill>
        </w:rPr>
      </w:pPr>
      <w:r>
        <w:rPr>
          <w:rFonts w:hint="eastAsia" w:ascii="仿宋" w:hAnsi="仿宋" w:eastAsia="仿宋" w:cs="仿宋"/>
          <w:b w:val="0"/>
          <w:bCs/>
          <w:color w:val="000000" w:themeColor="text1"/>
          <w:spacing w:val="26"/>
          <w:sz w:val="48"/>
          <w:szCs w:val="48"/>
          <w:highlight w:val="none"/>
          <w14:textFill>
            <w14:solidFill>
              <w14:schemeClr w14:val="tx1"/>
            </w14:solidFill>
          </w14:textFill>
        </w:rPr>
        <w:t>件</w:t>
      </w:r>
    </w:p>
    <w:p>
      <w:pPr>
        <w:shd w:val="clear"/>
        <w:snapToGrid w:val="0"/>
        <w:jc w:val="center"/>
        <w:rPr>
          <w:rFonts w:hint="eastAsia" w:ascii="仿宋" w:hAnsi="仿宋" w:eastAsia="仿宋" w:cs="仿宋"/>
          <w:b/>
          <w:color w:val="000000" w:themeColor="text1"/>
          <w:spacing w:val="20"/>
          <w:kern w:val="10"/>
          <w:sz w:val="24"/>
          <w:szCs w:val="24"/>
          <w:highlight w:val="none"/>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采购编号：XJXJ2021-12-JCSCG01</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2021年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12</w:t>
      </w:r>
      <w:r>
        <w:rPr>
          <w:rFonts w:hint="eastAsia" w:ascii="仿宋" w:hAnsi="仿宋" w:eastAsia="仿宋" w:cs="仿宋"/>
          <w:b/>
          <w:bCs/>
          <w:color w:val="000000" w:themeColor="text1"/>
          <w:sz w:val="30"/>
          <w:szCs w:val="30"/>
          <w:highlight w:val="none"/>
          <w14:textFill>
            <w14:solidFill>
              <w14:schemeClr w14:val="tx1"/>
            </w14:solidFill>
          </w14:textFill>
        </w:rPr>
        <w:t>月</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2"/>
        <w:shd w:val="clear"/>
        <w:rPr>
          <w:rFonts w:hint="eastAsia"/>
          <w:highlight w:val="none"/>
        </w:rPr>
      </w:pPr>
    </w:p>
    <w:p>
      <w:pPr>
        <w:shd w:val="clea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招投标监督管理机构备案登记栏：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0" w:hRule="atLeast"/>
          <w:jc w:val="center"/>
        </w:trPr>
        <w:tc>
          <w:tcPr>
            <w:tcW w:w="9628" w:type="dxa"/>
            <w:noWrap w:val="0"/>
            <w:vAlign w:val="top"/>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32"/>
              <w:shd w:val="clear"/>
              <w:ind w:firstLine="540"/>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本招标文件已报备</w:t>
            </w: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pStyle w:val="32"/>
              <w:shd w:val="clear"/>
              <w:ind w:firstLine="540"/>
              <w:rPr>
                <w:rFonts w:hint="eastAsia" w:ascii="仿宋" w:hAnsi="仿宋" w:eastAsia="仿宋" w:cs="仿宋"/>
                <w:color w:val="000000" w:themeColor="text1"/>
                <w:sz w:val="24"/>
                <w:szCs w:val="24"/>
                <w:highlight w:val="none"/>
                <w14:textFill>
                  <w14:solidFill>
                    <w14:schemeClr w14:val="tx1"/>
                  </w14:solidFill>
                </w14:textFill>
              </w:rPr>
            </w:pPr>
          </w:p>
          <w:p>
            <w:pPr>
              <w:pStyle w:val="32"/>
              <w:shd w:val="clear"/>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32"/>
              <w:shd w:val="clear"/>
              <w:ind w:firstLine="542"/>
              <w:rPr>
                <w:rFonts w:hint="eastAsia" w:ascii="仿宋" w:hAnsi="仿宋" w:eastAsia="仿宋" w:cs="仿宋"/>
                <w:b/>
                <w:bCs/>
                <w:color w:val="000000" w:themeColor="text1"/>
                <w:sz w:val="24"/>
                <w:szCs w:val="24"/>
                <w:highlight w:val="none"/>
                <w14:textFill>
                  <w14:solidFill>
                    <w14:schemeClr w14:val="tx1"/>
                  </w14:solidFill>
                </w14:textFill>
              </w:rPr>
            </w:pPr>
          </w:p>
          <w:p>
            <w:pPr>
              <w:pStyle w:val="29"/>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洛浦县不动产登记三网迁移改造采购项目</w:t>
            </w:r>
          </w:p>
          <w:p>
            <w:pPr>
              <w:pStyle w:val="29"/>
              <w:keepNext w:val="0"/>
              <w:keepLines w:val="0"/>
              <w:widowControl/>
              <w:suppressLineNumbers w:val="0"/>
              <w:shd w:val="clear"/>
              <w:spacing w:before="75" w:beforeAutospacing="0" w:after="75" w:afterAutospacing="0" w:line="300" w:lineRule="atLeast"/>
              <w:ind w:right="0"/>
              <w:rPr>
                <w:rFonts w:hint="eastAsia" w:ascii="仿宋" w:hAnsi="仿宋" w:eastAsia="仿宋" w:cs="仿宋"/>
                <w:i w:val="0"/>
                <w:caps w:val="0"/>
                <w:color w:val="000000" w:themeColor="text1"/>
                <w:spacing w:val="0"/>
                <w:sz w:val="24"/>
                <w:szCs w:val="24"/>
                <w:highlight w:val="none"/>
                <w:lang w:val="en-US"/>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spacing w:line="360" w:lineRule="auto"/>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洛浦县</w:t>
      </w:r>
      <w:r>
        <w:rPr>
          <w:rFonts w:hint="eastAsia" w:ascii="仿宋" w:hAnsi="仿宋" w:eastAsia="仿宋" w:cs="仿宋"/>
          <w:b/>
          <w:bCs/>
          <w:color w:val="000000" w:themeColor="text1"/>
          <w:sz w:val="24"/>
          <w:szCs w:val="24"/>
          <w:highlight w:val="none"/>
          <w14:textFill>
            <w14:solidFill>
              <w14:schemeClr w14:val="tx1"/>
            </w14:solidFill>
          </w14:textFill>
        </w:rPr>
        <w:t xml:space="preserve">政府采购管理办公室 </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目   录</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第一部分:磋商邀请函………………………………………………1-1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第二部分:磋商须知…………………………………………………2-1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第三部分:用户需求书………………………………………………3-1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第四部分:合同条款…………………………………………………4-1</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sectPr>
          <w:headerReference r:id="rId3" w:type="default"/>
          <w:pgSz w:w="11906" w:h="16838"/>
          <w:pgMar w:top="1440" w:right="1588" w:bottom="1440" w:left="1588" w:header="851" w:footer="992" w:gutter="0"/>
          <w:pgNumType w:fmt="decimal"/>
          <w:cols w:space="720"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第五部分:响应文件格式……………………………………………5-1</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第一部分</w:t>
      </w: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邀 请 函</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1665"/>
        </w:tabs>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pStyle w:val="3"/>
        <w:keepNext w:val="0"/>
        <w:keepLines w:val="0"/>
        <w:widowControl/>
        <w:suppressLineNumbers w:val="0"/>
        <w:shd w:val="clear"/>
        <w:spacing w:line="36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29"/>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jc w:val="both"/>
        <w:textAlignment w:val="auto"/>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洛浦县不动产登记三网迁移改造采购项目</w:t>
      </w:r>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的潜在投标人在符合该招标（采购）公告投标人资格要求条件的前提下，可于本公告发布之日起供应商登录政采云平台https://www.zcygov.cn/在线下载获取采购文件，并于2022年1月7日11：00分（北京时间）前递交投标文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一、</w:t>
      </w: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项目基本情况</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：XJXJ2021-12-JCSCG01</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洛浦县不动产登记三网迁移改造采购项目</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竞争性磋商</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97万元</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97万元</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default"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：一是不动产系统升级，数据库改造，存量数据整合，系统及数据库整体迁移至政务外网，二是不动产登记平台硬件更换，改造。</w:t>
      </w:r>
    </w:p>
    <w:p>
      <w:pPr>
        <w:pStyle w:val="31"/>
        <w:shd w:val="clear"/>
        <w:rPr>
          <w:rFonts w:hint="eastAsia" w:ascii="仿宋" w:hAnsi="仿宋" w:eastAsia="仿宋" w:cs="仿宋"/>
          <w:color w:val="0000FF"/>
          <w:sz w:val="24"/>
          <w:szCs w:val="24"/>
          <w:highlight w:val="none"/>
          <w:lang w:val="en-US"/>
        </w:rPr>
      </w:pPr>
      <w:r>
        <w:rPr>
          <w:rFonts w:hint="eastAsia" w:ascii="仿宋" w:hAnsi="仿宋" w:eastAsia="仿宋" w:cs="仿宋"/>
          <w:i w:val="0"/>
          <w:iCs w:val="0"/>
          <w:caps w:val="0"/>
          <w:color w:val="0000FF"/>
          <w:spacing w:val="0"/>
          <w:sz w:val="24"/>
          <w:szCs w:val="24"/>
          <w:highlight w:val="none"/>
          <w:lang w:val="en-US" w:eastAsia="zh-CN"/>
        </w:rPr>
        <w:t>服务期：30天。</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本项目（否）接受联合体投标。</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highlight w:val="none"/>
          <w14:textFill>
            <w14:solidFill>
              <w14:schemeClr w14:val="tx1"/>
            </w14:solidFill>
          </w14:textFill>
        </w:rPr>
        <w:t>二、</w:t>
      </w: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申请人的资格要求：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3.本项目的特定资格要求：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三、获取招标文件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12月27</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日至202</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日</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获取文件地点：新疆政府采购网（http</w:t>
      </w:r>
      <w:bookmarkStart w:id="38" w:name="_GoBack"/>
      <w:bookmarkEnd w:id="38"/>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://www.ccgp-xinjiang.gov.cn/）</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政采云平台https://www.zcygov.cn/在线申请获取采购文件（进入“项目采购”应用，在获取采购文件菜单中选择项目，申请获取采购文件）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获取文件时提交：营业执照加盖公章、授权委托书加盖公章</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文件售价（元）：0</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四、提交投标文件截止时间、开标时间和地点</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提交投标文件截止时间：</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2022年1月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日</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11：00</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（北京时间）</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投标地点</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:洛浦县公共资源交易中心</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开标时间：</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2022年1月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日</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11：00</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（北京时间）</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开标地点：</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洛浦县公共资源交易中心</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五、公告期限</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自本公告发布之日起5个工作日。</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六、其他补充事宜</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七、对本次采购提出询问，请按以下方式联系</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1.采购人信息</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采购人名称：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洛浦县自然资源局</w:t>
      </w:r>
    </w:p>
    <w:p>
      <w:pPr>
        <w:pStyle w:val="29"/>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联系人：  </w:t>
      </w:r>
      <w:r>
        <w:rPr>
          <w:rFonts w:hint="eastAsia" w:ascii="仿宋" w:hAnsi="仿宋" w:eastAsia="仿宋" w:cs="仿宋"/>
          <w:color w:val="000000" w:themeColor="text1"/>
          <w:sz w:val="24"/>
          <w:szCs w:val="24"/>
          <w:highlight w:val="none"/>
          <w:lang w:val="en-US" w:eastAsia="zh-CN"/>
          <w14:textFill>
            <w14:solidFill>
              <w14:schemeClr w14:val="tx1"/>
            </w14:solidFill>
          </w14:textFill>
        </w:rPr>
        <w:t>艾合麦江.阿卜杜拉</w:t>
      </w:r>
      <w:r>
        <w:rPr>
          <w:rFonts w:hint="eastAsia" w:ascii="仿宋" w:hAnsi="仿宋" w:eastAsia="仿宋" w:cs="仿宋"/>
          <w:color w:val="000000" w:themeColor="text1"/>
          <w:sz w:val="24"/>
          <w:szCs w:val="24"/>
          <w:highlight w:val="none"/>
          <w14:textFill>
            <w14:solidFill>
              <w14:schemeClr w14:val="tx1"/>
            </w14:solidFill>
          </w14:textFill>
        </w:rPr>
        <w:t> </w:t>
      </w:r>
    </w:p>
    <w:p>
      <w:pPr>
        <w:pStyle w:val="29"/>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0903-7887308</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2.采购代理机构信息</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名 称：</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新疆晓君招标有限公司</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和田市阿恰勒西路99号</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17799150765</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3.项目联系方式</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项目联系人：</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杨强</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36" w:lineRule="auto"/>
        <w:ind w:left="0" w:right="0" w:firstLine="336"/>
        <w:textAlignment w:val="auto"/>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电 话：</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17799150765</w:t>
      </w:r>
    </w:p>
    <w:p>
      <w:pPr>
        <w:pStyle w:val="29"/>
        <w:keepNext w:val="0"/>
        <w:keepLines w:val="0"/>
        <w:pageBreakBefore w:val="0"/>
        <w:widowControl/>
        <w:numPr>
          <w:ilvl w:val="0"/>
          <w:numId w:val="2"/>
        </w:numPr>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政府采购监督管理部门</w:t>
      </w:r>
    </w:p>
    <w:p>
      <w:pPr>
        <w:pStyle w:val="29"/>
        <w:keepNext w:val="0"/>
        <w:keepLines w:val="0"/>
        <w:pageBreakBefore w:val="0"/>
        <w:widowControl/>
        <w:numPr>
          <w:ilvl w:val="0"/>
          <w:numId w:val="0"/>
        </w:numPr>
        <w:shd w:val="clear"/>
        <w:kinsoku/>
        <w:wordWrap/>
        <w:overflowPunct/>
        <w:topLinePunct w:val="0"/>
        <w:autoSpaceDE/>
        <w:autoSpaceDN/>
        <w:bidi w:val="0"/>
        <w:adjustRightInd/>
        <w:snapToGrid/>
        <w:spacing w:before="50" w:beforeAutospacing="0" w:after="50" w:afterAutospacing="0" w:line="336"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名 称：洛浦县政府采购管理办公室</w:t>
      </w:r>
    </w:p>
    <w:p>
      <w:pPr>
        <w:pStyle w:val="29"/>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联系人：唐洋龙</w:t>
      </w:r>
    </w:p>
    <w:p>
      <w:pPr>
        <w:pStyle w:val="29"/>
        <w:keepNext w:val="0"/>
        <w:keepLines w:val="0"/>
        <w:pageBreakBefore w:val="0"/>
        <w:widowControl/>
        <w:shd w:val="clear"/>
        <w:kinsoku/>
        <w:wordWrap/>
        <w:overflowPunct/>
        <w:topLinePunct w:val="0"/>
        <w:autoSpaceDE/>
        <w:autoSpaceDN/>
        <w:bidi w:val="0"/>
        <w:adjustRightInd/>
        <w:snapToGrid/>
        <w:spacing w:before="50" w:beforeAutospacing="0" w:after="50" w:afterAutospacing="0" w:line="336" w:lineRule="auto"/>
        <w:ind w:firstLine="42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联系电话：0903-6622186</w:t>
      </w: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24"/>
          <w:szCs w:val="24"/>
          <w:highlight w:val="none"/>
          <w14:textFill>
            <w14:solidFill>
              <w14:schemeClr w14:val="tx1"/>
            </w14:solidFill>
          </w14:textFill>
        </w:rPr>
      </w:pPr>
    </w:p>
    <w:p>
      <w:pPr>
        <w:pStyle w:val="26"/>
        <w:shd w:val="clea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第二部分</w:t>
      </w: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pStyle w:val="8"/>
        <w:shd w:val="clear"/>
        <w:rPr>
          <w:rFonts w:hint="eastAsia" w:ascii="仿宋" w:hAnsi="仿宋" w:eastAsia="仿宋" w:cs="仿宋"/>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磋 商 须 知</w:t>
      </w:r>
    </w:p>
    <w:p>
      <w:pPr>
        <w:pStyle w:val="21"/>
        <w:shd w:val="clear"/>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p>
    <w:p>
      <w:pPr>
        <w:pStyle w:val="23"/>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0" w:name="_Toc42952414"/>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一、说明</w:t>
      </w:r>
      <w:bookmarkEnd w:id="0"/>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shd w:val="clea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政府财政资金。</w:t>
      </w:r>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服务。</w:t>
      </w:r>
    </w:p>
    <w:p>
      <w:pPr>
        <w:pStyle w:val="5"/>
        <w:numPr>
          <w:ilvl w:val="1"/>
          <w:numId w:val="1"/>
        </w:numPr>
        <w:shd w:val="clea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3"/>
        </w:numPr>
        <w:shd w:val="clea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t>
      </w:r>
    </w:p>
    <w:p>
      <w:pPr>
        <w:pStyle w:val="29"/>
        <w:keepNext w:val="0"/>
        <w:keepLines w:val="0"/>
        <w:pageBreakBefore w:val="0"/>
        <w:widowControl/>
        <w:numPr>
          <w:ilvl w:val="0"/>
          <w:numId w:val="3"/>
        </w:numPr>
        <w:suppressLineNumbers w:val="0"/>
        <w:shd w:val="clear"/>
        <w:kinsoku/>
        <w:wordWrap/>
        <w:overflowPunct/>
        <w:topLinePunct w:val="0"/>
        <w:autoSpaceDE/>
        <w:autoSpaceDN/>
        <w:bidi w:val="0"/>
        <w:adjustRightInd/>
        <w:snapToGrid/>
        <w:spacing w:before="36" w:beforeAutospacing="0" w:after="36" w:afterAutospacing="0" w:line="360" w:lineRule="auto"/>
        <w:ind w:left="420" w:leftChars="0" w:right="0" w:hanging="420" w:firstLineChars="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本项目的特定资格要求：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（1）提供营业执照复印件加盖鲜章；</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（2）法定代表人投标需携带法定代表人证明书（原件）及法定代表人身份证（原件）；委托代理人投标需携带法定代表人授权委托书（原件）及委托代理人身份证（原件）；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2020年度经审计的《财务审计报告书》原件或复印件加盖鲜章；</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（4）提供近段时间内（2021年6月-12月）的缴纳税收的完税证明或税务部门出具的纳税证明；如依法免税的，应提供相应文件证明原件；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（5）提供委托人近段时间内（2021年6月-12月）的缴纳社保证明材料加盖鲜章。如依法不需要缴纳社会保障资金的，应提供相应文件证明；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（6）投标保证金电子回单。</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1" w:firstLineChars="10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（7）同意磋商文件的声明。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bidi="ar"/>
          <w14:textFill>
            <w14:solidFill>
              <w14:schemeClr w14:val="tx1"/>
            </w14:solidFill>
          </w14:textFill>
        </w:rPr>
        <w:t>注：若未按要求单独提供相关资料，投标文件将不予开启，做无效投标处理。</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24"/>
          <w:szCs w:val="24"/>
          <w:highlight w:val="none"/>
          <w14:textFill>
            <w14:solidFill>
              <w14:schemeClr w14:val="tx1"/>
            </w14:solidFill>
          </w14:textFill>
        </w:rPr>
        <w:t>二、磋商文件</w:t>
      </w:r>
      <w:bookmarkEnd w:id="1"/>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磋商文件的组成</w:t>
      </w:r>
    </w:p>
    <w:p>
      <w:pPr>
        <w:widowControl w:val="0"/>
        <w:shd w:val="clear"/>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4"/>
        </w:numPr>
        <w:shd w:val="clea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hd w:val="clea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shd w:val="clear"/>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shd w:val="clear"/>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shd w:val="clear"/>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shd w:val="clear"/>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shd w:val="clea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5"/>
        </w:numPr>
        <w:shd w:val="clea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5"/>
        </w:numPr>
        <w:shd w:val="clea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5"/>
        </w:numPr>
        <w:shd w:val="clea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5"/>
        </w:numPr>
        <w:shd w:val="clea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shd w:val="clea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shd w:val="clear"/>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内容；</w:t>
      </w:r>
    </w:p>
    <w:p>
      <w:pPr>
        <w:widowControl w:val="0"/>
        <w:shd w:val="clear"/>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shd w:val="clear"/>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shd w:val="clea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highlight w:val="none"/>
          <w14:textFill>
            <w14:solidFill>
              <w14:schemeClr w14:val="tx1"/>
            </w14:solidFill>
          </w14:textFill>
        </w:rPr>
        <w:t>以U盘形式</w:t>
      </w:r>
      <w:r>
        <w:rPr>
          <w:rFonts w:hint="eastAsia" w:ascii="仿宋" w:hAnsi="仿宋" w:eastAsia="仿宋" w:cs="仿宋"/>
          <w:color w:val="000000" w:themeColor="text1"/>
          <w:sz w:val="24"/>
          <w:szCs w:val="24"/>
          <w:highlight w:val="none"/>
          <w14:textFill>
            <w14:solidFill>
              <w14:schemeClr w14:val="tx1"/>
            </w14:solidFill>
          </w14:textFill>
        </w:rPr>
        <w:t>）附在正本里，</w:t>
      </w:r>
      <w:r>
        <w:rPr>
          <w:rFonts w:hint="eastAsia" w:ascii="仿宋" w:hAnsi="仿宋" w:eastAsia="仿宋" w:cs="仿宋"/>
          <w:color w:val="000000" w:themeColor="text1"/>
          <w:sz w:val="24"/>
          <w:szCs w:val="24"/>
          <w:highlight w:val="none"/>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highlight w:val="none"/>
          <w14:textFill>
            <w14:solidFill>
              <w14:schemeClr w14:val="tx1"/>
            </w14:solidFill>
          </w14:textFill>
        </w:rPr>
        <w:t>。不按以上要求递交的，视为</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文件不完整。</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6"/>
        </w:numPr>
        <w:shd w:val="clea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3"/>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hd w:val="clear"/>
              <w:spacing w:line="360" w:lineRule="auto"/>
              <w:ind w:left="180"/>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洛浦县不动产登记三网迁移改造采购项目</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收件人名称：</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XJXJ2021-12-JCSCG01</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hd w:val="clea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shd w:val="clear"/>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6"/>
        </w:numPr>
        <w:shd w:val="clea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6"/>
        </w:numPr>
        <w:shd w:val="clea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shd w:val="clea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shd w:val="clea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7"/>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shd w:val="clear"/>
        <w:tabs>
          <w:tab w:val="left" w:pos="360"/>
          <w:tab w:val="left" w:pos="735"/>
        </w:tabs>
        <w:snapToGrid w:val="0"/>
        <w:spacing w:before="60" w:line="360" w:lineRule="auto"/>
        <w:ind w:leftChars="-1" w:hanging="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     投标保证金</w:t>
      </w:r>
    </w:p>
    <w:p>
      <w:pPr>
        <w:shd w:val="clea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5.1    本项目的投标</w:t>
      </w:r>
      <w:r>
        <w:rPr>
          <w:rFonts w:hint="eastAsia" w:ascii="仿宋" w:hAnsi="仿宋" w:eastAsia="仿宋" w:cs="仿宋"/>
          <w:b/>
          <w:bCs/>
          <w:color w:val="auto"/>
          <w:sz w:val="24"/>
          <w:szCs w:val="24"/>
          <w:highlight w:val="none"/>
        </w:rPr>
        <w:t>保证金金额为人</w:t>
      </w:r>
      <w:r>
        <w:rPr>
          <w:rFonts w:hint="eastAsia" w:ascii="仿宋" w:hAnsi="仿宋" w:eastAsia="仿宋" w:cs="仿宋"/>
          <w:b/>
          <w:color w:val="auto"/>
          <w:sz w:val="24"/>
          <w:szCs w:val="24"/>
          <w:highlight w:val="none"/>
        </w:rPr>
        <w:t>民币</w:t>
      </w:r>
      <w:r>
        <w:rPr>
          <w:rFonts w:hint="eastAsia" w:ascii="仿宋" w:hAnsi="仿宋" w:eastAsia="仿宋" w:cs="仿宋"/>
          <w:b/>
          <w:color w:val="auto"/>
          <w:sz w:val="24"/>
          <w:szCs w:val="24"/>
          <w:highlight w:val="none"/>
          <w:lang w:val="en-US" w:eastAsia="zh-CN"/>
        </w:rPr>
        <w:t>壹万玖仟肆佰元</w:t>
      </w:r>
      <w:r>
        <w:rPr>
          <w:rFonts w:hint="eastAsia" w:ascii="仿宋" w:hAnsi="仿宋" w:eastAsia="仿宋" w:cs="仿宋"/>
          <w:b/>
          <w:color w:val="auto"/>
          <w:sz w:val="24"/>
          <w:szCs w:val="24"/>
          <w:highlight w:val="none"/>
          <w:lang w:eastAsia="zh-CN"/>
        </w:rPr>
        <w:t>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19400.00</w:t>
      </w:r>
      <w:r>
        <w:rPr>
          <w:rFonts w:hint="eastAsia" w:ascii="仿宋" w:hAnsi="仿宋" w:eastAsia="仿宋" w:cs="仿宋"/>
          <w:b/>
          <w:bCs/>
          <w:color w:val="auto"/>
          <w:sz w:val="24"/>
          <w:szCs w:val="24"/>
          <w:highlight w:val="none"/>
        </w:rPr>
        <w:t>元）。</w:t>
      </w:r>
      <w:r>
        <w:rPr>
          <w:rFonts w:hint="eastAsia" w:ascii="仿宋" w:hAnsi="仿宋" w:eastAsia="仿宋" w:cs="仿宋"/>
          <w:color w:val="auto"/>
          <w:sz w:val="24"/>
          <w:szCs w:val="24"/>
          <w:highlight w:val="none"/>
        </w:rPr>
        <w:t>投标保证金是响应文件的组成部分。</w:t>
      </w:r>
      <w:r>
        <w:rPr>
          <w:rFonts w:hint="eastAsia" w:ascii="仿宋" w:hAnsi="仿宋" w:eastAsia="仿宋" w:cs="仿宋"/>
          <w:b/>
          <w:bCs/>
          <w:color w:val="auto"/>
          <w:sz w:val="24"/>
          <w:szCs w:val="24"/>
          <w:highlight w:val="none"/>
        </w:rPr>
        <w:t>投标人应在</w:t>
      </w:r>
      <w:r>
        <w:rPr>
          <w:rFonts w:hint="eastAsia" w:ascii="仿宋" w:hAnsi="仿宋" w:eastAsia="仿宋" w:cs="仿宋"/>
          <w:b/>
          <w:bCs/>
          <w:color w:val="auto"/>
          <w:sz w:val="24"/>
          <w:szCs w:val="24"/>
          <w:highlight w:val="none"/>
          <w:lang w:val="en-US" w:eastAsia="zh-CN"/>
        </w:rPr>
        <w:t>2022年1月7日11：00</w:t>
      </w:r>
      <w:r>
        <w:rPr>
          <w:rFonts w:hint="eastAsia" w:ascii="仿宋" w:hAnsi="仿宋" w:eastAsia="仿宋" w:cs="仿宋"/>
          <w:b/>
          <w:bCs/>
          <w:color w:val="auto"/>
          <w:sz w:val="24"/>
          <w:szCs w:val="24"/>
          <w:highlight w:val="none"/>
        </w:rPr>
        <w:t>之前交纳投标保证金。</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投标保证金是为了保护采购代理机构和采购人免遭因供应商的行为所造成的损失，采购代理机构和采购人在因供应商的行为而受到损害时，可以根据本须知的规定没收供应商的投标保证金。</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val="en-US" w:eastAsia="zh-CN"/>
        </w:rPr>
        <w:t>投标：洛浦县政务服务和公共资源交易中心</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开户银行：洛浦县农村信用合作联社艾德莱斯广场信用社</w:t>
      </w:r>
    </w:p>
    <w:p>
      <w:pPr>
        <w:shd w:val="clear"/>
        <w:tabs>
          <w:tab w:val="left" w:pos="720"/>
        </w:tabs>
        <w:adjustRightInd w:val="0"/>
        <w:snapToGrid w:val="0"/>
        <w:spacing w:before="60" w:line="360" w:lineRule="auto"/>
        <w:ind w:left="718" w:right="31" w:rightChars="15" w:hanging="820" w:hangingChars="34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号：9800101064175952100057</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1"/>
          <w:szCs w:val="21"/>
          <w:highlight w:val="none"/>
          <w:lang w:val="en-US"/>
        </w:rPr>
      </w:pPr>
      <w:r>
        <w:rPr>
          <w:rFonts w:hint="eastAsia" w:ascii="仿宋" w:hAnsi="仿宋" w:eastAsia="仿宋" w:cs="仿宋"/>
          <w:color w:val="auto"/>
          <w:sz w:val="24"/>
          <w:szCs w:val="24"/>
          <w:highlight w:val="none"/>
          <w:lang w:val="en-US" w:eastAsia="zh-CN"/>
        </w:rPr>
        <w:t>开户行行号：402896500026</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 、使用担保函形式缴纳投标保证金，投标企业可登录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“http//hetian.jmrzdb.cn/”网站，自行注册账户办理缴纳投标保证金事宜，不明之处请致电：18989736557。</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保证金的缴纳形式：电汇转账、保函 </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投标保证金的金额：19400.00元（大写：壹万玖仟肆佰元整） </w:t>
      </w:r>
    </w:p>
    <w:p>
      <w:pPr>
        <w:shd w:val="clear"/>
        <w:tabs>
          <w:tab w:val="left" w:pos="720"/>
        </w:tabs>
        <w:adjustRightInd w:val="0"/>
        <w:snapToGrid w:val="0"/>
        <w:spacing w:before="60" w:line="360" w:lineRule="auto"/>
        <w:ind w:left="718" w:right="31" w:rightChars="15" w:hanging="820" w:hangingChars="342"/>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递交方式：转账或保函</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使用电汇转账的投标企业,请汇入以下账户：</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账户名称</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5.4、各投标企业在缴纳投标保证金时，不论采用转账或保函形式缴纳，均须从投标人基本账户转出。投标人在缴纳保证金时，需在进账凭证上写明资金用途、投标项目名称、标段编号，以便查对核实。</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shd w:val="clea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shd w:val="clea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hd w:val="clear"/>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shd w:val="clea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shd w:val="clea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shd w:val="clea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shd w:val="clea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供应商的技术资料、报价和</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信息。</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p>
    <w:p>
      <w:pPr>
        <w:widowControl w:val="0"/>
        <w:numPr>
          <w:ilvl w:val="0"/>
          <w:numId w:val="9"/>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shd w:val="clea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shd w:val="clea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hd w:val="clea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shd w:val="clea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hd w:val="clear"/>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hd w:val="clea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shd w:val="clea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hd w:val="clear"/>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hd w:val="clea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w:t>
      </w:r>
      <w:r>
        <w:rPr>
          <w:rFonts w:hint="eastAsia" w:ascii="仿宋" w:hAnsi="仿宋" w:eastAsia="仿宋" w:cs="仿宋"/>
          <w:color w:val="000000" w:themeColor="text1"/>
          <w:sz w:val="24"/>
          <w:szCs w:val="24"/>
          <w:highlight w:val="none"/>
          <w:lang w:eastAsia="zh-CN"/>
          <w14:textFill>
            <w14:solidFill>
              <w14:schemeClr w14:val="tx1"/>
            </w14:solidFill>
          </w14:textFill>
        </w:rPr>
        <w:t>《政府采购促进中小企业发展管理办法》（财库〔2020〕46号）</w:t>
      </w:r>
      <w:r>
        <w:rPr>
          <w:rFonts w:hint="eastAsia" w:ascii="仿宋" w:hAnsi="仿宋" w:eastAsia="仿宋" w:cs="仿宋"/>
          <w:color w:val="000000" w:themeColor="text1"/>
          <w:sz w:val="24"/>
          <w:szCs w:val="24"/>
          <w:highlight w:val="none"/>
          <w14:textFill>
            <w14:solidFill>
              <w14:schemeClr w14:val="tx1"/>
            </w14:solidFill>
          </w14:textFill>
        </w:rPr>
        <w:t>的规定，对小型和微型企业产品的价格给予6%的扣除，用扣除后的价格参与评审；提供的服务中仅有部分小型和微型企业的，则按所提供小型和微型企业服务的价格予以扣除。</w:t>
      </w:r>
    </w:p>
    <w:p>
      <w:pPr>
        <w:shd w:val="clea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hd w:val="clear"/>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hd w:val="clea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shd w:val="clea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hd w:val="clea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3"/>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shd w:val="clear"/>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hd w:val="clea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shd w:val="clea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hd w:val="clear"/>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hd w:val="clea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hd w:val="clea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shd w:val="clea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shd w:val="clea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w:t>
      </w:r>
      <w:r>
        <w:rPr>
          <w:rFonts w:hint="eastAsia" w:ascii="仿宋" w:hAnsi="仿宋" w:eastAsia="仿宋" w:cs="仿宋"/>
          <w:color w:val="000000" w:themeColor="text1"/>
          <w:sz w:val="24"/>
          <w:szCs w:val="24"/>
          <w:highlight w:val="none"/>
          <w:lang w:eastAsia="zh-CN"/>
          <w14:textFill>
            <w14:solidFill>
              <w14:schemeClr w14:val="tx1"/>
            </w14:solidFill>
          </w14:textFill>
        </w:rPr>
        <w:t>其他人</w:t>
      </w:r>
      <w:r>
        <w:rPr>
          <w:rFonts w:hint="eastAsia" w:ascii="仿宋" w:hAnsi="仿宋" w:eastAsia="仿宋" w:cs="仿宋"/>
          <w:color w:val="000000" w:themeColor="text1"/>
          <w:sz w:val="24"/>
          <w:szCs w:val="24"/>
          <w:highlight w:val="none"/>
          <w14:textFill>
            <w14:solidFill>
              <w14:schemeClr w14:val="tx1"/>
            </w14:solidFill>
          </w14:textFill>
        </w:rPr>
        <w:t>透露。</w:t>
      </w:r>
    </w:p>
    <w:p>
      <w:pPr>
        <w:widowControl w:val="0"/>
        <w:numPr>
          <w:ilvl w:val="0"/>
          <w:numId w:val="12"/>
        </w:numPr>
        <w:shd w:val="clea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hd w:val="clea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hd w:val="clear"/>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hd w:val="clea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hd w:val="clear"/>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hd w:val="clea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hd w:val="clea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组织的名称；（4）质疑事项所依据的具体事实和理由、相关证据材料以及明确的请求；（5）有效联系人和联系电话；（6）提起质疑的日期。</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有关材料的，视同放弃说明权利，认可质疑事项。</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shd w:val="clea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shd w:val="clea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shd w:val="clear"/>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shd w:val="clea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r>
        <w:rPr>
          <w:rFonts w:hint="eastAsia" w:ascii="仿宋" w:hAnsi="仿宋" w:eastAsia="仿宋" w:cs="仿宋"/>
          <w:color w:val="000000" w:themeColor="text1"/>
          <w:sz w:val="24"/>
          <w:szCs w:val="24"/>
          <w:highlight w:val="none"/>
          <w:lang w:eastAsia="zh-CN"/>
          <w14:textFill>
            <w14:solidFill>
              <w14:schemeClr w14:val="tx1"/>
            </w14:solidFill>
          </w14:textFill>
        </w:rPr>
        <w:t>新疆晓君招标有限公司</w:t>
      </w:r>
    </w:p>
    <w:p>
      <w:pPr>
        <w:shd w:val="clea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和田市阿恰勒西路9</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eastAsia="zh-CN"/>
          <w14:textFill>
            <w14:solidFill>
              <w14:schemeClr w14:val="tx1"/>
            </w14:solidFill>
          </w14:textFill>
        </w:rPr>
        <w:t>号</w:t>
      </w:r>
    </w:p>
    <w:p>
      <w:pPr>
        <w:shd w:val="clear"/>
        <w:tabs>
          <w:tab w:val="left" w:pos="735"/>
        </w:tabs>
        <w:snapToGrid w:val="0"/>
        <w:spacing w:before="60" w:line="336" w:lineRule="auto"/>
        <w:ind w:firstLine="960" w:firstLineChars="4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17799150765</w:t>
      </w:r>
    </w:p>
    <w:p>
      <w:pPr>
        <w:shd w:val="clea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w:t>
      </w:r>
      <w:r>
        <w:rPr>
          <w:rFonts w:hint="eastAsia" w:ascii="仿宋" w:hAnsi="仿宋" w:eastAsia="仿宋" w:cs="仿宋"/>
          <w:color w:val="000000" w:themeColor="text1"/>
          <w:sz w:val="24"/>
          <w:szCs w:val="24"/>
          <w:highlight w:val="none"/>
          <w:lang w:val="en-US" w:eastAsia="zh-CN"/>
          <w14:textFill>
            <w14:solidFill>
              <w14:schemeClr w14:val="tx1"/>
            </w14:solidFill>
          </w14:textFill>
        </w:rPr>
        <w:t>48</w:t>
      </w:r>
      <w:r>
        <w:rPr>
          <w:rFonts w:hint="eastAsia" w:ascii="仿宋" w:hAnsi="仿宋" w:eastAsia="仿宋" w:cs="仿宋"/>
          <w:color w:val="000000" w:themeColor="text1"/>
          <w:sz w:val="24"/>
          <w:szCs w:val="24"/>
          <w:highlight w:val="none"/>
          <w14:textFill>
            <w14:solidFill>
              <w14:schemeClr w14:val="tx1"/>
            </w14:solidFill>
          </w14:textFill>
        </w:rPr>
        <w:t>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shd w:val="clea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杨强</w:t>
      </w:r>
    </w:p>
    <w:p>
      <w:pPr>
        <w:shd w:val="clea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shd w:val="clear"/>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shd w:val="clea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授权代表签字(签章)：_________________</w:t>
            </w:r>
          </w:p>
          <w:p>
            <w:pPr>
              <w:widowControl w:val="0"/>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shd w:val="clear"/>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shd w:val="clear"/>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shd w:val="clea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shd w:val="clea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shd w:val="clea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shd w:val="clea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本项目招标代理服务费的中标金额的1.5%。</w:t>
      </w:r>
    </w:p>
    <w:p>
      <w:pPr>
        <w:pStyle w:val="5"/>
        <w:shd w:val="clear"/>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(2)成交服务费以人民币支付。</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(3)成交服务费支付方式：一次性以电汇、支票或现金等形式支付。</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(4)成交服务费不在报价中单列。</w:t>
      </w:r>
    </w:p>
    <w:p>
      <w:pPr>
        <w:pStyle w:val="5"/>
        <w:shd w:val="clear"/>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(5)供应商如果不按规定交纳成交服务费，采购代理机构将在成交人的投标保证金中抵扣服务费。</w:t>
      </w:r>
    </w:p>
    <w:p>
      <w:pPr>
        <w:shd w:val="clea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情况（资料），采购人必须以书面形式索要并具体列出索要的文件清单，采购代理机构同意提供的，采购人要写出有效的收条并严格履行法定的保密义务；</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hd w:val="clea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shd w:val="clear"/>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hd w:val="clear"/>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fmt="decimal"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5"/>
        <w:shd w:val="clear"/>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洛浦县不动产登记三网迁移改造采购项目（编号：XJXJ2021-12-JCSCG01)</w:t>
      </w: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shd w:val="clea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最高限价97万元</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hd w:val="clea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没有其他</w:t>
            </w:r>
            <w:r>
              <w:rPr>
                <w:rFonts w:hint="eastAsia" w:ascii="仿宋" w:hAnsi="仿宋" w:eastAsia="仿宋" w:cs="仿宋"/>
                <w:color w:val="000000" w:themeColor="text1"/>
                <w:sz w:val="24"/>
                <w:szCs w:val="24"/>
                <w:highlight w:val="none"/>
                <w14:textFill>
                  <w14:solidFill>
                    <w14:schemeClr w14:val="tx1"/>
                  </w14:solidFill>
                </w14:textFill>
              </w:rPr>
              <w:t>未实质性响应磋商文件的要求</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洛浦县不动产登记三网迁移改造采购项目（编号：XJXJ2021-12-JCSCG01)</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tbl>
      <w:tblPr>
        <w:tblStyle w:val="33"/>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shd w:val="clear"/>
              <w:wordWrap w:val="0"/>
              <w:snapToGrid w:val="0"/>
              <w:spacing w:after="6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color w:val="000000" w:themeColor="text1"/>
                <w:sz w:val="24"/>
                <w:szCs w:val="24"/>
                <w:highlight w:val="none"/>
                <w14:textFill>
                  <w14:solidFill>
                    <w14:schemeClr w14:val="tx1"/>
                  </w14:solidFill>
                </w14:textFill>
              </w:rPr>
              <w:t>评分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得分</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bidi="zh-CN"/>
                <w14:textFill>
                  <w14:solidFill>
                    <w14:schemeClr w14:val="tx1"/>
                  </w14:solidFill>
                </w14:textFill>
              </w:rPr>
              <w:t>评价指标及权重</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bidi="zh-CN"/>
                <w14:textFill>
                  <w14:solidFill>
                    <w14:schemeClr w14:val="tx1"/>
                  </w14:solidFill>
                </w14:textFill>
              </w:rPr>
              <w:t>子项</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bidi="zh-CN"/>
                <w14:textFill>
                  <w14:solidFill>
                    <w14:schemeClr w14:val="tx1"/>
                  </w14:solidFill>
                </w14:textFill>
              </w:rPr>
              <w:t>分值</w:t>
            </w:r>
          </w:p>
        </w:tc>
        <w:tc>
          <w:tcPr>
            <w:tcW w:w="9375"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bidi="zh-CN"/>
                <w14:textFill>
                  <w14:solidFill>
                    <w14:schemeClr w14:val="tx1"/>
                  </w14:solidFill>
                </w14:textFill>
              </w:rPr>
              <w:t xml:space="preserve">评分细则及分值范围 </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服务</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评分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60</w:t>
            </w: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对项目的理解与把握</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对项目和理解和服务方案进行评审：</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对项目理解深入透彻，服务方案整体框架清晰，阐述内容主次分明，方案可操作性、可行性强，得 15 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对项目理解较为深入，服务方案整体框架较清晰，阐述内容主次较为分明， 方案具有一定的可操作性、可行性较强， 得 10 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对项目理解基本深入，服务方案整体框架基本清晰，阐述内容主次基本分明，方案具有基本的可操作性、可行性， 得 5 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rtl w:val="0"/>
                <w:lang w:val="zh-CN" w:eastAsia="zh-CN" w:bidi="zh-CN"/>
                <w14:textFill>
                  <w14:solidFill>
                    <w14:schemeClr w14:val="tx1"/>
                  </w14:solidFill>
                </w14:textFill>
              </w:rPr>
            </w:pPr>
            <w:r>
              <w:rPr>
                <w:rFonts w:hint="eastAsia" w:ascii="仿宋" w:hAnsi="仿宋" w:eastAsia="仿宋" w:cs="仿宋"/>
                <w:color w:val="000000"/>
                <w:szCs w:val="21"/>
                <w:highlight w:val="none"/>
              </w:rPr>
              <w:t>对项目理解不深入，服务方案整体框架模糊，阐述内容主次不分明，方案的可操作性、可行性较差，得 1 分；无提供不得分。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sz w:val="21"/>
                <w:szCs w:val="21"/>
              </w:rPr>
              <w:t>技</w:t>
            </w:r>
            <w:r>
              <w:rPr>
                <w:rFonts w:hint="eastAsia" w:ascii="仿宋" w:hAnsi="仿宋" w:eastAsia="仿宋" w:cs="仿宋"/>
                <w:color w:val="000000"/>
                <w:szCs w:val="21"/>
                <w:highlight w:val="none"/>
              </w:rPr>
              <w:t>术参数响应情况</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10</w:t>
            </w:r>
          </w:p>
        </w:tc>
        <w:tc>
          <w:tcPr>
            <w:tcW w:w="9375" w:type="dxa"/>
            <w:vAlign w:val="center"/>
          </w:tcPr>
          <w:p>
            <w:pPr>
              <w:pStyle w:val="94"/>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根据投标人对用户需求书中</w:t>
            </w:r>
            <w:r>
              <w:rPr>
                <w:rFonts w:hint="eastAsia" w:ascii="仿宋" w:hAnsi="仿宋" w:eastAsia="仿宋" w:cs="仿宋"/>
                <w:color w:val="000000"/>
                <w:sz w:val="21"/>
                <w:szCs w:val="21"/>
                <w:lang w:val="en-US" w:eastAsia="zh-CN"/>
              </w:rPr>
              <w:t>”</w:t>
            </w:r>
            <w:r>
              <w:rPr>
                <w:rFonts w:hint="eastAsia" w:ascii="仿宋" w:hAnsi="仿宋" w:eastAsia="仿宋" w:cs="仿宋"/>
                <w:b/>
                <w:bCs w:val="0"/>
                <w:color w:val="000000"/>
                <w:sz w:val="21"/>
                <w:szCs w:val="21"/>
                <w:lang w:val="en-US" w:eastAsia="zh-CN" w:bidi="zh-CN"/>
              </w:rPr>
              <w:t>采购清单</w:t>
            </w:r>
            <w:r>
              <w:rPr>
                <w:rFonts w:hint="eastAsia" w:ascii="仿宋" w:hAnsi="仿宋" w:eastAsia="仿宋" w:cs="仿宋"/>
                <w:color w:val="000000"/>
                <w:sz w:val="21"/>
                <w:szCs w:val="21"/>
              </w:rPr>
              <w:t>”的响应情况进行评审，参数指标完全满足或优于的，得</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分。</w:t>
            </w:r>
            <w:r>
              <w:rPr>
                <w:rFonts w:hint="eastAsia" w:ascii="仿宋" w:hAnsi="仿宋" w:eastAsia="仿宋" w:cs="仿宋"/>
                <w:color w:val="000000"/>
                <w:sz w:val="21"/>
                <w:szCs w:val="21"/>
              </w:rPr>
              <w:br w:type="textWrapping"/>
            </w:r>
            <w:r>
              <w:rPr>
                <w:rFonts w:hint="eastAsia" w:ascii="仿宋" w:hAnsi="仿宋" w:eastAsia="仿宋" w:cs="仿宋"/>
                <w:color w:val="000000"/>
                <w:sz w:val="21"/>
                <w:szCs w:val="21"/>
              </w:rPr>
              <w:t>每有一项其他条款技术参数指标不满足扣1分，扣完为止。</w:t>
            </w:r>
          </w:p>
          <w:p>
            <w:pPr>
              <w:pStyle w:val="26"/>
              <w:shd w:val="clea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sz w:val="21"/>
                <w:szCs w:val="21"/>
              </w:rPr>
              <w:t>注：投标人需</w:t>
            </w:r>
            <w:r>
              <w:rPr>
                <w:rFonts w:hint="eastAsia" w:ascii="仿宋" w:hAnsi="仿宋" w:eastAsia="仿宋" w:cs="仿宋"/>
                <w:color w:val="000000"/>
                <w:sz w:val="21"/>
                <w:szCs w:val="21"/>
                <w:lang w:eastAsia="zh-CN"/>
              </w:rPr>
              <w:t>提</w:t>
            </w:r>
            <w:r>
              <w:rPr>
                <w:rFonts w:hint="eastAsia" w:ascii="仿宋" w:hAnsi="仿宋" w:eastAsia="仿宋" w:cs="仿宋"/>
                <w:color w:val="000000"/>
                <w:sz w:val="21"/>
                <w:szCs w:val="21"/>
              </w:rPr>
              <w:t>供《技术商务响应表》 如实响应，</w:t>
            </w:r>
            <w:r>
              <w:rPr>
                <w:rFonts w:hint="eastAsia" w:ascii="仿宋" w:hAnsi="仿宋" w:eastAsia="仿宋" w:cs="仿宋"/>
                <w:b/>
                <w:bCs/>
                <w:color w:val="000000"/>
                <w:sz w:val="21"/>
                <w:szCs w:val="21"/>
              </w:rPr>
              <w:t>如虚假提供满足的投标人导致后果自负。</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both"/>
              <w:rPr>
                <w:rFonts w:hint="default"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项目实施方案</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15</w:t>
            </w:r>
          </w:p>
        </w:tc>
        <w:tc>
          <w:tcPr>
            <w:tcW w:w="9375" w:type="dxa"/>
            <w:vAlign w:val="center"/>
          </w:tcPr>
          <w:p>
            <w:pPr>
              <w:pStyle w:val="26"/>
              <w:shd w:val="clea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对供应商实施方案进行评价:项目的组织管理、质量控制方案、人员安排、应急处理方案等内容进行评价:</w:t>
            </w:r>
          </w:p>
          <w:p>
            <w:pPr>
              <w:pStyle w:val="26"/>
              <w:shd w:val="clea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优:方案思路清晰、可行性高，能有效地切合项目需求，得15分;</w:t>
            </w:r>
          </w:p>
          <w:p>
            <w:pPr>
              <w:pStyle w:val="26"/>
              <w:shd w:val="clea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良:方案具有一定的可行性，基本符合项目需求，得10分:</w:t>
            </w:r>
          </w:p>
          <w:p>
            <w:pPr>
              <w:pStyle w:val="26"/>
              <w:shd w:val="clea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一般:方案思路不够清晰、可行性较差，不能有效地符合项目需求，得5分。</w:t>
            </w:r>
          </w:p>
          <w:p>
            <w:pPr>
              <w:pStyle w:val="26"/>
              <w:shd w:val="clear"/>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未能提供方案的不得分。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default"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实施计划及管理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根据供应商的实施计划、现场管理措施等方面进行评价:优:项目计划、现场管理措施针对性强、可行性高、规范</w:t>
            </w: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合理，得10分;</w:t>
            </w: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良:项目计划、现场管理措施可行、有效、规范合理，得6分;</w:t>
            </w: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一般:供应商有提出计划、现场管理措施，但不够有效、不够齐全，得3分。</w:t>
            </w:r>
          </w:p>
          <w:p>
            <w:pPr>
              <w:pStyle w:val="26"/>
              <w:shd w:val="clear"/>
              <w:rPr>
                <w:rFonts w:hint="default"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未提供者不得分。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实施本项目的质量保证体系及质量承诺书</w:t>
            </w:r>
          </w:p>
        </w:tc>
        <w:tc>
          <w:tcPr>
            <w:tcW w:w="719" w:type="dxa"/>
            <w:vAlign w:val="center"/>
          </w:tcPr>
          <w:p>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center"/>
              <w:rPr>
                <w:rFonts w:hint="default"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sz w:val="24"/>
                <w:szCs w:val="24"/>
                <w:highlight w:val="none"/>
                <w:lang w:val="en-US" w:eastAsia="zh-CN"/>
              </w:rPr>
              <w:t>10</w:t>
            </w:r>
          </w:p>
        </w:tc>
        <w:tc>
          <w:tcPr>
            <w:tcW w:w="9375" w:type="dxa"/>
            <w:vAlign w:val="center"/>
          </w:tcPr>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10</w:t>
            </w:r>
            <w:r>
              <w:rPr>
                <w:rFonts w:hint="eastAsia" w:ascii="仿宋" w:hAnsi="仿宋" w:eastAsia="仿宋" w:cs="仿宋"/>
                <w:color w:val="000000" w:themeColor="text1"/>
                <w:sz w:val="24"/>
                <w:szCs w:val="24"/>
                <w:highlight w:val="none"/>
                <w:lang w:val="en-US" w:bidi="zh-CN"/>
                <w14:textFill>
                  <w14:solidFill>
                    <w14:schemeClr w14:val="tx1"/>
                  </w14:solidFill>
                </w14:textFill>
              </w:rPr>
              <w:t>分；</w:t>
            </w: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提供有较合理质量保证措施，质量保证及质量承诺符合项目需求，得</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6</w:t>
            </w:r>
            <w:r>
              <w:rPr>
                <w:rFonts w:hint="eastAsia" w:ascii="仿宋" w:hAnsi="仿宋" w:eastAsia="仿宋" w:cs="仿宋"/>
                <w:color w:val="000000" w:themeColor="text1"/>
                <w:sz w:val="24"/>
                <w:szCs w:val="24"/>
                <w:highlight w:val="none"/>
                <w:lang w:val="en-US" w:bidi="zh-CN"/>
                <w14:textFill>
                  <w14:solidFill>
                    <w14:schemeClr w14:val="tx1"/>
                  </w14:solidFill>
                </w14:textFill>
              </w:rPr>
              <w:t>分；</w:t>
            </w:r>
          </w:p>
          <w:p>
            <w:pPr>
              <w:pStyle w:val="26"/>
              <w:shd w:val="clear"/>
              <w:rPr>
                <w:rFonts w:hint="eastAsia" w:ascii="仿宋" w:hAnsi="仿宋" w:eastAsia="仿宋" w:cs="仿宋"/>
                <w:color w:val="000000" w:themeColor="text1"/>
                <w:sz w:val="24"/>
                <w:szCs w:val="24"/>
                <w:highlight w:val="none"/>
                <w:lang w:val="en-US" w:bidi="zh-CN"/>
                <w14:textFill>
                  <w14:solidFill>
                    <w14:schemeClr w14:val="tx1"/>
                  </w14:solidFill>
                </w14:textFill>
              </w:rPr>
            </w:pPr>
            <w:r>
              <w:rPr>
                <w:rFonts w:hint="eastAsia" w:ascii="仿宋" w:hAnsi="仿宋" w:eastAsia="仿宋" w:cs="仿宋"/>
                <w:color w:val="000000" w:themeColor="text1"/>
                <w:sz w:val="24"/>
                <w:szCs w:val="24"/>
                <w:highlight w:val="none"/>
                <w:lang w:val="en-US" w:bidi="zh-CN"/>
                <w14:textFill>
                  <w14:solidFill>
                    <w14:schemeClr w14:val="tx1"/>
                  </w14:solidFill>
                </w14:textFill>
              </w:rPr>
              <w:t>提供相对简单的质量保证措施，没有针对性，得</w:t>
            </w: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3</w:t>
            </w:r>
            <w:r>
              <w:rPr>
                <w:rFonts w:hint="eastAsia" w:ascii="仿宋" w:hAnsi="仿宋" w:eastAsia="仿宋" w:cs="仿宋"/>
                <w:color w:val="000000" w:themeColor="text1"/>
                <w:sz w:val="24"/>
                <w:szCs w:val="24"/>
                <w:highlight w:val="none"/>
                <w:lang w:val="en-US" w:bidi="zh-CN"/>
                <w14:textFill>
                  <w14:solidFill>
                    <w14:schemeClr w14:val="tx1"/>
                  </w14:solidFill>
                </w14:textFill>
              </w:rPr>
              <w:t>分；</w:t>
            </w:r>
          </w:p>
          <w:p>
            <w:pPr>
              <w:pStyle w:val="2"/>
              <w:rPr>
                <w:rFonts w:hint="eastAsia"/>
              </w:rPr>
            </w:pPr>
            <w:r>
              <w:rPr>
                <w:rFonts w:hint="eastAsia" w:ascii="仿宋" w:hAnsi="仿宋" w:eastAsia="仿宋" w:cs="仿宋"/>
                <w:color w:val="000000" w:themeColor="text1"/>
                <w:sz w:val="24"/>
                <w:szCs w:val="24"/>
                <w:highlight w:val="none"/>
                <w:lang w:val="en-US" w:bidi="zh-CN"/>
                <w14:textFill>
                  <w14:solidFill>
                    <w14:schemeClr w14:val="tx1"/>
                  </w14:solidFill>
                </w14:textFill>
              </w:rPr>
              <w:t>未提供者不得分。</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sz w:val="24"/>
                <w:szCs w:val="24"/>
                <w:highlight w:val="none"/>
                <w:lang w:val="en-US" w:eastAsia="zh-CN"/>
              </w:rPr>
              <w:t>10</w:t>
            </w:r>
          </w:p>
        </w:tc>
        <w:tc>
          <w:tcPr>
            <w:tcW w:w="1377"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color w:val="000000" w:themeColor="text1"/>
                <w:sz w:val="24"/>
                <w:szCs w:val="24"/>
                <w:highlight w:val="none"/>
                <w:lang w:bidi="zh-CN"/>
                <w14:textFill>
                  <w14:solidFill>
                    <w14:schemeClr w14:val="tx1"/>
                  </w14:solidFill>
                </w14:textFill>
              </w:rPr>
              <w:t>商务评分（</w:t>
            </w:r>
            <w:r>
              <w:rPr>
                <w:rFonts w:hint="eastAsia" w:ascii="仿宋" w:hAnsi="仿宋" w:eastAsia="仿宋" w:cs="仿宋"/>
                <w:color w:val="000000" w:themeColor="text1"/>
                <w:sz w:val="24"/>
                <w:szCs w:val="24"/>
                <w:highlight w:val="none"/>
                <w:lang w:val="en-US" w:bidi="zh-CN"/>
                <w14:textFill>
                  <w14:solidFill>
                    <w14:schemeClr w14:val="tx1"/>
                  </w14:solidFill>
                </w14:textFill>
              </w:rPr>
              <w:t>30</w:t>
            </w:r>
            <w:r>
              <w:rPr>
                <w:rFonts w:hint="eastAsia" w:ascii="仿宋" w:hAnsi="仿宋" w:eastAsia="仿宋" w:cs="仿宋"/>
                <w:color w:val="000000" w:themeColor="text1"/>
                <w:sz w:val="24"/>
                <w:szCs w:val="24"/>
                <w:highlight w:val="none"/>
                <w:lang w:bidi="zh-CN"/>
                <w14:textFill>
                  <w14:solidFill>
                    <w14:schemeClr w14:val="tx1"/>
                  </w14:solidFill>
                </w14:textFill>
              </w:rPr>
              <w:t>）</w:t>
            </w: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10</w:t>
            </w:r>
          </w:p>
        </w:tc>
        <w:tc>
          <w:tcPr>
            <w:tcW w:w="9375"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t>按以下标准累计计分：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t>自2019年1月1日以来，投标人承担类似项目业绩，每有一个项目得2分；本条最多得10分。</w:t>
            </w:r>
          </w:p>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rtl w:val="0"/>
                <w:lang w:val="en-US" w:eastAsia="zh-CN" w:bidi="zh-CN"/>
                <w14:textFill>
                  <w14:solidFill>
                    <w14:schemeClr w14:val="tx1"/>
                  </w14:solidFill>
                </w14:textFill>
              </w:rPr>
              <w:t>注：投标人业绩须提供合同或中标通知书复印件，不按照上述要求提供资料者，不能作为评分的依据。</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3" w:type="dxa"/>
            <w:vMerge w:val="continue"/>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default"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服务便利性及及响应快捷</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4</w:t>
            </w:r>
          </w:p>
        </w:tc>
        <w:tc>
          <w:tcPr>
            <w:tcW w:w="9375" w:type="dxa"/>
            <w:vAlign w:val="center"/>
          </w:tcPr>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根据各投标供应商为本项目提供服务的便捷性、快速响应采购人服务要求的可行性及优越性进行比较打分: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1.服务便捷性高，响应迅速，服务措施合理的得4分;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2.服务便捷性较高，响应较快，服务措施较合理的得3分;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3服务便捷性一般，响应一般，服务措施一般的得1分。</w:t>
            </w:r>
          </w:p>
          <w:p>
            <w:pPr>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default"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4未能提供相关证明文件的不得分。</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63" w:type="dxa"/>
            <w:vMerge w:val="continue"/>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bidi="zh-CN"/>
                <w14:textFill>
                  <w14:solidFill>
                    <w14:schemeClr w14:val="tx1"/>
                  </w14:solidFill>
                </w14:textFill>
              </w:rPr>
            </w:pPr>
          </w:p>
        </w:tc>
        <w:tc>
          <w:tcPr>
            <w:tcW w:w="1136"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现场服务人员</w:t>
            </w:r>
          </w:p>
        </w:tc>
        <w:tc>
          <w:tcPr>
            <w:tcW w:w="719" w:type="dxa"/>
            <w:vAlign w:val="center"/>
          </w:tcPr>
          <w:p>
            <w:pPr>
              <w:keepNext w:val="0"/>
              <w:keepLines w:val="0"/>
              <w:pageBreakBefore w:val="0"/>
              <w:widowControl w:val="0"/>
              <w:shd w:val="clear"/>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zh-CN"/>
                <w14:textFill>
                  <w14:solidFill>
                    <w14:schemeClr w14:val="tx1"/>
                  </w14:solidFill>
                </w14:textFill>
              </w:rPr>
              <w:t>16</w:t>
            </w:r>
          </w:p>
        </w:tc>
        <w:tc>
          <w:tcPr>
            <w:tcW w:w="9375" w:type="dxa"/>
            <w:vAlign w:val="center"/>
          </w:tcPr>
          <w:p>
            <w:pPr>
              <w:pStyle w:val="2"/>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具有通信中级工程师证书的。每人得2分，最高得8分。</w:t>
            </w:r>
          </w:p>
          <w:p>
            <w:pPr>
              <w:pStyle w:val="2"/>
              <w:keepNext w:val="0"/>
              <w:keepLines w:val="0"/>
              <w:pageBreakBefore w:val="0"/>
              <w:widowControl/>
              <w:kinsoku/>
              <w:wordWrap/>
              <w:overflowPunct/>
              <w:topLinePunct w:val="0"/>
              <w:autoSpaceDE/>
              <w:autoSpaceDN/>
              <w:bidi w:val="0"/>
              <w:adjustRightInd/>
              <w:spacing w:line="240" w:lineRule="auto"/>
              <w:textAlignment w:val="auto"/>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具有通信高级工程师证书的。每人得4分，最高得8分。</w:t>
            </w:r>
          </w:p>
          <w:p>
            <w:pPr>
              <w:rPr>
                <w:rFonts w:hint="default"/>
                <w:lang w:val="en-US" w:eastAsia="zh-CN"/>
              </w:rPr>
            </w:pPr>
            <w:r>
              <w:rPr>
                <w:rFonts w:hint="eastAsia" w:ascii="仿宋" w:hAnsi="仿宋" w:eastAsia="仿宋" w:cs="仿宋"/>
                <w:color w:val="000000" w:themeColor="text1"/>
                <w:sz w:val="24"/>
                <w:szCs w:val="24"/>
                <w:highlight w:val="none"/>
                <w:rtl w:val="0"/>
                <w:lang w:val="en-US" w:eastAsia="zh-CN" w:bidi="zh-CN"/>
                <w14:textFill>
                  <w14:solidFill>
                    <w14:schemeClr w14:val="tx1"/>
                  </w14:solidFill>
                </w14:textFill>
              </w:rPr>
              <w:t>注：须提供项目人员的职称（或资格）证书复印件加盖鲜章</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293" w:type="dxa"/>
            <w:gridSpan w:val="4"/>
            <w:tcBorders>
              <w:left w:val="single" w:color="auto" w:sz="4" w:space="0"/>
            </w:tcBorders>
            <w:vAlign w:val="center"/>
          </w:tcPr>
          <w:p>
            <w:pPr>
              <w:pStyle w:val="79"/>
              <w:keepNext w:val="0"/>
              <w:keepLines w:val="0"/>
              <w:pageBreakBefore w:val="0"/>
              <w:shd w:val="clear"/>
              <w:kinsoku/>
              <w:wordWrap/>
              <w:overflowPunct/>
              <w:topLinePunct w:val="0"/>
              <w:autoSpaceDE/>
              <w:autoSpaceDN/>
              <w:bidi w:val="0"/>
              <w:adjustRightInd/>
              <w:snapToGrid/>
              <w:spacing w:line="240" w:lineRule="auto"/>
              <w:ind w:left="107" w:leftChars="0" w:right="-29" w:rightChars="0"/>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5"/>
                <w:sz w:val="24"/>
                <w:szCs w:val="24"/>
                <w:highlight w:val="none"/>
                <w:lang w:val="en-US"/>
                <w14:textFill>
                  <w14:solidFill>
                    <w14:schemeClr w14:val="tx1"/>
                  </w14:solidFill>
                </w14:textFill>
              </w:rPr>
              <w:t>合计</w:t>
            </w:r>
          </w:p>
        </w:tc>
        <w:tc>
          <w:tcPr>
            <w:tcW w:w="719" w:type="dxa"/>
            <w:vAlign w:val="center"/>
          </w:tcPr>
          <w:p>
            <w:pPr>
              <w:keepNext w:val="0"/>
              <w:keepLines w:val="0"/>
              <w:pageBreakBefore w:val="0"/>
              <w:shd w:val="clear"/>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shd w:val="clea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shd w:val="clea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pgNumType w:fmt="decimal"/>
          <w:cols w:space="720" w:num="1"/>
          <w:docGrid w:linePitch="285" w:charSpace="0"/>
        </w:sectPr>
      </w:pPr>
    </w:p>
    <w:p>
      <w:pPr>
        <w:shd w:val="clea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第三部分</w:t>
      </w:r>
    </w:p>
    <w:p>
      <w:pPr>
        <w:shd w:val="clear"/>
        <w:adjustRightInd w:val="0"/>
        <w:snapToGrid w:val="0"/>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adjustRightInd w:val="0"/>
        <w:snapToGrid w:val="0"/>
        <w:spacing w:line="360" w:lineRule="auto"/>
        <w:ind w:left="851" w:hanging="851"/>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用 户 需 求 书</w:t>
      </w:r>
    </w:p>
    <w:p>
      <w:pPr>
        <w:shd w:val="clea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br w:type="page"/>
      </w:r>
    </w:p>
    <w:p>
      <w:pPr>
        <w:pStyle w:val="2"/>
        <w:shd w:val="clear"/>
        <w:rPr>
          <w:rFonts w:hint="eastAsia"/>
          <w:highlight w:val="none"/>
        </w:rPr>
      </w:pPr>
    </w:p>
    <w:p>
      <w:pPr>
        <w:shd w:val="clea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5"/>
        </w:numPr>
        <w:shd w:val="clea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hd w:val="clea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shd w:val="clear"/>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3" w:name="子包01：4个行政村财务代理服务"/>
      <w:bookmarkEnd w:id="3"/>
      <w:bookmarkStart w:id="4" w:name="一、项目概况"/>
      <w:bookmarkEnd w:id="4"/>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一、政策背景</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深入贯彻落实党中央、国务院关于深化“放管服”改革和《国务院办公厅关于压缩不动产登记办理时间的通知》（国办发〔2019〕8号）、自然资办函[2019]1041号文要求，有效解决当前部门间网络联通、信息共享、业务协同等方面存在的实际困难，完善不动产登记信息管理基础平台网络运维环境，推动不动产登记信息共享集成。</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二、建设目标</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政策、目标和需求为导向，按照《国家信息安全法》的相关标准，结合和田地区已有信息化基础，整改信息安全中存在的问题，从三个层面，分步骤完成信息平台布局优化和安全防护工作：将与企业和群众互动紧密的申请、受理等业务环节迁移至互联网运行，实现借助各种终端设备随时随地可申请、可查看；将审核、登簿等业务环节及数据迁移至与互联网逻辑隔离的电子政务外网，与各级政府、相关部门政务服务平台应通尽通，实现跨地区、跨部门、跨层级网络互联和信息互通共享将不动产空间图形数据及权籍调查成果审核环节部署在与互联网物理隔离的业务内部局域网，确保数据安全。建立信息中心，使得各县市自然资源局的信息系统满足《信息安全技术网络安全等级保护基本要求》中不同数据类型的网络安全需求。按照自治区要求，优化不动产登记的流程，实现三网融合，再根据各部门的需求，划分不同的子网、网段，使得网络拓扑与实际地区及县市运行情况相符，从而达到对访问控制，主机身份鉴别，安全审计，入侵防护，恶意代码防范，资源保密安全等。</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三、建设内容</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1.三网迁移</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和田地区七县一市不动产登记中心2016年成立以来，经过5年的不动产登记数据生产，现有不动产数据库有大量的房产数据和宗地数据，目前不动产数据库承载的数据量庞大，业务办理繁忙，导致运行速度缓慢，卡顿延迟等状况。随着互联网持续升级，不动产登记业务数量的增加以及接入农房数据进行不动产登记，后期还需接入土地承包经营权、林权、自然资源等确权等数据。目前不动产系统运行情况已不满足不动产登记需求。</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三网迁移工作需实现跨地区、跨部门、跨层级网络互联和信息互通共享将不动产空间图形数据及权籍调查成果审核环节部署在与互联网物理隔离的业务内部局域网，确保数据安全。政务中心进行三网迁移工作时在政务外网上无法提供硬件支持，需要接入单位自行解决。该项工作需要将部分硬件设备接入政务外网中，同时在内网中还要保留部分系统及局方运行的其他平台。将不动产业务系统、数据上报系统、各类接口迁移至新的硬件网络环境，包含ORCL数据库服务端、客户端、重新安装，业务系统重新安装配置，IIS服务发布，IE浏览器调试各个接口程序重新安装配置，图形和业务数据库还原，数据上报软件安装配置等相应运行环境的安装配置。同步将相关数据进行迁移，同时配合提供相关的系统及网络信息至网络管理部门。</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2.不动产平台改造</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按照国家相关要求，对权籍系统以及不动产业务系统进行改造，满足离线权籍调查信息及审核结果导出、导入需求。</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3.不动产平台及接口测试</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不动产系统迁移至政务外网后，开展政务外网内各类不动产程序、服务器间、业务办理电脑的网络测试、系统功能测试、数据上报测试、接口访问测试等测试工作，确保与迁移前一致，正常使用。</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4.存量成果导出及质检</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按照国家存量数据上报的数据库要求规范，完成存量导出、标准成果包制作、数据质检，完成质检后，形成数据质量检查报告、数据质量检查结果记录等，反馈登记中心。</w:t>
      </w:r>
    </w:p>
    <w:p>
      <w:pPr>
        <w:pStyle w:val="2"/>
        <w:ind w:firstLine="482" w:firstLineChars="20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5.存量成果制作</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根据存量数据质检结果，指导局方完成存量数据的补录；根据补录完善信息关联相应表属性；最终形成标准成果包，协助局方完成存量数据上报工作。</w:t>
      </w:r>
    </w:p>
    <w:p>
      <w:pPr>
        <w:pStyle w:val="2"/>
        <w:ind w:firstLine="482" w:firstLineChars="20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6.存量成果整改完善</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根据国家、自治区对存量数据检查结果，结合各县市情况，制定存量数据整改方案，对非补录信息进行整改完善。</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p>
    <w:p>
      <w:pP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sectPr>
          <w:pgSz w:w="11906" w:h="16838"/>
          <w:pgMar w:top="1440" w:right="1253" w:bottom="1440" w:left="1253" w:header="851" w:footer="992" w:gutter="0"/>
          <w:pgNumType w:fmt="decimal"/>
          <w:cols w:space="425" w:num="1"/>
          <w:docGrid w:type="lines" w:linePitch="312" w:charSpace="0"/>
        </w:sectPr>
      </w:pPr>
    </w:p>
    <w:p>
      <w:pP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四、实施预算</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363"/>
        <w:gridCol w:w="2000"/>
        <w:gridCol w:w="678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eastAsia" w:ascii="仿宋" w:hAnsi="仿宋" w:eastAsia="仿宋" w:cs="仿宋"/>
                <w:sz w:val="24"/>
                <w:szCs w:val="24"/>
                <w:lang w:val="en-US" w:eastAsia="zh-CN"/>
              </w:rPr>
            </w:pPr>
          </w:p>
          <w:p>
            <w:pPr>
              <w:widowControl/>
              <w:spacing w:line="24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63" w:type="dxa"/>
            <w:vMerge w:val="restart"/>
          </w:tcPr>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p>
          <w:p>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三网迁移</w:t>
            </w:r>
          </w:p>
        </w:tc>
        <w:tc>
          <w:tcPr>
            <w:tcW w:w="2000" w:type="dxa"/>
            <w:vAlign w:val="center"/>
          </w:tcPr>
          <w:p>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不动产平台系统及数据迁移</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将不动产业务系统、数据上报系统、各类接口迁移至新的硬件网络环境，包含ORCL数据库服务端、客户端、重新安装，业务系统重新安装配置，IIS服务发布，IE浏览器调试各个接口程序重新安装配置，图形和业务数据库还原，数据上报软件安装配置等相应运行环境的安装配置。同步将相关数据进行迁移，同时配合提供相关的系统及网络信息至网络管理部门。</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136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2000" w:type="dxa"/>
            <w:vAlign w:val="center"/>
          </w:tcPr>
          <w:p>
            <w:pPr>
              <w:widowControl/>
              <w:spacing w:line="240" w:lineRule="auto"/>
              <w:ind w:firstLine="0" w:firstLineChars="0"/>
              <w:jc w:val="left"/>
              <w:rPr>
                <w:rFonts w:hint="eastAsia" w:ascii="仿宋" w:hAnsi="仿宋" w:eastAsia="仿宋" w:cs="仿宋"/>
                <w:sz w:val="24"/>
                <w:szCs w:val="24"/>
              </w:rPr>
            </w:pP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不动产平台改造</w:t>
            </w:r>
          </w:p>
          <w:p>
            <w:pPr>
              <w:widowControl/>
              <w:spacing w:line="240" w:lineRule="auto"/>
              <w:ind w:firstLine="0" w:firstLineChars="0"/>
              <w:jc w:val="left"/>
              <w:rPr>
                <w:rFonts w:hint="eastAsia" w:ascii="仿宋" w:hAnsi="仿宋" w:eastAsia="仿宋" w:cs="仿宋"/>
                <w:sz w:val="24"/>
                <w:szCs w:val="24"/>
                <w:lang w:val="en-US" w:eastAsia="zh-CN"/>
              </w:rPr>
            </w:pP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按照国家相关要求，对权籍系统以及不动产业务系统进行改造，满足离线权籍调查信息及审核结果导出、导入需求。</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136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2000" w:type="dxa"/>
            <w:vAlign w:val="center"/>
          </w:tcPr>
          <w:p>
            <w:pPr>
              <w:widowControl/>
              <w:spacing w:line="240" w:lineRule="auto"/>
              <w:ind w:firstLine="0" w:firstLineChars="0"/>
              <w:jc w:val="left"/>
              <w:rPr>
                <w:rFonts w:hint="eastAsia" w:ascii="仿宋" w:hAnsi="仿宋" w:eastAsia="仿宋" w:cs="仿宋"/>
                <w:sz w:val="24"/>
                <w:szCs w:val="24"/>
              </w:rPr>
            </w:pP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不动产平台及接口测试</w:t>
            </w:r>
          </w:p>
          <w:p>
            <w:pPr>
              <w:widowControl/>
              <w:spacing w:line="240" w:lineRule="auto"/>
              <w:ind w:firstLine="0" w:firstLineChars="0"/>
              <w:jc w:val="left"/>
              <w:rPr>
                <w:rFonts w:hint="eastAsia" w:ascii="仿宋" w:hAnsi="仿宋" w:eastAsia="仿宋" w:cs="仿宋"/>
                <w:sz w:val="24"/>
                <w:szCs w:val="24"/>
                <w:lang w:val="en-US" w:eastAsia="zh-CN"/>
              </w:rPr>
            </w:pP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不动产系统迁移至政务外网后，开展政务外网内各类不动产程序、服务器间、业务办理电脑的网络测试、系统功能测试、数据上报测试、接口访问测试等测试工作，确保与迁移前一致，正常使用。</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136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2000" w:type="dxa"/>
            <w:vAlign w:val="center"/>
          </w:tcPr>
          <w:p>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精准查询</w:t>
            </w:r>
          </w:p>
        </w:tc>
        <w:tc>
          <w:tcPr>
            <w:tcW w:w="6783" w:type="dxa"/>
            <w:vAlign w:val="center"/>
          </w:tcPr>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精准查询接口开发：</w:t>
            </w:r>
            <w:r>
              <w:rPr>
                <w:rFonts w:hint="eastAsia" w:ascii="仿宋" w:hAnsi="仿宋" w:eastAsia="仿宋" w:cs="仿宋"/>
                <w:sz w:val="24"/>
                <w:szCs w:val="24"/>
              </w:rPr>
              <w:t>自治区精准查询接口开发，实现权利人信息、证书信息、不动产信息、限制性登记信息等多种查询，配合完成自治区接口程序部署、参数修改、接口测试工作。</w:t>
            </w:r>
          </w:p>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sz w:val="24"/>
                <w:szCs w:val="24"/>
              </w:rPr>
              <w:t>接口功能升级改造：</w:t>
            </w:r>
            <w:r>
              <w:rPr>
                <w:rFonts w:hint="eastAsia" w:ascii="仿宋" w:hAnsi="仿宋" w:eastAsia="仿宋" w:cs="仿宋"/>
                <w:sz w:val="24"/>
                <w:szCs w:val="24"/>
              </w:rPr>
              <w:t>《新疆维吾尔自治区不动产信息精准查询接口升级修改技术要求》对权利人信息查询权利信息接口改造，接口稳定性升级，数据逻辑合理性升级。</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1363" w:type="dxa"/>
            <w:vMerge w:val="continue"/>
          </w:tcPr>
          <w:p>
            <w:pPr>
              <w:widowControl/>
              <w:spacing w:line="240" w:lineRule="auto"/>
              <w:ind w:firstLine="0" w:firstLineChars="0"/>
              <w:jc w:val="left"/>
              <w:rPr>
                <w:rFonts w:hint="eastAsia" w:ascii="仿宋" w:hAnsi="仿宋" w:eastAsia="仿宋" w:cs="仿宋"/>
                <w:sz w:val="24"/>
                <w:szCs w:val="24"/>
                <w:lang w:val="en-US" w:eastAsia="zh-CN"/>
              </w:rPr>
            </w:pPr>
          </w:p>
        </w:tc>
        <w:tc>
          <w:tcPr>
            <w:tcW w:w="2000" w:type="dxa"/>
            <w:vAlign w:val="center"/>
          </w:tcPr>
          <w:p>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共享交换查询</w:t>
            </w:r>
          </w:p>
        </w:tc>
        <w:tc>
          <w:tcPr>
            <w:tcW w:w="6783" w:type="dxa"/>
            <w:vAlign w:val="center"/>
          </w:tcPr>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部委共享查询接口开发:</w:t>
            </w:r>
            <w:r>
              <w:rPr>
                <w:rFonts w:hint="eastAsia" w:ascii="仿宋" w:hAnsi="仿宋" w:eastAsia="仿宋" w:cs="仿宋"/>
                <w:sz w:val="24"/>
                <w:szCs w:val="24"/>
              </w:rPr>
              <w:t>照部委共享的相关要求及规范，开发共享交换查询接口，实现公安-身份核查、公安-港澳台身份核查、民政-婚姻信息查询、民政-社会组织统一信用代码信息查询、民政-地名信息查询、银保监会-金融许可证信息、中编办-机关群团事业单位统一社会信用代码信息查询、最高法-司法判决请求、最高法-司法判决结果、市场监管总局-电子营业执照信息查询、市场监管总局-企业基本信息查询、市场监管总局-企业基本信息核验、市场监管总局-个体工商户基本信息查询、市场监管总局-个体工商户基本信息核验，配合完成自治区接口程序部署、参数修改、接口测试工作。</w:t>
            </w:r>
          </w:p>
          <w:p>
            <w:pPr>
              <w:widowControl/>
              <w:spacing w:line="24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厅局共享查询接口开发:</w:t>
            </w:r>
            <w:r>
              <w:rPr>
                <w:rFonts w:hint="eastAsia" w:ascii="仿宋" w:hAnsi="仿宋" w:eastAsia="仿宋" w:cs="仿宋"/>
                <w:sz w:val="24"/>
                <w:szCs w:val="24"/>
              </w:rPr>
              <w:t>政厅-婚姻状况核查、住建厅-现售备案信息查询、住建厅-竣工验收备案信息查询、住建厅-房屋套次信息查询接口、住建厅-网签合同信息查询、住建厅-网签合同信息查询-证件号住建厅-预售许可信息查询，配合完成自治区接口程序部署、参数修改、接口测试工作。</w:t>
            </w:r>
          </w:p>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sz w:val="24"/>
                <w:szCs w:val="24"/>
              </w:rPr>
              <w:t>共享交换查询功能系统改造:</w:t>
            </w:r>
            <w:r>
              <w:rPr>
                <w:rFonts w:hint="eastAsia" w:ascii="仿宋" w:hAnsi="仿宋" w:eastAsia="仿宋" w:cs="仿宋"/>
                <w:sz w:val="24"/>
                <w:szCs w:val="24"/>
              </w:rPr>
              <w:t>共享查询接口查询功能及界面，实现可共享部分接口调用申请表信息进行核实及查询。</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跨省通办</w:t>
            </w:r>
          </w:p>
        </w:tc>
        <w:tc>
          <w:tcPr>
            <w:tcW w:w="6783" w:type="dxa"/>
            <w:vAlign w:val="center"/>
          </w:tcPr>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电子证照接口开发</w:t>
            </w:r>
            <w:r>
              <w:rPr>
                <w:rFonts w:hint="eastAsia" w:ascii="仿宋" w:hAnsi="仿宋" w:eastAsia="仿宋" w:cs="仿宋"/>
                <w:b/>
                <w:sz w:val="24"/>
                <w:szCs w:val="24"/>
              </w:rPr>
              <w:tab/>
            </w:r>
            <w:r>
              <w:rPr>
                <w:rFonts w:hint="eastAsia" w:ascii="仿宋" w:hAnsi="仿宋" w:eastAsia="仿宋" w:cs="仿宋"/>
                <w:b/>
                <w:sz w:val="24"/>
                <w:szCs w:val="24"/>
              </w:rPr>
              <w:t>开发:</w:t>
            </w:r>
            <w:r>
              <w:rPr>
                <w:rFonts w:hint="eastAsia" w:ascii="仿宋" w:hAnsi="仿宋" w:eastAsia="仿宋" w:cs="仿宋"/>
                <w:sz w:val="24"/>
                <w:szCs w:val="24"/>
              </w:rPr>
              <w:t>子证照接口，调用自治区统一提供的证照库，实现不动产登记证明、不动产登记权属证书生成，配合完成自治区接口程序部署、参数修改、接口测试工作。</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电子证照功能系统改造</w:t>
            </w:r>
            <w:r>
              <w:rPr>
                <w:rFonts w:hint="eastAsia" w:ascii="仿宋" w:hAnsi="仿宋" w:eastAsia="仿宋" w:cs="仿宋"/>
                <w:b/>
                <w:sz w:val="24"/>
                <w:szCs w:val="24"/>
              </w:rPr>
              <w:tab/>
            </w:r>
            <w:r>
              <w:rPr>
                <w:rFonts w:hint="eastAsia" w:ascii="仿宋" w:hAnsi="仿宋" w:eastAsia="仿宋" w:cs="仿宋"/>
                <w:b/>
                <w:sz w:val="24"/>
                <w:szCs w:val="24"/>
              </w:rPr>
              <w:t>:</w:t>
            </w:r>
            <w:r>
              <w:rPr>
                <w:rFonts w:hint="eastAsia" w:ascii="仿宋" w:hAnsi="仿宋" w:eastAsia="仿宋" w:cs="仿宋"/>
                <w:sz w:val="24"/>
                <w:szCs w:val="24"/>
              </w:rPr>
              <w:t>成全流程业务的电子证书、证明生成及浏览界面及相关存储数据库结构。</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网上办事大厅接口开发</w:t>
            </w:r>
            <w:r>
              <w:rPr>
                <w:rFonts w:hint="eastAsia" w:ascii="仿宋" w:hAnsi="仿宋" w:eastAsia="仿宋" w:cs="仿宋"/>
                <w:b/>
                <w:sz w:val="24"/>
                <w:szCs w:val="24"/>
              </w:rPr>
              <w:tab/>
            </w:r>
            <w:r>
              <w:rPr>
                <w:rFonts w:hint="eastAsia" w:ascii="仿宋" w:hAnsi="仿宋" w:eastAsia="仿宋" w:cs="仿宋"/>
                <w:b/>
                <w:sz w:val="24"/>
                <w:szCs w:val="24"/>
              </w:rPr>
              <w:t>开发:</w:t>
            </w:r>
            <w:r>
              <w:rPr>
                <w:rFonts w:hint="eastAsia" w:ascii="仿宋" w:hAnsi="仿宋" w:eastAsia="仿宋" w:cs="仿宋"/>
                <w:sz w:val="24"/>
                <w:szCs w:val="24"/>
              </w:rPr>
              <w:t>治区网上办事大厅接口，实现数据查询、业务推送、进度反馈等功能，配合完成自治区接口程序部署、参数修改、接口测试工作。</w:t>
            </w:r>
          </w:p>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网上办事大厅接口升级</w:t>
            </w:r>
            <w:r>
              <w:rPr>
                <w:rFonts w:hint="eastAsia" w:ascii="仿宋" w:hAnsi="仿宋" w:eastAsia="仿宋" w:cs="仿宋"/>
                <w:b/>
                <w:sz w:val="24"/>
                <w:szCs w:val="24"/>
              </w:rPr>
              <w:tab/>
            </w:r>
            <w:r>
              <w:rPr>
                <w:rFonts w:hint="eastAsia" w:ascii="仿宋" w:hAnsi="仿宋" w:eastAsia="仿宋" w:cs="仿宋"/>
                <w:b/>
                <w:sz w:val="24"/>
                <w:szCs w:val="24"/>
              </w:rPr>
              <w:t>:</w:t>
            </w:r>
            <w:r>
              <w:rPr>
                <w:rFonts w:hint="eastAsia" w:ascii="仿宋" w:hAnsi="仿宋" w:eastAsia="仿宋" w:cs="仿宋"/>
                <w:sz w:val="24"/>
                <w:szCs w:val="24"/>
              </w:rPr>
              <w:t>照自治区下发的《新疆维吾尔自治区不动产网上办事大厅接口2.0》版本，对原有接口进行升级，增加网上办事大厅其他业务及功能的支持。</w:t>
            </w:r>
          </w:p>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sz w:val="24"/>
                <w:szCs w:val="24"/>
              </w:rPr>
              <w:t>网上办事大厅功能系统改造</w:t>
            </w:r>
            <w:r>
              <w:rPr>
                <w:rFonts w:hint="eastAsia" w:ascii="仿宋" w:hAnsi="仿宋" w:eastAsia="仿宋" w:cs="仿宋"/>
                <w:sz w:val="24"/>
                <w:szCs w:val="24"/>
              </w:rPr>
              <w:tab/>
            </w:r>
            <w:r>
              <w:rPr>
                <w:rFonts w:hint="eastAsia" w:ascii="仿宋" w:hAnsi="仿宋" w:eastAsia="仿宋" w:cs="仿宋"/>
                <w:sz w:val="24"/>
                <w:szCs w:val="24"/>
              </w:rPr>
              <w:t>:加不动产业务系统抵押、预告、变更、转移、注销等业务流程中对应自治区网上办事大厅对应数据结构以及相关功能。</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一窗受理</w:t>
            </w:r>
          </w:p>
        </w:tc>
        <w:tc>
          <w:tcPr>
            <w:tcW w:w="6783" w:type="dxa"/>
            <w:vAlign w:val="center"/>
          </w:tcPr>
          <w:p>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b/>
                <w:sz w:val="24"/>
                <w:szCs w:val="24"/>
              </w:rPr>
              <w:t>接口开发:</w:t>
            </w:r>
            <w:r>
              <w:rPr>
                <w:rFonts w:hint="eastAsia" w:ascii="仿宋" w:hAnsi="仿宋" w:eastAsia="仿宋" w:cs="仿宋"/>
                <w:sz w:val="24"/>
                <w:szCs w:val="24"/>
              </w:rPr>
              <w:t xml:space="preserve"> 自治区一窗受理平台接口开发，实现权不动产信息查询，不动产信息调用、一窗数据接收、税务信息接收、业务驳回等，配合完成自治区接口程序部署、参数修改、接口测试工作。</w:t>
            </w:r>
          </w:p>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sz w:val="24"/>
                <w:szCs w:val="24"/>
              </w:rPr>
              <w:t>功能系统改造:</w:t>
            </w:r>
            <w:r>
              <w:rPr>
                <w:rFonts w:hint="eastAsia" w:ascii="仿宋" w:hAnsi="仿宋" w:eastAsia="仿宋" w:cs="仿宋"/>
                <w:sz w:val="24"/>
                <w:szCs w:val="24"/>
              </w:rPr>
              <w:t xml:space="preserve"> 增加不动产业务系统转移、注销流程中对应自治区一窗受理平台的对应数据结构以及相关功能。</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240" w:lineRule="auto"/>
              <w:ind w:firstLine="0" w:firstLineChars="0"/>
              <w:jc w:val="center"/>
              <w:rPr>
                <w:rFonts w:hint="eastAsia" w:ascii="仿宋" w:hAnsi="仿宋" w:eastAsia="仿宋" w:cs="仿宋"/>
                <w:sz w:val="24"/>
                <w:szCs w:val="24"/>
              </w:rPr>
            </w:pPr>
          </w:p>
          <w:p>
            <w:pPr>
              <w:spacing w:line="240" w:lineRule="auto"/>
              <w:ind w:firstLine="0" w:firstLineChars="0"/>
              <w:jc w:val="center"/>
              <w:rPr>
                <w:rFonts w:hint="eastAsia" w:ascii="仿宋" w:hAnsi="仿宋" w:eastAsia="仿宋" w:cs="仿宋"/>
                <w:sz w:val="24"/>
                <w:szCs w:val="24"/>
              </w:rPr>
            </w:pPr>
          </w:p>
          <w:p>
            <w:pPr>
              <w:spacing w:line="240" w:lineRule="auto"/>
              <w:ind w:firstLine="0" w:firstLineChars="0"/>
              <w:jc w:val="center"/>
              <w:rPr>
                <w:rFonts w:hint="eastAsia" w:ascii="仿宋" w:hAnsi="仿宋" w:eastAsia="仿宋" w:cs="仿宋"/>
                <w:sz w:val="24"/>
                <w:szCs w:val="24"/>
              </w:rPr>
            </w:pPr>
          </w:p>
          <w:p>
            <w:pPr>
              <w:spacing w:line="240" w:lineRule="auto"/>
              <w:ind w:firstLine="0" w:firstLineChars="0"/>
              <w:jc w:val="center"/>
              <w:rPr>
                <w:rFonts w:hint="eastAsia" w:ascii="仿宋" w:hAnsi="仿宋" w:eastAsia="仿宋" w:cs="仿宋"/>
                <w:sz w:val="24"/>
                <w:szCs w:val="24"/>
              </w:rPr>
            </w:pPr>
          </w:p>
          <w:p>
            <w:pPr>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2</w:t>
            </w:r>
          </w:p>
        </w:tc>
        <w:tc>
          <w:tcPr>
            <w:tcW w:w="1363" w:type="dxa"/>
            <w:vMerge w:val="restart"/>
            <w:vAlign w:val="center"/>
          </w:tcPr>
          <w:p>
            <w:pPr>
              <w:widowControl/>
              <w:spacing w:line="240" w:lineRule="auto"/>
              <w:ind w:firstLine="0" w:firstLineChars="0"/>
              <w:jc w:val="left"/>
              <w:rPr>
                <w:rFonts w:hint="eastAsia" w:ascii="仿宋" w:hAnsi="仿宋" w:eastAsia="仿宋" w:cs="仿宋"/>
                <w:sz w:val="24"/>
                <w:szCs w:val="24"/>
              </w:rPr>
            </w:pPr>
          </w:p>
          <w:p>
            <w:pPr>
              <w:widowControl/>
              <w:spacing w:line="240" w:lineRule="auto"/>
              <w:ind w:firstLine="0" w:firstLineChars="0"/>
              <w:jc w:val="left"/>
              <w:rPr>
                <w:rFonts w:hint="eastAsia" w:ascii="仿宋" w:hAnsi="仿宋" w:eastAsia="仿宋" w:cs="仿宋"/>
                <w:sz w:val="24"/>
                <w:szCs w:val="24"/>
              </w:rPr>
            </w:pPr>
          </w:p>
          <w:p>
            <w:pPr>
              <w:widowControl/>
              <w:spacing w:line="240" w:lineRule="auto"/>
              <w:ind w:firstLine="0" w:firstLineChars="0"/>
              <w:jc w:val="left"/>
              <w:rPr>
                <w:rFonts w:hint="eastAsia" w:ascii="仿宋" w:hAnsi="仿宋" w:eastAsia="仿宋" w:cs="仿宋"/>
                <w:sz w:val="24"/>
                <w:szCs w:val="24"/>
              </w:rPr>
            </w:pPr>
          </w:p>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不动产登记系统升级改造</w:t>
            </w: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图形库及业务库结构优化</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不动产登记权籍数据库、业务数据库按照国家相关要求进行数据库结构字段升级，数据库结构优化。</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不动产登记平台改造</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不动产登记系统业务表单对接升级，不动产登记系统业务表单内容按国家相关改造要求进行升级。</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数据上报系统改造</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不动产登记增量数据上报与自治区平台对接，按照自治区及后续国家升级相关要求进行修改。</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登记簿改造</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不动产登记系统登记簿字段升级及业务表单界面、登记簿查看功能改造。</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3</w:t>
            </w:r>
          </w:p>
        </w:tc>
        <w:tc>
          <w:tcPr>
            <w:tcW w:w="1363" w:type="dxa"/>
            <w:vMerge w:val="restart"/>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存量数据整合服务</w:t>
            </w: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存量成果导出及质检</w:t>
            </w:r>
          </w:p>
        </w:tc>
        <w:tc>
          <w:tcPr>
            <w:tcW w:w="6783" w:type="dxa"/>
            <w:vAlign w:val="center"/>
          </w:tcPr>
          <w:p>
            <w:pPr>
              <w:ind w:firstLine="0" w:firstLineChars="0"/>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按照国家存量数据上报的数据库要求规范，完成存量导出、标准成果包制作、数据质检、完成质检候，形成质检结果反馈登记中级</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完成存量质检问题整改</w:t>
            </w:r>
          </w:p>
        </w:tc>
        <w:tc>
          <w:tcPr>
            <w:tcW w:w="6783" w:type="dxa"/>
            <w:vAlign w:val="center"/>
          </w:tcPr>
          <w:p>
            <w:pPr>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根据国家、自治区对存量数据检查结果，结合县市情况，制定存量数据整改方案，对非补录信息进行整改完善。</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图形库问题整改</w:t>
            </w:r>
          </w:p>
        </w:tc>
        <w:tc>
          <w:tcPr>
            <w:tcW w:w="6783" w:type="dxa"/>
            <w:vAlign w:val="center"/>
          </w:tcPr>
          <w:p>
            <w:pPr>
              <w:widowControl/>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按照国家数据上报的数据库要求规范，对图形库进行重点、共点、自身悬挂、互相悬挂、重边、自身少交点、边自身少交点、边自身交错、共边、互相少交点、边互相相交、边互相交错、重叠区域及对象重叠等检查并处理</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363" w:type="dxa"/>
            <w:vMerge w:val="continue"/>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2000" w:type="dxa"/>
            <w:vAlign w:val="center"/>
          </w:tcPr>
          <w:p>
            <w:pPr>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存量成果制作</w:t>
            </w:r>
          </w:p>
        </w:tc>
        <w:tc>
          <w:tcPr>
            <w:tcW w:w="6783" w:type="dxa"/>
            <w:vAlign w:val="center"/>
          </w:tcPr>
          <w:p>
            <w:pPr>
              <w:spacing w:line="240" w:lineRule="auto"/>
              <w:ind w:firstLine="0" w:firstLineChars="0"/>
              <w:jc w:val="left"/>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sz w:val="24"/>
                <w:szCs w:val="24"/>
              </w:rPr>
              <w:t>根据存量数据质检结果，完成存量数据的补录；根据补录完善信息关联相应表属性；最终形成标准成果包，完成存量数据上报工作。</w:t>
            </w:r>
          </w:p>
        </w:tc>
        <w:tc>
          <w:tcPr>
            <w:tcW w:w="2835" w:type="dxa"/>
            <w:vAlign w:val="center"/>
          </w:tcPr>
          <w:p>
            <w:pPr>
              <w:widowControl/>
              <w:spacing w:line="240" w:lineRule="auto"/>
              <w:ind w:firstLine="0" w:firstLineChars="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合计</w:t>
            </w:r>
          </w:p>
        </w:tc>
        <w:tc>
          <w:tcPr>
            <w:tcW w:w="10146" w:type="dxa"/>
            <w:gridSpan w:val="3"/>
          </w:tcPr>
          <w:p>
            <w:pPr>
              <w:spacing w:line="240" w:lineRule="auto"/>
              <w:ind w:firstLine="0" w:firstLineChars="0"/>
              <w:jc w:val="left"/>
              <w:rPr>
                <w:rFonts w:hint="eastAsia" w:ascii="仿宋" w:hAnsi="仿宋" w:eastAsia="仿宋" w:cs="仿宋"/>
                <w:sz w:val="24"/>
                <w:szCs w:val="24"/>
              </w:rPr>
            </w:pPr>
          </w:p>
        </w:tc>
        <w:tc>
          <w:tcPr>
            <w:tcW w:w="2835" w:type="dxa"/>
            <w:vAlign w:val="center"/>
          </w:tcPr>
          <w:p>
            <w:pPr>
              <w:widowControl/>
              <w:spacing w:line="240" w:lineRule="auto"/>
              <w:ind w:firstLine="0" w:firstLineChars="0"/>
              <w:jc w:val="center"/>
              <w:rPr>
                <w:rFonts w:hint="eastAsia" w:ascii="仿宋" w:hAnsi="仿宋" w:eastAsia="仿宋" w:cs="仿宋"/>
                <w:color w:val="000000"/>
                <w:kern w:val="0"/>
                <w:sz w:val="24"/>
                <w:szCs w:val="24"/>
                <w:lang w:bidi="ar"/>
              </w:rPr>
            </w:pPr>
          </w:p>
        </w:tc>
      </w:tr>
    </w:tbl>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2.硬件改造</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088"/>
        <w:gridCol w:w="1062"/>
        <w:gridCol w:w="7738"/>
        <w:gridCol w:w="825"/>
        <w:gridCol w:w="1100"/>
        <w:gridCol w:w="1050"/>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序号</w:t>
            </w:r>
          </w:p>
        </w:tc>
        <w:tc>
          <w:tcPr>
            <w:tcW w:w="108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产品名称</w:t>
            </w:r>
          </w:p>
        </w:tc>
        <w:tc>
          <w:tcPr>
            <w:tcW w:w="1062"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产品型号</w:t>
            </w:r>
          </w:p>
        </w:tc>
        <w:tc>
          <w:tcPr>
            <w:tcW w:w="7738" w:type="dxa"/>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产品参数</w:t>
            </w:r>
          </w:p>
        </w:tc>
        <w:tc>
          <w:tcPr>
            <w:tcW w:w="825" w:type="dxa"/>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数量</w:t>
            </w:r>
          </w:p>
        </w:tc>
        <w:tc>
          <w:tcPr>
            <w:tcW w:w="1100" w:type="dxa"/>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单价</w:t>
            </w:r>
          </w:p>
        </w:tc>
        <w:tc>
          <w:tcPr>
            <w:tcW w:w="1050" w:type="dxa"/>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总价</w:t>
            </w:r>
          </w:p>
        </w:tc>
        <w:tc>
          <w:tcPr>
            <w:tcW w:w="593" w:type="dxa"/>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108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网闸</w:t>
            </w:r>
          </w:p>
        </w:tc>
        <w:tc>
          <w:tcPr>
            <w:tcW w:w="1062"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GAP2000-AK820</w:t>
            </w:r>
          </w:p>
        </w:tc>
        <w:tc>
          <w:tcPr>
            <w:tcW w:w="7738" w:type="dxa"/>
          </w:tcPr>
          <w:p>
            <w:pP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★1、硬件：采用2+1硬件架构，内外端机+专用传输隔离部件，2U高设备，单电源，64G SSD固态硬盘，内端机有5个千兆电口+2个千兆光口+1个管理口，外端机有5个千兆电口+2个千兆光口+1个HA口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★2、性能：网络吞吐量为700Mbps，系统整体时延&lt;1ms，并发连接数20000，最大受控协议通道数2000个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★采用2+1架构，专用传输隔离部件完全自主开发且外部无法编程控制；（提供截图）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★只能通过内端机上的管理口对网闸进行配置，外端机上禁止配置管理（提供产品管理口照片）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★支持多种方式认证，用户名密码和指纹认证，指纹认证需配合专用指纹仪使用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★对FTP传输协议的指令进行过滤（提供界面截图）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★对FTP传输文件的关键字进行过滤（提供界面截图）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外端机为TCP/IP网络协议的终点，内外端机之间采用专用硬件和专用协议进行连接；支持只能通过内端机上的管理口对网闸进行配置，支持上网访问、邮件访问、文件传输、文件同步、数据库访问等功能，支持视频传输模块，支持自定义专用协议，安全管理支持由安全管理员、系统管理员和安全审计员进行三权分立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★4、配套授权：默认支持自带受控通道、HTTP应用、安全邮件、文件访问、文件传输、数据库访问、日志审计、自定义应用授权，可扩展视频传输模块功能。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产品资质：产品须通过工业和信息化部审查，符合进网需求，准许接入公用电信网使用，有《电信设备进网许可证》，能提供有效证书的复印件。产品具备泰尔实验室测试报告，能提供有效复印件。要求具备中国公安部颁发的《计算机信息系统安全专用产品 销售许可证》增强级证书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★6、厂商资质：设备制造厂商具备CNNVD（中国国家信息安全漏洞库）一级支撑单位资质，能提供有效证书的复印件。设备制造厂商符合能源管理体系ISO 50001:2018标准，能提供有效证书的复印件。设备制造厂商应具备承担信息安全等级保护安全建设工作的能力，具有《信息安全等级保护安全建设服务机构能力评估合格证书》，能提供有效证书的复印件。设备制造厂商应具有七星级售后服务体系完善程度认证，提供证书复印件和国家认监委官网截图并加盖产品厂商公章。</w:t>
            </w:r>
          </w:p>
        </w:tc>
        <w:tc>
          <w:tcPr>
            <w:tcW w:w="8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11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050" w:type="dxa"/>
            <w:vAlign w:val="center"/>
          </w:tcPr>
          <w:p>
            <w:pPr>
              <w:keepNext w:val="0"/>
              <w:keepLines w:val="0"/>
              <w:widowControl/>
              <w:suppressLineNumbers w:val="0"/>
              <w:ind w:left="0" w:leftChars="0" w:firstLine="241" w:firstLineChars="100"/>
              <w:jc w:val="both"/>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593" w:type="dxa"/>
          </w:tcPr>
          <w:p>
            <w:pP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108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汇聚交换机</w:t>
            </w:r>
          </w:p>
        </w:tc>
        <w:tc>
          <w:tcPr>
            <w:tcW w:w="1062"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MS4100V2-28P</w:t>
            </w:r>
          </w:p>
        </w:tc>
        <w:tc>
          <w:tcPr>
            <w:tcW w:w="7738" w:type="dxa"/>
            <w:vAlign w:val="center"/>
          </w:tcPr>
          <w:p>
            <w:pPr>
              <w:keepNext w:val="0"/>
              <w:keepLines w:val="0"/>
              <w:widowControl/>
              <w:suppressLineNumbers w:val="0"/>
              <w:jc w:val="center"/>
              <w:textAlignment w:val="top"/>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H3C 24端口千兆电接口+4个SFP千兆光接口、交换容量256Gbps、包转发率：78Mpps、以太网特性：流控(802.3x)、绿色以太网（EEE）、端口自动节能、动态链路聚合(802.3ad)/ 静态端口聚合、IPv4：ARP、DHCP Client、组播：支持IGMP V1/V2/V3 Snooping、支持快速离开机制、QoS：支持Diff-Serv QoS、支持SP/WRR/SP+WRR、流量限速、802.1p/DSCP优先级映射优先级映射、安全性：用户分级管理、黑洞MAC、端口 MAC地址学习数限制、SSL、网管和监控：WEB页面配置、FTP、TFTP、Xmodem文件上下载管理、</w:t>
            </w:r>
          </w:p>
        </w:tc>
        <w:tc>
          <w:tcPr>
            <w:tcW w:w="8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11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05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593" w:type="dxa"/>
          </w:tcPr>
          <w:p>
            <w:pP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w:t>
            </w:r>
          </w:p>
        </w:tc>
        <w:tc>
          <w:tcPr>
            <w:tcW w:w="1088"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核心交换机</w:t>
            </w:r>
          </w:p>
        </w:tc>
        <w:tc>
          <w:tcPr>
            <w:tcW w:w="1062"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S5500V2-28C-EI</w:t>
            </w:r>
          </w:p>
        </w:tc>
        <w:tc>
          <w:tcPr>
            <w:tcW w:w="7738" w:type="dxa"/>
            <w:vAlign w:val="center"/>
          </w:tcPr>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1、24端口千兆电接口（8个SFP千兆 Combo接口）+4个SFP万兆光接口</w:t>
            </w:r>
          </w:p>
          <w:p>
            <w:pPr>
              <w:keepNext w:val="0"/>
              <w:keepLines w:val="0"/>
              <w:widowControl/>
              <w:suppressLineNumbers w:val="0"/>
              <w:jc w:val="both"/>
              <w:textAlignment w:val="top"/>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2、交换容量：598Gbps/5.98Tbps、包转发率：222Mpps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3、端口聚合：支持GE端口聚合、支持10GE端口聚合、支持40G聚合、支持静态聚合、支持动态聚合、支持跨设备聚合、支持8端口链路聚合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4、端口特性：支持IEEE802.3x 流量控制（全双工）、支持多播风暴抑制、支持广播风暴抑制、支持基于端口速率百分比的风暴抑制、支持基于PPS的风暴抑制、支持基于bps的风暴抑制、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5、MAC地址表：支持黑洞MAC地址、支持静态、动态MAC、支持MAC地址自动学习和老化、支持设置端口MAC地址学习最大个数、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6、VLAN：支持基于端口的VLAN、支持基于MAC的VLAN、基于协议的VLAN、基于IP子网的VLAN、支持QinQ，灵活QinQ*、支持VLAN Mapping、支持Voice VLAN、支持SuperVLAN、支持Guest vlan、支持PVLAN、支持MVRP、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7、二层环网协议：支持STP/RSTP/MSTP、支持SmartLink、支持RRPP、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8、DHCP：DHCP Client、DHCP Snooping、DHCP Relay、DHCP Relay SECURITY、DHCP Server、DHCP Snooping option82/DHCP Relay option82、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9、IRF2智能弹性架构：支持IRF2智能弹性架构、支持分布式设备管理，分布式链路聚合，分布式弹性路由、支持通过标准以太网接口等方式进行堆叠、支持本地堆叠和远程堆叠、支持9台设备堆叠、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10、IP路由：支持静态路由、支持RIPv1/v2，RIPng、支持OSPFv1/v2，OSPFv3、支持BGP4，BGP4+ for IPv6、支持等价路由，策略路由、支持VRRP/VRRPv3、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11、镜像：支持流镜像、支持N:4端口镜像、支持本地和远程端口镜像、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12、绿色节能：端口自动Power down功能、端口定时down功能（Schedule job）、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13、组播：支持IGMP Snooping v1/v2/v3，MLD Snooping v1/v2、支持PIM Snooping、支持MLD Proxy、支持组播VLAN、支持IGMP v1/v2/v3，MLD v1/v2、支持PIM-DM，PIM-SM，PIM-SSM、支持MSDP，MSDP for IPv6、</w:t>
            </w:r>
          </w:p>
        </w:tc>
        <w:tc>
          <w:tcPr>
            <w:tcW w:w="825"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110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050" w:type="dxa"/>
            <w:vAlign w:val="center"/>
          </w:tcPr>
          <w:p>
            <w:pPr>
              <w:keepNext w:val="0"/>
              <w:keepLines w:val="0"/>
              <w:widowControl/>
              <w:suppressLineNumbers w:val="0"/>
              <w:jc w:val="center"/>
              <w:textAlignment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593" w:type="dxa"/>
          </w:tcPr>
          <w:p>
            <w:pP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总计</w:t>
            </w:r>
          </w:p>
        </w:tc>
        <w:tc>
          <w:tcPr>
            <w:tcW w:w="1088"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38" w:type="dxa"/>
            <w:vAlign w:val="center"/>
          </w:tcPr>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tc>
        <w:tc>
          <w:tcPr>
            <w:tcW w:w="82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0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93" w:type="dxa"/>
          </w:tcPr>
          <w:p>
            <w:pP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bl>
    <w:p>
      <w:pPr>
        <w:numPr>
          <w:ilvl w:val="0"/>
          <w:numId w:val="16"/>
        </w:num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预算总览</w:t>
      </w:r>
    </w:p>
    <w:tbl>
      <w:tblPr>
        <w:tblStyle w:val="33"/>
        <w:tblW w:w="138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2"/>
        <w:gridCol w:w="4818"/>
        <w:gridCol w:w="7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w:t>
            </w:r>
          </w:p>
        </w:tc>
        <w:tc>
          <w:tcPr>
            <w:tcW w:w="7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系统迁移数据改造及整合</w:t>
            </w:r>
          </w:p>
        </w:tc>
        <w:tc>
          <w:tcPr>
            <w:tcW w:w="7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硬件改造</w:t>
            </w:r>
          </w:p>
        </w:tc>
        <w:tc>
          <w:tcPr>
            <w:tcW w:w="7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服务器更换（2台）</w:t>
            </w:r>
          </w:p>
        </w:tc>
        <w:tc>
          <w:tcPr>
            <w:tcW w:w="7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7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970000</w:t>
            </w:r>
          </w:p>
        </w:tc>
      </w:tr>
    </w:tbl>
    <w:p>
      <w:pPr>
        <w:numPr>
          <w:ilvl w:val="0"/>
          <w:numId w:val="16"/>
        </w:numPr>
        <w:rPr>
          <w:rFonts w:hint="eastAsia" w:ascii="仿宋" w:hAnsi="仿宋" w:eastAsia="仿宋" w:cs="仿宋"/>
          <w:b/>
          <w:bCs/>
          <w:color w:val="000000" w:themeColor="text1"/>
          <w:sz w:val="24"/>
          <w:szCs w:val="24"/>
          <w:highlight w:val="none"/>
          <w:lang w:val="en-US" w:eastAsia="zh-CN"/>
          <w14:textFill>
            <w14:solidFill>
              <w14:schemeClr w14:val="tx1"/>
            </w14:solidFill>
          </w14:textFill>
        </w:rPr>
        <w:sectPr>
          <w:pgSz w:w="16838" w:h="11906" w:orient="landscape"/>
          <w:pgMar w:top="1253" w:right="1440" w:bottom="1253" w:left="1440" w:header="851" w:footer="992" w:gutter="0"/>
          <w:pgNumType w:fmt="decimal"/>
          <w:cols w:space="425" w:num="1"/>
          <w:docGrid w:type="lines" w:linePitch="312" w:charSpace="0"/>
        </w:sect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2"/>
        <w:rPr>
          <w:rFonts w:hint="eastAsia"/>
          <w:lang w:val="en-US" w:eastAsia="zh-CN"/>
        </w:rPr>
      </w:pPr>
    </w:p>
    <w:p>
      <w:pPr>
        <w:pStyle w:val="2"/>
        <w:pageBreakBefore w:val="0"/>
        <w:widowControl/>
        <w:numPr>
          <w:ilvl w:val="0"/>
          <w:numId w:val="0"/>
        </w:numPr>
        <w:kinsoku/>
        <w:wordWrap/>
        <w:overflowPunct/>
        <w:topLinePunct w:val="0"/>
        <w:autoSpaceDE/>
        <w:autoSpaceDN/>
        <w:bidi w:val="0"/>
        <w:adjustRightInd w:val="0"/>
        <w:snapToGrid w:val="0"/>
        <w:spacing w:after="0" w:line="360" w:lineRule="auto"/>
        <w:ind w:left="0" w:leftChars="0" w:right="0" w:firstLine="482" w:firstLineChars="200"/>
        <w:jc w:val="lef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五、技术要求</w:t>
      </w:r>
    </w:p>
    <w:p>
      <w:pPr>
        <w:pStyle w:val="2"/>
        <w:pageBreakBefore w:val="0"/>
        <w:widowControl/>
        <w:numPr>
          <w:ilvl w:val="0"/>
          <w:numId w:val="0"/>
        </w:numPr>
        <w:kinsoku/>
        <w:wordWrap/>
        <w:overflowPunct/>
        <w:topLinePunct w:val="0"/>
        <w:autoSpaceDE/>
        <w:autoSpaceDN/>
        <w:bidi w:val="0"/>
        <w:adjustRightInd w:val="0"/>
        <w:snapToGrid w:val="0"/>
        <w:spacing w:after="0" w:line="360" w:lineRule="auto"/>
        <w:ind w:left="0" w:leftChars="0" w:right="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（一）材料设备要求</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w:t>
      </w:r>
      <w:r>
        <w:rPr>
          <w:rFonts w:hint="eastAsia" w:ascii="仿宋" w:hAnsi="仿宋" w:eastAsia="仿宋" w:cs="仿宋"/>
          <w:sz w:val="24"/>
          <w:szCs w:val="24"/>
        </w:rPr>
        <w:t>所承包范围内所需的材料、成品、未成品的采购、运输、保管、质量等责任均由成交供应商承担，采购人不提供任何材料。</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采购供应的材料，其名称、品种、型号、规格、质量等，均应符合国家、地方及行业有关规范及要求，并能满足采购人的要求。</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由于成交供应商提供的伪劣、假冒等所有不合格材料而导致的损失、事故及一切后果，均由成交供应商负责并赔偿采购人所有损失，并负责免费更换所有已施工的不合格材料。</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若响应供应商使用的标准在本报价技术要求的规定外，成交供应商应明确说明用于替代的标</w:t>
      </w:r>
      <w:r>
        <w:rPr>
          <w:rFonts w:hint="eastAsia" w:ascii="仿宋" w:hAnsi="仿宋" w:eastAsia="仿宋" w:cs="仿宋"/>
          <w:spacing w:val="-3"/>
          <w:w w:val="95"/>
          <w:sz w:val="24"/>
          <w:szCs w:val="24"/>
        </w:rPr>
        <w:t>准或使用规范并提供所使用的标准，该标准是国际公认的同等或更高级的标准，如成交供应商所使用</w:t>
      </w:r>
      <w:r>
        <w:rPr>
          <w:rFonts w:hint="eastAsia" w:ascii="仿宋" w:hAnsi="仿宋" w:eastAsia="仿宋" w:cs="仿宋"/>
          <w:spacing w:val="-3"/>
          <w:sz w:val="24"/>
          <w:szCs w:val="24"/>
        </w:rPr>
        <w:t>的标准低于上述标准，采购人将有权不予接受。</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响应供应商报价时提供主要材料的明细（包括厂家、规格、品质等级等）。</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成交供应商应按响应文件中选定的品牌厂家供应材料，严格把好产品质量关，所有产品进场</w:t>
      </w:r>
      <w:r>
        <w:rPr>
          <w:rFonts w:hint="eastAsia" w:ascii="仿宋" w:hAnsi="仿宋" w:eastAsia="仿宋" w:cs="仿宋"/>
          <w:spacing w:val="-8"/>
          <w:w w:val="95"/>
          <w:sz w:val="24"/>
          <w:szCs w:val="24"/>
        </w:rPr>
        <w:t>要有厂家产品检验报告和产品合格证书，如发生货不对板，</w:t>
      </w:r>
      <w:r>
        <w:rPr>
          <w:rFonts w:hint="eastAsia" w:ascii="仿宋" w:hAnsi="仿宋" w:eastAsia="仿宋" w:cs="仿宋"/>
          <w:spacing w:val="-8"/>
          <w:sz w:val="24"/>
          <w:szCs w:val="24"/>
        </w:rPr>
        <w:t>采购人有权拒用，造成损失由成交供应商承担；</w:t>
      </w:r>
    </w:p>
    <w:p>
      <w:pPr>
        <w:pStyle w:val="82"/>
        <w:pageBreakBefore w:val="0"/>
        <w:numPr>
          <w:ilvl w:val="0"/>
          <w:numId w:val="17"/>
        </w:numPr>
        <w:tabs>
          <w:tab w:val="left" w:pos="1376"/>
        </w:tabs>
        <w:kinsoku/>
        <w:wordWrap/>
        <w:overflowPunct/>
        <w:topLinePunct w:val="0"/>
        <w:autoSpaceDE/>
        <w:autoSpaceDN/>
        <w:bidi w:val="0"/>
        <w:spacing w:before="0" w:after="0" w:line="360" w:lineRule="auto"/>
        <w:ind w:left="0" w:leftChars="0" w:right="0" w:firstLine="480" w:firstLineChars="200"/>
        <w:jc w:val="left"/>
        <w:rPr>
          <w:rFonts w:hint="eastAsia" w:ascii="仿宋" w:hAnsi="仿宋" w:eastAsia="仿宋" w:cs="仿宋"/>
          <w:sz w:val="24"/>
          <w:szCs w:val="24"/>
        </w:rPr>
      </w:pPr>
      <w:r>
        <w:rPr>
          <w:rFonts w:hint="eastAsia" w:ascii="仿宋" w:hAnsi="仿宋" w:eastAsia="仿宋" w:cs="仿宋"/>
          <w:sz w:val="24"/>
          <w:szCs w:val="24"/>
        </w:rPr>
        <w:t>采购人保留对本</w:t>
      </w:r>
      <w:r>
        <w:rPr>
          <w:rFonts w:hint="eastAsia" w:ascii="仿宋" w:hAnsi="仿宋" w:eastAsia="仿宋" w:cs="仿宋"/>
          <w:sz w:val="24"/>
          <w:szCs w:val="24"/>
          <w:lang w:val="en-US" w:eastAsia="zh-CN"/>
        </w:rPr>
        <w:t>项目</w:t>
      </w:r>
      <w:r>
        <w:rPr>
          <w:rFonts w:hint="eastAsia" w:ascii="仿宋" w:hAnsi="仿宋" w:eastAsia="仿宋" w:cs="仿宋"/>
          <w:sz w:val="24"/>
          <w:szCs w:val="24"/>
        </w:rPr>
        <w:t>使用之主要材料品质确认审查的权利及保留另行委托专业单位对本</w:t>
      </w:r>
      <w:r>
        <w:rPr>
          <w:rFonts w:hint="eastAsia" w:ascii="仿宋" w:hAnsi="仿宋" w:eastAsia="仿宋" w:cs="仿宋"/>
          <w:sz w:val="24"/>
          <w:szCs w:val="24"/>
          <w:lang w:val="en-US" w:eastAsia="zh-CN"/>
        </w:rPr>
        <w:t>项目</w:t>
      </w:r>
      <w:r>
        <w:rPr>
          <w:rFonts w:hint="eastAsia" w:ascii="仿宋" w:hAnsi="仿宋" w:eastAsia="仿宋" w:cs="仿宋"/>
          <w:sz w:val="24"/>
          <w:szCs w:val="24"/>
        </w:rPr>
        <w:t>进行独立检测的权利。</w:t>
      </w:r>
    </w:p>
    <w:p>
      <w:pPr>
        <w:pStyle w:val="2"/>
        <w:pageBreakBefore w:val="0"/>
        <w:widowControl/>
        <w:numPr>
          <w:ilvl w:val="0"/>
          <w:numId w:val="0"/>
        </w:numPr>
        <w:kinsoku/>
        <w:wordWrap/>
        <w:overflowPunct/>
        <w:topLinePunct w:val="0"/>
        <w:autoSpaceDE/>
        <w:autoSpaceDN/>
        <w:bidi w:val="0"/>
        <w:adjustRightInd w:val="0"/>
        <w:snapToGrid w:val="0"/>
        <w:spacing w:after="0" w:line="360" w:lineRule="auto"/>
        <w:ind w:left="0" w:leftChars="0" w:right="0" w:firstLine="456" w:firstLineChars="200"/>
        <w:jc w:val="left"/>
        <w:rPr>
          <w:rFonts w:hint="eastAsia" w:ascii="仿宋" w:hAnsi="仿宋" w:eastAsia="仿宋" w:cs="仿宋"/>
          <w:w w:val="95"/>
          <w:sz w:val="24"/>
          <w:szCs w:val="24"/>
        </w:rPr>
      </w:pPr>
      <w:r>
        <w:rPr>
          <w:rFonts w:hint="eastAsia" w:ascii="仿宋" w:hAnsi="仿宋" w:eastAsia="仿宋" w:cs="仿宋"/>
          <w:w w:val="95"/>
          <w:sz w:val="24"/>
          <w:szCs w:val="24"/>
        </w:rPr>
        <w:t>报价范围之内</w:t>
      </w:r>
      <w:r>
        <w:rPr>
          <w:rFonts w:hint="eastAsia" w:ascii="仿宋" w:hAnsi="仿宋" w:eastAsia="仿宋" w:cs="仿宋"/>
          <w:w w:val="95"/>
          <w:sz w:val="24"/>
          <w:szCs w:val="24"/>
          <w:lang w:val="en-US" w:eastAsia="zh-CN"/>
        </w:rPr>
        <w:t>项目</w:t>
      </w:r>
      <w:r>
        <w:rPr>
          <w:rFonts w:hint="eastAsia" w:ascii="仿宋" w:hAnsi="仿宋" w:eastAsia="仿宋" w:cs="仿宋"/>
          <w:w w:val="95"/>
          <w:sz w:val="24"/>
          <w:szCs w:val="24"/>
        </w:rPr>
        <w:t>所用的设备，由成交供应商提供。</w:t>
      </w:r>
    </w:p>
    <w:p>
      <w:pPr>
        <w:pStyle w:val="2"/>
        <w:pageBreakBefore w:val="0"/>
        <w:numPr>
          <w:ilvl w:val="0"/>
          <w:numId w:val="18"/>
        </w:numPr>
        <w:kinsoku/>
        <w:wordWrap/>
        <w:overflowPunct/>
        <w:topLinePunct w:val="0"/>
        <w:autoSpaceDE/>
        <w:autoSpaceDN/>
        <w:bidi w:val="0"/>
        <w:spacing w:line="360" w:lineRule="auto"/>
        <w:ind w:left="0" w:right="0" w:firstLine="456" w:firstLineChars="200"/>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质量要求</w:t>
      </w:r>
    </w:p>
    <w:p>
      <w:pPr>
        <w:pStyle w:val="2"/>
        <w:pageBreakBefore w:val="0"/>
        <w:numPr>
          <w:ilvl w:val="0"/>
          <w:numId w:val="0"/>
        </w:numPr>
        <w:kinsoku/>
        <w:wordWrap/>
        <w:overflowPunct/>
        <w:topLinePunct w:val="0"/>
        <w:autoSpaceDE/>
        <w:autoSpaceDN/>
        <w:bidi w:val="0"/>
        <w:spacing w:line="360" w:lineRule="auto"/>
        <w:ind w:left="0" w:right="0" w:firstLine="444" w:firstLineChars="200"/>
        <w:rPr>
          <w:rFonts w:hint="eastAsia" w:ascii="仿宋" w:hAnsi="仿宋" w:eastAsia="仿宋" w:cs="仿宋"/>
          <w:b/>
          <w:sz w:val="24"/>
          <w:szCs w:val="24"/>
        </w:rPr>
      </w:pPr>
      <w:r>
        <w:rPr>
          <w:rFonts w:hint="eastAsia" w:ascii="仿宋" w:hAnsi="仿宋" w:eastAsia="仿宋" w:cs="仿宋"/>
          <w:spacing w:val="-3"/>
          <w:w w:val="95"/>
          <w:sz w:val="24"/>
          <w:szCs w:val="24"/>
        </w:rPr>
        <w:t>成交供应商</w:t>
      </w:r>
      <w:r>
        <w:rPr>
          <w:rFonts w:hint="eastAsia" w:ascii="仿宋" w:hAnsi="仿宋" w:eastAsia="仿宋" w:cs="仿宋"/>
          <w:sz w:val="24"/>
          <w:szCs w:val="24"/>
        </w:rPr>
        <w:t>必须严格按照相关规范要求施工，并达到现行验收规范合格或以上标准，确保一次性</w:t>
      </w:r>
      <w:r>
        <w:rPr>
          <w:rFonts w:hint="eastAsia" w:ascii="仿宋" w:hAnsi="仿宋" w:eastAsia="仿宋" w:cs="仿宋"/>
          <w:w w:val="95"/>
          <w:sz w:val="24"/>
          <w:szCs w:val="24"/>
        </w:rPr>
        <w:t xml:space="preserve">验收合格。所投入材料必须符合国家有关规定，且符合国家各项环保及节能标准。  </w:t>
      </w:r>
    </w:p>
    <w:p>
      <w:pPr>
        <w:pStyle w:val="2"/>
        <w:pageBreakBefore w:val="0"/>
        <w:kinsoku/>
        <w:wordWrap/>
        <w:overflowPunct/>
        <w:topLinePunct w:val="0"/>
        <w:autoSpaceDE/>
        <w:autoSpaceDN/>
        <w:bidi w:val="0"/>
        <w:spacing w:line="360" w:lineRule="auto"/>
        <w:ind w:left="0" w:right="0" w:firstLine="444" w:firstLineChars="200"/>
        <w:rPr>
          <w:rFonts w:hint="eastAsia" w:ascii="仿宋" w:hAnsi="仿宋" w:eastAsia="仿宋" w:cs="仿宋"/>
          <w:b/>
          <w:color w:val="000000"/>
          <w:sz w:val="24"/>
          <w:szCs w:val="24"/>
          <w:lang w:val="en-US" w:eastAsia="zh-CN"/>
        </w:rPr>
      </w:pPr>
      <w:r>
        <w:rPr>
          <w:rFonts w:hint="eastAsia" w:ascii="仿宋" w:hAnsi="仿宋" w:eastAsia="仿宋" w:cs="仿宋"/>
          <w:spacing w:val="-3"/>
          <w:w w:val="95"/>
          <w:sz w:val="24"/>
          <w:szCs w:val="24"/>
        </w:rPr>
        <w:t>成交供应商在项目完成后的质保期按照相关国家标准、规范和企业承诺标准，对本项目按国家规</w:t>
      </w:r>
      <w:r>
        <w:rPr>
          <w:rFonts w:hint="eastAsia" w:ascii="仿宋" w:hAnsi="仿宋" w:eastAsia="仿宋" w:cs="仿宋"/>
          <w:spacing w:val="-6"/>
          <w:sz w:val="24"/>
          <w:szCs w:val="24"/>
        </w:rPr>
        <w:t xml:space="preserve">定的保修期进行维修保养，约定缺陷责任期为 </w:t>
      </w:r>
      <w:r>
        <w:rPr>
          <w:rFonts w:hint="eastAsia" w:ascii="仿宋" w:hAnsi="仿宋" w:eastAsia="仿宋" w:cs="仿宋"/>
          <w:sz w:val="24"/>
          <w:szCs w:val="24"/>
          <w:lang w:val="en-US" w:eastAsia="zh-CN"/>
        </w:rPr>
        <w:t>12</w:t>
      </w:r>
      <w:r>
        <w:rPr>
          <w:rFonts w:hint="eastAsia" w:ascii="仿宋" w:hAnsi="仿宋" w:eastAsia="仿宋" w:cs="仿宋"/>
          <w:spacing w:val="-14"/>
          <w:sz w:val="24"/>
          <w:szCs w:val="24"/>
        </w:rPr>
        <w:t xml:space="preserve"> 个月。</w:t>
      </w:r>
      <w:r>
        <w:rPr>
          <w:rFonts w:hint="eastAsia" w:ascii="仿宋" w:hAnsi="仿宋" w:eastAsia="仿宋" w:cs="仿宋"/>
          <w:w w:val="95"/>
          <w:sz w:val="24"/>
          <w:szCs w:val="24"/>
        </w:rPr>
        <w:t xml:space="preserve"> </w:t>
      </w:r>
    </w:p>
    <w:p>
      <w:pPr>
        <w:pageBreakBefore w:val="0"/>
        <w:numPr>
          <w:ilvl w:val="0"/>
          <w:numId w:val="0"/>
        </w:numPr>
        <w:kinsoku/>
        <w:wordWrap/>
        <w:overflowPunct/>
        <w:topLinePunct w:val="0"/>
        <w:autoSpaceDE/>
        <w:autoSpaceDN/>
        <w:bidi w:val="0"/>
        <w:spacing w:line="360" w:lineRule="auto"/>
        <w:ind w:left="0" w:leftChars="0" w:right="0" w:firstLine="480" w:firstLineChars="200"/>
        <w:rPr>
          <w:rFonts w:hint="eastAsia" w:ascii="仿宋" w:hAnsi="仿宋" w:eastAsia="仿宋" w:cs="仿宋"/>
          <w:sz w:val="24"/>
          <w:szCs w:val="24"/>
          <w:lang w:val="en-US" w:eastAsia="zh-CN"/>
        </w:rPr>
      </w:pP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left="0" w:right="0" w:rightChars="0" w:firstLine="482"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lang w:val="en-US" w:eastAsia="zh-CN"/>
        </w:rPr>
        <w:t>六、商务要求</w:t>
      </w:r>
      <w:r>
        <w:rPr>
          <w:rFonts w:hint="eastAsia" w:ascii="仿宋" w:hAnsi="仿宋" w:eastAsia="仿宋" w:cs="仿宋"/>
          <w:color w:val="000000"/>
          <w:sz w:val="24"/>
          <w:szCs w:val="24"/>
          <w:highlight w:val="none"/>
          <w:lang w:val="en-US" w:eastAsia="zh-CN"/>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★（一）报价要求</w:t>
      </w:r>
    </w:p>
    <w:p>
      <w:pPr>
        <w:keepNext w:val="0"/>
        <w:pageBreakBefore w:val="0"/>
        <w:numPr>
          <w:ilvl w:val="0"/>
          <w:numId w:val="19"/>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sz w:val="24"/>
          <w:szCs w:val="24"/>
          <w:highlight w:val="none"/>
        </w:rPr>
        <w:t>▲</w:t>
      </w:r>
      <w:r>
        <w:rPr>
          <w:rFonts w:hint="eastAsia" w:ascii="仿宋" w:hAnsi="仿宋" w:eastAsia="仿宋" w:cs="仿宋"/>
          <w:color w:val="000000"/>
          <w:sz w:val="24"/>
          <w:szCs w:val="24"/>
          <w:highlight w:val="none"/>
          <w:lang w:val="en-US" w:eastAsia="zh-CN"/>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（三）管理要求</w:t>
      </w:r>
    </w:p>
    <w:p>
      <w:pPr>
        <w:pStyle w:val="6"/>
        <w:pageBreakBefore w:val="0"/>
        <w:numPr>
          <w:ilvl w:val="0"/>
          <w:numId w:val="20"/>
        </w:numPr>
        <w:tabs>
          <w:tab w:val="left" w:pos="1281"/>
          <w:tab w:val="clear" w:pos="864"/>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★成交供应商必须切实做好安全工作，加强作业时的安全保障，在任何情况下都要注意安全。一切安全事故均由成交供应商自行负责。（响应时须提供承诺函，格式自定）</w:t>
      </w:r>
    </w:p>
    <w:p>
      <w:pPr>
        <w:pStyle w:val="6"/>
        <w:pageBreakBefore w:val="0"/>
        <w:numPr>
          <w:ilvl w:val="0"/>
          <w:numId w:val="20"/>
        </w:numPr>
        <w:tabs>
          <w:tab w:val="left" w:pos="1281"/>
          <w:tab w:val="clear" w:pos="864"/>
        </w:tabs>
        <w:kinsoku/>
        <w:wordWrap/>
        <w:overflowPunct/>
        <w:topLinePunct w:val="0"/>
        <w:autoSpaceDE/>
        <w:autoSpaceDN/>
        <w:bidi w:val="0"/>
        <w:spacing w:before="0" w:after="0" w:line="360" w:lineRule="auto"/>
        <w:ind w:left="0" w:leftChars="0" w:right="0" w:rightChars="0" w:firstLine="480" w:firstLineChars="200"/>
        <w:jc w:val="both"/>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★成交供应商不得将本项目的全部或任何部分分包和转包给他人，如在项目实施过程中，经采购人发现有此情况，采购人有权终止合同，由此造成的责任由成交供应商负责。（响应时须提供承诺函 ，格式自定）</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成交供应商施工时必须严格按国家现行的建设工程相关标准及技术规范施工。成交供应商必须严格按照已经确认的施工方案组织施工，工期、安全、文明施工、环保及工地纪律的监督和管理。</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在项目施工期间，须严格遵守政府职能部门的各项规章制度，严格按操作规程进行施工，每道工序必须检验合格通过，通过验收后，才可进入下一道工序的施工。由于管理不善，导致政府职能部门的罚款和停工整改，由其发生的费用与损失由成交供应商自行承担，且采购人保留暂缓支付项目款的权利，以确保文明施工有效实行。</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成交供应商在项目施工期间，必须配备专职安全员，建立健全安全制度。必须建立施工安全用电制度，确保施工用电设备的完好无损，并设置漏电保护装置。</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采购人不提供施工所需的食宿、办公、临时及材料加工场地，均由成交供应商自行解决，其费用成交供应商自理。</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自行解决施工临时用水、用电、通讯设施，相关费用已包含在投标总报价内。成交供应商应确保施工现场的清洁卫生，建筑垃圾必须当日清理干净，不得留在现场过夜。施工过程中应采取必要的有效措施减少对采购人单位进出人员的生活、工作造成的影响，并确保各方人员的安全，施工区域内由于成交供应商的责任造成的一切人员的伤亡，均由成交供应商承担由此产生的一切赔偿等后果。</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一旦进场施工，必须严格遵守采购人的各项规章制度，包括但不限于：①在规定的地域施工和活动；②项目经理和管理人员必须坚守岗位，因事需离开施工现场超过一天的，需提前向采购人请假，经采购人同意方可离开。</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施工所用的机械工具由施工队伍自备及自费运到施工工地，进场后进行必要的性能安全检查，完工后从工地自费搬出运走，施工所用的材料及机械工具由采购人提供适当的场所存放并由施工队伍自行保管，不得随便存放，以免造成不必要的丢失、损坏。</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在施工期间应严格遵守国家、省、市有关防火、防爆、深夜施工、环卫、治安与城管等规定，并制定和落实安全生产及文明施工措施，施工期间必须严格管理施工人员，保护好已完工工程成品，发生一切安全事故均由成交供应商自行负责。</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成交供应商在施工过程中，如遇到需与外部相关的单位协调的问题时，应自行解决，采购人只负责协助。</w:t>
      </w:r>
    </w:p>
    <w:p>
      <w:pPr>
        <w:pStyle w:val="82"/>
        <w:pageBreakBefore w:val="0"/>
        <w:numPr>
          <w:ilvl w:val="0"/>
          <w:numId w:val="20"/>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成交供应商所提供的资料必须属实，如发现虚假资料，采购人有权单方面终止合同，本项目将另行处理，由此而造成的经济损失由成交供应商负责赔偿。</w:t>
      </w:r>
    </w:p>
    <w:p>
      <w:pPr>
        <w:pStyle w:val="82"/>
        <w:pageBreakBefore w:val="0"/>
        <w:numPr>
          <w:ilvl w:val="0"/>
          <w:numId w:val="18"/>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付款方式</w:t>
      </w:r>
    </w:p>
    <w:p>
      <w:pPr>
        <w:pStyle w:val="82"/>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中标人凭以下有效文件与采购人结算：</w:t>
      </w:r>
    </w:p>
    <w:p>
      <w:pPr>
        <w:pStyle w:val="82"/>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合同；</w:t>
      </w:r>
    </w:p>
    <w:p>
      <w:pPr>
        <w:pStyle w:val="82"/>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中标人开具的正式发票；</w:t>
      </w:r>
    </w:p>
    <w:p>
      <w:pPr>
        <w:pStyle w:val="82"/>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中标通知书。</w:t>
      </w:r>
    </w:p>
    <w:p>
      <w:pPr>
        <w:pStyle w:val="82"/>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jc w:val="left"/>
        <w:rPr>
          <w:rFonts w:hint="eastAsia" w:ascii="仿宋" w:hAnsi="仿宋" w:eastAsia="仿宋" w:cs="仿宋"/>
          <w:b w:val="0"/>
          <w:bCs w:val="0"/>
          <w:color w:val="000000"/>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bidi="ar-SA"/>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2、交纳方式：以支票、汇票、本票、银行转账等非现金形式提交；采用支票、汇票、本票提交履约保证金的，有效期必须在供货期内保持有效；</w:t>
      </w:r>
    </w:p>
    <w:p>
      <w:pPr>
        <w:pStyle w:val="2"/>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（六）其他</w:t>
      </w:r>
    </w:p>
    <w:p>
      <w:pPr>
        <w:pStyle w:val="82"/>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val="en-US" w:eastAsia="zh-CN" w:bidi="ar-SA"/>
        </w:rPr>
        <w:t>中标人负责其派出现场施工人员人身意外保险。（提供承诺函，格式自拟）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bookmarkStart w:id="5" w:name="五、违约责任"/>
      <w:bookmarkEnd w:id="5"/>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中标人提供的</w:t>
      </w:r>
      <w:r>
        <w:rPr>
          <w:rFonts w:hint="eastAsia" w:ascii="仿宋" w:hAnsi="仿宋" w:eastAsia="仿宋" w:cs="仿宋"/>
          <w:color w:val="000000"/>
          <w:sz w:val="24"/>
          <w:szCs w:val="24"/>
          <w:highlight w:val="none"/>
          <w:lang w:val="en-US" w:eastAsia="zh-CN"/>
        </w:rPr>
        <w:t>法务</w:t>
      </w:r>
      <w:r>
        <w:rPr>
          <w:rFonts w:hint="eastAsia" w:ascii="仿宋" w:hAnsi="仿宋" w:eastAsia="仿宋" w:cs="仿宋"/>
          <w:color w:val="000000"/>
          <w:sz w:val="24"/>
          <w:szCs w:val="24"/>
          <w:highlight w:val="none"/>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中标人出现上述情形的，采购人有权要求中标人按合同</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其它违约责任按《中华人民共和国合同法》处理</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诚信履约要求：</w:t>
      </w:r>
      <w:r>
        <w:rPr>
          <w:rFonts w:hint="eastAsia" w:ascii="仿宋" w:hAnsi="仿宋" w:eastAsia="仿宋" w:cs="仿宋"/>
          <w:color w:val="000000"/>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仿宋" w:hAnsi="仿宋" w:eastAsia="仿宋" w:cs="仿宋"/>
          <w:color w:val="000000"/>
          <w:sz w:val="24"/>
          <w:szCs w:val="24"/>
          <w:highlight w:val="none"/>
          <w:lang w:val="en-US" w:eastAsia="zh-CN"/>
        </w:rPr>
        <w:t>由</w:t>
      </w:r>
      <w:r>
        <w:rPr>
          <w:rFonts w:hint="eastAsia" w:ascii="仿宋" w:hAnsi="仿宋" w:eastAsia="仿宋" w:cs="仿宋"/>
          <w:color w:val="000000"/>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七、替补候选人的设定与使用</w:t>
      </w:r>
    </w:p>
    <w:p>
      <w:pPr>
        <w:pStyle w:val="91"/>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2"/>
        <w:keepNext w:val="0"/>
        <w:keepLines w:val="0"/>
        <w:pageBreakBefore w:val="0"/>
        <w:kinsoku/>
        <w:wordWrap/>
        <w:overflowPunct/>
        <w:topLinePunct w:val="0"/>
        <w:autoSpaceDE/>
        <w:autoSpaceDN/>
        <w:bidi w:val="0"/>
        <w:adjustRightInd/>
        <w:snapToGrid/>
        <w:spacing w:line="360" w:lineRule="auto"/>
        <w:ind w:left="0" w:leftChars="0" w:right="0" w:firstLine="0" w:firstLineChars="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2.★如果所有中标候选人均无法签订合同，采购人将依法重新招标或更改采购形式，对受影响的响应供应商不承担任何责任。</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br w:type="page"/>
      </w:r>
    </w:p>
    <w:p>
      <w:pPr>
        <w:pStyle w:val="2"/>
        <w:rPr>
          <w:rFonts w:hint="eastAsia"/>
        </w:rPr>
      </w:pPr>
    </w:p>
    <w:p>
      <w:pPr>
        <w:shd w:val="clea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第四部分</w:t>
      </w:r>
    </w:p>
    <w:p>
      <w:pPr>
        <w:shd w:val="clear"/>
        <w:rPr>
          <w:rFonts w:hint="eastAsia" w:ascii="仿宋" w:hAnsi="仿宋" w:eastAsia="仿宋" w:cs="仿宋"/>
          <w:color w:val="000000" w:themeColor="text1"/>
          <w:sz w:val="36"/>
          <w:szCs w:val="36"/>
          <w:highlight w:val="none"/>
          <w14:textFill>
            <w14:solidFill>
              <w14:schemeClr w14:val="tx1"/>
            </w14:solidFill>
          </w14:textFill>
        </w:rPr>
      </w:pPr>
    </w:p>
    <w:p>
      <w:pPr>
        <w:shd w:val="clear"/>
        <w:spacing w:line="360" w:lineRule="auto"/>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合 同 条 款</w:t>
      </w:r>
    </w:p>
    <w:p>
      <w:pPr>
        <w:shd w:val="clear"/>
        <w:adjustRightInd w:val="0"/>
        <w:snapToGrid w:val="0"/>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shd w:val="clear"/>
        <w:adjustRightInd w:val="0"/>
        <w:snapToGrid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21"/>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ind w:firstLine="2564" w:firstLineChars="400"/>
        <w:jc w:val="both"/>
        <w:rPr>
          <w:rFonts w:hint="eastAsia" w:ascii="仿宋" w:hAnsi="仿宋" w:eastAsia="仿宋" w:cs="仿宋"/>
          <w:b/>
          <w:color w:val="000000" w:themeColor="text1"/>
          <w:spacing w:val="200"/>
          <w:sz w:val="24"/>
          <w:szCs w:val="24"/>
          <w:highlight w:val="none"/>
          <w14:textFill>
            <w14:solidFill>
              <w14:schemeClr w14:val="tx1"/>
            </w14:solidFill>
          </w14:textFill>
        </w:rPr>
      </w:pPr>
      <w:r>
        <w:rPr>
          <w:rFonts w:hint="eastAsia" w:ascii="仿宋" w:hAnsi="仿宋" w:eastAsia="仿宋" w:cs="仿宋"/>
          <w:b/>
          <w:color w:val="000000" w:themeColor="text1"/>
          <w:spacing w:val="200"/>
          <w:sz w:val="24"/>
          <w:szCs w:val="24"/>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p>
    <w:p>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甲方与乙方就“和若铁路征地拆迁概算清理资料收集整理技术服务采购项目”的工作内容事宜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经协商一致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第一条 工作的内容、要求</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一、政策背景</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深入贯彻落实党中央、国务院关于深化“放管服”改革和《国务院办公厅关于压缩不动产登记办理时间的通知》（国办发〔2019〕8号）、自然资办函[2019]1041号文要求，有效解决当前部门间网络联通、信息共享、业务协同等方面存在的实际困难，完善不动产登记信息管理基础平台网络运维环境，推动不动产登记信息共享集成。</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二、建设目标</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以政策、目标和需求为导向，按照《国家信息安全法》的相关标准，结合和田地区已有信息化基础，整改信息安全中存在的问题，从三个层面，分步骤完成信息平台布局优化和安全防护工作：将与企业和群众互动紧密的申请、受理等业务环节迁移至互联网运行，实现借助各种终端设备随时随地可申请、可查看；将审核、登簿等业务环节及数据迁移至与互联网逻辑隔离的电子政务外网，与各级政府、相关部门政务服务平台应通尽通，实现跨地区、跨部门、跨层级网络互联和信息互通共享将不动产空间图形数据及权籍调查成果审核环节部署在与互联网物理隔离的业务内部局域网，确保数据安全。建立信息中心，使得各县市自然资源局的信息系统满足《信息安全技术网络安全等级保护基本要求》中不同数据类型的网络安全需求。按照自治区要求，优化不动产登记的流程，实现三网融合，再根据各部门的需求，划分不同的子网、网段，使得网络拓扑与实际地区及县市运行情况相符，从而达到对访问控制，主机身份鉴别，安全审计，入侵防护，恶意代码防范，资源保密安全等。</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三、建设内容</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1.三网迁移</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和田地区七县一市不动产登记中心2016年成立以来，经过5年的不动产登记数据生产，现有不动产数据库有大量的房产数据和宗地数据，目前不动产数据库承载的数据量庞大，业务办理繁忙，导致运行速度缓慢，卡顿延迟等状况。随着互联网持续升级，不动产登记业务数量的增加以及接入农房数据进行不动产登记，后期还需接入土地承包经营权、林权、自然资源等确权等数据。目前不动产系统运行情况已不满足不动产登记需求。</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三网迁移工作需实现跨地区、跨部门、跨层级网络互联和信息互通共享将不动产空间图形数据及权籍调查成果审核环节部署在与互联网物理隔离的业务内部局域网，确保数据安全。政务中心进行三网迁移工作时在政务外网上无法提供硬件支持，需要接入单位自行解决。该项工作需要将部分硬件设备接入政务外网中，同时在内网中还要保留部分系统及局方运行的其他平台。将不动产业务系统、数据上报系统、各类接口迁移至新的硬件网络环境，包含ORCL数据库服务端、客户端、重新安装，业务系统重新安装配置，IIS服务发布，IE浏览器调试各个接口程序重新安装配置，图形和业务数据库还原，数据上报软件安装配置等相应运行环境的安装配置。同步将相关数据进行迁移，同时配合提供相关的系统及网络信息至网络管理部门。</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2.不动产平台改造</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按照国家相关要求，对权籍系统以及不动产业务系统进行改造，满足离线权籍调查信息及审核结果导出、导入需求。</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3.不动产平台及接口测试</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不动产系统迁移至政务外网后，开展政务外网内各类不动产程序、服务器间、业务办理电脑的网络测试、系统功能测试、数据上报测试、接口访问测试等测试工作，确保与迁移前一致，正常使用。</w:t>
      </w:r>
    </w:p>
    <w:p>
      <w:pPr>
        <w:keepNext w:val="0"/>
        <w:keepLines w:val="0"/>
        <w:pageBreakBefore w:val="0"/>
        <w:widowControl/>
        <w:numPr>
          <w:ilvl w:val="0"/>
          <w:numId w:val="0"/>
        </w:numPr>
        <w:shd w:val="clea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4.存量成果导出及质检</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按照国家存量数据上报的数据库要求规范，完成存量导出、标准成果包制作、数据质检，完成质检后，形成数据质量检查报告、数据质量检查结果记录等，反馈登记中心。</w:t>
      </w:r>
    </w:p>
    <w:p>
      <w:pPr>
        <w:pStyle w:val="2"/>
        <w:ind w:firstLine="482" w:firstLineChars="20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5.存量成果制作</w:t>
      </w:r>
    </w:p>
    <w:p>
      <w:pPr>
        <w:pStyle w:val="2"/>
        <w:ind w:firstLine="720" w:firstLineChars="300"/>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根据存量数据质检结果，指导局方完成存量数据的补录；根据补录完善信息关联相应表属性；最终形成标准成果包，协助局方完成存量数据上报工作。</w:t>
      </w:r>
    </w:p>
    <w:p>
      <w:pPr>
        <w:pStyle w:val="2"/>
        <w:ind w:firstLine="482" w:firstLineChars="20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6.存量成果整改完善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根据国家、自治区对存量数据检查结果，结合各县市情况，制定存量数据整改方案，对非补录信息进行整改完善。</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自本合同签订之日起至方案审查报批后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合同生效后在合同期限内完成和若铁路征地拆迁概算清理资料收集整理技术服务采购项目工作。经自治区人民政府审议同意后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由自治区自然资源厅向</w:t>
      </w:r>
      <w:r>
        <w:rPr>
          <w:rFonts w:hint="eastAsia" w:ascii="仿宋" w:hAnsi="仿宋" w:eastAsia="仿宋" w:cs="仿宋"/>
          <w:color w:val="000000" w:themeColor="text1"/>
          <w:sz w:val="24"/>
          <w:szCs w:val="24"/>
          <w:lang w:eastAsia="zh-CN"/>
          <w14:textFill>
            <w14:solidFill>
              <w14:schemeClr w14:val="tx1"/>
            </w14:solidFill>
          </w14:textFill>
        </w:rPr>
        <w:t>洛浦县</w:t>
      </w:r>
      <w:r>
        <w:rPr>
          <w:rFonts w:hint="eastAsia" w:ascii="仿宋" w:hAnsi="仿宋" w:eastAsia="仿宋" w:cs="仿宋"/>
          <w:color w:val="000000" w:themeColor="text1"/>
          <w:sz w:val="24"/>
          <w:szCs w:val="24"/>
          <w14:textFill>
            <w14:solidFill>
              <w14:schemeClr w14:val="tx1"/>
            </w14:solidFill>
          </w14:textFill>
        </w:rPr>
        <w:t>下达批复后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14:textFill>
            <w14:solidFill>
              <w14:schemeClr w14:val="tx1"/>
            </w14:solidFill>
          </w14:textFill>
        </w:rPr>
        <w:t>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指导乙方</w:t>
      </w:r>
      <w:r>
        <w:rPr>
          <w:rFonts w:hint="eastAsia" w:ascii="仿宋" w:hAnsi="仿宋" w:eastAsia="仿宋" w:cs="仿宋"/>
          <w:color w:val="000000" w:themeColor="text1"/>
          <w:sz w:val="24"/>
          <w:szCs w:val="24"/>
          <w:lang w:val="en-US" w:eastAsia="zh-CN"/>
          <w14:textFill>
            <w14:solidFill>
              <w14:schemeClr w14:val="tx1"/>
            </w14:solidFill>
          </w14:textFill>
        </w:rPr>
        <w:t>完成此项目所包含的一切工作。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.乙方负责编制</w:t>
      </w:r>
      <w:r>
        <w:rPr>
          <w:rFonts w:hint="eastAsia" w:ascii="仿宋" w:hAnsi="仿宋" w:eastAsia="仿宋" w:cs="仿宋"/>
          <w:color w:val="000000" w:themeColor="text1"/>
          <w:sz w:val="24"/>
          <w:szCs w:val="24"/>
          <w:lang w:val="en-US" w:eastAsia="zh-CN"/>
          <w14:textFill>
            <w14:solidFill>
              <w14:schemeClr w14:val="tx1"/>
            </w14:solidFill>
          </w14:textFill>
        </w:rPr>
        <w:t>本项目实施</w:t>
      </w:r>
      <w:r>
        <w:rPr>
          <w:rFonts w:hint="eastAsia" w:ascii="仿宋" w:hAnsi="仿宋" w:eastAsia="仿宋" w:cs="仿宋"/>
          <w:color w:val="000000" w:themeColor="text1"/>
          <w:sz w:val="24"/>
          <w:szCs w:val="24"/>
          <w14:textFill>
            <w14:solidFill>
              <w14:schemeClr w14:val="tx1"/>
            </w14:solidFill>
          </w14:textFill>
        </w:rPr>
        <w:t>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并按照甲方认定的工作方案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开展有关调研工作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保质保量完成项目所有内容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提交相应成果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六</w:t>
      </w:r>
      <w:r>
        <w:rPr>
          <w:rFonts w:hint="eastAsia" w:ascii="仿宋" w:hAnsi="仿宋" w:eastAsia="仿宋" w:cs="仿宋"/>
          <w:b/>
          <w:color w:val="000000" w:themeColor="text1"/>
          <w:sz w:val="24"/>
          <w:szCs w:val="24"/>
          <w14:textFill>
            <w14:solidFill>
              <w14:schemeClr w14:val="tx1"/>
            </w14:solidFill>
          </w14:textFill>
        </w:rPr>
        <w:t>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七</w:t>
      </w:r>
      <w:r>
        <w:rPr>
          <w:rFonts w:hint="eastAsia" w:ascii="仿宋" w:hAnsi="仿宋" w:eastAsia="仿宋" w:cs="仿宋"/>
          <w:b/>
          <w:color w:val="000000" w:themeColor="text1"/>
          <w:sz w:val="24"/>
          <w:szCs w:val="24"/>
          <w14:textFill>
            <w14:solidFill>
              <w14:schemeClr w14:val="tx1"/>
            </w14:solidFill>
          </w14:textFill>
        </w:rPr>
        <w:t>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而被迫停止或者推迟协议的执行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则协议执行要相应延迟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八</w:t>
      </w:r>
      <w:r>
        <w:rPr>
          <w:rFonts w:hint="eastAsia" w:ascii="仿宋" w:hAnsi="仿宋" w:eastAsia="仿宋" w:cs="仿宋"/>
          <w:b/>
          <w:color w:val="000000" w:themeColor="text1"/>
          <w:sz w:val="24"/>
          <w:szCs w:val="24"/>
          <w14:textFill>
            <w14:solidFill>
              <w14:schemeClr w14:val="tx1"/>
            </w14:solidFill>
          </w14:textFill>
        </w:rPr>
        <w:t>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九</w:t>
      </w:r>
      <w:r>
        <w:rPr>
          <w:rFonts w:hint="eastAsia" w:ascii="仿宋" w:hAnsi="仿宋" w:eastAsia="仿宋" w:cs="仿宋"/>
          <w:b/>
          <w:color w:val="000000" w:themeColor="text1"/>
          <w:sz w:val="24"/>
          <w:szCs w:val="24"/>
          <w14:textFill>
            <w14:solidFill>
              <w14:schemeClr w14:val="tx1"/>
            </w14:solidFill>
          </w14:textFill>
        </w:rPr>
        <w:t>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未达到要求的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应按合同标的总金额百分之一向甲方支付违约金</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w:t>
      </w:r>
      <w:r>
        <w:rPr>
          <w:rFonts w:hint="eastAsia" w:ascii="仿宋" w:hAnsi="仿宋" w:eastAsia="仿宋" w:cs="仿宋"/>
          <w:b/>
          <w:color w:val="000000" w:themeColor="text1"/>
          <w:sz w:val="24"/>
          <w:szCs w:val="24"/>
          <w:lang w:val="en-US" w:eastAsia="zh-CN"/>
          <w14:textFill>
            <w14:solidFill>
              <w14:schemeClr w14:val="tx1"/>
            </w14:solidFill>
          </w14:textFill>
        </w:rPr>
        <w:t>十</w:t>
      </w:r>
      <w:r>
        <w:rPr>
          <w:rFonts w:hint="eastAsia" w:ascii="仿宋" w:hAnsi="仿宋" w:eastAsia="仿宋" w:cs="仿宋"/>
          <w:b/>
          <w:color w:val="000000" w:themeColor="text1"/>
          <w:sz w:val="24"/>
          <w:szCs w:val="24"/>
          <w14:textFill>
            <w14:solidFill>
              <w14:schemeClr w14:val="tx1"/>
            </w14:solidFill>
          </w14:textFill>
        </w:rPr>
        <w:t>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即具法律约束力</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双方应本着诚实信用原则切实履行。如在履行合同的过程中发生分歧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甲乙双方应本着相互谅解、信任的原则充分协商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解决分歧。协商不成的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w:t>
      </w:r>
      <w:r>
        <w:rPr>
          <w:rFonts w:hint="eastAsia" w:ascii="仿宋" w:hAnsi="仿宋" w:eastAsia="仿宋" w:cs="仿宋"/>
          <w:b/>
          <w:color w:val="000000" w:themeColor="text1"/>
          <w:sz w:val="24"/>
          <w:szCs w:val="24"/>
          <w:lang w:val="en-US" w:eastAsia="zh-CN"/>
          <w14:textFill>
            <w14:solidFill>
              <w14:schemeClr w14:val="tx1"/>
            </w14:solidFill>
          </w14:textFill>
        </w:rPr>
        <w:t>一</w:t>
      </w:r>
      <w:r>
        <w:rPr>
          <w:rFonts w:hint="eastAsia" w:ascii="仿宋" w:hAnsi="仿宋" w:eastAsia="仿宋" w:cs="仿宋"/>
          <w:b/>
          <w:color w:val="000000" w:themeColor="text1"/>
          <w:sz w:val="24"/>
          <w:szCs w:val="24"/>
          <w14:textFill>
            <w14:solidFill>
              <w14:schemeClr w14:val="tx1"/>
            </w14:solidFill>
          </w14:textFill>
        </w:rPr>
        <w:t>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双方协商解决。在本合同履行过程中经双方达成的任何书面补充协议是本合同不可分割的组成部分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双方签字盖章后生效。甲方3份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1"/>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1"/>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第五部分</w:t>
      </w:r>
    </w:p>
    <w:p>
      <w:pPr>
        <w:pStyle w:val="17"/>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 应 文 件 格 式</w:t>
      </w:r>
    </w:p>
    <w:p>
      <w:pPr>
        <w:pStyle w:val="17"/>
        <w:shd w:val="clear"/>
        <w:spacing w:line="48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（响应文件须编页码，且页码必须连续）</w:t>
      </w: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       </w:t>
      </w:r>
      <w:r>
        <w:rPr>
          <w:rFonts w:hint="eastAsia" w:ascii="仿宋" w:hAnsi="仿宋" w:eastAsia="仿宋" w:cs="仿宋"/>
          <w:b/>
          <w:color w:val="000000" w:themeColor="text1"/>
          <w:sz w:val="36"/>
          <w:szCs w:val="36"/>
          <w:highlight w:val="none"/>
          <w14:textFill>
            <w14:solidFill>
              <w14:schemeClr w14:val="tx1"/>
            </w14:solidFill>
          </w14:textFill>
        </w:rPr>
        <w:br w:type="page"/>
      </w:r>
      <w:bookmarkStart w:id="6" w:name="_Toc202816995"/>
      <w:bookmarkStart w:id="7" w:name="_Toc202251074"/>
      <w:bookmarkStart w:id="8" w:name="_Toc202819877"/>
      <w:bookmarkStart w:id="9" w:name="_Toc202251699"/>
      <w:bookmarkStart w:id="10" w:name="_Toc202254104"/>
      <w:bookmarkStart w:id="11" w:name="_Toc202252033"/>
      <w:bookmarkStart w:id="12" w:name="_Toc202820350"/>
      <w:r>
        <w:rPr>
          <w:rFonts w:hint="eastAsia" w:ascii="仿宋" w:hAnsi="仿宋" w:eastAsia="仿宋" w:cs="仿宋"/>
          <w:b/>
          <w:color w:val="000000" w:themeColor="text1"/>
          <w:sz w:val="24"/>
          <w:szCs w:val="24"/>
          <w:highlight w:val="none"/>
          <w14:textFill>
            <w14:solidFill>
              <w14:schemeClr w14:val="tx1"/>
            </w14:solidFill>
          </w14:textFill>
        </w:rPr>
        <w:t>自查表</w:t>
      </w:r>
      <w:bookmarkEnd w:id="6"/>
      <w:bookmarkEnd w:id="7"/>
      <w:bookmarkEnd w:id="8"/>
      <w:bookmarkEnd w:id="9"/>
      <w:bookmarkEnd w:id="10"/>
      <w:bookmarkEnd w:id="11"/>
      <w:bookmarkEnd w:id="12"/>
    </w:p>
    <w:tbl>
      <w:tblPr>
        <w:tblStyle w:val="33"/>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149"/>
        <w:gridCol w:w="2543"/>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5" w:hRule="atLeast"/>
          <w:jc w:val="center"/>
        </w:trPr>
        <w:tc>
          <w:tcPr>
            <w:tcW w:w="783" w:type="dxa"/>
            <w:tcBorders>
              <w:top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评审内容</w:t>
            </w: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磋商文件要求</w:t>
            </w:r>
          </w:p>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（详见《资格性和符合性审查表》各项）</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32"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提供在中华人民共和国境内注册的法人或其他组织的营业执照或事业单位法人证书或社会团体法人登记证书，如投标人为自然人的提供自然人身份证明；如国家另有规定的，则从其规定。</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9"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0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）的缴纳社保证明材料加盖公章。如依法不需要缴纳社会保障资金的，应提供相应文件证明；</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提供履行合同所必需的设备和专业技术能力的书面声明；（提供《投标人资格声明函》）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提供参加政府采购活动前3年内在经营活动中没有重大违法记录的书面声明；（提供《投标人资格声明函》）。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193"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83"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86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1" w:hRule="atLeast"/>
          <w:jc w:val="center"/>
        </w:trPr>
        <w:tc>
          <w:tcPr>
            <w:tcW w:w="783" w:type="dxa"/>
            <w:vMerge w:val="continue"/>
            <w:tcBorders>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rightChars="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4149"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2543" w:type="dxa"/>
            <w:tcBorders>
              <w:top w:val="outset" w:color="111111" w:sz="6" w:space="0"/>
              <w:left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 盖章</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报价有效期为90天</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满足《用户需求书》中功能要求、技术指标和服务要求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149"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没有其他</w:t>
            </w:r>
            <w:r>
              <w:rPr>
                <w:rFonts w:hint="eastAsia" w:ascii="仿宋" w:hAnsi="仿宋" w:eastAsia="仿宋" w:cs="仿宋"/>
                <w:color w:val="000000" w:themeColor="text1"/>
                <w:sz w:val="24"/>
                <w:szCs w:val="24"/>
                <w:highlight w:val="none"/>
                <w14:textFill>
                  <w14:solidFill>
                    <w14:schemeClr w14:val="tx1"/>
                  </w14:solidFill>
                </w14:textFill>
              </w:rPr>
              <w:t>未实质性响应磋商文件的要求</w:t>
            </w:r>
          </w:p>
        </w:tc>
        <w:tc>
          <w:tcPr>
            <w:tcW w:w="2543" w:type="dxa"/>
            <w:tcBorders>
              <w:top w:val="outset" w:color="111111" w:sz="6" w:space="0"/>
              <w:left w:val="outset" w:color="111111" w:sz="6" w:space="0"/>
              <w:bottom w:val="outset" w:color="111111" w:sz="6" w:space="0"/>
              <w:right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见响应文件第（ ）页</w:t>
            </w:r>
          </w:p>
        </w:tc>
      </w:tr>
    </w:tbl>
    <w:p>
      <w:pPr>
        <w:pStyle w:val="13"/>
        <w:shd w:val="clear"/>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hd w:val="clear"/>
        <w:spacing w:after="0" w:line="360" w:lineRule="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供应商法定代表人（或法定代表人授权代表）签字：                   </w:t>
      </w:r>
    </w:p>
    <w:p>
      <w:pPr>
        <w:shd w:val="clear"/>
        <w:adjustRightInd w:val="0"/>
        <w:snapToGrid w:val="0"/>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供应商名称（签章）：                        </w:t>
      </w:r>
    </w:p>
    <w:p>
      <w:pPr>
        <w:shd w:val="clear"/>
        <w:tabs>
          <w:tab w:val="left" w:pos="800"/>
          <w:tab w:val="left" w:pos="1000"/>
        </w:tabs>
        <w:spacing w:line="360" w:lineRule="auto"/>
        <w:jc w:val="both"/>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日期：   年   月   日</w:t>
      </w: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pStyle w:val="2"/>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6"/>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2"/>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tbl>
      <w:tblPr>
        <w:tblStyle w:val="3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8"/>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8"/>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8"/>
              <w:keepNext w:val="0"/>
              <w:shd w:val="clear"/>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1"/>
              <w:shd w:val="clear"/>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hd w:val="clea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4"/>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hd w:val="clea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hd w:val="clea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shd w:val="clea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shd w:val="clea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一、项 目 报 价 表</w:t>
      </w:r>
    </w:p>
    <w:p>
      <w:pPr>
        <w:pStyle w:val="3"/>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3" w:name="_Hlt10519799"/>
      <w:bookmarkEnd w:id="13"/>
      <w:bookmarkStart w:id="14"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5" w:name="_Hlt10519308"/>
      <w:bookmarkEnd w:id="15"/>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4"/>
      <w:bookmarkStart w:id="16" w:name="_Hlt10456397"/>
      <w:bookmarkEnd w:id="16"/>
    </w:p>
    <w:p>
      <w:pPr>
        <w:pStyle w:val="17"/>
        <w:shd w:val="clear"/>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7"/>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7"/>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3"/>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洛浦县不动产登记三网迁移改造采购项目</w:t>
            </w:r>
          </w:p>
        </w:tc>
        <w:tc>
          <w:tcPr>
            <w:tcW w:w="5091"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30天</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shd w:val="clear"/>
              <w:autoSpaceDE w:val="0"/>
              <w:autoSpaceDN w:val="0"/>
              <w:adjustRightInd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                                （￥               ）</w:t>
            </w:r>
          </w:p>
          <w:p>
            <w:pPr>
              <w:pStyle w:val="2"/>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大写：</w:t>
            </w:r>
          </w:p>
        </w:tc>
      </w:tr>
    </w:tbl>
    <w:p>
      <w:pPr>
        <w:shd w:val="clea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shd w:val="clea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hd w:val="clear"/>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hd w:val="clea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7"/>
        <w:shd w:val="clear"/>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17" w:name="_Toc42951052"/>
      <w:bookmarkStart w:id="18"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7"/>
    </w:p>
    <w:bookmarkEnd w:id="18"/>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职务)代表我方进行有关本磋商的一切事宜。</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7"/>
        <w:shd w:val="clear"/>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7"/>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有关文件。</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hd w:val="clea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hd w:val="clea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hd w:val="clea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hd w:val="clea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hd w:val="clea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（四）我方已详细研究了磋商文件的所有内容包括修改文件(如果有)和所有已提供的参考资料以及有关附件并完全明白, 我方放弃在此方面提出含糊意见或误解的一切权力。</w:t>
      </w:r>
    </w:p>
    <w:p>
      <w:pPr>
        <w:shd w:val="clea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19"/>
        <w:shd w:val="clear"/>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数据或信息。</w:t>
      </w:r>
    </w:p>
    <w:p>
      <w:pPr>
        <w:shd w:val="clea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hd w:val="clea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4"/>
        <w:shd w:val="clear"/>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号）中。</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eastAsia="zh-CN"/>
          <w14:textFill>
            <w14:solidFill>
              <w14:schemeClr w14:val="tx1"/>
            </w14:solidFill>
          </w14:textFill>
        </w:rPr>
        <w:t>服</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务</w:t>
      </w:r>
      <w:r>
        <w:rPr>
          <w:rFonts w:hint="eastAsia" w:ascii="仿宋" w:hAnsi="仿宋" w:eastAsia="仿宋" w:cs="仿宋"/>
          <w:b/>
          <w:color w:val="000000" w:themeColor="text1"/>
          <w:sz w:val="24"/>
          <w:szCs w:val="24"/>
          <w:highlight w:val="none"/>
          <w14:textFill>
            <w14:solidFill>
              <w14:schemeClr w14:val="tx1"/>
            </w14:solidFill>
          </w14:textFill>
        </w:rPr>
        <w:t xml:space="preserve"> 商 务 响 应</w:t>
      </w:r>
    </w:p>
    <w:p>
      <w:pPr>
        <w:pStyle w:val="17"/>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9" w:name="_Hlt10519541"/>
      <w:bookmarkEnd w:id="19"/>
      <w:bookmarkStart w:id="20"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20"/>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7"/>
        <w:shd w:val="clear"/>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7"/>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hd w:val="clea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2"/>
        <w:shd w:val="clear"/>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hd w:val="clear"/>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
        <w:shd w:val="clear"/>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fmt="decimal"/>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6192;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5168;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7"/>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pStyle w:val="17"/>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7"/>
        <w:shd w:val="clear"/>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7"/>
        <w:shd w:val="clear"/>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3120;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2096;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hd w:val="clea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hd w:val="clear"/>
        <w:spacing w:line="48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1" w:name="_Toc42951054"/>
      <w:r>
        <w:rPr>
          <w:rFonts w:hint="eastAsia" w:ascii="仿宋" w:hAnsi="仿宋" w:eastAsia="仿宋" w:cs="仿宋"/>
          <w:color w:val="000000" w:themeColor="text1"/>
          <w:sz w:val="24"/>
          <w:szCs w:val="24"/>
          <w:highlight w:val="none"/>
          <w:lang w:eastAsia="zh-CN"/>
          <w14:textFill>
            <w14:solidFill>
              <w14:schemeClr w14:val="tx1"/>
            </w14:solidFill>
          </w14:textFill>
        </w:rPr>
        <w:t>投标人资格声明函</w:t>
      </w:r>
    </w:p>
    <w:p>
      <w:pPr>
        <w:shd w:val="clear"/>
        <w:rPr>
          <w:rFonts w:hint="eastAsia" w:ascii="仿宋" w:hAnsi="仿宋" w:eastAsia="仿宋" w:cs="仿宋"/>
          <w:color w:val="000000" w:themeColor="text1"/>
          <w:sz w:val="24"/>
          <w:szCs w:val="24"/>
          <w:highlight w:val="none"/>
          <w:lang w:eastAsia="zh-CN"/>
          <w14:textFill>
            <w14:solidFill>
              <w14:schemeClr w14:val="tx1"/>
            </w14:solidFill>
          </w14:textFill>
        </w:rPr>
      </w:pPr>
    </w:p>
    <w:p>
      <w:pPr>
        <w:pStyle w:val="17"/>
        <w:shd w:val="clear"/>
        <w:spacing w:line="360" w:lineRule="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致:新疆晓君招标有限公司</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关于采购人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日发布</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的采购公告，本公司（企业）愿意参加投标，并声明：</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一、本公司（企业）具备《中华人民共和国政府采购法》第二十二条规定的条件。</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提供近段时间内（2021年6月-12月）的缴纳社保证明材料加盖公章。如依法不需要缴纳社会保障资金的，应提供相应文件证明；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特此声明！</w:t>
      </w:r>
    </w:p>
    <w:p>
      <w:pPr>
        <w:shd w:val="clea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备注：1、本声明函必须提供且内容不得擅自删改，否则视为无效投标。</w:t>
      </w:r>
    </w:p>
    <w:p>
      <w:pPr>
        <w:shd w:val="clear"/>
        <w:spacing w:line="360" w:lineRule="auto"/>
        <w:ind w:firstLine="720" w:firstLineChars="3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2、本声明函如有虚假或与事实不符的，作无效投标处理。</w:t>
      </w:r>
    </w:p>
    <w:p>
      <w:pPr>
        <w:shd w:val="clear"/>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left="0" w:leftChars="0" w:firstLine="5280" w:firstLineChars="2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投标人（公章）：</w:t>
      </w:r>
    </w:p>
    <w:p>
      <w:pPr>
        <w:shd w:val="clear"/>
        <w:spacing w:line="360" w:lineRule="auto"/>
        <w:ind w:left="0" w:leftChars="0" w:firstLine="5280" w:firstLineChars="2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投标人地址：</w:t>
      </w:r>
    </w:p>
    <w:p>
      <w:pPr>
        <w:shd w:val="clear"/>
        <w:spacing w:line="480" w:lineRule="exact"/>
        <w:ind w:left="0" w:leftChars="0" w:firstLine="5280" w:firstLineChars="2200"/>
        <w:rPr>
          <w:rFonts w:hint="eastAsia" w:ascii="仿宋" w:hAnsi="仿宋" w:eastAsia="仿宋" w:cs="仿宋"/>
          <w:color w:val="000000" w:themeColor="text1"/>
          <w:sz w:val="24"/>
          <w:szCs w:val="24"/>
          <w:highlight w:val="none"/>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hd w:val="clear"/>
        <w:spacing w:line="480" w:lineRule="exact"/>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附：（注：本声明函对中小企业参与政府采购活动时适用）</w:t>
      </w:r>
    </w:p>
    <w:p>
      <w:pPr>
        <w:shd w:val="clear"/>
        <w:spacing w:line="588" w:lineRule="exact"/>
        <w:rPr>
          <w:rFonts w:hint="eastAsia" w:ascii="仿宋" w:hAnsi="仿宋" w:eastAsia="仿宋" w:cs="仿宋"/>
          <w:color w:val="000000" w:themeColor="text1"/>
          <w:spacing w:val="6"/>
          <w:sz w:val="24"/>
          <w:szCs w:val="24"/>
          <w:highlight w:val="none"/>
          <w14:textFill>
            <w14:solidFill>
              <w14:schemeClr w14:val="tx1"/>
            </w14:solidFill>
          </w14:textFill>
        </w:rPr>
      </w:pPr>
    </w:p>
    <w:p>
      <w:pPr>
        <w:keepNext w:val="0"/>
        <w:keepLines w:val="0"/>
        <w:pageBreakBefore w:val="0"/>
        <w:widowControl/>
        <w:shd w:val="clear" w:color="auto"/>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中小企业声明函（承接本项目服务为中小企业时提交本函，所属行业应符合采购文件中明确的本项目所属行业）</w:t>
      </w: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中小企业声明函（服务</w:t>
      </w: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/工程</w:t>
      </w:r>
      <w:r>
        <w:rPr>
          <w:rFonts w:hint="eastAsia" w:ascii="宋体" w:hAnsi="宋体" w:eastAsia="宋体" w:cs="宋体"/>
          <w:b/>
          <w:color w:val="000000" w:themeColor="text1"/>
          <w:kern w:val="0"/>
          <w:sz w:val="36"/>
          <w:szCs w:val="36"/>
          <w:highlight w:val="none"/>
          <w14:textFill>
            <w14:solidFill>
              <w14:schemeClr w14:val="tx1"/>
            </w14:solidFill>
          </w14:textFill>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i/>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color w:val="000000" w:themeColor="text1"/>
          <w:kern w:val="0"/>
          <w:sz w:val="24"/>
          <w:szCs w:val="24"/>
          <w:highlight w:val="none"/>
          <w:u w:val="single"/>
          <w14:textFill>
            <w14:solidFill>
              <w14:schemeClr w14:val="tx1"/>
            </w14:solidFill>
          </w14:textFill>
        </w:rPr>
        <w:t>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color w:val="000000" w:themeColor="text1"/>
          <w:kern w:val="0"/>
          <w:sz w:val="24"/>
          <w:szCs w:val="24"/>
          <w:highlight w:val="none"/>
          <w:u w:val="single"/>
          <w14:textFill>
            <w14:solidFill>
              <w14:schemeClr w14:val="tx1"/>
            </w14:solidFill>
          </w14:textFill>
        </w:rPr>
        <w:t>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人，营业收入为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本企业对上述声明内容的真实性负责。如有虚假，将依法承担相应责任。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企业名称（盖章）：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：投标人应当自行核实是否属于小微企业，并认真填写声明函，若有虚假将追究其责任。</w:t>
      </w:r>
    </w:p>
    <w:p>
      <w:pPr>
        <w:shd w:val="clea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2"/>
        <w:shd w:val="clear"/>
        <w:rPr>
          <w:rFonts w:hint="eastAsia" w:ascii="仿宋" w:hAnsi="仿宋" w:eastAsia="仿宋" w:cs="仿宋"/>
          <w:b/>
          <w:color w:val="000000" w:themeColor="text1"/>
          <w:sz w:val="24"/>
          <w:szCs w:val="24"/>
          <w:highlight w:val="none"/>
          <w14:textFill>
            <w14:solidFill>
              <w14:schemeClr w14:val="tx1"/>
            </w14:solidFill>
          </w14:textFill>
        </w:rPr>
      </w:pPr>
    </w:p>
    <w:p>
      <w:pPr>
        <w:shd w:val="clea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shd w:val="clea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1"/>
    </w:p>
    <w:p>
      <w:pPr>
        <w:widowControl w:val="0"/>
        <w:shd w:val="clear"/>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w:t>
      </w:r>
      <w:r>
        <w:rPr>
          <w:rFonts w:hint="eastAsia" w:ascii="仿宋" w:hAnsi="仿宋" w:eastAsia="仿宋" w:cs="仿宋"/>
          <w:color w:val="000000" w:themeColor="text1"/>
          <w:sz w:val="24"/>
          <w:szCs w:val="24"/>
          <w:highlight w:val="none"/>
          <w:lang w:eastAsia="zh-CN"/>
          <w14:textFill>
            <w14:solidFill>
              <w14:schemeClr w14:val="tx1"/>
            </w14:solidFill>
          </w14:textFill>
        </w:rPr>
        <w:t>作出</w:t>
      </w:r>
      <w:r>
        <w:rPr>
          <w:rFonts w:hint="eastAsia" w:ascii="仿宋" w:hAnsi="仿宋" w:eastAsia="仿宋" w:cs="仿宋"/>
          <w:color w:val="000000" w:themeColor="text1"/>
          <w:sz w:val="24"/>
          <w:szCs w:val="24"/>
          <w:highlight w:val="none"/>
          <w14:textFill>
            <w14:solidFill>
              <w14:schemeClr w14:val="tx1"/>
            </w14:solidFill>
          </w14:textFill>
        </w:rPr>
        <w:t>全面的响应。其内容应包括但不限于以下各项：</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1）提供在中华人民共和国境内注册的法人或其他组织的营业执照或事业单位法人证书或社会团体法人登记证书，如投标人为自然人的提供自然人身份证明；如国家另有规定的，则从其规定。</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提供 2019年度或 2020年度经审计的《财务审计报告书》；</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2021年</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提供近段时间内（2021年6月-12月）的缴纳社保证明材料加盖公章。如依法不需要缴纳社会保障资金的，应提供相应文件证明；</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2.落实政府采购政策需满足的资格要求：</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需要落实的政府采购政策：</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3.本项目的特定资格要求：</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投标人具有财政主管部门颁发的会计师事务所执业证书，投标人拟派项目负责人需要具有行政主管部门颁发注册会计师资格证书；</w:t>
      </w:r>
    </w:p>
    <w:p>
      <w:pPr>
        <w:pStyle w:val="29"/>
        <w:keepNext w:val="0"/>
        <w:keepLines w:val="0"/>
        <w:pageBreakBefore w:val="0"/>
        <w:widowControl/>
        <w:suppressLineNumbers w:val="0"/>
        <w:shd w:val="clear"/>
        <w:kinsoku/>
        <w:wordWrap/>
        <w:overflowPunct/>
        <w:topLinePunct w:val="0"/>
        <w:autoSpaceDE/>
        <w:autoSpaceDN/>
        <w:bidi w:val="0"/>
        <w:adjustRightInd/>
        <w:snapToGrid/>
        <w:spacing w:before="36" w:beforeAutospacing="0" w:after="36" w:afterAutospacing="0" w:line="360" w:lineRule="auto"/>
        <w:ind w:right="0" w:firstLine="240" w:firstLineChars="10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bidi="ar-SA"/>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为采购项目提供整体设计、规范编制的供应商，不得再参加该采购项目同一合同项下的其他采购活动。（提供《投标人资格声明函》）</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pStyle w:val="15"/>
        <w:shd w:val="clear"/>
        <w:rPr>
          <w:rFonts w:hint="eastAsia" w:ascii="仿宋" w:hAnsi="仿宋" w:eastAsia="仿宋" w:cs="仿宋"/>
          <w:color w:val="000000" w:themeColor="text1"/>
          <w:sz w:val="24"/>
          <w:szCs w:val="24"/>
          <w:highlight w:val="none"/>
          <w14:textFill>
            <w14:solidFill>
              <w14:schemeClr w14:val="tx1"/>
            </w14:solidFill>
          </w14:textFill>
        </w:rPr>
      </w:pP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2" w:name="_Hlt10549792"/>
      <w:bookmarkEnd w:id="22"/>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hd w:val="clear"/>
        <w:spacing w:line="480" w:lineRule="exac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w:t>
      </w:r>
      <w:r>
        <w:rPr>
          <w:rFonts w:hint="eastAsia" w:ascii="仿宋" w:hAnsi="仿宋" w:eastAsia="仿宋" w:cs="仿宋"/>
          <w:b/>
          <w:bCs/>
          <w:color w:val="000000" w:themeColor="text1"/>
          <w:sz w:val="24"/>
          <w:szCs w:val="24"/>
          <w:highlight w:val="none"/>
          <w:lang w:eastAsia="zh-CN"/>
          <w14:textFill>
            <w14:solidFill>
              <w14:schemeClr w14:val="tx1"/>
            </w14:solidFill>
          </w14:textFill>
        </w:rPr>
        <w:t>新疆晓君招标有限公司</w:t>
      </w:r>
    </w:p>
    <w:p>
      <w:pPr>
        <w:shd w:val="clea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w:t>
      </w:r>
      <w:r>
        <w:rPr>
          <w:rFonts w:hint="eastAsia" w:ascii="仿宋" w:hAnsi="仿宋" w:eastAsia="仿宋" w:cs="仿宋"/>
          <w:color w:val="000000" w:themeColor="text1"/>
          <w:sz w:val="24"/>
          <w:szCs w:val="24"/>
          <w:highlight w:val="none"/>
          <w:lang w:eastAsia="zh-CN"/>
          <w14:textFill>
            <w14:solidFill>
              <w14:schemeClr w14:val="tx1"/>
            </w14:solidFill>
          </w14:textFill>
        </w:rPr>
        <w:t>账户</w:t>
      </w:r>
      <w:r>
        <w:rPr>
          <w:rFonts w:hint="eastAsia" w:ascii="仿宋" w:hAnsi="仿宋" w:eastAsia="仿宋" w:cs="仿宋"/>
          <w:color w:val="000000" w:themeColor="text1"/>
          <w:sz w:val="24"/>
          <w:szCs w:val="24"/>
          <w:highlight w:val="none"/>
          <w14:textFill>
            <w14:solidFill>
              <w14:schemeClr w14:val="tx1"/>
            </w14:solidFill>
          </w14:textFill>
        </w:rPr>
        <w:t>：</w:t>
      </w:r>
    </w:p>
    <w:tbl>
      <w:tblPr>
        <w:tblStyle w:val="33"/>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3"/>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3"/>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shd w:val="clea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shd w:val="clea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shd w:val="clea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hd w:val="clea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w:t>
      </w:r>
      <w:r>
        <w:rPr>
          <w:rFonts w:hint="eastAsia" w:ascii="仿宋" w:hAnsi="仿宋" w:eastAsia="仿宋" w:cs="仿宋"/>
          <w:color w:val="000000" w:themeColor="text1"/>
          <w:sz w:val="24"/>
          <w:szCs w:val="24"/>
          <w:highlight w:val="none"/>
          <w:lang w:eastAsia="zh-CN"/>
          <w14:textFill>
            <w14:solidFill>
              <w14:schemeClr w14:val="tx1"/>
            </w14:solidFill>
          </w14:textFill>
        </w:rPr>
        <w:t>缴纳</w:t>
      </w:r>
      <w:r>
        <w:rPr>
          <w:rFonts w:hint="eastAsia" w:ascii="仿宋" w:hAnsi="仿宋" w:eastAsia="仿宋" w:cs="仿宋"/>
          <w:color w:val="000000" w:themeColor="text1"/>
          <w:sz w:val="24"/>
          <w:szCs w:val="24"/>
          <w:highlight w:val="none"/>
          <w14:textFill>
            <w14:solidFill>
              <w14:schemeClr w14:val="tx1"/>
            </w14:solidFill>
          </w14:textFill>
        </w:rPr>
        <w:t>凭据</w:t>
      </w: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3"/>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w:t>
            </w:r>
            <w:r>
              <w:rPr>
                <w:rFonts w:hint="eastAsia" w:ascii="仿宋" w:hAnsi="仿宋" w:eastAsia="仿宋" w:cs="仿宋"/>
                <w:color w:val="000000" w:themeColor="text1"/>
                <w:sz w:val="24"/>
                <w:szCs w:val="24"/>
                <w:highlight w:val="none"/>
                <w:lang w:eastAsia="zh-CN"/>
                <w14:textFill>
                  <w14:solidFill>
                    <w14:schemeClr w14:val="tx1"/>
                  </w14:solidFill>
                </w14:textFill>
              </w:rPr>
              <w:t>转账</w:t>
            </w:r>
            <w:r>
              <w:rPr>
                <w:rFonts w:hint="eastAsia" w:ascii="仿宋" w:hAnsi="仿宋" w:eastAsia="仿宋" w:cs="仿宋"/>
                <w:color w:val="000000" w:themeColor="text1"/>
                <w:sz w:val="24"/>
                <w:szCs w:val="24"/>
                <w:highlight w:val="none"/>
                <w14:textFill>
                  <w14:solidFill>
                    <w14:schemeClr w14:val="tx1"/>
                  </w14:solidFill>
                </w14:textFill>
              </w:rPr>
              <w:t>或汇款的银行凭证复印件（加盖公章）。</w:t>
            </w: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3"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3"/>
    </w:p>
    <w:p>
      <w:pPr>
        <w:numPr>
          <w:ilvl w:val="0"/>
          <w:numId w:val="0"/>
        </w:numPr>
        <w:shd w:val="clear"/>
        <w:adjustRightInd w:val="0"/>
        <w:snapToGrid w:val="0"/>
        <w:spacing w:line="300" w:lineRule="auto"/>
        <w:ind w:left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明：</w:t>
      </w:r>
    </w:p>
    <w:p>
      <w:pPr>
        <w:numPr>
          <w:ilvl w:val="0"/>
          <w:numId w:val="21"/>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投标人必须对应招标文件条款逐条应答并按要求填写下表。</w:t>
      </w:r>
    </w:p>
    <w:p>
      <w:pPr>
        <w:numPr>
          <w:ilvl w:val="0"/>
          <w:numId w:val="21"/>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4"/>
          <w:szCs w:val="24"/>
          <w:highlight w:val="none"/>
          <w14:textFill>
            <w14:solidFill>
              <w14:schemeClr w14:val="tx1"/>
            </w14:solidFill>
          </w14:textFill>
        </w:rPr>
        <w:t>实际数据填写</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4"/>
          <w:szCs w:val="24"/>
          <w:highlight w:val="none"/>
          <w14:textFill>
            <w14:solidFill>
              <w14:schemeClr w14:val="tx1"/>
            </w14:solidFill>
          </w14:textFill>
        </w:rPr>
        <w:t>。</w:t>
      </w:r>
    </w:p>
    <w:p>
      <w:pPr>
        <w:numPr>
          <w:ilvl w:val="0"/>
          <w:numId w:val="21"/>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投标人应按招标文件要求附相关证明文件，如有任何一项不响应或不满足的视为负偏离。</w:t>
      </w:r>
    </w:p>
    <w:p>
      <w:pPr>
        <w:numPr>
          <w:ilvl w:val="0"/>
          <w:numId w:val="21"/>
        </w:numPr>
        <w:shd w:val="clear"/>
        <w:adjustRightInd w:val="0"/>
        <w:snapToGrid w:val="0"/>
        <w:spacing w:line="300" w:lineRule="auto"/>
        <w:ind w:left="425" w:leftChars="0" w:hanging="425"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偏离情况说明：投标人根据投标人实际情况填写“正偏离”“完全响应”或“负偏离”。</w:t>
      </w:r>
    </w:p>
    <w:p>
      <w:pPr>
        <w:shd w:val="clear"/>
        <w:adjustRightInd w:val="0"/>
        <w:snapToGrid w:val="0"/>
        <w:spacing w:line="300" w:lineRule="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hd w:val="clear"/>
              <w:snapToGrid w:val="0"/>
              <w:spacing w:line="240" w:lineRule="auto"/>
              <w:ind w:left="-71" w:leftChars="-34" w:right="-73" w:rightChars="-35"/>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2"/>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w:t>
            </w:r>
          </w:p>
        </w:tc>
        <w:tc>
          <w:tcPr>
            <w:tcW w:w="5156" w:type="dxa"/>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3"/>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3"/>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4"/>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4"/>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hd w:val="clear"/>
              <w:snapToGrid w:val="0"/>
              <w:spacing w:line="240" w:lineRule="auto"/>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5"/>
              </w:num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hd w:val="clear"/>
              <w:snapToGrid w:val="0"/>
              <w:spacing w:line="240" w:lineRule="auto"/>
              <w:ind w:left="18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w:t>
            </w:r>
          </w:p>
        </w:tc>
        <w:tc>
          <w:tcPr>
            <w:tcW w:w="5156"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19"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40"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484" w:type="dxa"/>
            <w:noWrap w:val="0"/>
            <w:vAlign w:val="center"/>
          </w:tcPr>
          <w:p>
            <w:pPr>
              <w:shd w:val="clear"/>
              <w:snapToGrid w:val="0"/>
              <w:spacing w:line="24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bl>
    <w:p>
      <w:pPr>
        <w:shd w:val="clea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b w:val="0"/>
          <w:bCs/>
          <w:color w:val="000000" w:themeColor="text1"/>
          <w:sz w:val="24"/>
          <w:szCs w:val="24"/>
          <w:highlight w:val="none"/>
          <w:u w:val="singl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 xml:space="preserve"> 日</w:t>
      </w:r>
    </w:p>
    <w:p>
      <w:pPr>
        <w:pStyle w:val="6"/>
        <w:shd w:val="clear"/>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shd w:val="clea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8"/>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8"/>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shd w:val="clea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项目预算价</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shd w:val="clea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30天</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shd w:val="clear"/>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4"/>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shd w:val="clear"/>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shd w:val="clea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8"/>
              <w:keepNext w:val="0"/>
              <w:shd w:val="clear"/>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shd w:val="clea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shd w:val="clea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shd w:val="clea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shd w:val="clea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shd w:val="clea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4" w:name="_Hlt10456523"/>
      <w:bookmarkEnd w:id="24"/>
      <w:bookmarkStart w:id="25"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5"/>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XJXJ2021-12-JCSCG01</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pacing w:line="48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w:t>
      </w:r>
      <w:r>
        <w:rPr>
          <w:rFonts w:hint="eastAsia" w:ascii="仿宋" w:hAnsi="仿宋" w:eastAsia="仿宋" w:cs="仿宋"/>
          <w:color w:val="000000" w:themeColor="text1"/>
          <w:sz w:val="24"/>
          <w:szCs w:val="24"/>
          <w:highlight w:val="none"/>
          <w:lang w:eastAsia="zh-CN"/>
          <w14:textFill>
            <w14:solidFill>
              <w14:schemeClr w14:val="tx1"/>
            </w14:solidFill>
          </w14:textFill>
        </w:rPr>
        <w:t>采购编号：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6" w:name="_Hlt10520073"/>
      <w:bookmarkEnd w:id="26"/>
      <w:bookmarkStart w:id="27" w:name="_Hlt10520032"/>
      <w:bookmarkEnd w:id="27"/>
      <w:bookmarkStart w:id="28" w:name="_Toc42951058"/>
      <w:r>
        <w:rPr>
          <w:rFonts w:hint="eastAsia" w:ascii="仿宋" w:hAnsi="仿宋" w:eastAsia="仿宋" w:cs="仿宋"/>
          <w:color w:val="000000" w:themeColor="text1"/>
          <w:sz w:val="24"/>
          <w:szCs w:val="24"/>
          <w:highlight w:val="none"/>
          <w14:textFill>
            <w14:solidFill>
              <w14:schemeClr w14:val="tx1"/>
            </w14:solidFill>
          </w14:textFill>
        </w:rPr>
        <w:t>7．其它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格式</w:t>
      </w:r>
      <w:bookmarkEnd w:id="28"/>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hd w:val="clea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7.6  供应商认为有必要提供的其它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hd w:val="clea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hd w:val="clea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shd w:val="clea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shd w:val="clea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shd w:val="clea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hd w:val="clea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3"/>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shd w:val="clea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hd w:val="clea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hd w:val="clea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单位举证成立，其报价资格将被取消。</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hd w:val="clea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hd w:val="clea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hd w:val="clea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w:t>
      </w:r>
      <w:r>
        <w:rPr>
          <w:rFonts w:hint="eastAsia" w:ascii="仿宋" w:hAnsi="仿宋" w:eastAsia="仿宋" w:cs="仿宋"/>
          <w:b/>
          <w:color w:val="000000" w:themeColor="text1"/>
          <w:sz w:val="24"/>
          <w:szCs w:val="24"/>
          <w:highlight w:val="none"/>
          <w:lang w:eastAsia="zh-CN"/>
          <w14:textFill>
            <w14:solidFill>
              <w14:schemeClr w14:val="tx1"/>
            </w14:solidFill>
          </w14:textFill>
        </w:rPr>
        <w:t>其他</w:t>
      </w:r>
      <w:r>
        <w:rPr>
          <w:rFonts w:hint="eastAsia" w:ascii="仿宋" w:hAnsi="仿宋" w:eastAsia="仿宋" w:cs="仿宋"/>
          <w:b/>
          <w:color w:val="000000" w:themeColor="text1"/>
          <w:sz w:val="24"/>
          <w:szCs w:val="24"/>
          <w:highlight w:val="none"/>
          <w14:textFill>
            <w14:solidFill>
              <w14:schemeClr w14:val="tx1"/>
            </w14:solidFill>
          </w14:textFill>
        </w:rPr>
        <w:t>资料。</w:t>
      </w:r>
    </w:p>
    <w:p>
      <w:pPr>
        <w:shd w:val="clea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资料。</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29" w:name="_Hlt10462379"/>
      <w:bookmarkEnd w:id="29"/>
    </w:p>
    <w:p>
      <w:pPr>
        <w:shd w:val="clea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hd w:val="clea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hd w:val="clea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hd w:val="clea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shd w:val="clea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shd w:val="clea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hd w:val="clea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hd w:val="clea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shd w:val="clea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shd w:val="clea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pgNumType w:fmt="decimal"/>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30"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30"/>
    </w:p>
    <w:p>
      <w:pPr>
        <w:shd w:val="clea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hd w:val="clea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hd w:val="clea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hd w:val="clea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hd w:val="clea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hd w:val="clea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1" w:name="_Hlt10567911"/>
      <w:bookmarkEnd w:id="31"/>
    </w:p>
    <w:p>
      <w:pPr>
        <w:pStyle w:val="17"/>
        <w:shd w:val="clear"/>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2" w:name="_Hlt10523642"/>
      <w:bookmarkEnd w:id="32"/>
    </w:p>
    <w:p>
      <w:pPr>
        <w:pStyle w:val="17"/>
        <w:shd w:val="clear"/>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7"/>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7"/>
        <w:shd w:val="clear"/>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eastAsia="zh-CN"/>
          <w14:textFill>
            <w14:solidFill>
              <w14:schemeClr w14:val="tx1"/>
            </w14:solidFill>
          </w14:textFill>
        </w:rPr>
        <w:t>新疆晓君招标有限公司</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洛浦县不动产登记三网迁移改造采购项目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FF"/>
          <w:sz w:val="24"/>
          <w:szCs w:val="24"/>
          <w:highlight w:val="none"/>
        </w:rPr>
        <w:t xml:space="preserve"> </w:t>
      </w:r>
      <w:r>
        <w:rPr>
          <w:rFonts w:hint="eastAsia" w:ascii="仿宋" w:hAnsi="仿宋" w:eastAsia="仿宋" w:cs="仿宋"/>
          <w:color w:val="000000" w:themeColor="text1"/>
          <w:sz w:val="24"/>
          <w:szCs w:val="24"/>
          <w:highlight w:val="none"/>
          <w14:textFill>
            <w14:solidFill>
              <w14:schemeClr w14:val="tx1"/>
            </w14:solidFill>
          </w14:textFill>
        </w:rPr>
        <w:t>]，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7"/>
        <w:shd w:val="clear"/>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hd w:val="clea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7"/>
        <w:shd w:val="clear"/>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3" w:name="_Hlt10524010"/>
      <w:bookmarkEnd w:id="33"/>
      <w:bookmarkStart w:id="34" w:name="_Hlt10462525"/>
      <w:bookmarkEnd w:id="34"/>
      <w:bookmarkStart w:id="35" w:name="_Hlt10524018"/>
      <w:bookmarkEnd w:id="35"/>
      <w:bookmarkStart w:id="36" w:name="_Hlt10524029"/>
      <w:bookmarkEnd w:id="36"/>
      <w:bookmarkStart w:id="37" w:name="_Hlt10529670"/>
      <w:bookmarkEnd w:id="37"/>
    </w:p>
    <w:p>
      <w:pPr>
        <w:shd w:val="clea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hd w:val="clea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1"/>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Bdr>
                              <w:top w:val="single" w:color="auto" w:sz="4" w:space="1"/>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1"/>
                      <w:pBdr>
                        <w:top w:val="single" w:color="auto" w:sz="4" w:space="1"/>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-12065</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1"/>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wps:txbx>
                    <wps:bodyPr lIns="0" tIns="0" rIns="0" bIns="0"/>
                  </wps:wsp>
                </a:graphicData>
              </a:graphic>
            </wp:anchor>
          </w:drawing>
        </mc:Choice>
        <mc:Fallback>
          <w:pict>
            <v:shape id="_x0000_s1026" o:spid="_x0000_s1026" o:spt="202" type="#_x0000_t202" style="position:absolute;left:0pt;margin-left:1pt;margin-top:-0.95pt;height:15.8pt;width:523.85pt;mso-position-horizontal-relative:margin;z-index:251660288;mso-width-relative:page;mso-height-relative:page;" filled="f" stroked="f" coordsize="21600,21600" o:gfxdata="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iCyfXAAAACAEAAA8AAAAAAAAAAQAgAAAAIgAAAGRycy9kb3ducmV2LnhtbFBL&#10;AQIUABQAAAAIAIdO4kD1NbJsvgEAAHIDAAAOAAAAAAAAAAEAIAAAACYBAABkcnMvZTJvRG9jLnht&#10;bFBLBQYAAAAABgAGAFkBAABWBQAAAAA=&#10;">
              <v:fill on="f" focussize="0,0"/>
              <v:stroke on="f" weight="1.25pt"/>
              <v:imagedata o:title=""/>
              <o:lock v:ext="edit" aspectratio="f"/>
              <v:textbox inset="0mm,0mm,0mm,0mm">
                <w:txbxContent>
                  <w:p>
                    <w:pPr>
                      <w:pStyle w:val="21"/>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5-</w:t>
                    </w:r>
                    <w:r>
                      <w:rPr>
                        <w:rFonts w:hint="eastAsia"/>
                      </w:rPr>
                      <w:t xml:space="preserve">           5-</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1"/>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028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028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洛浦县不动产登记三网迁移改造采购项目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ascii="宋体" w:eastAsia="宋体"/>
        <w:lang w:eastAsia="zh-CN"/>
      </w:rPr>
    </w:pPr>
    <w:r>
      <w:rPr>
        <w:rFonts w:hint="eastAsia"/>
        <w:lang w:eastAsia="zh-CN"/>
      </w:rPr>
      <w:t>洛浦县不动产登记三网迁移改造采购项目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szCs w:val="21"/>
        <w:u w:val="single"/>
      </w:rPr>
    </w:pPr>
    <w:r>
      <w:rPr>
        <w:rFonts w:hint="eastAsia"/>
        <w:lang w:eastAsia="zh-CN"/>
      </w:rPr>
      <w:t>洛浦县不动产登记三网迁移改造采购项目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rPr>
    </w:pPr>
    <w:r>
      <w:rPr>
        <w:rFonts w:hint="eastAsia"/>
        <w:lang w:eastAsia="zh-CN"/>
      </w:rPr>
      <w:t>洛浦县不动产登记三网迁移改造采购项目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lang w:eastAsia="zh-CN"/>
      </w:rPr>
    </w:pPr>
    <w:r>
      <w:rPr>
        <w:rFonts w:hint="eastAsia"/>
        <w:lang w:eastAsia="zh-CN"/>
      </w:rPr>
      <w:t>洛浦县不动产登记三网迁移改造采购项目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DDD7"/>
    <w:multiLevelType w:val="singleLevel"/>
    <w:tmpl w:val="8203DDD7"/>
    <w:lvl w:ilvl="0" w:tentative="0">
      <w:start w:val="2"/>
      <w:numFmt w:val="chineseCounting"/>
      <w:suff w:val="nothing"/>
      <w:lvlText w:val="（%1）"/>
      <w:lvlJc w:val="left"/>
      <w:rPr>
        <w:rFonts w:hint="eastAsia"/>
      </w:rPr>
    </w:lvl>
  </w:abstractNum>
  <w:abstractNum w:abstractNumId="1">
    <w:nsid w:val="9BB878F1"/>
    <w:multiLevelType w:val="singleLevel"/>
    <w:tmpl w:val="9BB878F1"/>
    <w:lvl w:ilvl="0" w:tentative="0">
      <w:start w:val="1"/>
      <w:numFmt w:val="decimal"/>
      <w:suff w:val="nothing"/>
      <w:lvlText w:val="%1、"/>
      <w:lvlJc w:val="left"/>
    </w:lvl>
  </w:abstractNum>
  <w:abstractNum w:abstractNumId="2">
    <w:nsid w:val="A355E5A7"/>
    <w:multiLevelType w:val="singleLevel"/>
    <w:tmpl w:val="A355E5A7"/>
    <w:lvl w:ilvl="0" w:tentative="0">
      <w:start w:val="1"/>
      <w:numFmt w:val="decimal"/>
      <w:suff w:val="nothing"/>
      <w:lvlText w:val="%1．"/>
      <w:lvlJc w:val="left"/>
      <w:pPr>
        <w:ind w:left="0" w:firstLine="400"/>
      </w:pPr>
      <w:rPr>
        <w:rFonts w:hint="default"/>
      </w:rPr>
    </w:lvl>
  </w:abstractNum>
  <w:abstractNum w:abstractNumId="3">
    <w:nsid w:val="B7FCFDCA"/>
    <w:multiLevelType w:val="singleLevel"/>
    <w:tmpl w:val="B7FCFDCA"/>
    <w:lvl w:ilvl="0" w:tentative="0">
      <w:start w:val="1"/>
      <w:numFmt w:val="decimal"/>
      <w:suff w:val="nothing"/>
      <w:lvlText w:val="%1．"/>
      <w:lvlJc w:val="left"/>
      <w:pPr>
        <w:ind w:left="0" w:firstLine="400"/>
      </w:pPr>
      <w:rPr>
        <w:rFonts w:hint="default"/>
      </w:rPr>
    </w:lvl>
  </w:abstractNum>
  <w:abstractNum w:abstractNumId="4">
    <w:nsid w:val="BF464EB1"/>
    <w:multiLevelType w:val="singleLevel"/>
    <w:tmpl w:val="BF464EB1"/>
    <w:lvl w:ilvl="0" w:tentative="0">
      <w:start w:val="1"/>
      <w:numFmt w:val="decimal"/>
      <w:lvlText w:val="%1."/>
      <w:lvlJc w:val="left"/>
      <w:pPr>
        <w:ind w:left="425" w:hanging="425"/>
      </w:pPr>
      <w:rPr>
        <w:rFonts w:hint="default"/>
      </w:rPr>
    </w:lvl>
  </w:abstractNum>
  <w:abstractNum w:abstractNumId="5">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7">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3F32BAE"/>
    <w:multiLevelType w:val="singleLevel"/>
    <w:tmpl w:val="23F32BAE"/>
    <w:lvl w:ilvl="0" w:tentative="0">
      <w:start w:val="1"/>
      <w:numFmt w:val="decimal"/>
      <w:suff w:val="nothing"/>
      <w:lvlText w:val="%1、"/>
      <w:lvlJc w:val="left"/>
    </w:lvl>
  </w:abstractNum>
  <w:abstractNum w:abstractNumId="11">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2">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373F8B37"/>
    <w:multiLevelType w:val="singleLevel"/>
    <w:tmpl w:val="373F8B37"/>
    <w:lvl w:ilvl="0" w:tentative="0">
      <w:start w:val="4"/>
      <w:numFmt w:val="decimal"/>
      <w:lvlText w:val="%1."/>
      <w:lvlJc w:val="left"/>
      <w:pPr>
        <w:tabs>
          <w:tab w:val="left" w:pos="312"/>
        </w:tabs>
      </w:pPr>
    </w:lvl>
  </w:abstractNum>
  <w:abstractNum w:abstractNumId="15">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6">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0AD9C3"/>
    <w:multiLevelType w:val="singleLevel"/>
    <w:tmpl w:val="590AD9C3"/>
    <w:lvl w:ilvl="0" w:tentative="0">
      <w:start w:val="1"/>
      <w:numFmt w:val="decimal"/>
      <w:suff w:val="space"/>
      <w:lvlText w:val="（%1）"/>
      <w:lvlJc w:val="left"/>
      <w:rPr>
        <w:rFonts w:cs="Times New Roman"/>
      </w:rPr>
    </w:lvl>
  </w:abstractNum>
  <w:abstractNum w:abstractNumId="21">
    <w:nsid w:val="59F4D7DF"/>
    <w:multiLevelType w:val="singleLevel"/>
    <w:tmpl w:val="59F4D7DF"/>
    <w:lvl w:ilvl="0" w:tentative="0">
      <w:start w:val="3"/>
      <w:numFmt w:val="decimal"/>
      <w:lvlText w:val="%1."/>
      <w:lvlJc w:val="left"/>
      <w:pPr>
        <w:tabs>
          <w:tab w:val="left" w:pos="312"/>
        </w:tabs>
      </w:pPr>
    </w:lvl>
  </w:abstractNum>
  <w:abstractNum w:abstractNumId="22">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3">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4">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5"/>
  </w:num>
  <w:num w:numId="2">
    <w:abstractNumId w:val="14"/>
  </w:num>
  <w:num w:numId="3">
    <w:abstractNumId w:val="6"/>
  </w:num>
  <w:num w:numId="4">
    <w:abstractNumId w:val="22"/>
  </w:num>
  <w:num w:numId="5">
    <w:abstractNumId w:val="11"/>
  </w:num>
  <w:num w:numId="6">
    <w:abstractNumId w:val="18"/>
  </w:num>
  <w:num w:numId="7">
    <w:abstractNumId w:val="24"/>
  </w:num>
  <w:num w:numId="8">
    <w:abstractNumId w:val="9"/>
  </w:num>
  <w:num w:numId="9">
    <w:abstractNumId w:val="8"/>
  </w:num>
  <w:num w:numId="10">
    <w:abstractNumId w:val="7"/>
  </w:num>
  <w:num w:numId="11">
    <w:abstractNumId w:val="20"/>
  </w:num>
  <w:num w:numId="12">
    <w:abstractNumId w:val="23"/>
  </w:num>
  <w:num w:numId="13">
    <w:abstractNumId w:val="17"/>
  </w:num>
  <w:num w:numId="14">
    <w:abstractNumId w:val="13"/>
  </w:num>
  <w:num w:numId="15">
    <w:abstractNumId w:val="1"/>
  </w:num>
  <w:num w:numId="16">
    <w:abstractNumId w:val="21"/>
  </w:num>
  <w:num w:numId="17">
    <w:abstractNumId w:val="2"/>
  </w:num>
  <w:num w:numId="18">
    <w:abstractNumId w:val="0"/>
  </w:num>
  <w:num w:numId="19">
    <w:abstractNumId w:val="10"/>
  </w:num>
  <w:num w:numId="20">
    <w:abstractNumId w:val="3"/>
  </w:num>
  <w:num w:numId="21">
    <w:abstractNumId w:val="4"/>
  </w:num>
  <w:num w:numId="22">
    <w:abstractNumId w:val="19"/>
  </w:num>
  <w:num w:numId="23">
    <w:abstractNumId w:val="16"/>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26E"/>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3DAB"/>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2BC40D3"/>
    <w:rsid w:val="031B422C"/>
    <w:rsid w:val="03507DBB"/>
    <w:rsid w:val="03627E67"/>
    <w:rsid w:val="036B6473"/>
    <w:rsid w:val="03866869"/>
    <w:rsid w:val="038C7BC5"/>
    <w:rsid w:val="03CD4D6B"/>
    <w:rsid w:val="0406569B"/>
    <w:rsid w:val="040B5ABD"/>
    <w:rsid w:val="0417338A"/>
    <w:rsid w:val="043645E4"/>
    <w:rsid w:val="046A6AB7"/>
    <w:rsid w:val="04E108E2"/>
    <w:rsid w:val="0555612F"/>
    <w:rsid w:val="05D909DD"/>
    <w:rsid w:val="05DF1D01"/>
    <w:rsid w:val="05FA2518"/>
    <w:rsid w:val="060E6A0E"/>
    <w:rsid w:val="06163EE9"/>
    <w:rsid w:val="06396B90"/>
    <w:rsid w:val="06822BF9"/>
    <w:rsid w:val="073143FB"/>
    <w:rsid w:val="0745269E"/>
    <w:rsid w:val="0747355B"/>
    <w:rsid w:val="07CC63DA"/>
    <w:rsid w:val="07E532BC"/>
    <w:rsid w:val="07E53700"/>
    <w:rsid w:val="083D3934"/>
    <w:rsid w:val="08471D7F"/>
    <w:rsid w:val="08662291"/>
    <w:rsid w:val="08912994"/>
    <w:rsid w:val="08A20FFF"/>
    <w:rsid w:val="08F279E2"/>
    <w:rsid w:val="09A844B1"/>
    <w:rsid w:val="09DE4B40"/>
    <w:rsid w:val="09F2600C"/>
    <w:rsid w:val="09F60CAF"/>
    <w:rsid w:val="09FA0D58"/>
    <w:rsid w:val="0AC54E9D"/>
    <w:rsid w:val="0AD54BDA"/>
    <w:rsid w:val="0AF97CE0"/>
    <w:rsid w:val="0AFB6CAC"/>
    <w:rsid w:val="0B044218"/>
    <w:rsid w:val="0B220ABB"/>
    <w:rsid w:val="0B6948F1"/>
    <w:rsid w:val="0B6A3D17"/>
    <w:rsid w:val="0B7C46F6"/>
    <w:rsid w:val="0BA43058"/>
    <w:rsid w:val="0BD05EDE"/>
    <w:rsid w:val="0C246F78"/>
    <w:rsid w:val="0C961836"/>
    <w:rsid w:val="0C994113"/>
    <w:rsid w:val="0CA127FA"/>
    <w:rsid w:val="0CE757DF"/>
    <w:rsid w:val="0D066457"/>
    <w:rsid w:val="0D5369AB"/>
    <w:rsid w:val="0D776FCF"/>
    <w:rsid w:val="0D92714F"/>
    <w:rsid w:val="0D9E7CD7"/>
    <w:rsid w:val="0DAB17C3"/>
    <w:rsid w:val="0DF824BF"/>
    <w:rsid w:val="0DFD4814"/>
    <w:rsid w:val="0E7B438C"/>
    <w:rsid w:val="0E7C5E6C"/>
    <w:rsid w:val="0E993A07"/>
    <w:rsid w:val="0EF54881"/>
    <w:rsid w:val="0EF608BC"/>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7E5679"/>
    <w:rsid w:val="14D9641F"/>
    <w:rsid w:val="14EC7BB3"/>
    <w:rsid w:val="157049F1"/>
    <w:rsid w:val="157C59CB"/>
    <w:rsid w:val="15A823E6"/>
    <w:rsid w:val="15B029A2"/>
    <w:rsid w:val="15F35187"/>
    <w:rsid w:val="161D6D8C"/>
    <w:rsid w:val="1621753B"/>
    <w:rsid w:val="16450C97"/>
    <w:rsid w:val="166B719E"/>
    <w:rsid w:val="16A11AC5"/>
    <w:rsid w:val="16A867FC"/>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2E4E0E"/>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ED6CB9"/>
    <w:rsid w:val="1CFC5C77"/>
    <w:rsid w:val="1D0E4A12"/>
    <w:rsid w:val="1D1C177C"/>
    <w:rsid w:val="1D2D47BA"/>
    <w:rsid w:val="1D3F5F58"/>
    <w:rsid w:val="1D4A24CC"/>
    <w:rsid w:val="1D4C41D3"/>
    <w:rsid w:val="1D6A39B8"/>
    <w:rsid w:val="1D7238A8"/>
    <w:rsid w:val="1D9A216A"/>
    <w:rsid w:val="1DF85109"/>
    <w:rsid w:val="1E2620BA"/>
    <w:rsid w:val="1E2665E5"/>
    <w:rsid w:val="1E28236D"/>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6306A6"/>
    <w:rsid w:val="21717828"/>
    <w:rsid w:val="217B5A17"/>
    <w:rsid w:val="21B40009"/>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713350"/>
    <w:rsid w:val="24D6667D"/>
    <w:rsid w:val="24E91E1B"/>
    <w:rsid w:val="24F4378B"/>
    <w:rsid w:val="2547624B"/>
    <w:rsid w:val="255701E0"/>
    <w:rsid w:val="25717D4B"/>
    <w:rsid w:val="259830AD"/>
    <w:rsid w:val="25A11AD2"/>
    <w:rsid w:val="25EB70F0"/>
    <w:rsid w:val="2641721F"/>
    <w:rsid w:val="26455201"/>
    <w:rsid w:val="26E744EE"/>
    <w:rsid w:val="27211512"/>
    <w:rsid w:val="27871C7F"/>
    <w:rsid w:val="278E4E0C"/>
    <w:rsid w:val="27DA6364"/>
    <w:rsid w:val="27FA2221"/>
    <w:rsid w:val="28323AAE"/>
    <w:rsid w:val="28454EB3"/>
    <w:rsid w:val="285751A8"/>
    <w:rsid w:val="286073F1"/>
    <w:rsid w:val="28964742"/>
    <w:rsid w:val="28FE6A4D"/>
    <w:rsid w:val="290B566C"/>
    <w:rsid w:val="29307DE5"/>
    <w:rsid w:val="293E7A54"/>
    <w:rsid w:val="29A42BF5"/>
    <w:rsid w:val="2A1A4034"/>
    <w:rsid w:val="2A1D6EA4"/>
    <w:rsid w:val="2A4C4081"/>
    <w:rsid w:val="2A552AC6"/>
    <w:rsid w:val="2A5C6039"/>
    <w:rsid w:val="2A6C311E"/>
    <w:rsid w:val="2AE36C8E"/>
    <w:rsid w:val="2B0321ED"/>
    <w:rsid w:val="2B0C57D5"/>
    <w:rsid w:val="2B26566E"/>
    <w:rsid w:val="2B487BF7"/>
    <w:rsid w:val="2B4D0A99"/>
    <w:rsid w:val="2B554BF8"/>
    <w:rsid w:val="2B70039F"/>
    <w:rsid w:val="2BB82262"/>
    <w:rsid w:val="2C2E5EF5"/>
    <w:rsid w:val="2C360390"/>
    <w:rsid w:val="2C4D5253"/>
    <w:rsid w:val="2C6F63F4"/>
    <w:rsid w:val="2CAF5284"/>
    <w:rsid w:val="2CB947D7"/>
    <w:rsid w:val="2CDA4BE2"/>
    <w:rsid w:val="2CF57F33"/>
    <w:rsid w:val="2D3A4BC3"/>
    <w:rsid w:val="2D421FD1"/>
    <w:rsid w:val="2D9144DC"/>
    <w:rsid w:val="2DA7128F"/>
    <w:rsid w:val="2DB27902"/>
    <w:rsid w:val="2DD62AC0"/>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F41158"/>
    <w:rsid w:val="332C5642"/>
    <w:rsid w:val="336B2834"/>
    <w:rsid w:val="33CF7591"/>
    <w:rsid w:val="33DC61E7"/>
    <w:rsid w:val="33EF7B65"/>
    <w:rsid w:val="33F97929"/>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5FF4FB4"/>
    <w:rsid w:val="36347553"/>
    <w:rsid w:val="36635D79"/>
    <w:rsid w:val="36B77DF8"/>
    <w:rsid w:val="36C04AEC"/>
    <w:rsid w:val="36D80657"/>
    <w:rsid w:val="36EC0F9C"/>
    <w:rsid w:val="371B0B34"/>
    <w:rsid w:val="37347C88"/>
    <w:rsid w:val="37B171CC"/>
    <w:rsid w:val="37E76C86"/>
    <w:rsid w:val="38314E4C"/>
    <w:rsid w:val="385F5514"/>
    <w:rsid w:val="38C34F4E"/>
    <w:rsid w:val="390F4178"/>
    <w:rsid w:val="396430B4"/>
    <w:rsid w:val="397825BC"/>
    <w:rsid w:val="39833969"/>
    <w:rsid w:val="39AF72A0"/>
    <w:rsid w:val="39CB0F9C"/>
    <w:rsid w:val="3A3A15C3"/>
    <w:rsid w:val="3A3C41C3"/>
    <w:rsid w:val="3A434A79"/>
    <w:rsid w:val="3A9A3131"/>
    <w:rsid w:val="3A9D1165"/>
    <w:rsid w:val="3AA13714"/>
    <w:rsid w:val="3ABE77F6"/>
    <w:rsid w:val="3AF76FA1"/>
    <w:rsid w:val="3B3558F2"/>
    <w:rsid w:val="3B37380A"/>
    <w:rsid w:val="3B47009A"/>
    <w:rsid w:val="3B9930A8"/>
    <w:rsid w:val="3BE9242F"/>
    <w:rsid w:val="3C227B20"/>
    <w:rsid w:val="3C235935"/>
    <w:rsid w:val="3C695F34"/>
    <w:rsid w:val="3C71049E"/>
    <w:rsid w:val="3CF373C4"/>
    <w:rsid w:val="3D530168"/>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3F0566"/>
    <w:rsid w:val="40682E0F"/>
    <w:rsid w:val="408625FD"/>
    <w:rsid w:val="40E647E3"/>
    <w:rsid w:val="40ED5CD0"/>
    <w:rsid w:val="41193E41"/>
    <w:rsid w:val="41515858"/>
    <w:rsid w:val="41597CC1"/>
    <w:rsid w:val="41672A63"/>
    <w:rsid w:val="41784B4A"/>
    <w:rsid w:val="418B74D9"/>
    <w:rsid w:val="41910187"/>
    <w:rsid w:val="41A01818"/>
    <w:rsid w:val="41A664D0"/>
    <w:rsid w:val="41AE5745"/>
    <w:rsid w:val="41B13BD3"/>
    <w:rsid w:val="41C84549"/>
    <w:rsid w:val="41E22717"/>
    <w:rsid w:val="41EF728F"/>
    <w:rsid w:val="42162FFF"/>
    <w:rsid w:val="42355579"/>
    <w:rsid w:val="423822F6"/>
    <w:rsid w:val="42522927"/>
    <w:rsid w:val="425D6528"/>
    <w:rsid w:val="42671377"/>
    <w:rsid w:val="42923B57"/>
    <w:rsid w:val="430B6E49"/>
    <w:rsid w:val="4319029E"/>
    <w:rsid w:val="43D749F0"/>
    <w:rsid w:val="44091A2D"/>
    <w:rsid w:val="443319F0"/>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8A03618"/>
    <w:rsid w:val="491D55D9"/>
    <w:rsid w:val="492B467D"/>
    <w:rsid w:val="49466EFD"/>
    <w:rsid w:val="4A33138B"/>
    <w:rsid w:val="4AB76A28"/>
    <w:rsid w:val="4AC9763E"/>
    <w:rsid w:val="4AE056AB"/>
    <w:rsid w:val="4AE07264"/>
    <w:rsid w:val="4AEC5F2A"/>
    <w:rsid w:val="4B342EE1"/>
    <w:rsid w:val="4B384CC0"/>
    <w:rsid w:val="4B4E38C2"/>
    <w:rsid w:val="4B632A78"/>
    <w:rsid w:val="4B944A87"/>
    <w:rsid w:val="4BCF26BF"/>
    <w:rsid w:val="4BEA68D7"/>
    <w:rsid w:val="4C0B6E0C"/>
    <w:rsid w:val="4C1D38D4"/>
    <w:rsid w:val="4C4869E1"/>
    <w:rsid w:val="4C9F2990"/>
    <w:rsid w:val="4D0F4EEF"/>
    <w:rsid w:val="4E1857AC"/>
    <w:rsid w:val="4E26261F"/>
    <w:rsid w:val="4E3A533C"/>
    <w:rsid w:val="4E403C3C"/>
    <w:rsid w:val="4E735E2F"/>
    <w:rsid w:val="4E8617ED"/>
    <w:rsid w:val="4E901F73"/>
    <w:rsid w:val="4EBB20BD"/>
    <w:rsid w:val="4F410CB6"/>
    <w:rsid w:val="4F5A2C1F"/>
    <w:rsid w:val="4F8A5107"/>
    <w:rsid w:val="4FB46852"/>
    <w:rsid w:val="501B2419"/>
    <w:rsid w:val="50B85CA8"/>
    <w:rsid w:val="50D36AC6"/>
    <w:rsid w:val="51112461"/>
    <w:rsid w:val="513959C5"/>
    <w:rsid w:val="514364D8"/>
    <w:rsid w:val="514B137F"/>
    <w:rsid w:val="51791DFD"/>
    <w:rsid w:val="518D28FA"/>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49E4148"/>
    <w:rsid w:val="552044B5"/>
    <w:rsid w:val="554F676F"/>
    <w:rsid w:val="556E6742"/>
    <w:rsid w:val="55946BBA"/>
    <w:rsid w:val="55DA3CB9"/>
    <w:rsid w:val="562B044C"/>
    <w:rsid w:val="5659756E"/>
    <w:rsid w:val="56693581"/>
    <w:rsid w:val="56AA76E5"/>
    <w:rsid w:val="56B474E3"/>
    <w:rsid w:val="56C54260"/>
    <w:rsid w:val="56D04952"/>
    <w:rsid w:val="56D76B9C"/>
    <w:rsid w:val="5734537F"/>
    <w:rsid w:val="573E7DBA"/>
    <w:rsid w:val="582D3016"/>
    <w:rsid w:val="58336E0C"/>
    <w:rsid w:val="584F4DEB"/>
    <w:rsid w:val="5862510F"/>
    <w:rsid w:val="58BD2CEA"/>
    <w:rsid w:val="593D0FF7"/>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E71FF0"/>
    <w:rsid w:val="5E0C48E6"/>
    <w:rsid w:val="5E344CEC"/>
    <w:rsid w:val="5E373A11"/>
    <w:rsid w:val="5E377FA2"/>
    <w:rsid w:val="5E3E24B7"/>
    <w:rsid w:val="5E536809"/>
    <w:rsid w:val="5E6926D0"/>
    <w:rsid w:val="5E7E290E"/>
    <w:rsid w:val="5E8E3B20"/>
    <w:rsid w:val="5ED11038"/>
    <w:rsid w:val="5EF0067D"/>
    <w:rsid w:val="5F2A2D28"/>
    <w:rsid w:val="5F2E6734"/>
    <w:rsid w:val="5F5D73F2"/>
    <w:rsid w:val="5F7B0AA0"/>
    <w:rsid w:val="5FB332D0"/>
    <w:rsid w:val="601B3CC5"/>
    <w:rsid w:val="603E738E"/>
    <w:rsid w:val="60484B23"/>
    <w:rsid w:val="60532E8A"/>
    <w:rsid w:val="60891CC0"/>
    <w:rsid w:val="608D2023"/>
    <w:rsid w:val="60A4005B"/>
    <w:rsid w:val="60A46CB8"/>
    <w:rsid w:val="60BA419C"/>
    <w:rsid w:val="60DF4A4D"/>
    <w:rsid w:val="61294C1F"/>
    <w:rsid w:val="612E2EC1"/>
    <w:rsid w:val="61402FE4"/>
    <w:rsid w:val="615E0D34"/>
    <w:rsid w:val="616621EC"/>
    <w:rsid w:val="616F4AAB"/>
    <w:rsid w:val="617C3486"/>
    <w:rsid w:val="61B451D9"/>
    <w:rsid w:val="61CA225A"/>
    <w:rsid w:val="61CE1F9A"/>
    <w:rsid w:val="62003B08"/>
    <w:rsid w:val="62417376"/>
    <w:rsid w:val="626D24E0"/>
    <w:rsid w:val="627945C1"/>
    <w:rsid w:val="62814117"/>
    <w:rsid w:val="62861D7E"/>
    <w:rsid w:val="62C07D52"/>
    <w:rsid w:val="62DE64EC"/>
    <w:rsid w:val="62F472F7"/>
    <w:rsid w:val="63117E90"/>
    <w:rsid w:val="63600ACF"/>
    <w:rsid w:val="64331100"/>
    <w:rsid w:val="649C7249"/>
    <w:rsid w:val="64AC197F"/>
    <w:rsid w:val="64AE70AB"/>
    <w:rsid w:val="64D40A87"/>
    <w:rsid w:val="64DC248E"/>
    <w:rsid w:val="65285B05"/>
    <w:rsid w:val="65A04BD9"/>
    <w:rsid w:val="65D00A65"/>
    <w:rsid w:val="65E818FA"/>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875617"/>
    <w:rsid w:val="6CF13463"/>
    <w:rsid w:val="6D1A4453"/>
    <w:rsid w:val="6D614100"/>
    <w:rsid w:val="6D7E4343"/>
    <w:rsid w:val="6E2305F9"/>
    <w:rsid w:val="6E7708AC"/>
    <w:rsid w:val="6E8922D0"/>
    <w:rsid w:val="6E945C90"/>
    <w:rsid w:val="6EA51E92"/>
    <w:rsid w:val="6EF5598B"/>
    <w:rsid w:val="6F071B08"/>
    <w:rsid w:val="6F1919BF"/>
    <w:rsid w:val="6F4C28E7"/>
    <w:rsid w:val="6FA608C4"/>
    <w:rsid w:val="6FF4257E"/>
    <w:rsid w:val="704F39D4"/>
    <w:rsid w:val="704F4B0A"/>
    <w:rsid w:val="70DC36D7"/>
    <w:rsid w:val="712D6399"/>
    <w:rsid w:val="714D24FB"/>
    <w:rsid w:val="71876F14"/>
    <w:rsid w:val="71A67BCE"/>
    <w:rsid w:val="71C73E10"/>
    <w:rsid w:val="71CA593D"/>
    <w:rsid w:val="71F2685D"/>
    <w:rsid w:val="71F77214"/>
    <w:rsid w:val="71FB1ECF"/>
    <w:rsid w:val="727B3332"/>
    <w:rsid w:val="72D10D3A"/>
    <w:rsid w:val="72D57C4A"/>
    <w:rsid w:val="73076B04"/>
    <w:rsid w:val="732038EF"/>
    <w:rsid w:val="73242065"/>
    <w:rsid w:val="733964B6"/>
    <w:rsid w:val="733D225B"/>
    <w:rsid w:val="737347B1"/>
    <w:rsid w:val="73CB4D0A"/>
    <w:rsid w:val="73E26124"/>
    <w:rsid w:val="73FC1837"/>
    <w:rsid w:val="740206F2"/>
    <w:rsid w:val="74034146"/>
    <w:rsid w:val="740B2075"/>
    <w:rsid w:val="741A683D"/>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AC06448"/>
    <w:rsid w:val="7B0B5FA9"/>
    <w:rsid w:val="7B304844"/>
    <w:rsid w:val="7B6F42DB"/>
    <w:rsid w:val="7B761B39"/>
    <w:rsid w:val="7BA8671F"/>
    <w:rsid w:val="7BD62DEB"/>
    <w:rsid w:val="7BD66D9F"/>
    <w:rsid w:val="7C012B17"/>
    <w:rsid w:val="7C363C80"/>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3E6131"/>
    <w:rsid w:val="7F696CC9"/>
    <w:rsid w:val="7FA3728D"/>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2"/>
    <w:qFormat/>
    <w:uiPriority w:val="99"/>
    <w:pPr>
      <w:widowControl w:val="0"/>
      <w:spacing w:line="360" w:lineRule="auto"/>
      <w:jc w:val="both"/>
      <w:outlineLvl w:val="2"/>
    </w:pPr>
    <w:rPr>
      <w:rFonts w:ascii="宋体"/>
    </w:rPr>
  </w:style>
  <w:style w:type="paragraph" w:styleId="6">
    <w:name w:val="heading 4"/>
    <w:basedOn w:val="1"/>
    <w:next w:val="1"/>
    <w:link w:val="46"/>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7"/>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5">
    <w:name w:val="Default Paragraph Font"/>
    <w:link w:val="36"/>
    <w:semiHidden/>
    <w:unhideWhenUsed/>
    <w:qFormat/>
    <w:uiPriority w:val="1"/>
    <w:rPr>
      <w:rFonts w:cs="Times New Roman"/>
      <w:sz w:val="24"/>
      <w:szCs w:val="24"/>
    </w:rPr>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1"/>
    <w:rPr>
      <w:rFonts w:ascii="宋体" w:hAnsi="宋体" w:cs="宋体"/>
      <w:szCs w:val="21"/>
      <w:lang w:val="zh-CN" w:bidi="zh-CN"/>
    </w:rPr>
  </w:style>
  <w:style w:type="paragraph" w:styleId="8">
    <w:name w:val="table of authorities"/>
    <w:basedOn w:val="1"/>
    <w:next w:val="1"/>
    <w:semiHidden/>
    <w:qFormat/>
    <w:locked/>
    <w:uiPriority w:val="0"/>
    <w:pPr>
      <w:ind w:left="420" w:leftChars="200"/>
    </w:pPr>
  </w:style>
  <w:style w:type="paragraph" w:styleId="9">
    <w:name w:val="Normal Indent"/>
    <w:basedOn w:val="1"/>
    <w:link w:val="60"/>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0"/>
    <w:qFormat/>
    <w:uiPriority w:val="99"/>
    <w:rPr>
      <w:rFonts w:ascii="宋体"/>
      <w:sz w:val="18"/>
      <w:szCs w:val="18"/>
    </w:rPr>
  </w:style>
  <w:style w:type="paragraph" w:styleId="12">
    <w:name w:val="annotation text"/>
    <w:basedOn w:val="1"/>
    <w:link w:val="48"/>
    <w:semiHidden/>
    <w:qFormat/>
    <w:uiPriority w:val="99"/>
  </w:style>
  <w:style w:type="paragraph" w:styleId="13">
    <w:name w:val="Body Text 3"/>
    <w:basedOn w:val="1"/>
    <w:link w:val="51"/>
    <w:qFormat/>
    <w:uiPriority w:val="99"/>
    <w:pPr>
      <w:spacing w:after="120"/>
    </w:pPr>
    <w:rPr>
      <w:sz w:val="16"/>
      <w:szCs w:val="16"/>
    </w:rPr>
  </w:style>
  <w:style w:type="paragraph" w:styleId="14">
    <w:name w:val="Body Text Indent"/>
    <w:basedOn w:val="1"/>
    <w:link w:val="52"/>
    <w:qFormat/>
    <w:uiPriority w:val="99"/>
    <w:pPr>
      <w:spacing w:after="120"/>
      <w:ind w:left="420" w:leftChars="200"/>
    </w:pPr>
  </w:style>
  <w:style w:type="paragraph" w:styleId="15">
    <w:name w:val="Block Text"/>
    <w:basedOn w:val="1"/>
    <w:qFormat/>
    <w:locked/>
    <w:uiPriority w:val="0"/>
    <w:pPr>
      <w:spacing w:before="156" w:beforeLines="50" w:after="156" w:afterLines="50"/>
      <w:ind w:left="426" w:right="-11" w:hanging="426" w:hangingChars="203"/>
    </w:pPr>
    <w:rPr>
      <w:rFonts w:eastAsia="楷体_GB2312"/>
    </w:rPr>
  </w:style>
  <w:style w:type="paragraph" w:styleId="16">
    <w:name w:val="toc 3"/>
    <w:basedOn w:val="1"/>
    <w:next w:val="1"/>
    <w:qFormat/>
    <w:uiPriority w:val="0"/>
    <w:pPr>
      <w:tabs>
        <w:tab w:val="right" w:leader="dot" w:pos="9170"/>
      </w:tabs>
      <w:ind w:left="360"/>
      <w:jc w:val="left"/>
    </w:pPr>
    <w:rPr>
      <w:rFonts w:eastAsia="宋体"/>
      <w:color w:val="000000"/>
      <w:sz w:val="20"/>
    </w:rPr>
  </w:style>
  <w:style w:type="paragraph" w:styleId="17">
    <w:name w:val="Plain Text"/>
    <w:basedOn w:val="1"/>
    <w:next w:val="1"/>
    <w:link w:val="62"/>
    <w:qFormat/>
    <w:uiPriority w:val="99"/>
    <w:pPr>
      <w:widowControl w:val="0"/>
      <w:jc w:val="both"/>
    </w:pPr>
    <w:rPr>
      <w:rFonts w:ascii="宋体" w:hAnsi="Courier New"/>
      <w:kern w:val="2"/>
    </w:rPr>
  </w:style>
  <w:style w:type="paragraph" w:styleId="18">
    <w:name w:val="Date"/>
    <w:basedOn w:val="1"/>
    <w:next w:val="1"/>
    <w:link w:val="54"/>
    <w:qFormat/>
    <w:uiPriority w:val="99"/>
    <w:pPr>
      <w:widowControl w:val="0"/>
      <w:jc w:val="both"/>
    </w:pPr>
    <w:rPr>
      <w:kern w:val="2"/>
    </w:rPr>
  </w:style>
  <w:style w:type="paragraph" w:styleId="19">
    <w:name w:val="Body Text Indent 2"/>
    <w:basedOn w:val="1"/>
    <w:link w:val="55"/>
    <w:qFormat/>
    <w:uiPriority w:val="99"/>
    <w:pPr>
      <w:spacing w:after="120" w:line="480" w:lineRule="auto"/>
      <w:ind w:left="420" w:leftChars="200"/>
    </w:pPr>
  </w:style>
  <w:style w:type="paragraph" w:styleId="20">
    <w:name w:val="Balloon Text"/>
    <w:basedOn w:val="1"/>
    <w:link w:val="56"/>
    <w:semiHidden/>
    <w:qFormat/>
    <w:uiPriority w:val="99"/>
    <w:rPr>
      <w:sz w:val="18"/>
      <w:szCs w:val="18"/>
    </w:rPr>
  </w:style>
  <w:style w:type="paragraph" w:styleId="21">
    <w:name w:val="footer"/>
    <w:basedOn w:val="1"/>
    <w:next w:val="1"/>
    <w:link w:val="57"/>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99"/>
    <w:pPr>
      <w:tabs>
        <w:tab w:val="left" w:pos="720"/>
      </w:tabs>
      <w:spacing w:line="480" w:lineRule="exact"/>
      <w:jc w:val="center"/>
    </w:pPr>
    <w:rPr>
      <w:rFonts w:ascii="宋体"/>
      <w:b/>
      <w:bCs/>
      <w:sz w:val="28"/>
      <w:szCs w:val="28"/>
    </w:rPr>
  </w:style>
  <w:style w:type="paragraph" w:styleId="24">
    <w:name w:val="index heading"/>
    <w:basedOn w:val="1"/>
    <w:next w:val="25"/>
    <w:qFormat/>
    <w:uiPriority w:val="99"/>
    <w:pPr>
      <w:widowControl w:val="0"/>
      <w:jc w:val="both"/>
    </w:pPr>
    <w:rPr>
      <w:kern w:val="2"/>
      <w:szCs w:val="24"/>
    </w:rPr>
  </w:style>
  <w:style w:type="paragraph" w:styleId="25">
    <w:name w:val="index 1"/>
    <w:basedOn w:val="1"/>
    <w:next w:val="1"/>
    <w:semiHidden/>
    <w:qFormat/>
    <w:uiPriority w:val="99"/>
  </w:style>
  <w:style w:type="paragraph" w:styleId="26">
    <w:name w:val="footnote text"/>
    <w:basedOn w:val="1"/>
    <w:qFormat/>
    <w:locked/>
    <w:uiPriority w:val="0"/>
    <w:pPr>
      <w:snapToGrid w:val="0"/>
      <w:jc w:val="left"/>
    </w:pPr>
    <w:rPr>
      <w:sz w:val="18"/>
    </w:rPr>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9"/>
    <w:semiHidden/>
    <w:qFormat/>
    <w:uiPriority w:val="99"/>
    <w:rPr>
      <w:b/>
      <w:bCs/>
    </w:rPr>
  </w:style>
  <w:style w:type="paragraph" w:styleId="31">
    <w:name w:val="Body Text First Indent"/>
    <w:basedOn w:val="2"/>
    <w:qFormat/>
    <w:locked/>
    <w:uiPriority w:val="0"/>
    <w:pPr>
      <w:widowControl/>
      <w:ind w:firstLine="420"/>
      <w:jc w:val="left"/>
    </w:pPr>
    <w:rPr>
      <w:kern w:val="0"/>
      <w:sz w:val="20"/>
    </w:rPr>
  </w:style>
  <w:style w:type="paragraph" w:styleId="32">
    <w:name w:val="Body Text First Indent 2"/>
    <w:basedOn w:val="14"/>
    <w:qFormat/>
    <w:locked/>
    <w:uiPriority w:val="0"/>
    <w:pPr>
      <w:ind w:left="200" w:firstLine="200" w:firstLineChars="200"/>
      <w:jc w:val="both"/>
    </w:pPr>
    <w:rPr>
      <w:kern w:val="2"/>
    </w:rPr>
  </w:style>
  <w:style w:type="table" w:styleId="34">
    <w:name w:val="Table Grid"/>
    <w:basedOn w:val="3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Char1"/>
    <w:basedOn w:val="11"/>
    <w:link w:val="35"/>
    <w:qFormat/>
    <w:uiPriority w:val="0"/>
    <w:pPr>
      <w:shd w:val="clear" w:color="auto" w:fill="000080"/>
    </w:pPr>
    <w:rPr>
      <w:rFonts w:cs="Times New Roman"/>
      <w:sz w:val="24"/>
      <w:szCs w:val="24"/>
    </w:rPr>
  </w:style>
  <w:style w:type="character" w:styleId="37">
    <w:name w:val="Strong"/>
    <w:basedOn w:val="35"/>
    <w:qFormat/>
    <w:uiPriority w:val="0"/>
    <w:rPr>
      <w:b/>
    </w:rPr>
  </w:style>
  <w:style w:type="character" w:styleId="38">
    <w:name w:val="page number"/>
    <w:basedOn w:val="35"/>
    <w:qFormat/>
    <w:uiPriority w:val="99"/>
    <w:rPr>
      <w:rFonts w:cs="Times New Roman"/>
    </w:rPr>
  </w:style>
  <w:style w:type="character" w:styleId="39">
    <w:name w:val="Emphasis"/>
    <w:basedOn w:val="35"/>
    <w:qFormat/>
    <w:uiPriority w:val="99"/>
    <w:rPr>
      <w:rFonts w:cs="Times New Roman"/>
      <w:color w:val="CC0000"/>
    </w:rPr>
  </w:style>
  <w:style w:type="character" w:styleId="40">
    <w:name w:val="Hyperlink"/>
    <w:basedOn w:val="35"/>
    <w:qFormat/>
    <w:uiPriority w:val="99"/>
    <w:rPr>
      <w:rFonts w:cs="Times New Roman"/>
      <w:color w:val="0000FF"/>
      <w:u w:val="single"/>
    </w:rPr>
  </w:style>
  <w:style w:type="character" w:styleId="41">
    <w:name w:val="annotation reference"/>
    <w:basedOn w:val="35"/>
    <w:semiHidden/>
    <w:qFormat/>
    <w:uiPriority w:val="99"/>
    <w:rPr>
      <w:rFonts w:cs="Times New Roman"/>
      <w:sz w:val="21"/>
    </w:rPr>
  </w:style>
  <w:style w:type="character" w:customStyle="1" w:styleId="42">
    <w:name w:val="标题 3 Char"/>
    <w:basedOn w:val="35"/>
    <w:link w:val="5"/>
    <w:qFormat/>
    <w:locked/>
    <w:uiPriority w:val="99"/>
    <w:rPr>
      <w:rFonts w:ascii="宋体" w:eastAsia="宋体" w:cs="Times New Roman"/>
      <w:sz w:val="21"/>
      <w:lang w:val="en-US" w:eastAsia="zh-CN"/>
    </w:rPr>
  </w:style>
  <w:style w:type="character" w:customStyle="1" w:styleId="43">
    <w:name w:val="标题 2 Char"/>
    <w:basedOn w:val="35"/>
    <w:link w:val="4"/>
    <w:qFormat/>
    <w:locked/>
    <w:uiPriority w:val="99"/>
    <w:rPr>
      <w:rFonts w:ascii="宋体" w:hAnsi="Arial" w:eastAsia="宋体" w:cs="Times New Roman"/>
      <w:b/>
      <w:sz w:val="32"/>
      <w:lang w:val="en-US" w:eastAsia="zh-CN"/>
    </w:rPr>
  </w:style>
  <w:style w:type="character" w:customStyle="1" w:styleId="44">
    <w:name w:val="标题 1 Char"/>
    <w:basedOn w:val="35"/>
    <w:link w:val="3"/>
    <w:qFormat/>
    <w:locked/>
    <w:uiPriority w:val="99"/>
    <w:rPr>
      <w:rFonts w:eastAsia="宋体" w:cs="Times New Roman"/>
      <w:b/>
      <w:kern w:val="44"/>
      <w:sz w:val="44"/>
      <w:lang w:val="en-US" w:eastAsia="zh-CN"/>
    </w:rPr>
  </w:style>
  <w:style w:type="paragraph" w:customStyle="1" w:styleId="45">
    <w:name w:val="Char Char Char"/>
    <w:basedOn w:val="1"/>
    <w:qFormat/>
    <w:uiPriority w:val="99"/>
    <w:pPr>
      <w:widowControl w:val="0"/>
      <w:jc w:val="both"/>
    </w:pPr>
    <w:rPr>
      <w:rFonts w:ascii="Tahoma" w:hAnsi="Tahoma"/>
      <w:kern w:val="2"/>
      <w:sz w:val="24"/>
    </w:rPr>
  </w:style>
  <w:style w:type="character" w:customStyle="1" w:styleId="46">
    <w:name w:val="标题 4 Char"/>
    <w:basedOn w:val="35"/>
    <w:link w:val="6"/>
    <w:semiHidden/>
    <w:qFormat/>
    <w:locked/>
    <w:uiPriority w:val="99"/>
    <w:rPr>
      <w:rFonts w:ascii="Cambria" w:hAnsi="Cambria" w:eastAsia="宋体" w:cs="Times New Roman"/>
      <w:b/>
      <w:bCs/>
      <w:kern w:val="0"/>
      <w:sz w:val="28"/>
      <w:szCs w:val="28"/>
    </w:rPr>
  </w:style>
  <w:style w:type="character" w:customStyle="1" w:styleId="47">
    <w:name w:val="标题 9 Char"/>
    <w:basedOn w:val="35"/>
    <w:link w:val="7"/>
    <w:semiHidden/>
    <w:qFormat/>
    <w:locked/>
    <w:uiPriority w:val="99"/>
    <w:rPr>
      <w:rFonts w:ascii="Cambria" w:hAnsi="Cambria" w:eastAsia="宋体" w:cs="Times New Roman"/>
      <w:kern w:val="0"/>
      <w:sz w:val="21"/>
      <w:szCs w:val="21"/>
    </w:rPr>
  </w:style>
  <w:style w:type="character" w:customStyle="1" w:styleId="48">
    <w:name w:val="批注文字 Char"/>
    <w:basedOn w:val="35"/>
    <w:link w:val="12"/>
    <w:semiHidden/>
    <w:qFormat/>
    <w:locked/>
    <w:uiPriority w:val="99"/>
    <w:rPr>
      <w:rFonts w:cs="Times New Roman"/>
      <w:kern w:val="0"/>
      <w:sz w:val="20"/>
      <w:szCs w:val="20"/>
    </w:rPr>
  </w:style>
  <w:style w:type="character" w:customStyle="1" w:styleId="49">
    <w:name w:val="批注主题 Char"/>
    <w:basedOn w:val="48"/>
    <w:link w:val="30"/>
    <w:semiHidden/>
    <w:qFormat/>
    <w:locked/>
    <w:uiPriority w:val="99"/>
    <w:rPr>
      <w:rFonts w:cs="Times New Roman"/>
      <w:b/>
      <w:bCs/>
      <w:kern w:val="0"/>
      <w:sz w:val="20"/>
      <w:szCs w:val="20"/>
    </w:rPr>
  </w:style>
  <w:style w:type="character" w:customStyle="1" w:styleId="50">
    <w:name w:val="文档结构图 Char"/>
    <w:basedOn w:val="35"/>
    <w:link w:val="11"/>
    <w:qFormat/>
    <w:locked/>
    <w:uiPriority w:val="99"/>
    <w:rPr>
      <w:rFonts w:ascii="宋体" w:cs="Times New Roman"/>
      <w:sz w:val="18"/>
    </w:rPr>
  </w:style>
  <w:style w:type="character" w:customStyle="1" w:styleId="51">
    <w:name w:val="正文文本 3 Char"/>
    <w:basedOn w:val="35"/>
    <w:link w:val="13"/>
    <w:qFormat/>
    <w:locked/>
    <w:uiPriority w:val="99"/>
    <w:rPr>
      <w:rFonts w:eastAsia="宋体" w:cs="Times New Roman"/>
      <w:sz w:val="16"/>
      <w:lang w:val="en-US" w:eastAsia="zh-CN"/>
    </w:rPr>
  </w:style>
  <w:style w:type="character" w:customStyle="1" w:styleId="52">
    <w:name w:val="正文文本缩进 Char"/>
    <w:basedOn w:val="35"/>
    <w:link w:val="14"/>
    <w:semiHidden/>
    <w:qFormat/>
    <w:locked/>
    <w:uiPriority w:val="99"/>
    <w:rPr>
      <w:rFonts w:cs="Times New Roman"/>
      <w:kern w:val="0"/>
      <w:sz w:val="20"/>
      <w:szCs w:val="20"/>
    </w:rPr>
  </w:style>
  <w:style w:type="character" w:customStyle="1" w:styleId="53">
    <w:name w:val="Plain Text Char"/>
    <w:basedOn w:val="35"/>
    <w:qFormat/>
    <w:locked/>
    <w:uiPriority w:val="99"/>
    <w:rPr>
      <w:rFonts w:ascii="宋体" w:hAnsi="Courier New" w:eastAsia="宋体" w:cs="Times New Roman"/>
      <w:kern w:val="0"/>
      <w:sz w:val="21"/>
    </w:rPr>
  </w:style>
  <w:style w:type="character" w:customStyle="1" w:styleId="54">
    <w:name w:val="日期 Char"/>
    <w:basedOn w:val="35"/>
    <w:link w:val="18"/>
    <w:semiHidden/>
    <w:qFormat/>
    <w:locked/>
    <w:uiPriority w:val="99"/>
    <w:rPr>
      <w:rFonts w:cs="Times New Roman"/>
      <w:kern w:val="0"/>
      <w:sz w:val="20"/>
      <w:szCs w:val="20"/>
    </w:rPr>
  </w:style>
  <w:style w:type="character" w:customStyle="1" w:styleId="55">
    <w:name w:val="正文文本缩进 2 Char"/>
    <w:basedOn w:val="35"/>
    <w:link w:val="19"/>
    <w:semiHidden/>
    <w:qFormat/>
    <w:locked/>
    <w:uiPriority w:val="99"/>
    <w:rPr>
      <w:rFonts w:cs="Times New Roman"/>
      <w:kern w:val="0"/>
      <w:sz w:val="20"/>
      <w:szCs w:val="20"/>
    </w:rPr>
  </w:style>
  <w:style w:type="character" w:customStyle="1" w:styleId="56">
    <w:name w:val="批注框文本 Char"/>
    <w:basedOn w:val="35"/>
    <w:link w:val="20"/>
    <w:semiHidden/>
    <w:qFormat/>
    <w:locked/>
    <w:uiPriority w:val="99"/>
    <w:rPr>
      <w:rFonts w:cs="Times New Roman"/>
      <w:kern w:val="0"/>
      <w:sz w:val="2"/>
    </w:rPr>
  </w:style>
  <w:style w:type="character" w:customStyle="1" w:styleId="57">
    <w:name w:val="页脚 Char"/>
    <w:basedOn w:val="35"/>
    <w:link w:val="21"/>
    <w:qFormat/>
    <w:locked/>
    <w:uiPriority w:val="99"/>
    <w:rPr>
      <w:rFonts w:eastAsia="宋体" w:cs="Times New Roman"/>
      <w:sz w:val="18"/>
      <w:lang w:val="en-US" w:eastAsia="zh-CN"/>
    </w:rPr>
  </w:style>
  <w:style w:type="character" w:customStyle="1" w:styleId="58">
    <w:name w:val="Header Char"/>
    <w:basedOn w:val="35"/>
    <w:qFormat/>
    <w:locked/>
    <w:uiPriority w:val="99"/>
    <w:rPr>
      <w:rFonts w:cs="Times New Roman"/>
      <w:sz w:val="18"/>
    </w:rPr>
  </w:style>
  <w:style w:type="character" w:customStyle="1" w:styleId="59">
    <w:name w:val="Normal Indent Char"/>
    <w:qFormat/>
    <w:locked/>
    <w:uiPriority w:val="99"/>
    <w:rPr>
      <w:rFonts w:ascii="Times New Roman" w:hAnsi="Times New Roman" w:eastAsia="宋体"/>
      <w:kern w:val="0"/>
      <w:sz w:val="20"/>
    </w:rPr>
  </w:style>
  <w:style w:type="character" w:customStyle="1" w:styleId="60">
    <w:name w:val="正文缩进 Char"/>
    <w:link w:val="9"/>
    <w:qFormat/>
    <w:locked/>
    <w:uiPriority w:val="99"/>
    <w:rPr>
      <w:rFonts w:ascii="宋体" w:eastAsia="宋体"/>
      <w:snapToGrid w:val="0"/>
      <w:color w:val="000000"/>
      <w:sz w:val="21"/>
      <w:lang w:val="en-US" w:eastAsia="zh-CN"/>
    </w:rPr>
  </w:style>
  <w:style w:type="character" w:customStyle="1" w:styleId="61">
    <w:name w:val="font01"/>
    <w:qFormat/>
    <w:uiPriority w:val="99"/>
    <w:rPr>
      <w:rFonts w:ascii="宋体" w:hAnsi="宋体" w:eastAsia="宋体"/>
      <w:color w:val="000000"/>
      <w:sz w:val="24"/>
      <w:u w:val="none"/>
    </w:rPr>
  </w:style>
  <w:style w:type="character" w:customStyle="1" w:styleId="62">
    <w:name w:val="纯文本 Char"/>
    <w:link w:val="17"/>
    <w:qFormat/>
    <w:locked/>
    <w:uiPriority w:val="99"/>
    <w:rPr>
      <w:rFonts w:ascii="宋体" w:hAnsi="Courier New" w:eastAsia="宋体"/>
      <w:kern w:val="2"/>
      <w:sz w:val="21"/>
      <w:lang w:val="en-US" w:eastAsia="zh-CN"/>
    </w:rPr>
  </w:style>
  <w:style w:type="character" w:customStyle="1" w:styleId="63">
    <w:name w:val="style81"/>
    <w:qFormat/>
    <w:uiPriority w:val="99"/>
    <w:rPr>
      <w:sz w:val="21"/>
    </w:rPr>
  </w:style>
  <w:style w:type="character" w:customStyle="1" w:styleId="64">
    <w:name w:val="页眉 Char"/>
    <w:link w:val="22"/>
    <w:qFormat/>
    <w:locked/>
    <w:uiPriority w:val="99"/>
    <w:rPr>
      <w:rFonts w:eastAsia="宋体"/>
      <w:sz w:val="18"/>
      <w:lang w:val="en-US" w:eastAsia="zh-CN"/>
    </w:rPr>
  </w:style>
  <w:style w:type="paragraph" w:customStyle="1" w:styleId="65">
    <w:name w:val="_Style 10"/>
    <w:basedOn w:val="1"/>
    <w:qFormat/>
    <w:uiPriority w:val="99"/>
    <w:pPr>
      <w:spacing w:after="160" w:line="240" w:lineRule="exact"/>
    </w:pPr>
    <w:rPr>
      <w:rFonts w:ascii="Verdana" w:hAnsi="Verdana"/>
      <w:lang w:eastAsia="en-US"/>
    </w:rPr>
  </w:style>
  <w:style w:type="paragraph" w:customStyle="1" w:styleId="66">
    <w:name w:val="0段落文字"/>
    <w:basedOn w:val="1"/>
    <w:qFormat/>
    <w:uiPriority w:val="99"/>
    <w:pPr>
      <w:spacing w:line="360" w:lineRule="auto"/>
      <w:ind w:firstLine="200" w:firstLineChars="200"/>
    </w:pPr>
    <w:rPr>
      <w:sz w:val="24"/>
      <w:szCs w:val="21"/>
    </w:rPr>
  </w:style>
  <w:style w:type="paragraph" w:customStyle="1" w:styleId="67">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8">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9">
    <w:name w:val="_正文段落"/>
    <w:basedOn w:val="1"/>
    <w:qFormat/>
    <w:uiPriority w:val="99"/>
    <w:pPr>
      <w:spacing w:line="360" w:lineRule="auto"/>
      <w:ind w:firstLine="480" w:firstLineChars="200"/>
    </w:pPr>
    <w:rPr>
      <w:rFonts w:ascii="宋体" w:hAnsi="宋体"/>
      <w:sz w:val="24"/>
    </w:rPr>
  </w:style>
  <w:style w:type="paragraph" w:customStyle="1" w:styleId="70">
    <w:name w:val="列出段落1"/>
    <w:basedOn w:val="1"/>
    <w:qFormat/>
    <w:uiPriority w:val="99"/>
    <w:pPr>
      <w:widowControl w:val="0"/>
      <w:ind w:firstLine="420" w:firstLineChars="200"/>
      <w:jc w:val="both"/>
    </w:pPr>
    <w:rPr>
      <w:rFonts w:ascii="Calibri" w:hAnsi="Calibri"/>
      <w:kern w:val="2"/>
      <w:szCs w:val="22"/>
    </w:rPr>
  </w:style>
  <w:style w:type="paragraph" w:customStyle="1" w:styleId="71">
    <w:name w:val="表格文字"/>
    <w:basedOn w:val="1"/>
    <w:qFormat/>
    <w:uiPriority w:val="99"/>
    <w:pPr>
      <w:widowControl w:val="0"/>
      <w:spacing w:before="25" w:after="25"/>
    </w:pPr>
    <w:rPr>
      <w:bCs/>
      <w:spacing w:val="10"/>
      <w:sz w:val="24"/>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5"/>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5"/>
    <w:qFormat/>
    <w:uiPriority w:val="0"/>
    <w:rPr>
      <w:rFonts w:hint="eastAsia" w:ascii="宋体" w:hAnsi="宋体" w:eastAsia="宋体" w:cs="宋体"/>
      <w:color w:val="FF0000"/>
      <w:sz w:val="20"/>
      <w:szCs w:val="20"/>
      <w:u w:val="none"/>
    </w:rPr>
  </w:style>
  <w:style w:type="character" w:customStyle="1" w:styleId="84">
    <w:name w:val="font11"/>
    <w:basedOn w:val="35"/>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5"/>
    <w:qFormat/>
    <w:uiPriority w:val="0"/>
    <w:rPr>
      <w:rFonts w:hint="default" w:ascii="Times New Roman" w:hAnsi="Times New Roman" w:cs="Times New Roman"/>
      <w:lang w:bidi="mn-Mong-CN"/>
    </w:rPr>
  </w:style>
  <w:style w:type="paragraph" w:customStyle="1" w:styleId="91">
    <w:name w:val="正文文本_1_0"/>
    <w:basedOn w:val="92"/>
    <w:unhideWhenUsed/>
    <w:qFormat/>
    <w:uiPriority w:val="0"/>
    <w:rPr>
      <w:rFonts w:ascii="Calibri" w:hAnsi="Calibri" w:eastAsia="黑体" w:cs="Times New Roman"/>
      <w:sz w:val="36"/>
    </w:rPr>
  </w:style>
  <w:style w:type="paragraph" w:customStyle="1" w:styleId="92">
    <w:name w:val="正文_2_0"/>
    <w:next w:val="93"/>
    <w:qFormat/>
    <w:uiPriority w:val="0"/>
    <w:pPr>
      <w:widowControl w:val="0"/>
      <w:jc w:val="both"/>
    </w:pPr>
    <w:rPr>
      <w:rFonts w:ascii="Calibri" w:hAnsi="Calibri" w:eastAsia="Calibri" w:cs="Times New Roman"/>
      <w:kern w:val="2"/>
      <w:sz w:val="21"/>
      <w:szCs w:val="22"/>
      <w:lang w:val="en-US" w:eastAsia="zh-CN" w:bidi="ar-SA"/>
    </w:rPr>
  </w:style>
  <w:style w:type="paragraph" w:customStyle="1" w:styleId="93">
    <w:name w:val="表格文字_1_0"/>
    <w:basedOn w:val="92"/>
    <w:qFormat/>
    <w:uiPriority w:val="0"/>
    <w:pPr>
      <w:adjustRightInd w:val="0"/>
      <w:spacing w:line="420" w:lineRule="atLeast"/>
      <w:jc w:val="left"/>
    </w:pPr>
    <w:rPr>
      <w:rFonts w:ascii="Calibri" w:hAnsi="Calibri" w:eastAsia="宋体" w:cs="Times New Roman"/>
      <w:kern w:val="0"/>
      <w:szCs w:val="20"/>
    </w:rPr>
  </w:style>
  <w:style w:type="paragraph" w:customStyle="1" w:styleId="94">
    <w:name w:val="项目1"/>
    <w:basedOn w:val="1"/>
    <w:qFormat/>
    <w:uiPriority w:val="99"/>
    <w:pPr>
      <w:adjustRightInd/>
      <w:spacing w:line="240" w:lineRule="auto"/>
      <w:textAlignment w:val="auto"/>
    </w:pPr>
    <w:rPr>
      <w:rFonts w:ascii="Calibri" w:hAnsi="Calibri" w:eastAsia="宋体" w:cs="Times New Roman"/>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6</TotalTime>
  <ScaleCrop>false</ScaleCrop>
  <LinksUpToDate>false</LinksUpToDate>
  <CharactersWithSpaces>32899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2021-09-01T05:43:00Z</cp:lastPrinted>
  <dcterms:modified xsi:type="dcterms:W3CDTF">2021-12-27T15:47:21Z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ECA7A7E6C7D14FAC895D40F1C177A967</vt:lpwstr>
  </property>
</Properties>
</file>