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widowControl/>
        <w:spacing w:line="375" w:lineRule="atLeast"/>
        <w:ind w:left="600"/>
        <w:jc w:val="center"/>
        <w:rPr>
          <w:rFonts w:hint="eastAsia" w:eastAsia="微软雅黑"/>
          <w:b/>
          <w:spacing w:val="-4"/>
          <w:sz w:val="72"/>
          <w:szCs w:val="72"/>
          <w:lang w:eastAsia="zh-CN"/>
        </w:rPr>
      </w:pPr>
      <w:r>
        <w:rPr>
          <w:rFonts w:hint="eastAsia"/>
          <w:b/>
          <w:spacing w:val="-4"/>
          <w:sz w:val="72"/>
          <w:szCs w:val="72"/>
          <w:lang w:eastAsia="zh-CN"/>
        </w:rPr>
        <w:t>乌鲁木齐市水磨沟区城市管理局（乌鲁木齐市水磨沟区城市管理行政执法局）12月防疫物资采购项目</w:t>
      </w:r>
    </w:p>
    <w:p>
      <w:pPr>
        <w:jc w:val="center"/>
        <w:rPr>
          <w:rFonts w:eastAsia="华文新魏"/>
          <w:spacing w:val="20"/>
          <w:sz w:val="72"/>
          <w:szCs w:val="72"/>
        </w:rPr>
      </w:pPr>
      <w:r>
        <w:rPr>
          <w:rFonts w:eastAsia="华文新魏"/>
          <w:spacing w:val="20"/>
          <w:sz w:val="72"/>
          <w:szCs w:val="72"/>
        </w:rPr>
        <w:t>竞争性</w:t>
      </w:r>
      <w:r>
        <w:rPr>
          <w:rFonts w:hint="eastAsia" w:eastAsia="华文新魏"/>
          <w:spacing w:val="20"/>
          <w:sz w:val="72"/>
          <w:szCs w:val="72"/>
        </w:rPr>
        <w:t>磋商</w:t>
      </w:r>
      <w:r>
        <w:rPr>
          <w:rFonts w:eastAsia="华文新魏"/>
          <w:spacing w:val="20"/>
          <w:sz w:val="72"/>
          <w:szCs w:val="72"/>
        </w:rPr>
        <w:t>文件</w:t>
      </w:r>
    </w:p>
    <w:p>
      <w:pPr>
        <w:rPr>
          <w:rFonts w:eastAsia="黑体"/>
          <w:sz w:val="144"/>
        </w:rPr>
      </w:pPr>
    </w:p>
    <w:p>
      <w:pPr>
        <w:pStyle w:val="14"/>
        <w:widowControl/>
        <w:spacing w:line="375" w:lineRule="atLeast"/>
        <w:ind w:left="367" w:leftChars="167" w:firstLine="595" w:firstLineChars="200"/>
        <w:jc w:val="left"/>
        <w:rPr>
          <w:rFonts w:hint="eastAsia" w:ascii="黑体" w:eastAsia="黑体"/>
          <w:b/>
          <w:bCs/>
          <w:spacing w:val="-12"/>
          <w:sz w:val="32"/>
          <w:szCs w:val="32"/>
          <w:lang w:eastAsia="zh-CN"/>
        </w:rPr>
      </w:pPr>
      <w:r>
        <w:rPr>
          <w:rFonts w:ascii="黑体" w:eastAsia="黑体"/>
          <w:b/>
          <w:bCs/>
          <w:spacing w:val="-12"/>
          <w:sz w:val="32"/>
          <w:szCs w:val="32"/>
        </w:rPr>
        <w:t>招    标    人：</w:t>
      </w:r>
      <w:r>
        <w:rPr>
          <w:rFonts w:hint="eastAsia" w:ascii="黑体" w:eastAsia="黑体"/>
          <w:b/>
          <w:bCs/>
          <w:spacing w:val="-12"/>
          <w:sz w:val="32"/>
          <w:szCs w:val="32"/>
          <w:lang w:eastAsia="zh-CN"/>
        </w:rPr>
        <w:t>乌鲁木齐市水磨沟区城市管理局（乌鲁木齐市水磨沟区城市管理行政执法局）</w:t>
      </w:r>
    </w:p>
    <w:p>
      <w:pPr>
        <w:pStyle w:val="14"/>
        <w:widowControl/>
        <w:spacing w:line="375" w:lineRule="atLeast"/>
        <w:ind w:left="367" w:leftChars="167" w:firstLine="595" w:firstLineChars="200"/>
        <w:jc w:val="left"/>
        <w:rPr>
          <w:rFonts w:ascii="黑体" w:eastAsia="黑体"/>
          <w:b/>
          <w:bCs/>
          <w:spacing w:val="-12"/>
          <w:sz w:val="32"/>
          <w:szCs w:val="32"/>
        </w:rPr>
      </w:pPr>
      <w:r>
        <w:rPr>
          <w:rFonts w:hint="eastAsia" w:ascii="黑体" w:eastAsia="黑体"/>
          <w:b/>
          <w:bCs/>
          <w:spacing w:val="-12"/>
          <w:sz w:val="32"/>
          <w:szCs w:val="32"/>
        </w:rPr>
        <w:t>招  标</w:t>
      </w:r>
      <w:r>
        <w:rPr>
          <w:rFonts w:ascii="黑体" w:eastAsia="黑体"/>
          <w:b/>
          <w:bCs/>
          <w:spacing w:val="-12"/>
          <w:sz w:val="32"/>
          <w:szCs w:val="32"/>
        </w:rPr>
        <w:t xml:space="preserve">  内  容：</w:t>
      </w:r>
      <w:r>
        <w:rPr>
          <w:rFonts w:hint="eastAsia" w:ascii="黑体" w:eastAsia="黑体"/>
          <w:b/>
          <w:bCs/>
          <w:spacing w:val="-12"/>
          <w:sz w:val="32"/>
          <w:szCs w:val="32"/>
          <w:lang w:eastAsia="zh-CN"/>
        </w:rPr>
        <w:t>乌鲁木齐市水磨沟区城市管理局（乌鲁木齐市水磨沟区城市管理行政执法局）12月防疫物资采购项目</w:t>
      </w:r>
      <w:r>
        <w:rPr>
          <w:rFonts w:hint="eastAsia" w:ascii="黑体" w:eastAsia="黑体"/>
          <w:b/>
          <w:bCs/>
          <w:spacing w:val="-12"/>
          <w:sz w:val="32"/>
          <w:szCs w:val="32"/>
        </w:rPr>
        <w:t>招标文件全部内容</w:t>
      </w:r>
    </w:p>
    <w:p>
      <w:pPr>
        <w:pStyle w:val="14"/>
        <w:widowControl/>
        <w:spacing w:line="375" w:lineRule="atLeast"/>
        <w:ind w:firstLine="892" w:firstLineChars="300"/>
        <w:jc w:val="left"/>
        <w:rPr>
          <w:rFonts w:ascii="黑体" w:eastAsia="黑体"/>
          <w:b/>
          <w:bCs/>
          <w:spacing w:val="-12"/>
          <w:sz w:val="32"/>
          <w:szCs w:val="32"/>
        </w:rPr>
      </w:pPr>
      <w:r>
        <w:rPr>
          <w:rFonts w:ascii="黑体" w:eastAsia="黑体"/>
          <w:b/>
          <w:bCs/>
          <w:spacing w:val="-12"/>
          <w:sz w:val="32"/>
          <w:szCs w:val="32"/>
        </w:rPr>
        <w:t>文  件  编  号：</w:t>
      </w:r>
      <w:r>
        <w:rPr>
          <w:rFonts w:hint="eastAsia" w:ascii="黑体" w:eastAsia="黑体"/>
          <w:b/>
          <w:bCs/>
          <w:spacing w:val="-12"/>
          <w:sz w:val="32"/>
          <w:szCs w:val="32"/>
          <w:lang w:eastAsia="zh-CN"/>
        </w:rPr>
        <w:t>XJFYZB2021-1202</w:t>
      </w:r>
    </w:p>
    <w:p>
      <w:pPr>
        <w:pStyle w:val="9"/>
        <w:ind w:right="-733"/>
        <w:rPr>
          <w:rFonts w:hint="default" w:ascii="Times New Roman" w:hAnsi="Times New Roman" w:eastAsia="黑体"/>
          <w:bCs/>
          <w:spacing w:val="-12"/>
          <w:sz w:val="32"/>
        </w:rPr>
      </w:pPr>
    </w:p>
    <w:p>
      <w:pPr>
        <w:pStyle w:val="9"/>
        <w:spacing w:line="360" w:lineRule="auto"/>
        <w:ind w:left="1680" w:right="-733"/>
        <w:rPr>
          <w:rFonts w:hint="default" w:hAnsi="宋体"/>
          <w:bCs/>
          <w:color w:val="000000"/>
          <w:spacing w:val="-12"/>
          <w:sz w:val="32"/>
          <w:szCs w:val="32"/>
        </w:rPr>
      </w:pPr>
      <w:r>
        <w:rPr>
          <w:rFonts w:hAnsi="宋体"/>
          <w:color w:val="000000"/>
          <w:spacing w:val="-12"/>
          <w:sz w:val="32"/>
        </w:rPr>
        <w:t>新疆丰源建设工程项目管理咨询有限公司</w:t>
      </w:r>
    </w:p>
    <w:p>
      <w:pPr>
        <w:pStyle w:val="9"/>
        <w:spacing w:line="360" w:lineRule="auto"/>
        <w:ind w:right="-733" w:firstLine="3680" w:firstLineChars="1150"/>
        <w:rPr>
          <w:rFonts w:hint="default" w:ascii="Times New Roman" w:hAnsi="Times New Roman" w:eastAsia="黑体"/>
          <w:sz w:val="32"/>
          <w:szCs w:val="32"/>
        </w:rPr>
      </w:pPr>
      <w:r>
        <w:rPr>
          <w:rFonts w:ascii="Times New Roman" w:hAnsi="Times New Roman" w:eastAsia="黑体"/>
          <w:sz w:val="32"/>
          <w:szCs w:val="32"/>
        </w:rPr>
        <w:t>2021年1</w:t>
      </w:r>
      <w:r>
        <w:rPr>
          <w:rFonts w:hint="eastAsia" w:ascii="Times New Roman" w:hAnsi="Times New Roman" w:eastAsia="黑体"/>
          <w:sz w:val="32"/>
          <w:szCs w:val="32"/>
          <w:lang w:val="en-US" w:eastAsia="zh-CN"/>
        </w:rPr>
        <w:t>2</w:t>
      </w:r>
      <w:r>
        <w:rPr>
          <w:rFonts w:ascii="Times New Roman" w:hAnsi="Times New Roman" w:eastAsia="黑体"/>
          <w:sz w:val="32"/>
          <w:szCs w:val="32"/>
        </w:rPr>
        <w:t>月</w:t>
      </w:r>
    </w:p>
    <w:p>
      <w:pPr>
        <w:pStyle w:val="2"/>
        <w:widowControl w:val="0"/>
        <w:numPr>
          <w:ilvl w:val="0"/>
          <w:numId w:val="0"/>
        </w:numPr>
        <w:adjustRightInd/>
        <w:snapToGrid/>
        <w:spacing w:after="0"/>
        <w:jc w:val="center"/>
      </w:pPr>
    </w:p>
    <w:p>
      <w:pPr>
        <w:widowControl w:val="0"/>
        <w:autoSpaceDE w:val="0"/>
        <w:autoSpaceDN w:val="0"/>
        <w:adjustRightInd/>
        <w:snapToGrid/>
        <w:spacing w:after="0" w:line="600" w:lineRule="exact"/>
        <w:jc w:val="center"/>
        <w:rPr>
          <w:rFonts w:ascii="宋体" w:hAnsi="Times New Roman" w:eastAsia="宋体" w:cs="Times New Roman"/>
          <w:sz w:val="24"/>
          <w:szCs w:val="18"/>
        </w:rPr>
      </w:pPr>
      <w:r>
        <w:rPr>
          <w:rFonts w:hint="eastAsia" w:ascii="宋体" w:hAnsi="Times New Roman" w:eastAsia="宋体" w:cs="Times New Roman"/>
          <w:sz w:val="24"/>
          <w:szCs w:val="18"/>
        </w:rPr>
        <w:t>投标人须知前附表</w:t>
      </w:r>
    </w:p>
    <w:tbl>
      <w:tblPr>
        <w:tblStyle w:val="15"/>
        <w:tblW w:w="991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3"/>
        <w:gridCol w:w="1875"/>
        <w:gridCol w:w="7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653" w:type="dxa"/>
          </w:tcPr>
          <w:p>
            <w:pPr>
              <w:autoSpaceDE w:val="0"/>
              <w:autoSpaceDN w:val="0"/>
              <w:spacing w:line="600" w:lineRule="exact"/>
              <w:jc w:val="center"/>
              <w:rPr>
                <w:rFonts w:ascii="宋体"/>
                <w:sz w:val="24"/>
                <w:szCs w:val="18"/>
              </w:rPr>
            </w:pPr>
            <w:r>
              <w:rPr>
                <w:rFonts w:hint="eastAsia" w:ascii="宋体"/>
                <w:sz w:val="24"/>
                <w:szCs w:val="18"/>
              </w:rPr>
              <w:t>序号</w:t>
            </w:r>
          </w:p>
        </w:tc>
        <w:tc>
          <w:tcPr>
            <w:tcW w:w="1875" w:type="dxa"/>
          </w:tcPr>
          <w:p>
            <w:pPr>
              <w:autoSpaceDE w:val="0"/>
              <w:autoSpaceDN w:val="0"/>
              <w:spacing w:line="600" w:lineRule="exact"/>
              <w:jc w:val="center"/>
              <w:rPr>
                <w:rFonts w:ascii="宋体"/>
                <w:sz w:val="24"/>
                <w:szCs w:val="18"/>
              </w:rPr>
            </w:pPr>
            <w:r>
              <w:rPr>
                <w:rFonts w:hint="eastAsia" w:ascii="宋体"/>
                <w:sz w:val="24"/>
                <w:szCs w:val="18"/>
              </w:rPr>
              <w:t>有关条款</w:t>
            </w:r>
          </w:p>
        </w:tc>
        <w:tc>
          <w:tcPr>
            <w:tcW w:w="7382" w:type="dxa"/>
          </w:tcPr>
          <w:p>
            <w:pPr>
              <w:autoSpaceDE w:val="0"/>
              <w:autoSpaceDN w:val="0"/>
              <w:spacing w:line="600" w:lineRule="exact"/>
              <w:jc w:val="center"/>
              <w:rPr>
                <w:rFonts w:ascii="宋体"/>
                <w:sz w:val="24"/>
                <w:szCs w:val="18"/>
              </w:rPr>
            </w:pPr>
            <w:r>
              <w:rPr>
                <w:rFonts w:hint="eastAsia" w:ascii="宋体"/>
                <w:sz w:val="24"/>
                <w:szCs w:val="18"/>
              </w:rPr>
              <w:t>内</w:t>
            </w:r>
            <w:r>
              <w:rPr>
                <w:rFonts w:ascii="宋体"/>
                <w:sz w:val="24"/>
                <w:szCs w:val="18"/>
              </w:rPr>
              <w:t xml:space="preserve">    </w:t>
            </w:r>
            <w:r>
              <w:rPr>
                <w:rFonts w:hint="eastAsia" w:ascii="宋体"/>
                <w:sz w:val="24"/>
                <w:szCs w:val="18"/>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9" w:hRule="atLeast"/>
        </w:trPr>
        <w:tc>
          <w:tcPr>
            <w:tcW w:w="653" w:type="dxa"/>
            <w:vMerge w:val="restart"/>
          </w:tcPr>
          <w:p>
            <w:pPr>
              <w:autoSpaceDE w:val="0"/>
              <w:autoSpaceDN w:val="0"/>
              <w:spacing w:line="600" w:lineRule="exact"/>
              <w:jc w:val="center"/>
              <w:rPr>
                <w:rFonts w:ascii="宋体"/>
                <w:sz w:val="24"/>
                <w:szCs w:val="18"/>
              </w:rPr>
            </w:pPr>
          </w:p>
          <w:p>
            <w:pPr>
              <w:autoSpaceDE w:val="0"/>
              <w:autoSpaceDN w:val="0"/>
              <w:spacing w:line="600" w:lineRule="exact"/>
              <w:ind w:firstLine="240" w:firstLineChars="100"/>
              <w:rPr>
                <w:rFonts w:ascii="宋体"/>
                <w:sz w:val="24"/>
                <w:szCs w:val="18"/>
              </w:rPr>
            </w:pPr>
            <w:r>
              <w:rPr>
                <w:rFonts w:ascii="宋体"/>
                <w:sz w:val="24"/>
                <w:szCs w:val="18"/>
              </w:rPr>
              <w:t>1</w:t>
            </w:r>
          </w:p>
        </w:tc>
        <w:tc>
          <w:tcPr>
            <w:tcW w:w="1875" w:type="dxa"/>
            <w:vMerge w:val="restart"/>
          </w:tcPr>
          <w:p>
            <w:pPr>
              <w:rPr>
                <w:rFonts w:ascii="宋体"/>
                <w:sz w:val="24"/>
                <w:szCs w:val="18"/>
              </w:rPr>
            </w:pPr>
          </w:p>
          <w:p>
            <w:pPr>
              <w:autoSpaceDE w:val="0"/>
              <w:autoSpaceDN w:val="0"/>
              <w:spacing w:line="600" w:lineRule="exact"/>
              <w:rPr>
                <w:rFonts w:ascii="宋体"/>
                <w:sz w:val="24"/>
                <w:szCs w:val="18"/>
              </w:rPr>
            </w:pPr>
          </w:p>
        </w:tc>
        <w:tc>
          <w:tcPr>
            <w:tcW w:w="7382" w:type="dxa"/>
            <w:vAlign w:val="center"/>
          </w:tcPr>
          <w:p>
            <w:pPr>
              <w:widowControl w:val="0"/>
              <w:adjustRightInd/>
              <w:snapToGrid/>
              <w:spacing w:after="0"/>
              <w:jc w:val="both"/>
              <w:rPr>
                <w:rFonts w:hint="eastAsia" w:ascii="宋体" w:hAnsi="Times New Roman" w:eastAsia="宋体" w:cs="Times New Roman"/>
                <w:sz w:val="24"/>
                <w:szCs w:val="18"/>
                <w:lang w:eastAsia="zh-CN"/>
              </w:rPr>
            </w:pPr>
            <w:r>
              <w:rPr>
                <w:rFonts w:hint="eastAsia" w:ascii="宋体" w:hAnsi="Times New Roman" w:eastAsia="宋体" w:cs="Times New Roman"/>
                <w:sz w:val="24"/>
                <w:szCs w:val="18"/>
              </w:rPr>
              <w:t>项目名称：</w:t>
            </w:r>
            <w:r>
              <w:rPr>
                <w:rFonts w:hint="eastAsia" w:ascii="宋体" w:hAnsi="Times New Roman" w:eastAsia="宋体" w:cs="Times New Roman"/>
                <w:sz w:val="24"/>
                <w:szCs w:val="18"/>
                <w:lang w:eastAsia="zh-CN"/>
              </w:rPr>
              <w:t>乌鲁木齐市水磨沟区城市管理局（乌鲁木齐市水磨沟区城市管理行政执法局）12月防疫物资采购项目</w:t>
            </w:r>
          </w:p>
          <w:p>
            <w:pPr>
              <w:widowControl w:val="0"/>
              <w:adjustRightInd/>
              <w:snapToGrid/>
              <w:spacing w:after="0"/>
              <w:jc w:val="both"/>
              <w:rPr>
                <w:rFonts w:ascii="宋体" w:hAnsi="Times New Roman" w:eastAsia="宋体" w:cs="Times New Roman"/>
                <w:sz w:val="24"/>
                <w:szCs w:val="18"/>
              </w:rPr>
            </w:pPr>
            <w:r>
              <w:rPr>
                <w:rFonts w:hint="eastAsia" w:ascii="宋体" w:hAnsi="Times New Roman" w:eastAsia="宋体" w:cs="Times New Roman"/>
                <w:sz w:val="24"/>
                <w:szCs w:val="18"/>
              </w:rPr>
              <w:t>招标方式：竞争性磋商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0" w:hRule="atLeast"/>
        </w:trPr>
        <w:tc>
          <w:tcPr>
            <w:tcW w:w="653" w:type="dxa"/>
            <w:vMerge w:val="continue"/>
          </w:tcPr>
          <w:p>
            <w:pPr>
              <w:autoSpaceDE w:val="0"/>
              <w:autoSpaceDN w:val="0"/>
              <w:spacing w:line="600" w:lineRule="exact"/>
              <w:jc w:val="center"/>
              <w:rPr>
                <w:rFonts w:ascii="宋体"/>
                <w:sz w:val="24"/>
                <w:szCs w:val="18"/>
              </w:rPr>
            </w:pPr>
          </w:p>
        </w:tc>
        <w:tc>
          <w:tcPr>
            <w:tcW w:w="1875" w:type="dxa"/>
            <w:vMerge w:val="continue"/>
          </w:tcPr>
          <w:p>
            <w:pPr>
              <w:autoSpaceDE w:val="0"/>
              <w:autoSpaceDN w:val="0"/>
              <w:spacing w:line="600" w:lineRule="exact"/>
              <w:jc w:val="center"/>
              <w:rPr>
                <w:rFonts w:ascii="宋体"/>
                <w:sz w:val="24"/>
                <w:szCs w:val="18"/>
              </w:rPr>
            </w:pPr>
          </w:p>
        </w:tc>
        <w:tc>
          <w:tcPr>
            <w:tcW w:w="7382" w:type="dxa"/>
          </w:tcPr>
          <w:p>
            <w:pPr>
              <w:widowControl w:val="0"/>
              <w:adjustRightInd/>
              <w:snapToGrid/>
              <w:spacing w:after="0"/>
              <w:jc w:val="both"/>
              <w:rPr>
                <w:rFonts w:ascii="宋体" w:hAnsi="Times New Roman" w:eastAsia="宋体" w:cs="Times New Roman"/>
                <w:sz w:val="24"/>
                <w:szCs w:val="18"/>
              </w:rPr>
            </w:pPr>
            <w:r>
              <w:rPr>
                <w:rFonts w:hint="eastAsia" w:ascii="宋体" w:hAnsi="Times New Roman" w:eastAsia="宋体" w:cs="Times New Roman"/>
                <w:sz w:val="24"/>
                <w:szCs w:val="18"/>
              </w:rPr>
              <w:t>招标内容：</w:t>
            </w:r>
            <w:r>
              <w:rPr>
                <w:rFonts w:hint="eastAsia" w:ascii="宋体" w:hAnsi="Times New Roman" w:eastAsia="宋体" w:cs="Times New Roman"/>
                <w:sz w:val="24"/>
                <w:szCs w:val="18"/>
                <w:lang w:eastAsia="zh-CN"/>
              </w:rPr>
              <w:t>乌鲁木齐市水磨沟区城市管理局（乌鲁木齐市水磨沟区城市管理行政执法局）12月防疫物资采购项目</w:t>
            </w:r>
            <w:r>
              <w:rPr>
                <w:rFonts w:hint="eastAsia" w:ascii="宋体" w:hAnsi="Times New Roman" w:eastAsia="宋体" w:cs="Times New Roman"/>
                <w:sz w:val="24"/>
                <w:szCs w:val="18"/>
              </w:rPr>
              <w:t>招标文件全部内容(详见招标文件)；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9" w:hRule="atLeast"/>
        </w:trPr>
        <w:tc>
          <w:tcPr>
            <w:tcW w:w="653" w:type="dxa"/>
          </w:tcPr>
          <w:p>
            <w:pPr>
              <w:autoSpaceDE w:val="0"/>
              <w:autoSpaceDN w:val="0"/>
              <w:spacing w:line="600" w:lineRule="exact"/>
              <w:jc w:val="center"/>
              <w:rPr>
                <w:rFonts w:ascii="宋体"/>
                <w:sz w:val="24"/>
                <w:szCs w:val="18"/>
              </w:rPr>
            </w:pPr>
          </w:p>
          <w:p>
            <w:pPr>
              <w:autoSpaceDE w:val="0"/>
              <w:autoSpaceDN w:val="0"/>
              <w:spacing w:line="600" w:lineRule="exact"/>
              <w:ind w:firstLine="240" w:firstLineChars="100"/>
              <w:rPr>
                <w:rFonts w:ascii="宋体"/>
                <w:sz w:val="24"/>
                <w:szCs w:val="18"/>
              </w:rPr>
            </w:pPr>
            <w:r>
              <w:rPr>
                <w:rFonts w:ascii="宋体"/>
                <w:sz w:val="24"/>
                <w:szCs w:val="18"/>
              </w:rPr>
              <w:t>2</w:t>
            </w:r>
          </w:p>
        </w:tc>
        <w:tc>
          <w:tcPr>
            <w:tcW w:w="1875" w:type="dxa"/>
          </w:tcPr>
          <w:p>
            <w:pPr>
              <w:autoSpaceDE w:val="0"/>
              <w:autoSpaceDN w:val="0"/>
              <w:spacing w:line="600" w:lineRule="exact"/>
              <w:rPr>
                <w:rFonts w:ascii="宋体"/>
                <w:sz w:val="24"/>
                <w:szCs w:val="18"/>
              </w:rPr>
            </w:pPr>
          </w:p>
        </w:tc>
        <w:tc>
          <w:tcPr>
            <w:tcW w:w="7382" w:type="dxa"/>
          </w:tcPr>
          <w:p>
            <w:pPr>
              <w:widowControl w:val="0"/>
              <w:adjustRightInd/>
              <w:snapToGrid/>
              <w:spacing w:after="0"/>
              <w:jc w:val="both"/>
              <w:rPr>
                <w:rFonts w:hint="eastAsia" w:ascii="宋体" w:hAnsi="Times New Roman" w:eastAsia="宋体" w:cs="Times New Roman"/>
                <w:sz w:val="24"/>
                <w:szCs w:val="18"/>
                <w:lang w:eastAsia="zh-CN"/>
              </w:rPr>
            </w:pPr>
            <w:r>
              <w:rPr>
                <w:rFonts w:hint="eastAsia" w:ascii="宋体" w:hAnsi="Times New Roman" w:eastAsia="宋体" w:cs="Times New Roman"/>
                <w:sz w:val="24"/>
                <w:szCs w:val="18"/>
              </w:rPr>
              <w:t>招</w:t>
            </w:r>
            <w:r>
              <w:rPr>
                <w:rFonts w:ascii="宋体" w:hAnsi="Times New Roman" w:eastAsia="宋体" w:cs="Times New Roman"/>
                <w:sz w:val="24"/>
                <w:szCs w:val="18"/>
              </w:rPr>
              <w:t xml:space="preserve">  </w:t>
            </w:r>
            <w:r>
              <w:rPr>
                <w:rFonts w:hint="eastAsia" w:ascii="宋体" w:hAnsi="Times New Roman" w:eastAsia="宋体" w:cs="Times New Roman"/>
                <w:sz w:val="24"/>
                <w:szCs w:val="18"/>
              </w:rPr>
              <w:t>标</w:t>
            </w:r>
            <w:r>
              <w:rPr>
                <w:rFonts w:ascii="宋体" w:hAnsi="Times New Roman" w:eastAsia="宋体" w:cs="Times New Roman"/>
                <w:sz w:val="24"/>
                <w:szCs w:val="18"/>
              </w:rPr>
              <w:t xml:space="preserve"> </w:t>
            </w:r>
            <w:r>
              <w:rPr>
                <w:rFonts w:hint="eastAsia" w:ascii="宋体" w:hAnsi="Times New Roman" w:eastAsia="宋体" w:cs="Times New Roman"/>
                <w:sz w:val="24"/>
                <w:szCs w:val="18"/>
              </w:rPr>
              <w:t xml:space="preserve"> 人：</w:t>
            </w:r>
            <w:r>
              <w:rPr>
                <w:rFonts w:hint="eastAsia" w:ascii="宋体" w:hAnsi="Times New Roman" w:eastAsia="宋体" w:cs="Times New Roman"/>
                <w:sz w:val="24"/>
                <w:szCs w:val="18"/>
                <w:lang w:eastAsia="zh-CN"/>
              </w:rPr>
              <w:t>乌鲁木齐市水磨沟区城市管理局（乌鲁木齐市水磨沟区城市管理行政执法局）</w:t>
            </w:r>
          </w:p>
          <w:p>
            <w:pPr>
              <w:widowControl w:val="0"/>
              <w:adjustRightInd/>
              <w:snapToGrid/>
              <w:spacing w:after="0"/>
              <w:jc w:val="both"/>
              <w:rPr>
                <w:rFonts w:ascii="宋体" w:hAnsi="Times New Roman" w:eastAsia="宋体" w:cs="Times New Roman"/>
                <w:sz w:val="24"/>
                <w:szCs w:val="18"/>
              </w:rPr>
            </w:pPr>
            <w:r>
              <w:rPr>
                <w:rFonts w:hint="eastAsia" w:ascii="宋体" w:hAnsi="Times New Roman" w:eastAsia="宋体" w:cs="Times New Roman"/>
                <w:sz w:val="24"/>
                <w:szCs w:val="18"/>
              </w:rPr>
              <w:t>招标代理机构：新疆丰源建设工程项目管理咨询有限公司</w:t>
            </w:r>
          </w:p>
          <w:p>
            <w:pPr>
              <w:widowControl w:val="0"/>
              <w:adjustRightInd/>
              <w:snapToGrid/>
              <w:spacing w:after="0"/>
              <w:jc w:val="both"/>
              <w:rPr>
                <w:rFonts w:ascii="宋体" w:hAnsi="Times New Roman" w:eastAsia="宋体" w:cs="Times New Roman"/>
                <w:sz w:val="24"/>
                <w:szCs w:val="18"/>
              </w:rPr>
            </w:pPr>
            <w:r>
              <w:rPr>
                <w:rFonts w:hint="eastAsia" w:ascii="宋体" w:hAnsi="Times New Roman" w:eastAsia="宋体" w:cs="Times New Roman"/>
                <w:sz w:val="24"/>
                <w:szCs w:val="18"/>
              </w:rPr>
              <w:t>招标代理机构地址：乌鲁木齐市水磨沟区红光山路2588号绿地中心领海501室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653" w:type="dxa"/>
          </w:tcPr>
          <w:p>
            <w:pPr>
              <w:autoSpaceDE w:val="0"/>
              <w:autoSpaceDN w:val="0"/>
              <w:spacing w:line="600" w:lineRule="exact"/>
              <w:jc w:val="center"/>
              <w:rPr>
                <w:rFonts w:ascii="宋体"/>
                <w:sz w:val="24"/>
                <w:szCs w:val="18"/>
              </w:rPr>
            </w:pPr>
            <w:r>
              <w:rPr>
                <w:rFonts w:ascii="宋体"/>
                <w:sz w:val="24"/>
                <w:szCs w:val="18"/>
              </w:rPr>
              <w:t>3</w:t>
            </w:r>
          </w:p>
        </w:tc>
        <w:tc>
          <w:tcPr>
            <w:tcW w:w="1875" w:type="dxa"/>
          </w:tcPr>
          <w:p>
            <w:pPr>
              <w:autoSpaceDE w:val="0"/>
              <w:autoSpaceDN w:val="0"/>
              <w:spacing w:line="600" w:lineRule="exact"/>
              <w:jc w:val="center"/>
              <w:rPr>
                <w:rFonts w:ascii="宋体"/>
                <w:color w:val="FF0000"/>
                <w:sz w:val="24"/>
                <w:szCs w:val="18"/>
              </w:rPr>
            </w:pPr>
            <w:r>
              <w:rPr>
                <w:rFonts w:ascii="宋体"/>
                <w:color w:val="FF0000"/>
                <w:sz w:val="24"/>
                <w:szCs w:val="18"/>
              </w:rPr>
              <w:t>12.1</w:t>
            </w:r>
          </w:p>
        </w:tc>
        <w:tc>
          <w:tcPr>
            <w:tcW w:w="7382" w:type="dxa"/>
          </w:tcPr>
          <w:p>
            <w:pPr>
              <w:widowControl w:val="0"/>
              <w:adjustRightInd/>
              <w:snapToGrid/>
              <w:spacing w:after="0"/>
              <w:jc w:val="both"/>
              <w:rPr>
                <w:rFonts w:ascii="宋体" w:hAnsi="Times New Roman" w:eastAsia="宋体" w:cs="Times New Roman"/>
                <w:sz w:val="24"/>
                <w:szCs w:val="18"/>
              </w:rPr>
            </w:pPr>
            <w:r>
              <w:rPr>
                <w:rFonts w:hint="eastAsia" w:ascii="宋体" w:hAnsi="Times New Roman" w:eastAsia="宋体" w:cs="Times New Roman"/>
                <w:sz w:val="24"/>
                <w:szCs w:val="18"/>
              </w:rPr>
              <w:t>投标保证金额：</w:t>
            </w:r>
            <w:r>
              <w:rPr>
                <w:rFonts w:hint="eastAsia" w:ascii="宋体" w:hAnsi="Times New Roman" w:eastAsia="宋体" w:cs="Times New Roman"/>
                <w:sz w:val="24"/>
                <w:szCs w:val="18"/>
                <w:lang w:val="en-US" w:eastAsia="zh-CN"/>
              </w:rPr>
              <w:t>38000</w:t>
            </w:r>
            <w:r>
              <w:rPr>
                <w:rFonts w:hint="eastAsia" w:ascii="宋体" w:hAnsi="Times New Roman" w:eastAsia="宋体" w:cs="Times New Roman"/>
                <w:sz w:val="24"/>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trPr>
        <w:tc>
          <w:tcPr>
            <w:tcW w:w="653" w:type="dxa"/>
          </w:tcPr>
          <w:p>
            <w:pPr>
              <w:autoSpaceDE w:val="0"/>
              <w:autoSpaceDN w:val="0"/>
              <w:spacing w:line="600" w:lineRule="exact"/>
              <w:jc w:val="center"/>
              <w:rPr>
                <w:rFonts w:ascii="宋体"/>
                <w:sz w:val="24"/>
                <w:szCs w:val="18"/>
              </w:rPr>
            </w:pPr>
            <w:r>
              <w:rPr>
                <w:rFonts w:ascii="宋体"/>
                <w:sz w:val="24"/>
                <w:szCs w:val="18"/>
              </w:rPr>
              <w:t>4</w:t>
            </w:r>
          </w:p>
        </w:tc>
        <w:tc>
          <w:tcPr>
            <w:tcW w:w="1875" w:type="dxa"/>
          </w:tcPr>
          <w:p>
            <w:pPr>
              <w:autoSpaceDE w:val="0"/>
              <w:autoSpaceDN w:val="0"/>
              <w:spacing w:line="600" w:lineRule="exact"/>
              <w:jc w:val="center"/>
              <w:rPr>
                <w:rFonts w:ascii="宋体"/>
                <w:color w:val="FF0000"/>
                <w:sz w:val="24"/>
                <w:szCs w:val="18"/>
              </w:rPr>
            </w:pPr>
            <w:r>
              <w:rPr>
                <w:rFonts w:ascii="宋体"/>
                <w:color w:val="FF0000"/>
                <w:sz w:val="24"/>
                <w:szCs w:val="18"/>
              </w:rPr>
              <w:t>13.1</w:t>
            </w:r>
          </w:p>
        </w:tc>
        <w:tc>
          <w:tcPr>
            <w:tcW w:w="7382" w:type="dxa"/>
          </w:tcPr>
          <w:p>
            <w:pPr>
              <w:widowControl w:val="0"/>
              <w:adjustRightInd/>
              <w:snapToGrid/>
              <w:spacing w:after="0"/>
              <w:jc w:val="both"/>
              <w:rPr>
                <w:rFonts w:ascii="宋体" w:hAnsi="Times New Roman" w:eastAsia="宋体" w:cs="Times New Roman"/>
                <w:sz w:val="24"/>
                <w:szCs w:val="18"/>
              </w:rPr>
            </w:pPr>
            <w:r>
              <w:rPr>
                <w:rFonts w:hint="eastAsia" w:ascii="宋体" w:hAnsi="Times New Roman" w:eastAsia="宋体" w:cs="Times New Roman"/>
                <w:sz w:val="24"/>
                <w:szCs w:val="18"/>
              </w:rPr>
              <w:t>磋商响应文件有效期：60天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653" w:type="dxa"/>
          </w:tcPr>
          <w:p>
            <w:pPr>
              <w:autoSpaceDE w:val="0"/>
              <w:autoSpaceDN w:val="0"/>
              <w:spacing w:line="600" w:lineRule="exact"/>
              <w:jc w:val="center"/>
              <w:rPr>
                <w:rFonts w:ascii="宋体"/>
                <w:sz w:val="24"/>
                <w:szCs w:val="18"/>
              </w:rPr>
            </w:pPr>
            <w:r>
              <w:rPr>
                <w:rFonts w:ascii="宋体"/>
                <w:sz w:val="24"/>
                <w:szCs w:val="18"/>
              </w:rPr>
              <w:t>5</w:t>
            </w:r>
          </w:p>
        </w:tc>
        <w:tc>
          <w:tcPr>
            <w:tcW w:w="1875" w:type="dxa"/>
          </w:tcPr>
          <w:p>
            <w:pPr>
              <w:autoSpaceDE w:val="0"/>
              <w:autoSpaceDN w:val="0"/>
              <w:spacing w:line="600" w:lineRule="exact"/>
              <w:jc w:val="center"/>
              <w:rPr>
                <w:rFonts w:ascii="宋体"/>
                <w:color w:val="FF0000"/>
                <w:sz w:val="24"/>
                <w:szCs w:val="18"/>
              </w:rPr>
            </w:pPr>
            <w:r>
              <w:rPr>
                <w:rFonts w:ascii="宋体"/>
                <w:color w:val="FF0000"/>
                <w:sz w:val="24"/>
                <w:szCs w:val="18"/>
              </w:rPr>
              <w:t>16.1</w:t>
            </w:r>
          </w:p>
        </w:tc>
        <w:tc>
          <w:tcPr>
            <w:tcW w:w="7382" w:type="dxa"/>
          </w:tcPr>
          <w:p>
            <w:pPr>
              <w:widowControl w:val="0"/>
              <w:adjustRightInd/>
              <w:snapToGrid/>
              <w:spacing w:after="0"/>
              <w:jc w:val="both"/>
              <w:rPr>
                <w:rFonts w:ascii="宋体" w:hAnsi="Times New Roman" w:eastAsia="宋体" w:cs="Times New Roman"/>
                <w:sz w:val="24"/>
                <w:szCs w:val="18"/>
              </w:rPr>
            </w:pPr>
            <w:r>
              <w:rPr>
                <w:rFonts w:hint="eastAsia" w:ascii="宋体" w:hAnsi="Times New Roman" w:eastAsia="宋体" w:cs="Times New Roman"/>
                <w:sz w:val="24"/>
                <w:szCs w:val="18"/>
              </w:rPr>
              <w:t>投标截止时间：202</w:t>
            </w:r>
            <w:r>
              <w:rPr>
                <w:rFonts w:hint="eastAsia" w:ascii="宋体" w:hAnsi="Times New Roman" w:eastAsia="宋体" w:cs="Times New Roman"/>
                <w:sz w:val="24"/>
                <w:szCs w:val="18"/>
                <w:lang w:val="en-US" w:eastAsia="zh-CN"/>
              </w:rPr>
              <w:t>2</w:t>
            </w:r>
            <w:bookmarkStart w:id="43" w:name="_GoBack"/>
            <w:bookmarkEnd w:id="43"/>
            <w:r>
              <w:rPr>
                <w:rFonts w:hint="eastAsia" w:ascii="宋体" w:hAnsi="Times New Roman" w:eastAsia="宋体" w:cs="Times New Roman"/>
                <w:sz w:val="24"/>
                <w:szCs w:val="18"/>
              </w:rPr>
              <w:t>年</w:t>
            </w:r>
            <w:r>
              <w:rPr>
                <w:rFonts w:hint="eastAsia" w:ascii="宋体" w:hAnsi="Times New Roman" w:eastAsia="宋体" w:cs="Times New Roman"/>
                <w:sz w:val="24"/>
                <w:szCs w:val="18"/>
                <w:lang w:val="en-US" w:eastAsia="zh-CN"/>
              </w:rPr>
              <w:t>01</w:t>
            </w:r>
            <w:r>
              <w:rPr>
                <w:rFonts w:hint="eastAsia" w:ascii="宋体" w:hAnsi="Times New Roman" w:eastAsia="宋体" w:cs="Times New Roman"/>
                <w:sz w:val="24"/>
                <w:szCs w:val="18"/>
              </w:rPr>
              <w:t>月</w:t>
            </w:r>
            <w:r>
              <w:rPr>
                <w:rFonts w:hint="eastAsia" w:ascii="宋体" w:hAnsi="Times New Roman" w:eastAsia="宋体" w:cs="Times New Roman"/>
                <w:sz w:val="24"/>
                <w:szCs w:val="18"/>
                <w:lang w:val="en-US" w:eastAsia="zh-CN"/>
              </w:rPr>
              <w:t>10</w:t>
            </w:r>
            <w:r>
              <w:rPr>
                <w:rFonts w:hint="eastAsia" w:ascii="宋体" w:hAnsi="Times New Roman" w:eastAsia="宋体" w:cs="Times New Roman"/>
                <w:sz w:val="24"/>
                <w:szCs w:val="18"/>
              </w:rPr>
              <w:t>日16:00(北京时间)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trPr>
        <w:tc>
          <w:tcPr>
            <w:tcW w:w="653" w:type="dxa"/>
          </w:tcPr>
          <w:p>
            <w:pPr>
              <w:autoSpaceDE w:val="0"/>
              <w:autoSpaceDN w:val="0"/>
              <w:spacing w:line="600" w:lineRule="exact"/>
              <w:jc w:val="center"/>
              <w:rPr>
                <w:rFonts w:ascii="宋体"/>
                <w:sz w:val="24"/>
                <w:szCs w:val="18"/>
              </w:rPr>
            </w:pPr>
            <w:r>
              <w:rPr>
                <w:rFonts w:ascii="宋体"/>
                <w:sz w:val="24"/>
                <w:szCs w:val="18"/>
              </w:rPr>
              <w:t>6</w:t>
            </w:r>
          </w:p>
        </w:tc>
        <w:tc>
          <w:tcPr>
            <w:tcW w:w="1875" w:type="dxa"/>
          </w:tcPr>
          <w:p>
            <w:pPr>
              <w:autoSpaceDE w:val="0"/>
              <w:autoSpaceDN w:val="0"/>
              <w:spacing w:line="600" w:lineRule="exact"/>
              <w:jc w:val="center"/>
              <w:rPr>
                <w:rFonts w:ascii="宋体"/>
                <w:color w:val="FF0000"/>
                <w:sz w:val="24"/>
                <w:szCs w:val="18"/>
              </w:rPr>
            </w:pPr>
            <w:r>
              <w:rPr>
                <w:rFonts w:ascii="宋体"/>
                <w:color w:val="FF0000"/>
                <w:sz w:val="24"/>
                <w:szCs w:val="18"/>
              </w:rPr>
              <w:t>14.5</w:t>
            </w:r>
          </w:p>
        </w:tc>
        <w:tc>
          <w:tcPr>
            <w:tcW w:w="7382" w:type="dxa"/>
          </w:tcPr>
          <w:p>
            <w:pPr>
              <w:widowControl w:val="0"/>
              <w:adjustRightInd/>
              <w:snapToGrid/>
              <w:spacing w:after="0"/>
              <w:jc w:val="both"/>
              <w:rPr>
                <w:rFonts w:ascii="宋体" w:hAnsi="Times New Roman" w:eastAsia="宋体" w:cs="Times New Roman"/>
                <w:sz w:val="24"/>
                <w:szCs w:val="18"/>
              </w:rPr>
            </w:pPr>
            <w:r>
              <w:rPr>
                <w:rFonts w:hint="eastAsia" w:ascii="宋体" w:hAnsi="Times New Roman" w:eastAsia="宋体" w:cs="Times New Roman"/>
                <w:sz w:val="24"/>
                <w:szCs w:val="18"/>
              </w:rPr>
              <w:t>磋商响应文件的数目：正本壹份、副本贰份、电子版壹份（U盘Word版）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653" w:type="dxa"/>
          </w:tcPr>
          <w:p>
            <w:pPr>
              <w:autoSpaceDE w:val="0"/>
              <w:autoSpaceDN w:val="0"/>
              <w:spacing w:line="600" w:lineRule="exact"/>
              <w:jc w:val="center"/>
              <w:rPr>
                <w:rFonts w:ascii="宋体"/>
                <w:sz w:val="24"/>
                <w:szCs w:val="18"/>
              </w:rPr>
            </w:pPr>
            <w:r>
              <w:rPr>
                <w:rFonts w:ascii="宋体"/>
                <w:sz w:val="24"/>
                <w:szCs w:val="18"/>
              </w:rPr>
              <w:t>7</w:t>
            </w:r>
          </w:p>
        </w:tc>
        <w:tc>
          <w:tcPr>
            <w:tcW w:w="1875" w:type="dxa"/>
          </w:tcPr>
          <w:p>
            <w:pPr>
              <w:autoSpaceDE w:val="0"/>
              <w:autoSpaceDN w:val="0"/>
              <w:spacing w:line="600" w:lineRule="exact"/>
              <w:jc w:val="center"/>
              <w:rPr>
                <w:rFonts w:ascii="宋体"/>
                <w:color w:val="FF0000"/>
                <w:sz w:val="24"/>
                <w:szCs w:val="18"/>
              </w:rPr>
            </w:pPr>
            <w:r>
              <w:rPr>
                <w:rFonts w:ascii="宋体"/>
                <w:color w:val="FF0000"/>
                <w:sz w:val="24"/>
                <w:szCs w:val="18"/>
              </w:rPr>
              <w:t>1 6.1</w:t>
            </w:r>
          </w:p>
        </w:tc>
        <w:tc>
          <w:tcPr>
            <w:tcW w:w="7382" w:type="dxa"/>
          </w:tcPr>
          <w:p>
            <w:pPr>
              <w:widowControl w:val="0"/>
              <w:adjustRightInd/>
              <w:snapToGrid/>
              <w:spacing w:after="0"/>
              <w:jc w:val="both"/>
              <w:rPr>
                <w:rFonts w:ascii="宋体" w:hAnsi="Times New Roman" w:eastAsia="宋体" w:cs="Times New Roman"/>
                <w:sz w:val="24"/>
                <w:szCs w:val="18"/>
              </w:rPr>
            </w:pPr>
            <w:r>
              <w:rPr>
                <w:rFonts w:hint="eastAsia" w:ascii="宋体" w:hAnsi="Times New Roman" w:eastAsia="宋体" w:cs="Times New Roman"/>
                <w:sz w:val="24"/>
                <w:szCs w:val="18"/>
              </w:rPr>
              <w:t>磋商响应文件递交至：乌鲁木齐市水磨沟区红光山路2588号绿地中心领海501室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53" w:type="dxa"/>
          </w:tcPr>
          <w:p>
            <w:pPr>
              <w:autoSpaceDE w:val="0"/>
              <w:autoSpaceDN w:val="0"/>
              <w:spacing w:line="600" w:lineRule="exact"/>
              <w:jc w:val="center"/>
              <w:rPr>
                <w:rFonts w:ascii="宋体"/>
                <w:sz w:val="24"/>
                <w:szCs w:val="18"/>
              </w:rPr>
            </w:pPr>
            <w:r>
              <w:rPr>
                <w:rFonts w:ascii="宋体"/>
                <w:sz w:val="24"/>
                <w:szCs w:val="18"/>
              </w:rPr>
              <w:t>8</w:t>
            </w:r>
          </w:p>
        </w:tc>
        <w:tc>
          <w:tcPr>
            <w:tcW w:w="1875" w:type="dxa"/>
          </w:tcPr>
          <w:p>
            <w:pPr>
              <w:autoSpaceDE w:val="0"/>
              <w:autoSpaceDN w:val="0"/>
              <w:spacing w:line="600" w:lineRule="exact"/>
              <w:jc w:val="center"/>
              <w:rPr>
                <w:rFonts w:ascii="宋体"/>
                <w:color w:val="FF0000"/>
                <w:sz w:val="24"/>
                <w:szCs w:val="18"/>
              </w:rPr>
            </w:pPr>
            <w:r>
              <w:rPr>
                <w:rFonts w:ascii="宋体"/>
                <w:color w:val="FF0000"/>
                <w:sz w:val="24"/>
                <w:szCs w:val="18"/>
              </w:rPr>
              <w:t>19.1</w:t>
            </w:r>
          </w:p>
        </w:tc>
        <w:tc>
          <w:tcPr>
            <w:tcW w:w="7382" w:type="dxa"/>
          </w:tcPr>
          <w:p>
            <w:pPr>
              <w:widowControl w:val="0"/>
              <w:adjustRightInd/>
              <w:snapToGrid/>
              <w:spacing w:after="0"/>
              <w:jc w:val="both"/>
              <w:rPr>
                <w:rFonts w:ascii="宋体" w:hAnsi="Times New Roman" w:eastAsia="宋体" w:cs="Times New Roman"/>
                <w:sz w:val="24"/>
                <w:szCs w:val="18"/>
              </w:rPr>
            </w:pPr>
            <w:r>
              <w:rPr>
                <w:rFonts w:hint="eastAsia" w:ascii="宋体" w:hAnsi="Times New Roman" w:eastAsia="宋体" w:cs="Times New Roman"/>
                <w:sz w:val="24"/>
                <w:szCs w:val="18"/>
              </w:rPr>
              <w:t>开标时间：202</w:t>
            </w:r>
            <w:r>
              <w:rPr>
                <w:rFonts w:hint="eastAsia" w:ascii="宋体" w:hAnsi="Times New Roman" w:eastAsia="宋体" w:cs="Times New Roman"/>
                <w:sz w:val="24"/>
                <w:szCs w:val="18"/>
                <w:lang w:val="en-US" w:eastAsia="zh-CN"/>
              </w:rPr>
              <w:t>2</w:t>
            </w:r>
            <w:r>
              <w:rPr>
                <w:rFonts w:hint="eastAsia" w:ascii="宋体" w:hAnsi="Times New Roman" w:eastAsia="宋体" w:cs="Times New Roman"/>
                <w:sz w:val="24"/>
                <w:szCs w:val="18"/>
              </w:rPr>
              <w:t>年</w:t>
            </w:r>
            <w:r>
              <w:rPr>
                <w:rFonts w:hint="eastAsia" w:ascii="宋体" w:hAnsi="Times New Roman" w:eastAsia="宋体" w:cs="Times New Roman"/>
                <w:sz w:val="24"/>
                <w:szCs w:val="18"/>
                <w:lang w:val="en-US" w:eastAsia="zh-CN"/>
              </w:rPr>
              <w:t>01</w:t>
            </w:r>
            <w:r>
              <w:rPr>
                <w:rFonts w:hint="eastAsia" w:ascii="宋体" w:hAnsi="Times New Roman" w:eastAsia="宋体" w:cs="Times New Roman"/>
                <w:sz w:val="24"/>
                <w:szCs w:val="18"/>
              </w:rPr>
              <w:t>月</w:t>
            </w:r>
            <w:r>
              <w:rPr>
                <w:rFonts w:hint="eastAsia" w:ascii="宋体" w:hAnsi="Times New Roman" w:eastAsia="宋体" w:cs="Times New Roman"/>
                <w:sz w:val="24"/>
                <w:szCs w:val="18"/>
                <w:lang w:val="en-US" w:eastAsia="zh-CN"/>
              </w:rPr>
              <w:t>10</w:t>
            </w:r>
            <w:r>
              <w:rPr>
                <w:rFonts w:hint="eastAsia" w:ascii="宋体" w:hAnsi="Times New Roman" w:eastAsia="宋体" w:cs="Times New Roman"/>
                <w:sz w:val="24"/>
                <w:szCs w:val="18"/>
              </w:rPr>
              <w:t>日16:00(北京时间)</w:t>
            </w:r>
          </w:p>
          <w:p>
            <w:pPr>
              <w:widowControl w:val="0"/>
              <w:adjustRightInd/>
              <w:snapToGrid/>
              <w:spacing w:after="0"/>
              <w:jc w:val="both"/>
              <w:rPr>
                <w:rFonts w:ascii="宋体" w:hAnsi="Times New Roman" w:eastAsia="宋体" w:cs="Times New Roman"/>
                <w:sz w:val="24"/>
                <w:szCs w:val="18"/>
              </w:rPr>
            </w:pPr>
            <w:r>
              <w:rPr>
                <w:rFonts w:hint="eastAsia" w:ascii="宋体" w:hAnsi="Times New Roman" w:eastAsia="宋体" w:cs="Times New Roman"/>
                <w:sz w:val="24"/>
                <w:szCs w:val="18"/>
              </w:rPr>
              <w:t>地  点：乌鲁木齐市水磨沟区红光山路2588号绿地中心领海501室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53" w:type="dxa"/>
          </w:tcPr>
          <w:p>
            <w:pPr>
              <w:spacing w:line="600" w:lineRule="exact"/>
              <w:jc w:val="center"/>
              <w:rPr>
                <w:rFonts w:ascii="宋体"/>
                <w:sz w:val="24"/>
              </w:rPr>
            </w:pPr>
            <w:r>
              <w:rPr>
                <w:rFonts w:hint="eastAsia" w:ascii="宋体"/>
                <w:sz w:val="24"/>
              </w:rPr>
              <w:t>9</w:t>
            </w:r>
          </w:p>
        </w:tc>
        <w:tc>
          <w:tcPr>
            <w:tcW w:w="1875" w:type="dxa"/>
            <w:vAlign w:val="center"/>
          </w:tcPr>
          <w:p>
            <w:pPr>
              <w:spacing w:line="600" w:lineRule="exact"/>
              <w:jc w:val="center"/>
              <w:rPr>
                <w:rFonts w:ascii="宋体"/>
                <w:sz w:val="18"/>
                <w:szCs w:val="18"/>
              </w:rPr>
            </w:pPr>
            <w:r>
              <w:rPr>
                <w:rFonts w:hint="eastAsia" w:ascii="宋体"/>
                <w:sz w:val="24"/>
                <w:szCs w:val="18"/>
              </w:rPr>
              <w:t>投标控制价</w:t>
            </w:r>
          </w:p>
        </w:tc>
        <w:tc>
          <w:tcPr>
            <w:tcW w:w="7382" w:type="dxa"/>
            <w:vAlign w:val="center"/>
          </w:tcPr>
          <w:p>
            <w:pPr>
              <w:widowControl w:val="0"/>
              <w:adjustRightInd/>
              <w:snapToGrid/>
              <w:spacing w:after="0"/>
              <w:jc w:val="both"/>
              <w:rPr>
                <w:rFonts w:ascii="宋体" w:hAnsi="Times New Roman" w:eastAsia="宋体" w:cs="Times New Roman"/>
                <w:sz w:val="24"/>
                <w:szCs w:val="18"/>
              </w:rPr>
            </w:pPr>
            <w:r>
              <w:rPr>
                <w:rFonts w:hint="eastAsia" w:ascii="宋体" w:hAnsi="Times New Roman" w:eastAsia="宋体" w:cs="Times New Roman"/>
                <w:sz w:val="24"/>
                <w:szCs w:val="18"/>
              </w:rPr>
              <w:t>控制价：</w:t>
            </w:r>
            <w:r>
              <w:rPr>
                <w:rFonts w:hint="eastAsia" w:ascii="宋体" w:hAnsi="Times New Roman" w:eastAsia="宋体" w:cs="Times New Roman"/>
                <w:sz w:val="24"/>
                <w:szCs w:val="18"/>
                <w:lang w:val="en-US" w:eastAsia="zh-CN"/>
              </w:rPr>
              <w:t>191.2440</w:t>
            </w:r>
            <w:r>
              <w:rPr>
                <w:rFonts w:hint="eastAsia" w:ascii="宋体" w:hAnsi="Times New Roman" w:eastAsia="宋体" w:cs="Times New Roman"/>
                <w:sz w:val="24"/>
                <w:szCs w:val="18"/>
                <w:lang w:eastAsia="zh-CN"/>
              </w:rPr>
              <w:t>万元</w:t>
            </w:r>
            <w:r>
              <w:rPr>
                <w:rFonts w:hint="eastAsia" w:ascii="宋体" w:hAnsi="Times New Roman" w:eastAsia="宋体" w:cs="Times New Roman"/>
                <w:sz w:val="24"/>
                <w:szCs w:val="18"/>
              </w:rPr>
              <w:t>（</w:t>
            </w:r>
            <w:r>
              <w:rPr>
                <w:rFonts w:hint="eastAsia" w:ascii="宋体" w:hAnsi="Times New Roman" w:eastAsia="宋体" w:cs="Times New Roman"/>
                <w:sz w:val="24"/>
                <w:szCs w:val="18"/>
                <w:lang w:val="en-US" w:eastAsia="zh-CN"/>
              </w:rPr>
              <w:t>壹佰玖拾壹万贰仟肆佰肆拾元整</w:t>
            </w:r>
            <w:r>
              <w:rPr>
                <w:rFonts w:hint="eastAsia" w:ascii="宋体" w:hAnsi="Times New Roman" w:eastAsia="宋体" w:cs="Times New Roman"/>
                <w:sz w:val="24"/>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53" w:type="dxa"/>
          </w:tcPr>
          <w:p>
            <w:pPr>
              <w:spacing w:line="600" w:lineRule="exact"/>
              <w:jc w:val="center"/>
              <w:rPr>
                <w:rFonts w:ascii="宋体"/>
                <w:sz w:val="24"/>
              </w:rPr>
            </w:pPr>
            <w:r>
              <w:rPr>
                <w:rFonts w:hint="eastAsia" w:ascii="宋体"/>
                <w:sz w:val="24"/>
              </w:rPr>
              <w:t>10</w:t>
            </w:r>
          </w:p>
        </w:tc>
        <w:tc>
          <w:tcPr>
            <w:tcW w:w="1875" w:type="dxa"/>
            <w:vAlign w:val="center"/>
          </w:tcPr>
          <w:p>
            <w:pPr>
              <w:spacing w:line="600" w:lineRule="exact"/>
              <w:jc w:val="center"/>
              <w:rPr>
                <w:rFonts w:ascii="宋体"/>
                <w:sz w:val="18"/>
                <w:szCs w:val="18"/>
              </w:rPr>
            </w:pPr>
            <w:r>
              <w:rPr>
                <w:rFonts w:hint="eastAsia" w:ascii="宋体"/>
                <w:sz w:val="24"/>
                <w:szCs w:val="18"/>
              </w:rPr>
              <w:t>货物送达地点</w:t>
            </w:r>
          </w:p>
        </w:tc>
        <w:tc>
          <w:tcPr>
            <w:tcW w:w="7382" w:type="dxa"/>
            <w:vAlign w:val="center"/>
          </w:tcPr>
          <w:p>
            <w:pPr>
              <w:widowControl w:val="0"/>
              <w:adjustRightInd/>
              <w:snapToGrid/>
              <w:spacing w:after="0"/>
              <w:jc w:val="both"/>
              <w:rPr>
                <w:rFonts w:ascii="宋体" w:hAnsi="Times New Roman" w:eastAsia="宋体" w:cs="Times New Roman"/>
                <w:sz w:val="24"/>
                <w:szCs w:val="18"/>
              </w:rPr>
            </w:pPr>
            <w:r>
              <w:rPr>
                <w:rFonts w:hint="eastAsia" w:ascii="宋体" w:hAnsi="宋体" w:eastAsia="宋体" w:cs="宋体"/>
                <w:color w:val="000000"/>
                <w:szCs w:val="24"/>
              </w:rPr>
              <w:t>乌鲁木齐市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9910" w:type="dxa"/>
            <w:gridSpan w:val="3"/>
          </w:tcPr>
          <w:p>
            <w:pPr>
              <w:widowControl w:val="0"/>
              <w:adjustRightInd/>
              <w:snapToGrid/>
              <w:spacing w:after="0" w:line="360" w:lineRule="auto"/>
              <w:jc w:val="both"/>
              <w:rPr>
                <w:rFonts w:ascii="Times New Roman" w:hAnsi="Times New Roman" w:eastAsia="宋体" w:cs="Times New Roman"/>
                <w:b/>
                <w:kern w:val="2"/>
                <w:sz w:val="24"/>
                <w:szCs w:val="24"/>
              </w:rPr>
            </w:pPr>
            <w:r>
              <w:rPr>
                <w:rFonts w:hint="eastAsia" w:ascii="Times New Roman" w:hAnsi="Times New Roman" w:eastAsia="宋体" w:cs="Times New Roman"/>
                <w:b/>
                <w:kern w:val="2"/>
                <w:sz w:val="24"/>
                <w:szCs w:val="24"/>
              </w:rPr>
              <w:t>特别提示：为保证本项目质量，投标商不得以低于成本的报价竞标，否则将做废标处理。本项目设最高限价，在所有投标人的报价公布之后，招标人与投标人就价格进行二次磋商；最终磋商价将作为中标价，做为合同签署的价格依据。磋商响应文件中的报价与第二次报价均不能超过最高限价，否则作废标处理。</w:t>
            </w:r>
          </w:p>
        </w:tc>
      </w:tr>
    </w:tbl>
    <w:p>
      <w:pPr>
        <w:pStyle w:val="4"/>
        <w:tabs>
          <w:tab w:val="left" w:pos="0"/>
        </w:tabs>
        <w:autoSpaceDE w:val="0"/>
        <w:autoSpaceDN w:val="0"/>
        <w:adjustRightInd w:val="0"/>
        <w:spacing w:before="0" w:after="0" w:line="360" w:lineRule="auto"/>
        <w:jc w:val="center"/>
        <w:rPr>
          <w:rFonts w:ascii="仿宋" w:hAnsi="仿宋" w:eastAsia="仿宋"/>
          <w:bCs w:val="0"/>
          <w:kern w:val="2"/>
          <w:sz w:val="28"/>
          <w:szCs w:val="28"/>
        </w:rPr>
      </w:pPr>
      <w:bookmarkStart w:id="0" w:name="_Toc35393797"/>
      <w:bookmarkStart w:id="1" w:name="_Toc28359011"/>
      <w:r>
        <w:rPr>
          <w:rFonts w:hint="eastAsia" w:ascii="仿宋" w:hAnsi="仿宋" w:eastAsia="仿宋"/>
          <w:bCs w:val="0"/>
          <w:kern w:val="2"/>
          <w:sz w:val="28"/>
          <w:szCs w:val="28"/>
          <w:lang w:eastAsia="zh-CN"/>
        </w:rPr>
        <w:t>乌鲁木齐市水磨沟区城市管理局（乌鲁木齐市水磨沟区城市管理行政执法局）12月防疫物资采购项目竞争性磋商</w:t>
      </w:r>
      <w:r>
        <w:rPr>
          <w:rFonts w:hint="eastAsia" w:ascii="仿宋" w:hAnsi="仿宋" w:eastAsia="仿宋"/>
          <w:bCs w:val="0"/>
          <w:kern w:val="2"/>
          <w:sz w:val="28"/>
          <w:szCs w:val="28"/>
        </w:rPr>
        <w:t>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lang w:eastAsia="zh-CN"/>
        </w:rPr>
        <w:t>乌鲁木齐市水磨沟区城市管理局（乌鲁木齐市水磨沟区城市管理行政执法局）12月防疫物资采购项目</w:t>
      </w:r>
      <w:r>
        <w:rPr>
          <w:rFonts w:hint="eastAsia" w:ascii="仿宋" w:hAnsi="仿宋" w:eastAsia="仿宋"/>
          <w:sz w:val="28"/>
          <w:szCs w:val="28"/>
        </w:rPr>
        <w:t>的潜在供应商应在</w:t>
      </w:r>
      <w:r>
        <w:rPr>
          <w:rFonts w:hint="eastAsia" w:ascii="仿宋" w:hAnsi="仿宋" w:eastAsia="仿宋"/>
          <w:bCs/>
          <w:sz w:val="28"/>
          <w:szCs w:val="28"/>
          <w:u w:val="single"/>
        </w:rPr>
        <w:t>乌鲁木齐市水磨沟区红光山路2588号绿地中心领海501室</w:t>
      </w:r>
      <w:r>
        <w:rPr>
          <w:rFonts w:hint="eastAsia" w:ascii="仿宋" w:hAnsi="仿宋" w:eastAsia="仿宋"/>
          <w:sz w:val="28"/>
          <w:szCs w:val="28"/>
        </w:rPr>
        <w:t>获取采购文件，并于</w:t>
      </w:r>
      <w:r>
        <w:rPr>
          <w:rFonts w:hint="eastAsia" w:ascii="仿宋" w:hAnsi="仿宋" w:eastAsia="仿宋"/>
          <w:sz w:val="28"/>
          <w:szCs w:val="28"/>
          <w:u w:val="single"/>
          <w:lang w:eastAsia="zh-CN"/>
        </w:rPr>
        <w:t>202</w:t>
      </w:r>
      <w:r>
        <w:rPr>
          <w:rFonts w:hint="eastAsia" w:ascii="仿宋" w:hAnsi="仿宋" w:eastAsia="仿宋"/>
          <w:sz w:val="28"/>
          <w:szCs w:val="28"/>
          <w:u w:val="single"/>
          <w:lang w:val="en-US" w:eastAsia="zh-CN"/>
        </w:rPr>
        <w:t>2</w:t>
      </w:r>
      <w:r>
        <w:rPr>
          <w:rFonts w:hint="eastAsia" w:ascii="仿宋" w:hAnsi="仿宋" w:eastAsia="仿宋"/>
          <w:sz w:val="28"/>
          <w:szCs w:val="28"/>
          <w:u w:val="single"/>
          <w:lang w:eastAsia="zh-CN"/>
        </w:rPr>
        <w:t>年</w:t>
      </w:r>
      <w:r>
        <w:rPr>
          <w:rFonts w:hint="eastAsia" w:ascii="仿宋" w:hAnsi="仿宋" w:eastAsia="仿宋"/>
          <w:sz w:val="28"/>
          <w:szCs w:val="28"/>
          <w:u w:val="single"/>
          <w:lang w:val="en-US" w:eastAsia="zh-CN"/>
        </w:rPr>
        <w:t>01</w:t>
      </w:r>
      <w:r>
        <w:rPr>
          <w:rFonts w:hint="eastAsia" w:ascii="仿宋" w:hAnsi="仿宋" w:eastAsia="仿宋"/>
          <w:sz w:val="28"/>
          <w:szCs w:val="28"/>
          <w:u w:val="single"/>
          <w:lang w:eastAsia="zh-CN"/>
        </w:rPr>
        <w:t>月</w:t>
      </w:r>
      <w:r>
        <w:rPr>
          <w:rFonts w:hint="eastAsia" w:ascii="仿宋" w:hAnsi="仿宋" w:eastAsia="仿宋"/>
          <w:sz w:val="28"/>
          <w:szCs w:val="28"/>
          <w:u w:val="single"/>
          <w:lang w:val="en-US" w:eastAsia="zh-CN"/>
        </w:rPr>
        <w:t>10</w:t>
      </w:r>
      <w:r>
        <w:rPr>
          <w:rFonts w:hint="eastAsia" w:ascii="仿宋" w:hAnsi="仿宋" w:eastAsia="仿宋"/>
          <w:sz w:val="28"/>
          <w:szCs w:val="28"/>
          <w:u w:val="single"/>
          <w:lang w:eastAsia="zh-CN"/>
        </w:rPr>
        <w:t>日</w:t>
      </w:r>
      <w:r>
        <w:rPr>
          <w:rFonts w:hint="eastAsia" w:ascii="仿宋" w:hAnsi="仿宋" w:eastAsia="仿宋"/>
          <w:bCs/>
          <w:sz w:val="28"/>
          <w:szCs w:val="28"/>
          <w:u w:val="single"/>
        </w:rPr>
        <w:t xml:space="preserve">16 ：00 </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5"/>
        <w:spacing w:line="360" w:lineRule="auto"/>
        <w:rPr>
          <w:rFonts w:ascii="黑体" w:hAnsi="黑体" w:cs="宋体"/>
          <w:b w:val="0"/>
          <w:sz w:val="28"/>
          <w:szCs w:val="28"/>
        </w:rPr>
      </w:pPr>
      <w:bookmarkStart w:id="2" w:name="_Toc35393629"/>
      <w:bookmarkStart w:id="3" w:name="_Toc28359012"/>
      <w:bookmarkStart w:id="4" w:name="_Toc28359089"/>
      <w:bookmarkStart w:id="5" w:name="_Toc35393798"/>
      <w:r>
        <w:rPr>
          <w:rFonts w:hint="eastAsia" w:ascii="黑体" w:hAnsi="黑体" w:cs="宋体"/>
          <w:b w:val="0"/>
          <w:sz w:val="28"/>
          <w:szCs w:val="28"/>
        </w:rPr>
        <w:t>一、项目基本情况</w:t>
      </w:r>
      <w:bookmarkEnd w:id="2"/>
      <w:bookmarkEnd w:id="3"/>
      <w:bookmarkEnd w:id="4"/>
      <w:bookmarkEnd w:id="5"/>
    </w:p>
    <w:p>
      <w:pPr>
        <w:pStyle w:val="9"/>
        <w:spacing w:line="360" w:lineRule="auto"/>
        <w:ind w:right="-733" w:firstLine="560" w:firstLineChars="200"/>
        <w:jc w:val="left"/>
        <w:rPr>
          <w:rFonts w:hint="default" w:ascii="仿宋" w:hAnsi="仿宋" w:eastAsia="仿宋"/>
          <w:sz w:val="28"/>
          <w:szCs w:val="28"/>
          <w:lang w:val="en-US" w:eastAsia="zh-CN"/>
        </w:rPr>
      </w:pPr>
      <w:r>
        <w:rPr>
          <w:rFonts w:hint="eastAsia" w:ascii="仿宋" w:hAnsi="仿宋" w:eastAsia="仿宋"/>
          <w:sz w:val="28"/>
          <w:szCs w:val="28"/>
        </w:rPr>
        <w:t>项目编号：XJFYZB2021-1202</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sz w:val="28"/>
          <w:szCs w:val="28"/>
          <w:lang w:eastAsia="zh-CN"/>
        </w:rPr>
        <w:t>乌鲁木齐市水磨沟区城市管理局（乌鲁木齐市水磨沟区城市管理行政执法局）12月防疫物资采购项目</w:t>
      </w:r>
    </w:p>
    <w:p>
      <w:pPr>
        <w:ind w:firstLine="560" w:firstLineChars="200"/>
        <w:rPr>
          <w:rFonts w:hint="eastAsia" w:ascii="仿宋" w:hAnsi="仿宋" w:eastAsia="仿宋"/>
          <w:bCs/>
          <w:sz w:val="28"/>
          <w:szCs w:val="28"/>
          <w:lang w:eastAsia="zh-CN"/>
        </w:rPr>
      </w:pPr>
      <w:r>
        <w:rPr>
          <w:rFonts w:hint="eastAsia" w:ascii="仿宋" w:hAnsi="仿宋" w:eastAsia="仿宋"/>
          <w:sz w:val="28"/>
          <w:szCs w:val="28"/>
        </w:rPr>
        <w:t>采购方式：</w:t>
      </w:r>
      <w:r>
        <w:rPr>
          <w:rFonts w:hint="eastAsia" w:ascii="仿宋" w:hAnsi="仿宋" w:eastAsia="仿宋"/>
          <w:bCs/>
          <w:sz w:val="28"/>
          <w:szCs w:val="28"/>
          <w:lang w:eastAsia="zh-CN"/>
        </w:rPr>
        <w:t>竞争性磋商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0" w:beforeAutospacing="0" w:line="450" w:lineRule="atLeast"/>
        <w:ind w:firstLine="560" w:firstLineChars="200"/>
        <w:jc w:val="left"/>
        <w:rPr>
          <w:rFonts w:hint="eastAsia" w:ascii="仿宋" w:hAnsi="仿宋" w:eastAsia="仿宋" w:cs="Times New Roman"/>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191.2440</w:t>
      </w:r>
      <w:r>
        <w:rPr>
          <w:rFonts w:hint="eastAsia" w:ascii="仿宋" w:hAnsi="仿宋" w:eastAsia="仿宋" w:cs="Times New Roman"/>
          <w:sz w:val="28"/>
          <w:szCs w:val="28"/>
          <w:lang w:val="en-US" w:eastAsia="zh-CN"/>
        </w:rPr>
        <w:t>万元</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最高限价：</w:t>
      </w:r>
      <w:r>
        <w:rPr>
          <w:rFonts w:hint="eastAsia" w:ascii="仿宋" w:hAnsi="仿宋" w:eastAsia="仿宋" w:cs="Times New Roman"/>
          <w:sz w:val="28"/>
          <w:szCs w:val="28"/>
          <w:lang w:val="en-US" w:eastAsia="zh-CN"/>
        </w:rPr>
        <w:t>191.2440万元</w:t>
      </w:r>
    </w:p>
    <w:p>
      <w:pPr>
        <w:ind w:left="585" w:leftChars="266" w:firstLine="0" w:firstLineChars="0"/>
        <w:rPr>
          <w:rFonts w:hint="eastAsia" w:ascii="仿宋" w:hAnsi="仿宋" w:eastAsia="仿宋"/>
          <w:bCs/>
          <w:sz w:val="28"/>
          <w:szCs w:val="28"/>
        </w:rPr>
      </w:pPr>
      <w:r>
        <w:rPr>
          <w:rFonts w:hint="eastAsia" w:ascii="仿宋" w:hAnsi="仿宋" w:eastAsia="仿宋"/>
          <w:sz w:val="28"/>
          <w:szCs w:val="28"/>
        </w:rPr>
        <w:t>采购需求：详见</w:t>
      </w:r>
      <w:r>
        <w:rPr>
          <w:rFonts w:hint="eastAsia" w:ascii="仿宋" w:hAnsi="仿宋" w:eastAsia="仿宋"/>
          <w:sz w:val="28"/>
          <w:szCs w:val="28"/>
          <w:lang w:eastAsia="zh-CN"/>
        </w:rPr>
        <w:t>乌鲁木齐市水磨沟区城市管理局（乌鲁木齐市水磨沟区城市管理行政执法局）12月防疫物资采购项目</w:t>
      </w:r>
      <w:r>
        <w:rPr>
          <w:rFonts w:hint="eastAsia" w:ascii="仿宋" w:hAnsi="仿宋" w:eastAsia="仿宋"/>
          <w:bCs/>
          <w:sz w:val="28"/>
          <w:szCs w:val="28"/>
        </w:rPr>
        <w:t>招标文件全部内容。</w:t>
      </w:r>
    </w:p>
    <w:p>
      <w:pPr>
        <w:ind w:firstLine="560" w:firstLineChars="200"/>
        <w:rPr>
          <w:rFonts w:hint="eastAsia" w:ascii="仿宋" w:hAnsi="仿宋" w:eastAsia="仿宋" w:cs="Times New Roman"/>
          <w:sz w:val="28"/>
          <w:szCs w:val="28"/>
          <w:lang w:val="en-US" w:eastAsia="zh-CN"/>
        </w:rPr>
      </w:pPr>
      <w:r>
        <w:rPr>
          <w:rFonts w:hint="eastAsia" w:ascii="仿宋" w:hAnsi="仿宋" w:eastAsia="仿宋"/>
          <w:bCs/>
          <w:sz w:val="28"/>
          <w:szCs w:val="28"/>
        </w:rPr>
        <w:t>合同</w:t>
      </w:r>
      <w:r>
        <w:rPr>
          <w:rFonts w:hint="eastAsia" w:ascii="仿宋" w:hAnsi="仿宋" w:eastAsia="仿宋" w:cs="Times New Roman"/>
          <w:sz w:val="28"/>
          <w:szCs w:val="28"/>
          <w:lang w:eastAsia="zh-CN"/>
        </w:rPr>
        <w:t>履行期限：</w:t>
      </w:r>
      <w:r>
        <w:rPr>
          <w:rFonts w:hint="eastAsia" w:ascii="仿宋" w:hAnsi="仿宋" w:eastAsia="仿宋" w:cs="Times New Roman"/>
          <w:sz w:val="28"/>
          <w:szCs w:val="28"/>
          <w:lang w:val="en-US" w:eastAsia="zh-CN"/>
        </w:rPr>
        <w:t>7天</w:t>
      </w:r>
    </w:p>
    <w:p>
      <w:pPr>
        <w:ind w:firstLine="560" w:firstLineChars="200"/>
        <w:rPr>
          <w:rFonts w:ascii="仿宋" w:hAnsi="仿宋" w:eastAsia="仿宋"/>
          <w:sz w:val="28"/>
          <w:szCs w:val="28"/>
        </w:rPr>
      </w:pPr>
      <w:r>
        <w:rPr>
          <w:rFonts w:hint="eastAsia" w:ascii="仿宋" w:hAnsi="仿宋" w:eastAsia="仿宋"/>
          <w:sz w:val="28"/>
          <w:szCs w:val="28"/>
        </w:rPr>
        <w:t>本项目不接受联合体。</w:t>
      </w:r>
    </w:p>
    <w:p>
      <w:pPr>
        <w:pStyle w:val="5"/>
        <w:spacing w:line="360" w:lineRule="auto"/>
        <w:rPr>
          <w:rFonts w:ascii="黑体" w:hAnsi="黑体" w:cs="宋体"/>
          <w:b w:val="0"/>
          <w:sz w:val="28"/>
          <w:szCs w:val="28"/>
        </w:rPr>
      </w:pPr>
      <w:bookmarkStart w:id="6" w:name="_Toc35393799"/>
      <w:bookmarkStart w:id="7" w:name="_Toc28359013"/>
      <w:bookmarkStart w:id="8" w:name="_Toc35393630"/>
      <w:bookmarkStart w:id="9" w:name="_Toc28359090"/>
      <w:r>
        <w:rPr>
          <w:rFonts w:hint="eastAsia" w:ascii="黑体" w:hAnsi="黑体" w:cs="宋体"/>
          <w:b w:val="0"/>
          <w:sz w:val="28"/>
          <w:szCs w:val="28"/>
        </w:rPr>
        <w:t>二、申请人的资格要求：</w:t>
      </w:r>
      <w:bookmarkEnd w:id="6"/>
      <w:bookmarkEnd w:id="7"/>
      <w:bookmarkEnd w:id="8"/>
      <w:bookmarkEnd w:id="9"/>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pStyle w:val="14"/>
        <w:widowControl/>
        <w:spacing w:line="375" w:lineRule="atLeast"/>
        <w:ind w:firstLine="560" w:firstLineChars="200"/>
        <w:jc w:val="left"/>
        <w:rPr>
          <w:rFonts w:hint="eastAsia" w:ascii="仿宋" w:hAnsi="仿宋" w:eastAsia="仿宋"/>
          <w:sz w:val="28"/>
          <w:szCs w:val="28"/>
        </w:rPr>
      </w:pPr>
      <w:bookmarkStart w:id="10" w:name="_Toc28359091"/>
      <w:bookmarkStart w:id="11" w:name="_Toc28359014"/>
      <w:r>
        <w:rPr>
          <w:rFonts w:ascii="仿宋" w:hAnsi="仿宋" w:eastAsia="仿宋"/>
          <w:sz w:val="28"/>
          <w:szCs w:val="28"/>
        </w:rPr>
        <w:t>2</w:t>
      </w:r>
      <w:r>
        <w:rPr>
          <w:rFonts w:hint="eastAsia" w:ascii="仿宋" w:hAnsi="仿宋" w:eastAsia="仿宋"/>
          <w:sz w:val="28"/>
          <w:szCs w:val="28"/>
        </w:rPr>
        <w:t>.落实政府采购政策需满足的资格要求：</w:t>
      </w:r>
    </w:p>
    <w:p>
      <w:pPr>
        <w:widowControl/>
        <w:spacing w:line="234" w:lineRule="atLeast"/>
        <w:jc w:val="left"/>
        <w:rPr>
          <w:rFonts w:ascii="仿宋" w:hAnsi="仿宋" w:eastAsia="仿宋"/>
          <w:sz w:val="28"/>
          <w:szCs w:val="28"/>
        </w:rPr>
      </w:pPr>
      <w:r>
        <w:rPr>
          <w:rFonts w:hint="eastAsia" w:ascii="仿宋" w:hAnsi="仿宋" w:eastAsia="仿宋"/>
          <w:sz w:val="28"/>
          <w:szCs w:val="28"/>
        </w:rPr>
        <w:t xml:space="preserve"> （1）根据中华人民共和国财政部、中华人民共和国工业和信息化部《政府采购促进中小企业发展暂行办法》（财库[2020]46号）；</w:t>
      </w:r>
    </w:p>
    <w:p>
      <w:pPr>
        <w:widowControl/>
        <w:spacing w:before="77" w:after="77" w:line="429" w:lineRule="atLeast"/>
        <w:jc w:val="left"/>
        <w:rPr>
          <w:rFonts w:hint="eastAsia" w:ascii="仿宋" w:hAnsi="仿宋" w:eastAsia="仿宋"/>
          <w:sz w:val="28"/>
          <w:szCs w:val="28"/>
        </w:rPr>
      </w:pPr>
      <w:r>
        <w:rPr>
          <w:rFonts w:hint="eastAsia" w:ascii="仿宋" w:hAnsi="仿宋" w:eastAsia="仿宋"/>
          <w:sz w:val="28"/>
          <w:szCs w:val="28"/>
        </w:rPr>
        <w:t>  （2）《财政部 民政部 中国残疾人联合会关于促进残疾人就业政府采购政策的通知》财库〔2017〕141号；（中小企业优惠、监狱企业、节能产品、环境标志产品等）</w:t>
      </w:r>
    </w:p>
    <w:p>
      <w:pPr>
        <w:widowControl/>
        <w:spacing w:line="234" w:lineRule="atLeast"/>
        <w:ind w:firstLine="280" w:firstLineChars="100"/>
        <w:jc w:val="left"/>
        <w:rPr>
          <w:rFonts w:hint="eastAsia" w:ascii="仿宋" w:hAnsi="仿宋" w:eastAsia="仿宋"/>
          <w:sz w:val="28"/>
          <w:szCs w:val="28"/>
        </w:rPr>
      </w:pPr>
      <w:r>
        <w:rPr>
          <w:rFonts w:hint="eastAsia" w:ascii="仿宋" w:hAnsi="仿宋" w:eastAsia="仿宋"/>
          <w:sz w:val="28"/>
          <w:szCs w:val="28"/>
        </w:rPr>
        <w:t>（3）</w:t>
      </w:r>
      <w:r>
        <w:rPr>
          <w:rFonts w:ascii="仿宋" w:hAnsi="仿宋" w:eastAsia="仿宋"/>
          <w:sz w:val="28"/>
          <w:szCs w:val="28"/>
        </w:rPr>
        <w:t>《财政部、司法部关于政府采购支持监狱企业发展有关问题的通知》（财库〔2014〕68号）</w:t>
      </w:r>
    </w:p>
    <w:p>
      <w:pPr>
        <w:ind w:firstLine="560" w:firstLineChars="200"/>
        <w:rPr>
          <w:rFonts w:hint="eastAsia" w:ascii="仿宋" w:hAnsi="仿宋" w:eastAsia="仿宋"/>
          <w:sz w:val="28"/>
          <w:szCs w:val="28"/>
        </w:rPr>
      </w:pPr>
      <w:r>
        <w:rPr>
          <w:rFonts w:hint="eastAsia" w:ascii="仿宋" w:hAnsi="仿宋" w:eastAsia="仿宋"/>
          <w:sz w:val="28"/>
          <w:szCs w:val="28"/>
        </w:rPr>
        <w:t>3.本项目的特定资格要求：</w:t>
      </w:r>
      <w:bookmarkStart w:id="12" w:name="_Toc35393800"/>
      <w:bookmarkStart w:id="13" w:name="_Toc35393631"/>
    </w:p>
    <w:p>
      <w:pPr>
        <w:pStyle w:val="14"/>
        <w:widowControl/>
        <w:spacing w:line="375" w:lineRule="atLeast"/>
        <w:ind w:firstLine="720" w:firstLineChars="300"/>
        <w:jc w:val="left"/>
        <w:rPr>
          <w:rFonts w:ascii="仿宋" w:hAnsi="仿宋" w:eastAsia="仿宋"/>
          <w:sz w:val="28"/>
          <w:szCs w:val="28"/>
        </w:rPr>
      </w:pPr>
      <w:r>
        <w:rPr>
          <w:rFonts w:hint="eastAsia" w:ascii="宋体" w:hAnsi="宋体" w:cs="宋体"/>
          <w:szCs w:val="24"/>
        </w:rPr>
        <w:t>（</w:t>
      </w:r>
      <w:r>
        <w:rPr>
          <w:rFonts w:hint="eastAsia" w:ascii="仿宋" w:hAnsi="仿宋" w:eastAsia="仿宋"/>
          <w:sz w:val="28"/>
          <w:szCs w:val="28"/>
        </w:rPr>
        <w:t>1）符合《中华人民共和国政府采购法》第二十二条规定；</w:t>
      </w:r>
    </w:p>
    <w:p>
      <w:pPr>
        <w:pStyle w:val="14"/>
        <w:widowControl/>
        <w:spacing w:line="375" w:lineRule="atLeast"/>
        <w:ind w:firstLine="560" w:firstLineChars="200"/>
        <w:jc w:val="left"/>
        <w:rPr>
          <w:rFonts w:ascii="仿宋" w:hAnsi="仿宋" w:eastAsia="仿宋"/>
          <w:sz w:val="28"/>
          <w:szCs w:val="28"/>
        </w:rPr>
      </w:pPr>
      <w:r>
        <w:rPr>
          <w:rFonts w:hint="eastAsia" w:ascii="仿宋" w:hAnsi="仿宋" w:eastAsia="仿宋"/>
          <w:sz w:val="28"/>
          <w:szCs w:val="28"/>
        </w:rPr>
        <w:t>（2）须提供有效营业执照原件或公证件（营业执照具备相应经营范围）；</w:t>
      </w:r>
    </w:p>
    <w:p>
      <w:pPr>
        <w:pStyle w:val="14"/>
        <w:widowControl/>
        <w:spacing w:line="375" w:lineRule="atLeast"/>
        <w:ind w:firstLine="560" w:firstLineChars="200"/>
        <w:jc w:val="left"/>
        <w:rPr>
          <w:rFonts w:ascii="仿宋" w:hAnsi="仿宋" w:eastAsia="仿宋"/>
          <w:sz w:val="28"/>
          <w:szCs w:val="28"/>
        </w:rPr>
      </w:pPr>
      <w:r>
        <w:rPr>
          <w:rFonts w:hint="eastAsia" w:ascii="仿宋" w:hAnsi="仿宋" w:eastAsia="仿宋"/>
          <w:sz w:val="28"/>
          <w:szCs w:val="28"/>
        </w:rPr>
        <w:t>（3）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pStyle w:val="14"/>
        <w:widowControl/>
        <w:spacing w:line="375" w:lineRule="atLeast"/>
        <w:ind w:firstLine="560" w:firstLineChars="200"/>
        <w:jc w:val="left"/>
        <w:rPr>
          <w:rFonts w:ascii="仿宋" w:hAnsi="仿宋" w:eastAsia="仿宋"/>
          <w:sz w:val="28"/>
          <w:szCs w:val="28"/>
        </w:rPr>
      </w:pPr>
      <w:r>
        <w:rPr>
          <w:rFonts w:hint="eastAsia" w:ascii="仿宋" w:hAnsi="仿宋" w:eastAsia="仿宋"/>
          <w:sz w:val="28"/>
          <w:szCs w:val="28"/>
        </w:rPr>
        <w:t>（4）该项目需提供法定代表人授权委托书及被委托人身份证（原件）（投标代表为法定代表人时，只提供法定代表人身份证原件）；</w:t>
      </w:r>
    </w:p>
    <w:p>
      <w:pPr>
        <w:pStyle w:val="14"/>
        <w:widowControl/>
        <w:spacing w:line="375" w:lineRule="atLeast"/>
        <w:ind w:firstLine="560" w:firstLineChars="200"/>
        <w:jc w:val="left"/>
        <w:rPr>
          <w:rFonts w:ascii="仿宋" w:hAnsi="仿宋" w:eastAsia="仿宋"/>
          <w:sz w:val="28"/>
          <w:szCs w:val="28"/>
        </w:rPr>
      </w:pPr>
      <w:r>
        <w:rPr>
          <w:rFonts w:hint="eastAsia" w:ascii="仿宋" w:hAnsi="仿宋" w:eastAsia="仿宋"/>
          <w:sz w:val="28"/>
          <w:szCs w:val="28"/>
        </w:rPr>
        <w:t>（5）投标人须提供在“信用中国”（www.creditchina.gov.cn）网站上下载报告和中国政府采购网（www.ccgp.gov.cn）网站上三年内未被列入失信被执行人、重大税收违法案件当事人名单以及政府采购严重违法失信行为记录名单的网页打印件（网页打印件须自招标文件发布之日起至首次提交投标文件截止时间内从上述网站中打印）并加盖公章</w:t>
      </w:r>
      <w:r>
        <w:rPr>
          <w:rFonts w:hint="eastAsia" w:ascii="仿宋" w:hAnsi="仿宋" w:eastAsia="仿宋" w:cs="Times New Roman"/>
          <w:sz w:val="28"/>
          <w:szCs w:val="28"/>
          <w:lang w:val="en-US" w:eastAsia="zh-CN"/>
        </w:rPr>
        <w:t>（注：中国政府采购网网站上近三年内未被列入失信被执行人请选择近三年的日期）</w:t>
      </w:r>
    </w:p>
    <w:p>
      <w:pPr>
        <w:ind w:firstLine="560" w:firstLineChars="200"/>
        <w:rPr>
          <w:rFonts w:hint="eastAsia" w:ascii="仿宋" w:hAnsi="仿宋" w:eastAsia="仿宋" w:cs="Times New Roman"/>
          <w:snapToGrid w:val="0"/>
          <w:kern w:val="2"/>
          <w:sz w:val="28"/>
          <w:szCs w:val="28"/>
          <w:lang w:val="en-US" w:eastAsia="zh-CN" w:bidi="ar-SA"/>
        </w:rPr>
      </w:pPr>
      <w:r>
        <w:rPr>
          <w:rFonts w:hint="eastAsia" w:ascii="仿宋" w:hAnsi="仿宋" w:eastAsia="仿宋" w:cs="Times New Roman"/>
          <w:snapToGrid w:val="0"/>
          <w:kern w:val="2"/>
          <w:sz w:val="28"/>
          <w:szCs w:val="28"/>
          <w:lang w:val="en-US" w:eastAsia="zh-CN" w:bidi="ar-SA"/>
        </w:rPr>
        <w:t>(6)本项目不接受联合体</w:t>
      </w:r>
    </w:p>
    <w:p>
      <w:pPr>
        <w:ind w:firstLine="560" w:firstLineChars="200"/>
        <w:rPr>
          <w:rFonts w:ascii="黑体" w:hAnsi="黑体" w:cs="宋体"/>
          <w:b/>
          <w:sz w:val="28"/>
          <w:szCs w:val="28"/>
        </w:rPr>
      </w:pPr>
      <w:r>
        <w:rPr>
          <w:rFonts w:hint="eastAsia" w:ascii="黑体" w:hAnsi="黑体" w:cs="宋体"/>
          <w:sz w:val="28"/>
          <w:szCs w:val="28"/>
        </w:rPr>
        <w:t>三、获取采购文件</w:t>
      </w:r>
      <w:bookmarkEnd w:id="10"/>
      <w:bookmarkEnd w:id="11"/>
      <w:bookmarkEnd w:id="12"/>
      <w:bookmarkEnd w:id="13"/>
    </w:p>
    <w:p>
      <w:pPr>
        <w:pStyle w:val="14"/>
        <w:widowControl/>
        <w:spacing w:line="375" w:lineRule="atLeast"/>
        <w:ind w:firstLine="560" w:firstLineChars="200"/>
        <w:jc w:val="left"/>
        <w:rPr>
          <w:rFonts w:hint="eastAsia" w:ascii="黑体" w:hAnsi="黑体" w:eastAsia="宋体" w:cs="宋体"/>
          <w:snapToGrid/>
          <w:sz w:val="28"/>
          <w:szCs w:val="28"/>
          <w:lang w:val="en-US" w:eastAsia="zh-CN"/>
        </w:rPr>
      </w:pPr>
      <w:r>
        <w:rPr>
          <w:rFonts w:hint="eastAsia" w:ascii="黑体" w:hAnsi="黑体" w:cs="宋体"/>
          <w:snapToGrid/>
          <w:sz w:val="28"/>
          <w:szCs w:val="28"/>
        </w:rPr>
        <w:t>报名时间：凡有意参加投标者，2021年</w:t>
      </w:r>
      <w:r>
        <w:rPr>
          <w:rFonts w:hint="eastAsia" w:ascii="黑体" w:hAnsi="黑体" w:cs="宋体"/>
          <w:snapToGrid/>
          <w:sz w:val="28"/>
          <w:szCs w:val="28"/>
          <w:lang w:val="en-US" w:eastAsia="zh-CN"/>
        </w:rPr>
        <w:t>12</w:t>
      </w:r>
      <w:r>
        <w:rPr>
          <w:rFonts w:hint="eastAsia" w:ascii="黑体" w:hAnsi="黑体" w:cs="宋体"/>
          <w:snapToGrid/>
          <w:sz w:val="28"/>
          <w:szCs w:val="28"/>
        </w:rPr>
        <w:t>月</w:t>
      </w:r>
      <w:r>
        <w:rPr>
          <w:rFonts w:hint="eastAsia" w:ascii="黑体" w:hAnsi="黑体" w:cs="宋体"/>
          <w:snapToGrid/>
          <w:sz w:val="28"/>
          <w:szCs w:val="28"/>
          <w:lang w:val="en-US" w:eastAsia="zh-CN"/>
        </w:rPr>
        <w:t>29</w:t>
      </w:r>
      <w:r>
        <w:rPr>
          <w:rFonts w:hint="eastAsia" w:ascii="黑体" w:hAnsi="黑体" w:cs="宋体"/>
          <w:snapToGrid/>
          <w:sz w:val="28"/>
          <w:szCs w:val="28"/>
        </w:rPr>
        <w:t>日至20</w:t>
      </w:r>
      <w:r>
        <w:rPr>
          <w:rFonts w:hint="eastAsia" w:ascii="黑体" w:hAnsi="黑体" w:cs="宋体"/>
          <w:snapToGrid/>
          <w:sz w:val="28"/>
          <w:szCs w:val="28"/>
          <w:lang w:val="en-US" w:eastAsia="zh-CN"/>
        </w:rPr>
        <w:t>22</w:t>
      </w:r>
      <w:r>
        <w:rPr>
          <w:rFonts w:hint="eastAsia" w:ascii="黑体" w:hAnsi="黑体" w:cs="宋体"/>
          <w:snapToGrid/>
          <w:sz w:val="28"/>
          <w:szCs w:val="28"/>
        </w:rPr>
        <w:t>年</w:t>
      </w:r>
      <w:r>
        <w:rPr>
          <w:rFonts w:hint="eastAsia" w:ascii="黑体" w:hAnsi="黑体" w:cs="宋体"/>
          <w:snapToGrid/>
          <w:sz w:val="28"/>
          <w:szCs w:val="28"/>
          <w:lang w:val="en-US" w:eastAsia="zh-CN"/>
        </w:rPr>
        <w:t>01</w:t>
      </w:r>
      <w:r>
        <w:rPr>
          <w:rFonts w:hint="eastAsia" w:ascii="黑体" w:hAnsi="黑体" w:cs="宋体"/>
          <w:snapToGrid/>
          <w:sz w:val="28"/>
          <w:szCs w:val="28"/>
        </w:rPr>
        <w:t>月</w:t>
      </w:r>
      <w:r>
        <w:rPr>
          <w:rFonts w:hint="eastAsia" w:ascii="黑体" w:hAnsi="黑体" w:cs="宋体"/>
          <w:snapToGrid/>
          <w:sz w:val="28"/>
          <w:szCs w:val="28"/>
          <w:lang w:val="en-US" w:eastAsia="zh-CN"/>
        </w:rPr>
        <w:t>05</w:t>
      </w:r>
      <w:r>
        <w:rPr>
          <w:rFonts w:hint="eastAsia" w:ascii="黑体" w:hAnsi="黑体" w:cs="宋体"/>
          <w:snapToGrid/>
          <w:sz w:val="28"/>
          <w:szCs w:val="28"/>
        </w:rPr>
        <w:t>日，北京时间上午：10:30-13:00，下午：16:00-18:00</w:t>
      </w:r>
      <w:r>
        <w:rPr>
          <w:rFonts w:hint="eastAsia" w:ascii="黑体" w:hAnsi="黑体" w:eastAsia="宋体" w:cs="宋体"/>
          <w:snapToGrid/>
          <w:sz w:val="28"/>
          <w:szCs w:val="28"/>
          <w:lang w:val="en-US" w:eastAsia="zh-CN"/>
        </w:rPr>
        <w:t>（节假日休息）携带法人授权委托书、被授权委托人身份证、企业营业执照副本、投标人基本资格要求中所有资质材料和证明材料原件及加盖公章的复印件二套，前往新疆丰源建设工程项目管理咨询有限公司（乌鲁木齐市水磨沟区红光山路2588号绿地中心领海501室）报名，资质合格者可以购买招标文件。</w:t>
      </w:r>
    </w:p>
    <w:p>
      <w:pPr>
        <w:pStyle w:val="14"/>
        <w:widowControl/>
        <w:spacing w:line="375" w:lineRule="atLeast"/>
        <w:ind w:firstLine="560" w:firstLineChars="200"/>
        <w:jc w:val="left"/>
        <w:rPr>
          <w:rFonts w:ascii="黑体" w:hAnsi="黑体" w:cs="宋体"/>
          <w:snapToGrid/>
          <w:sz w:val="28"/>
          <w:szCs w:val="28"/>
        </w:rPr>
      </w:pPr>
      <w:r>
        <w:rPr>
          <w:rFonts w:hint="eastAsia" w:ascii="黑体" w:hAnsi="黑体" w:cs="宋体"/>
          <w:snapToGrid/>
          <w:sz w:val="28"/>
          <w:szCs w:val="28"/>
        </w:rPr>
        <w:t>售价：￥ 200元人民币/份，售后不退</w:t>
      </w:r>
    </w:p>
    <w:p>
      <w:pPr>
        <w:pStyle w:val="5"/>
        <w:spacing w:line="360" w:lineRule="auto"/>
        <w:rPr>
          <w:rFonts w:ascii="黑体" w:hAnsi="黑体" w:cs="宋体"/>
          <w:b w:val="0"/>
          <w:sz w:val="28"/>
          <w:szCs w:val="28"/>
        </w:rPr>
      </w:pPr>
      <w:bookmarkStart w:id="14" w:name="_Toc28359015"/>
      <w:bookmarkStart w:id="15" w:name="_Toc35393632"/>
      <w:bookmarkStart w:id="16" w:name="_Toc35393801"/>
      <w:bookmarkStart w:id="17" w:name="_Toc28359092"/>
      <w:r>
        <w:rPr>
          <w:rFonts w:hint="eastAsia" w:ascii="黑体" w:hAnsi="黑体" w:cs="宋体"/>
          <w:b w:val="0"/>
          <w:sz w:val="28"/>
          <w:szCs w:val="28"/>
        </w:rPr>
        <w:t>四、响应文件提交</w:t>
      </w:r>
      <w:bookmarkEnd w:id="14"/>
      <w:bookmarkEnd w:id="15"/>
      <w:bookmarkEnd w:id="16"/>
      <w:bookmarkEnd w:id="17"/>
    </w:p>
    <w:p>
      <w:pPr>
        <w:ind w:firstLine="560" w:firstLineChars="200"/>
        <w:rPr>
          <w:rFonts w:hint="eastAsia" w:ascii="仿宋" w:hAnsi="仿宋" w:eastAsia="仿宋" w:cs="宋体"/>
          <w:iCs/>
          <w:sz w:val="28"/>
          <w:szCs w:val="28"/>
          <w:u w:val="single"/>
        </w:rPr>
      </w:pPr>
      <w:r>
        <w:rPr>
          <w:rFonts w:hint="eastAsia" w:ascii="仿宋" w:hAnsi="仿宋" w:eastAsia="仿宋"/>
          <w:sz w:val="28"/>
          <w:szCs w:val="28"/>
        </w:rPr>
        <w:t>截止时间：</w:t>
      </w:r>
      <w:r>
        <w:rPr>
          <w:rFonts w:hint="eastAsia" w:ascii="仿宋" w:hAnsi="仿宋" w:eastAsia="仿宋"/>
          <w:sz w:val="28"/>
          <w:szCs w:val="28"/>
          <w:u w:val="single"/>
          <w:lang w:eastAsia="zh-CN"/>
        </w:rPr>
        <w:t>202</w:t>
      </w:r>
      <w:r>
        <w:rPr>
          <w:rFonts w:hint="eastAsia" w:ascii="仿宋" w:hAnsi="仿宋" w:eastAsia="仿宋"/>
          <w:sz w:val="28"/>
          <w:szCs w:val="28"/>
          <w:u w:val="single"/>
          <w:lang w:val="en-US" w:eastAsia="zh-CN"/>
        </w:rPr>
        <w:t>2</w:t>
      </w:r>
      <w:r>
        <w:rPr>
          <w:rFonts w:hint="eastAsia" w:ascii="仿宋" w:hAnsi="仿宋" w:eastAsia="仿宋"/>
          <w:sz w:val="28"/>
          <w:szCs w:val="28"/>
          <w:u w:val="single"/>
          <w:lang w:eastAsia="zh-CN"/>
        </w:rPr>
        <w:t>年 0</w:t>
      </w:r>
      <w:r>
        <w:rPr>
          <w:rFonts w:hint="eastAsia" w:ascii="仿宋" w:hAnsi="仿宋" w:eastAsia="仿宋"/>
          <w:sz w:val="28"/>
          <w:szCs w:val="28"/>
          <w:u w:val="single"/>
          <w:lang w:val="en-US" w:eastAsia="zh-CN"/>
        </w:rPr>
        <w:t>1</w:t>
      </w:r>
      <w:r>
        <w:rPr>
          <w:rFonts w:hint="eastAsia" w:ascii="仿宋" w:hAnsi="仿宋" w:eastAsia="仿宋"/>
          <w:sz w:val="28"/>
          <w:szCs w:val="28"/>
          <w:u w:val="single"/>
          <w:lang w:eastAsia="zh-CN"/>
        </w:rPr>
        <w:t>月</w:t>
      </w:r>
      <w:r>
        <w:rPr>
          <w:rFonts w:hint="eastAsia" w:ascii="仿宋" w:hAnsi="仿宋" w:eastAsia="仿宋"/>
          <w:sz w:val="28"/>
          <w:szCs w:val="28"/>
          <w:u w:val="single"/>
          <w:lang w:val="en-US" w:eastAsia="zh-CN"/>
        </w:rPr>
        <w:t>10</w:t>
      </w:r>
      <w:r>
        <w:rPr>
          <w:rFonts w:hint="eastAsia" w:ascii="仿宋" w:hAnsi="仿宋" w:eastAsia="仿宋"/>
          <w:sz w:val="28"/>
          <w:szCs w:val="28"/>
          <w:u w:val="single"/>
          <w:lang w:eastAsia="zh-CN"/>
        </w:rPr>
        <w:t>日1</w:t>
      </w:r>
      <w:r>
        <w:rPr>
          <w:rFonts w:hint="eastAsia" w:ascii="仿宋" w:hAnsi="仿宋" w:eastAsia="仿宋"/>
          <w:sz w:val="28"/>
          <w:szCs w:val="28"/>
          <w:u w:val="single"/>
          <w:lang w:val="en-US" w:eastAsia="zh-CN"/>
        </w:rPr>
        <w:t>6</w:t>
      </w:r>
      <w:r>
        <w:rPr>
          <w:rFonts w:hint="eastAsia" w:ascii="仿宋" w:hAnsi="仿宋" w:eastAsia="仿宋"/>
          <w:sz w:val="28"/>
          <w:szCs w:val="28"/>
          <w:u w:val="single"/>
          <w:lang w:eastAsia="zh-CN"/>
        </w:rPr>
        <w:t xml:space="preserve"> ： 00</w:t>
      </w:r>
      <w:r>
        <w:rPr>
          <w:rFonts w:hint="eastAsia" w:ascii="仿宋" w:hAnsi="仿宋" w:eastAsia="仿宋"/>
          <w:bCs/>
          <w:sz w:val="28"/>
          <w:szCs w:val="28"/>
          <w:u w:val="single"/>
        </w:rPr>
        <w:t xml:space="preserve"> </w:t>
      </w:r>
      <w:r>
        <w:rPr>
          <w:rFonts w:hint="eastAsia" w:ascii="仿宋" w:hAnsi="仿宋" w:eastAsia="仿宋"/>
          <w:bCs/>
          <w:sz w:val="28"/>
          <w:szCs w:val="28"/>
        </w:rPr>
        <w:t>（北京时间）</w:t>
      </w:r>
    </w:p>
    <w:p>
      <w:pPr>
        <w:pStyle w:val="5"/>
        <w:spacing w:line="360" w:lineRule="auto"/>
        <w:rPr>
          <w:rFonts w:hint="eastAsia" w:ascii="仿宋" w:hAnsi="仿宋" w:eastAsia="仿宋"/>
          <w:sz w:val="28"/>
          <w:szCs w:val="28"/>
        </w:rPr>
      </w:pPr>
      <w:r>
        <w:rPr>
          <w:rFonts w:hint="eastAsia" w:ascii="仿宋" w:hAnsi="仿宋" w:eastAsia="仿宋"/>
          <w:sz w:val="28"/>
          <w:szCs w:val="28"/>
        </w:rPr>
        <w:t>地点：</w:t>
      </w:r>
      <w:bookmarkStart w:id="18" w:name="_Toc35393633"/>
      <w:bookmarkStart w:id="19" w:name="_Toc28359016"/>
      <w:bookmarkStart w:id="20" w:name="_Toc35393802"/>
      <w:bookmarkStart w:id="21" w:name="_Toc28359093"/>
      <w:r>
        <w:rPr>
          <w:rFonts w:hint="eastAsia" w:ascii="仿宋" w:hAnsi="仿宋" w:eastAsia="仿宋"/>
          <w:sz w:val="28"/>
          <w:szCs w:val="28"/>
        </w:rPr>
        <w:t>乌鲁木齐市水磨沟区龙腾路万科大都会8号楼2207室</w:t>
      </w:r>
    </w:p>
    <w:p>
      <w:pPr>
        <w:pStyle w:val="5"/>
        <w:spacing w:line="360" w:lineRule="auto"/>
        <w:rPr>
          <w:rFonts w:ascii="黑体" w:hAnsi="黑体" w:cs="宋体"/>
          <w:b w:val="0"/>
          <w:sz w:val="28"/>
          <w:szCs w:val="28"/>
        </w:rPr>
      </w:pPr>
      <w:r>
        <w:rPr>
          <w:rFonts w:hint="eastAsia" w:ascii="黑体" w:hAnsi="黑体" w:cs="宋体"/>
          <w:b w:val="0"/>
          <w:sz w:val="28"/>
          <w:szCs w:val="28"/>
        </w:rPr>
        <w:t>五、开启</w:t>
      </w:r>
      <w:bookmarkEnd w:id="18"/>
      <w:bookmarkEnd w:id="19"/>
      <w:bookmarkEnd w:id="20"/>
      <w:bookmarkEnd w:id="21"/>
    </w:p>
    <w:p>
      <w:pPr>
        <w:ind w:firstLine="560" w:firstLineChars="200"/>
        <w:rPr>
          <w:rFonts w:hint="eastAsia" w:ascii="仿宋" w:hAnsi="仿宋" w:eastAsia="仿宋"/>
          <w:bCs/>
          <w:sz w:val="28"/>
          <w:szCs w:val="28"/>
        </w:rPr>
      </w:pPr>
      <w:r>
        <w:rPr>
          <w:rFonts w:hint="eastAsia" w:ascii="仿宋" w:hAnsi="仿宋" w:eastAsia="仿宋"/>
          <w:sz w:val="28"/>
          <w:szCs w:val="28"/>
        </w:rPr>
        <w:t>时间：</w:t>
      </w:r>
      <w:r>
        <w:rPr>
          <w:rFonts w:hint="eastAsia" w:ascii="仿宋" w:hAnsi="仿宋" w:eastAsia="仿宋"/>
          <w:sz w:val="28"/>
          <w:szCs w:val="28"/>
          <w:u w:val="single"/>
          <w:lang w:eastAsia="zh-CN"/>
        </w:rPr>
        <w:t>202</w:t>
      </w:r>
      <w:r>
        <w:rPr>
          <w:rFonts w:hint="eastAsia" w:ascii="仿宋" w:hAnsi="仿宋" w:eastAsia="仿宋"/>
          <w:sz w:val="28"/>
          <w:szCs w:val="28"/>
          <w:u w:val="single"/>
          <w:lang w:val="en-US" w:eastAsia="zh-CN"/>
        </w:rPr>
        <w:t>2</w:t>
      </w:r>
      <w:r>
        <w:rPr>
          <w:rFonts w:hint="eastAsia" w:ascii="仿宋" w:hAnsi="仿宋" w:eastAsia="仿宋"/>
          <w:sz w:val="28"/>
          <w:szCs w:val="28"/>
          <w:u w:val="single"/>
          <w:lang w:eastAsia="zh-CN"/>
        </w:rPr>
        <w:t>年 0</w:t>
      </w:r>
      <w:r>
        <w:rPr>
          <w:rFonts w:hint="eastAsia" w:ascii="仿宋" w:hAnsi="仿宋" w:eastAsia="仿宋"/>
          <w:sz w:val="28"/>
          <w:szCs w:val="28"/>
          <w:u w:val="single"/>
          <w:lang w:val="en-US" w:eastAsia="zh-CN"/>
        </w:rPr>
        <w:t>1</w:t>
      </w:r>
      <w:r>
        <w:rPr>
          <w:rFonts w:hint="eastAsia" w:ascii="仿宋" w:hAnsi="仿宋" w:eastAsia="仿宋"/>
          <w:sz w:val="28"/>
          <w:szCs w:val="28"/>
          <w:u w:val="single"/>
          <w:lang w:eastAsia="zh-CN"/>
        </w:rPr>
        <w:t>月</w:t>
      </w:r>
      <w:r>
        <w:rPr>
          <w:rFonts w:hint="eastAsia" w:ascii="仿宋" w:hAnsi="仿宋" w:eastAsia="仿宋"/>
          <w:sz w:val="28"/>
          <w:szCs w:val="28"/>
          <w:u w:val="single"/>
          <w:lang w:val="en-US" w:eastAsia="zh-CN"/>
        </w:rPr>
        <w:t>10</w:t>
      </w:r>
      <w:r>
        <w:rPr>
          <w:rFonts w:hint="eastAsia" w:ascii="仿宋" w:hAnsi="仿宋" w:eastAsia="仿宋"/>
          <w:sz w:val="28"/>
          <w:szCs w:val="28"/>
          <w:u w:val="single"/>
          <w:lang w:eastAsia="zh-CN"/>
        </w:rPr>
        <w:t xml:space="preserve">日16 ： 00 </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地点：乌鲁木齐市水磨沟区龙腾路万科大都会8号楼2207室</w:t>
      </w:r>
    </w:p>
    <w:p>
      <w:pPr>
        <w:pStyle w:val="5"/>
        <w:spacing w:line="360" w:lineRule="auto"/>
        <w:rPr>
          <w:rFonts w:ascii="黑体" w:hAnsi="黑体" w:cs="宋体"/>
          <w:b w:val="0"/>
          <w:sz w:val="28"/>
          <w:szCs w:val="28"/>
        </w:rPr>
      </w:pPr>
      <w:bookmarkStart w:id="22" w:name="_Toc35393803"/>
      <w:bookmarkStart w:id="23" w:name="_Toc35393634"/>
      <w:bookmarkStart w:id="24" w:name="_Toc28359017"/>
      <w:bookmarkStart w:id="25" w:name="_Toc28359094"/>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
      <w:pPr>
        <w:pStyle w:val="5"/>
        <w:spacing w:line="360" w:lineRule="auto"/>
        <w:rPr>
          <w:rFonts w:ascii="黑体" w:hAnsi="黑体" w:cs="宋体"/>
          <w:b w:val="0"/>
          <w:sz w:val="28"/>
          <w:szCs w:val="28"/>
        </w:rPr>
      </w:pPr>
      <w:bookmarkStart w:id="26" w:name="_Toc35393636"/>
      <w:bookmarkStart w:id="27" w:name="_Toc28359095"/>
      <w:bookmarkStart w:id="28" w:name="_Toc35393805"/>
      <w:bookmarkStart w:id="29" w:name="_Toc28359018"/>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6"/>
      <w:bookmarkEnd w:id="27"/>
      <w:bookmarkEnd w:id="28"/>
      <w:bookmarkEnd w:id="29"/>
    </w:p>
    <w:p>
      <w:pPr>
        <w:pStyle w:val="5"/>
        <w:spacing w:line="360" w:lineRule="auto"/>
        <w:ind w:firstLine="840" w:firstLineChars="300"/>
        <w:rPr>
          <w:rFonts w:ascii="仿宋" w:hAnsi="仿宋" w:eastAsia="仿宋" w:cs="宋体"/>
          <w:b w:val="0"/>
          <w:sz w:val="28"/>
          <w:szCs w:val="28"/>
        </w:rPr>
      </w:pPr>
      <w:bookmarkStart w:id="30" w:name="_Toc28359019"/>
      <w:bookmarkStart w:id="31" w:name="_Toc35393637"/>
      <w:bookmarkStart w:id="32" w:name="_Toc35393806"/>
      <w:bookmarkStart w:id="33" w:name="_Toc28359096"/>
      <w:r>
        <w:rPr>
          <w:rFonts w:hint="eastAsia" w:ascii="仿宋" w:hAnsi="仿宋" w:eastAsia="仿宋" w:cs="宋体"/>
          <w:b w:val="0"/>
          <w:sz w:val="28"/>
          <w:szCs w:val="28"/>
        </w:rPr>
        <w:t>1.采购人信息</w:t>
      </w:r>
      <w:bookmarkEnd w:id="30"/>
      <w:bookmarkEnd w:id="31"/>
      <w:bookmarkEnd w:id="32"/>
      <w:bookmarkEnd w:id="33"/>
    </w:p>
    <w:p>
      <w:pPr>
        <w:spacing w:line="360" w:lineRule="auto"/>
        <w:ind w:left="1166" w:leftChars="371" w:hanging="350" w:hangingChars="125"/>
        <w:jc w:val="left"/>
        <w:rPr>
          <w:rFonts w:hint="eastAsia" w:ascii="仿宋" w:hAnsi="仿宋" w:eastAsia="仿宋"/>
          <w:color w:val="auto"/>
          <w:sz w:val="28"/>
          <w:szCs w:val="28"/>
          <w:u w:val="single"/>
          <w:lang w:eastAsia="zh-CN"/>
        </w:rPr>
      </w:pPr>
      <w:r>
        <w:rPr>
          <w:rFonts w:hint="eastAsia" w:ascii="仿宋" w:hAnsi="仿宋" w:eastAsia="仿宋"/>
          <w:color w:val="auto"/>
          <w:sz w:val="28"/>
          <w:szCs w:val="28"/>
        </w:rPr>
        <w:t>名    称：</w:t>
      </w:r>
      <w:r>
        <w:rPr>
          <w:rFonts w:hint="eastAsia" w:ascii="仿宋" w:hAnsi="仿宋" w:eastAsia="仿宋"/>
          <w:color w:val="auto"/>
          <w:sz w:val="28"/>
          <w:szCs w:val="28"/>
          <w:u w:val="single"/>
        </w:rPr>
        <w:t>　乌鲁木齐市水磨沟区城市管理局（乌鲁木齐市水磨沟区城市管理行政执法局）</w:t>
      </w:r>
    </w:p>
    <w:p>
      <w:pPr>
        <w:spacing w:line="360" w:lineRule="auto"/>
        <w:ind w:left="1166" w:leftChars="371" w:hanging="350" w:hangingChars="125"/>
        <w:jc w:val="left"/>
        <w:rPr>
          <w:rFonts w:hint="eastAsia" w:ascii="仿宋" w:hAnsi="仿宋" w:eastAsia="仿宋"/>
          <w:color w:val="auto"/>
          <w:sz w:val="28"/>
          <w:szCs w:val="28"/>
          <w:u w:val="single"/>
        </w:rPr>
      </w:pPr>
      <w:r>
        <w:rPr>
          <w:rFonts w:hint="eastAsia" w:ascii="仿宋" w:hAnsi="仿宋" w:eastAsia="仿宋"/>
          <w:color w:val="auto"/>
          <w:sz w:val="28"/>
          <w:szCs w:val="28"/>
        </w:rPr>
        <w:t>地    址：</w:t>
      </w:r>
      <w:r>
        <w:rPr>
          <w:rFonts w:hint="eastAsia" w:ascii="仿宋" w:hAnsi="仿宋" w:eastAsia="仿宋"/>
          <w:color w:val="auto"/>
          <w:sz w:val="28"/>
          <w:szCs w:val="28"/>
          <w:u w:val="single"/>
        </w:rPr>
        <w:t>　</w:t>
      </w:r>
      <w:r>
        <w:rPr>
          <w:rFonts w:hint="eastAsia" w:ascii="仿宋" w:hAnsi="仿宋" w:eastAsia="仿宋"/>
          <w:color w:val="auto"/>
          <w:sz w:val="28"/>
          <w:szCs w:val="28"/>
          <w:u w:val="single"/>
          <w:lang w:eastAsia="zh-CN"/>
        </w:rPr>
        <w:t>乌鲁木齐</w:t>
      </w:r>
      <w:r>
        <w:rPr>
          <w:rFonts w:hint="eastAsia" w:ascii="仿宋" w:hAnsi="仿宋" w:eastAsia="仿宋"/>
          <w:color w:val="auto"/>
          <w:sz w:val="28"/>
          <w:szCs w:val="28"/>
          <w:u w:val="single"/>
        </w:rPr>
        <w:t> </w:t>
      </w:r>
    </w:p>
    <w:p>
      <w:pPr>
        <w:ind w:firstLine="840" w:firstLineChars="300"/>
        <w:rPr>
          <w:rFonts w:ascii="仿宋" w:hAnsi="仿宋" w:eastAsia="仿宋"/>
          <w:color w:val="auto"/>
          <w:sz w:val="28"/>
          <w:szCs w:val="28"/>
          <w:u w:val="single"/>
        </w:rPr>
      </w:pPr>
      <w:r>
        <w:rPr>
          <w:rFonts w:hint="eastAsia" w:ascii="仿宋" w:hAnsi="仿宋" w:eastAsia="仿宋"/>
          <w:color w:val="auto"/>
          <w:sz w:val="28"/>
          <w:szCs w:val="28"/>
        </w:rPr>
        <w:t>联系人：</w:t>
      </w:r>
      <w:r>
        <w:rPr>
          <w:rFonts w:hint="eastAsia" w:ascii="仿宋" w:hAnsi="仿宋" w:eastAsia="仿宋"/>
          <w:color w:val="auto"/>
          <w:sz w:val="28"/>
          <w:szCs w:val="28"/>
          <w:u w:val="single"/>
        </w:rPr>
        <w:t>　 兰鹏 　　　 　</w:t>
      </w:r>
    </w:p>
    <w:p>
      <w:pPr>
        <w:spacing w:line="360" w:lineRule="auto"/>
        <w:ind w:firstLine="840" w:firstLineChars="300"/>
        <w:jc w:val="left"/>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联系方式：</w:t>
      </w:r>
      <w:r>
        <w:rPr>
          <w:rFonts w:hint="eastAsia" w:ascii="仿宋" w:hAnsi="仿宋" w:eastAsia="仿宋"/>
          <w:color w:val="auto"/>
          <w:sz w:val="28"/>
          <w:szCs w:val="28"/>
          <w:u w:val="single"/>
        </w:rPr>
        <w:t>　</w:t>
      </w:r>
      <w:bookmarkStart w:id="34" w:name="_Toc28359097"/>
      <w:bookmarkStart w:id="35" w:name="_Toc28359020"/>
      <w:bookmarkStart w:id="36" w:name="_Toc35393807"/>
      <w:bookmarkStart w:id="37" w:name="_Toc35393638"/>
      <w:r>
        <w:rPr>
          <w:rFonts w:hint="eastAsia" w:ascii="仿宋" w:hAnsi="仿宋" w:eastAsia="仿宋"/>
          <w:color w:val="auto"/>
          <w:sz w:val="28"/>
          <w:szCs w:val="28"/>
          <w:u w:val="single"/>
        </w:rPr>
        <w:t>13579844492</w:t>
      </w:r>
    </w:p>
    <w:p>
      <w:pPr>
        <w:spacing w:line="360" w:lineRule="auto"/>
        <w:ind w:firstLine="843" w:firstLineChars="300"/>
        <w:jc w:val="left"/>
        <w:rPr>
          <w:rFonts w:ascii="仿宋" w:hAnsi="仿宋" w:eastAsia="仿宋" w:cs="宋体"/>
          <w:b/>
          <w:sz w:val="28"/>
          <w:szCs w:val="28"/>
        </w:rPr>
      </w:pPr>
      <w:r>
        <w:rPr>
          <w:rFonts w:hint="eastAsia" w:ascii="仿宋" w:hAnsi="仿宋" w:eastAsia="仿宋" w:cs="宋体"/>
          <w:b/>
          <w:sz w:val="28"/>
          <w:szCs w:val="28"/>
        </w:rPr>
        <w:t>2.采购代理机构信息</w:t>
      </w:r>
      <w:bookmarkEnd w:id="34"/>
      <w:bookmarkEnd w:id="35"/>
      <w:bookmarkEnd w:id="36"/>
      <w:bookmarkEnd w:id="37"/>
    </w:p>
    <w:p>
      <w:pPr>
        <w:pStyle w:val="14"/>
        <w:widowControl/>
        <w:spacing w:line="375" w:lineRule="atLeast"/>
        <w:ind w:left="367" w:leftChars="167" w:right="700" w:firstLine="560" w:firstLineChars="200"/>
        <w:jc w:val="both"/>
        <w:rPr>
          <w:rFonts w:ascii="宋体" w:hAnsi="宋体" w:cs="宋体"/>
          <w:color w:val="000000"/>
          <w:szCs w:val="24"/>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napToGrid/>
          <w:sz w:val="28"/>
          <w:szCs w:val="28"/>
          <w:u w:val="single"/>
        </w:rPr>
        <w:t>新疆丰源建设工程项目管理咨询有限公司</w:t>
      </w:r>
    </w:p>
    <w:p>
      <w:pPr>
        <w:pStyle w:val="14"/>
        <w:widowControl/>
        <w:spacing w:line="375" w:lineRule="atLeast"/>
        <w:ind w:left="367" w:leftChars="167" w:right="700" w:firstLine="480" w:firstLineChars="200"/>
        <w:jc w:val="right"/>
        <w:rPr>
          <w:rFonts w:ascii="宋体" w:hAnsi="宋体" w:cs="宋体"/>
          <w:color w:val="000000"/>
          <w:szCs w:val="24"/>
        </w:rPr>
      </w:pPr>
    </w:p>
    <w:p>
      <w:pPr>
        <w:ind w:firstLine="840" w:firstLineChars="300"/>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乌鲁木齐市水磨沟区红光山路2588号绿地中心领海501室</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15160911314</w:t>
      </w:r>
      <w:r>
        <w:rPr>
          <w:rFonts w:hint="eastAsia" w:ascii="仿宋" w:hAnsi="仿宋" w:eastAsia="仿宋"/>
          <w:sz w:val="28"/>
          <w:szCs w:val="28"/>
          <w:u w:val="single"/>
        </w:rPr>
        <w:t xml:space="preserve">   0991-2350363　　　　　　　　　</w:t>
      </w:r>
    </w:p>
    <w:p>
      <w:pPr>
        <w:pStyle w:val="5"/>
        <w:spacing w:line="360" w:lineRule="auto"/>
        <w:ind w:firstLine="840" w:firstLineChars="300"/>
        <w:rPr>
          <w:rFonts w:ascii="仿宋" w:hAnsi="仿宋" w:eastAsia="仿宋" w:cs="宋体"/>
          <w:b w:val="0"/>
          <w:sz w:val="28"/>
          <w:szCs w:val="28"/>
        </w:rPr>
      </w:pPr>
      <w:bookmarkStart w:id="38" w:name="_Toc35393639"/>
      <w:bookmarkStart w:id="39" w:name="_Toc35393808"/>
      <w:bookmarkStart w:id="40" w:name="_Toc28359098"/>
      <w:bookmarkStart w:id="41" w:name="_Toc28359021"/>
      <w:r>
        <w:rPr>
          <w:rFonts w:hint="eastAsia" w:ascii="仿宋" w:hAnsi="仿宋" w:eastAsia="仿宋" w:cs="宋体"/>
          <w:b w:val="0"/>
          <w:sz w:val="28"/>
          <w:szCs w:val="28"/>
        </w:rPr>
        <w:t>3.项目联系</w:t>
      </w:r>
      <w:r>
        <w:rPr>
          <w:rFonts w:ascii="仿宋" w:hAnsi="仿宋" w:eastAsia="仿宋" w:cs="宋体"/>
          <w:b w:val="0"/>
          <w:sz w:val="28"/>
          <w:szCs w:val="28"/>
        </w:rPr>
        <w:t>方式</w:t>
      </w:r>
      <w:bookmarkEnd w:id="38"/>
      <w:bookmarkEnd w:id="39"/>
      <w:bookmarkEnd w:id="40"/>
      <w:bookmarkEnd w:id="41"/>
    </w:p>
    <w:p>
      <w:pPr>
        <w:pStyle w:val="9"/>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lang w:eastAsia="zh-CN"/>
        </w:rPr>
        <w:t>张</w:t>
      </w:r>
      <w:r>
        <w:rPr>
          <w:rFonts w:hint="eastAsia" w:ascii="仿宋" w:hAnsi="仿宋" w:eastAsia="仿宋"/>
          <w:sz w:val="28"/>
          <w:szCs w:val="28"/>
          <w:u w:val="single"/>
        </w:rPr>
        <w:t>工</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r>
        <w:rPr>
          <w:rFonts w:hint="eastAsia" w:ascii="仿宋" w:hAnsi="仿宋" w:eastAsia="仿宋"/>
          <w:sz w:val="28"/>
          <w:szCs w:val="28"/>
          <w:u w:val="single"/>
          <w:lang w:val="en-US" w:eastAsia="zh-CN"/>
        </w:rPr>
        <w:t>15160911314</w:t>
      </w:r>
      <w:r>
        <w:rPr>
          <w:rFonts w:hint="eastAsia" w:ascii="仿宋" w:hAnsi="仿宋" w:eastAsia="仿宋"/>
          <w:sz w:val="28"/>
          <w:szCs w:val="28"/>
          <w:u w:val="single"/>
        </w:rPr>
        <w:t xml:space="preserve">    0991-2350363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财政监督电话：0991-2359482</w:t>
      </w:r>
    </w:p>
    <w:p>
      <w:pPr>
        <w:pStyle w:val="2"/>
        <w:numPr>
          <w:ilvl w:val="0"/>
          <w:numId w:val="0"/>
        </w:numPr>
        <w:rPr>
          <w:rFonts w:ascii="幼圆" w:hAnsi="宋体" w:eastAsia="幼圆"/>
          <w:color w:val="000000"/>
          <w:sz w:val="24"/>
        </w:rPr>
      </w:pPr>
    </w:p>
    <w:p>
      <w:pPr>
        <w:pStyle w:val="2"/>
        <w:numPr>
          <w:ilvl w:val="0"/>
          <w:numId w:val="0"/>
        </w:numPr>
        <w:rPr>
          <w:rFonts w:ascii="幼圆" w:hAnsi="宋体" w:eastAsia="幼圆"/>
          <w:color w:val="000000"/>
          <w:sz w:val="24"/>
        </w:rPr>
      </w:pPr>
    </w:p>
    <w:p>
      <w:pPr>
        <w:pStyle w:val="2"/>
        <w:numPr>
          <w:ilvl w:val="0"/>
          <w:numId w:val="0"/>
        </w:numPr>
        <w:rPr>
          <w:rFonts w:ascii="幼圆" w:hAnsi="宋体" w:eastAsia="幼圆"/>
          <w:color w:val="000000"/>
          <w:sz w:val="24"/>
        </w:rPr>
      </w:pPr>
    </w:p>
    <w:p>
      <w:pPr>
        <w:pStyle w:val="2"/>
        <w:numPr>
          <w:ilvl w:val="0"/>
          <w:numId w:val="0"/>
        </w:numPr>
        <w:jc w:val="both"/>
        <w:rPr>
          <w:rFonts w:ascii="幼圆" w:hAnsi="宋体" w:eastAsia="幼圆"/>
          <w:color w:val="000000"/>
          <w:sz w:val="24"/>
        </w:rPr>
      </w:pPr>
    </w:p>
    <w:p>
      <w:pPr>
        <w:spacing w:line="600" w:lineRule="exact"/>
        <w:jc w:val="center"/>
        <w:rPr>
          <w:rFonts w:ascii="幼圆" w:hAnsi="宋体" w:eastAsia="幼圆"/>
          <w:color w:val="000000"/>
          <w:sz w:val="24"/>
        </w:rPr>
      </w:pPr>
      <w:r>
        <w:rPr>
          <w:rFonts w:hint="eastAsia" w:ascii="幼圆" w:hAnsi="宋体" w:eastAsia="幼圆"/>
          <w:color w:val="000000"/>
          <w:sz w:val="24"/>
        </w:rPr>
        <w:t>目    录</w:t>
      </w:r>
    </w:p>
    <w:p>
      <w:pPr>
        <w:widowControl w:val="0"/>
        <w:adjustRightInd/>
        <w:snapToGrid/>
        <w:spacing w:after="0" w:line="600" w:lineRule="exact"/>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第一章  招标书</w:t>
      </w:r>
    </w:p>
    <w:p>
      <w:pPr>
        <w:widowControl w:val="0"/>
        <w:adjustRightInd/>
        <w:snapToGrid/>
        <w:spacing w:after="0" w:line="600" w:lineRule="exact"/>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第二章  投标人须知</w:t>
      </w:r>
    </w:p>
    <w:p>
      <w:pPr>
        <w:widowControl w:val="0"/>
        <w:adjustRightInd/>
        <w:snapToGrid/>
        <w:spacing w:after="0" w:line="600" w:lineRule="exact"/>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第三章  招标货物清单</w:t>
      </w:r>
    </w:p>
    <w:p>
      <w:pPr>
        <w:widowControl w:val="0"/>
        <w:adjustRightInd/>
        <w:snapToGrid/>
        <w:spacing w:after="0" w:line="600" w:lineRule="exact"/>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第四章  招标货物要求</w:t>
      </w:r>
    </w:p>
    <w:p>
      <w:pPr>
        <w:widowControl w:val="0"/>
        <w:adjustRightInd/>
        <w:snapToGrid/>
        <w:spacing w:after="0" w:line="600" w:lineRule="exact"/>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第五章  合同条款</w:t>
      </w:r>
    </w:p>
    <w:p>
      <w:pPr>
        <w:widowControl w:val="0"/>
        <w:adjustRightInd/>
        <w:snapToGrid/>
        <w:spacing w:after="0" w:line="600" w:lineRule="exact"/>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第六章  磋商响应文件格式</w:t>
      </w:r>
    </w:p>
    <w:p>
      <w:pPr>
        <w:widowControl w:val="0"/>
        <w:adjustRightInd/>
        <w:snapToGrid/>
        <w:spacing w:after="0" w:line="600" w:lineRule="exact"/>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一、投标书</w:t>
      </w:r>
    </w:p>
    <w:p>
      <w:pPr>
        <w:widowControl w:val="0"/>
        <w:adjustRightInd/>
        <w:snapToGrid/>
        <w:spacing w:after="0" w:line="600" w:lineRule="exact"/>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二、开标一览表</w:t>
      </w:r>
    </w:p>
    <w:p>
      <w:pPr>
        <w:widowControl w:val="0"/>
        <w:adjustRightInd/>
        <w:snapToGrid/>
        <w:spacing w:after="0" w:line="600" w:lineRule="exact"/>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三、投标材料报价表</w:t>
      </w:r>
    </w:p>
    <w:p>
      <w:pPr>
        <w:widowControl w:val="0"/>
        <w:adjustRightInd/>
        <w:snapToGrid/>
        <w:spacing w:after="0" w:line="600" w:lineRule="exact"/>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四、法定代表人授权委托书</w:t>
      </w:r>
    </w:p>
    <w:p>
      <w:pPr>
        <w:widowControl w:val="0"/>
        <w:adjustRightInd/>
        <w:snapToGrid/>
        <w:spacing w:after="0" w:line="600" w:lineRule="exact"/>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五、制造商的资格声明</w:t>
      </w:r>
    </w:p>
    <w:p>
      <w:pPr>
        <w:widowControl w:val="0"/>
        <w:adjustRightInd/>
        <w:snapToGrid/>
        <w:spacing w:after="0" w:line="600" w:lineRule="exact"/>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六、货物性能说明及资料</w:t>
      </w:r>
    </w:p>
    <w:p>
      <w:pPr>
        <w:widowControl w:val="0"/>
        <w:adjustRightInd/>
        <w:snapToGrid/>
        <w:spacing w:after="0" w:line="600" w:lineRule="exact"/>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七、货物生产制造措施说明</w:t>
      </w:r>
    </w:p>
    <w:p>
      <w:pPr>
        <w:widowControl w:val="0"/>
        <w:adjustRightInd/>
        <w:snapToGrid/>
        <w:spacing w:after="0" w:line="600" w:lineRule="exact"/>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八、质量保证体系说明及资料</w:t>
      </w:r>
    </w:p>
    <w:p>
      <w:pPr>
        <w:widowControl w:val="0"/>
        <w:adjustRightInd/>
        <w:snapToGrid/>
        <w:spacing w:after="0" w:line="600" w:lineRule="exact"/>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九、技术服务措施及承诺</w:t>
      </w:r>
    </w:p>
    <w:p>
      <w:pPr>
        <w:widowControl w:val="0"/>
        <w:adjustRightInd/>
        <w:snapToGrid/>
        <w:spacing w:after="0" w:line="600" w:lineRule="exact"/>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十、近三年类似业绩表</w:t>
      </w:r>
    </w:p>
    <w:p>
      <w:pPr>
        <w:widowControl w:val="0"/>
        <w:adjustRightInd/>
        <w:snapToGrid/>
        <w:spacing w:after="0" w:line="600" w:lineRule="exact"/>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十一、合理化建议</w:t>
      </w:r>
    </w:p>
    <w:p>
      <w:pPr>
        <w:widowControl w:val="0"/>
        <w:adjustRightInd/>
        <w:snapToGrid/>
        <w:spacing w:after="0" w:line="600" w:lineRule="exact"/>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附件一：合同条款偏离表及说明</w:t>
      </w:r>
    </w:p>
    <w:p>
      <w:pPr>
        <w:widowControl w:val="0"/>
        <w:adjustRightInd/>
        <w:snapToGrid/>
        <w:spacing w:after="0" w:line="600" w:lineRule="exact"/>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附件二：投标货物技术偏离表及说明</w:t>
      </w:r>
    </w:p>
    <w:p>
      <w:pPr>
        <w:spacing w:line="460" w:lineRule="exact"/>
        <w:rPr>
          <w:rFonts w:ascii="宋体" w:hAnsi="宋体"/>
          <w:b/>
          <w:bCs/>
          <w:color w:val="000000"/>
          <w:sz w:val="24"/>
        </w:rPr>
      </w:pPr>
    </w:p>
    <w:p>
      <w:pPr>
        <w:spacing w:line="460" w:lineRule="exact"/>
        <w:rPr>
          <w:rFonts w:ascii="宋体" w:hAnsi="宋体"/>
          <w:b/>
          <w:bCs/>
          <w:color w:val="000000"/>
          <w:sz w:val="24"/>
        </w:rPr>
      </w:pPr>
    </w:p>
    <w:p>
      <w:pPr>
        <w:spacing w:line="460" w:lineRule="exact"/>
        <w:rPr>
          <w:rFonts w:ascii="宋体" w:hAnsi="宋体"/>
          <w:b/>
          <w:bCs/>
          <w:color w:val="000000"/>
          <w:sz w:val="24"/>
        </w:rPr>
      </w:pPr>
    </w:p>
    <w:p>
      <w:pPr>
        <w:spacing w:line="460" w:lineRule="exact"/>
        <w:jc w:val="center"/>
        <w:rPr>
          <w:rFonts w:ascii="宋体" w:hAnsi="宋体"/>
          <w:b/>
          <w:bCs/>
          <w:color w:val="000000"/>
          <w:sz w:val="24"/>
        </w:rPr>
      </w:pPr>
      <w:r>
        <w:rPr>
          <w:rFonts w:hint="eastAsia" w:ascii="宋体" w:hAnsi="宋体"/>
          <w:b/>
          <w:bCs/>
          <w:color w:val="000000"/>
          <w:sz w:val="24"/>
        </w:rPr>
        <w:t>第一章 招标书</w:t>
      </w:r>
    </w:p>
    <w:p>
      <w:pPr>
        <w:widowControl w:val="0"/>
        <w:adjustRightInd/>
        <w:snapToGrid/>
        <w:spacing w:after="0"/>
        <w:ind w:left="480" w:hanging="480" w:hangingChars="200"/>
        <w:rPr>
          <w:rFonts w:ascii="宋体" w:hAnsi="宋体" w:eastAsia="宋体" w:cs="Times New Roman"/>
          <w:color w:val="000000"/>
          <w:kern w:val="2"/>
          <w:sz w:val="24"/>
          <w:szCs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eastAsia="宋体" w:cs="Times New Roman"/>
          <w:color w:val="000000"/>
          <w:kern w:val="2"/>
          <w:sz w:val="24"/>
          <w:szCs w:val="24"/>
        </w:rPr>
        <w:t>新疆丰源建设工程项目管理咨询有限公司</w:t>
      </w:r>
      <w:r>
        <w:rPr>
          <w:rFonts w:ascii="宋体" w:hAnsi="宋体" w:eastAsia="宋体" w:cs="Times New Roman"/>
          <w:color w:val="000000"/>
          <w:kern w:val="2"/>
          <w:sz w:val="24"/>
          <w:szCs w:val="24"/>
        </w:rPr>
        <w:t>受</w:t>
      </w:r>
      <w:r>
        <w:rPr>
          <w:rFonts w:hint="eastAsia" w:ascii="宋体" w:hAnsi="宋体" w:eastAsia="宋体" w:cs="Times New Roman"/>
          <w:color w:val="000000"/>
          <w:kern w:val="2"/>
          <w:sz w:val="24"/>
          <w:szCs w:val="24"/>
          <w:lang w:eastAsia="zh-CN"/>
        </w:rPr>
        <w:t>乌鲁木齐市水磨沟区城市管理局（乌鲁木齐市水磨沟区城市管理行政执法局）</w:t>
      </w:r>
      <w:r>
        <w:rPr>
          <w:rFonts w:ascii="宋体" w:hAnsi="宋体" w:eastAsia="宋体" w:cs="Times New Roman"/>
          <w:color w:val="000000"/>
          <w:kern w:val="2"/>
          <w:sz w:val="24"/>
          <w:szCs w:val="24"/>
        </w:rPr>
        <w:t>的委托，</w:t>
      </w:r>
      <w:r>
        <w:rPr>
          <w:rFonts w:hint="eastAsia" w:ascii="宋体" w:hAnsi="宋体" w:eastAsia="宋体" w:cs="Times New Roman"/>
          <w:color w:val="000000"/>
          <w:kern w:val="2"/>
          <w:sz w:val="24"/>
          <w:szCs w:val="24"/>
        </w:rPr>
        <w:t>对</w:t>
      </w:r>
      <w:r>
        <w:rPr>
          <w:rFonts w:hint="eastAsia" w:ascii="宋体" w:hAnsi="宋体" w:eastAsia="宋体" w:cs="Times New Roman"/>
          <w:color w:val="000000"/>
          <w:kern w:val="2"/>
          <w:sz w:val="24"/>
          <w:szCs w:val="24"/>
          <w:lang w:eastAsia="zh-CN"/>
        </w:rPr>
        <w:t>乌鲁木齐市水磨沟区城市管理局（乌鲁木齐市水磨沟区城市管理行政执法局）12月防疫物资采购项目</w:t>
      </w:r>
      <w:r>
        <w:rPr>
          <w:rFonts w:hint="eastAsia" w:ascii="宋体" w:hAnsi="宋体" w:eastAsia="宋体" w:cs="Times New Roman"/>
          <w:color w:val="000000"/>
          <w:kern w:val="2"/>
          <w:sz w:val="24"/>
          <w:szCs w:val="24"/>
        </w:rPr>
        <w:t>进行竞争性磋商招标。</w:t>
      </w:r>
    </w:p>
    <w:p>
      <w:pPr>
        <w:widowControl w:val="0"/>
        <w:adjustRightInd/>
        <w:snapToGrid/>
        <w:spacing w:after="0"/>
        <w:rPr>
          <w:rFonts w:ascii="宋体" w:hAnsi="宋体" w:eastAsia="宋体" w:cs="Times New Roman"/>
          <w:color w:val="000000"/>
          <w:kern w:val="2"/>
          <w:sz w:val="24"/>
          <w:szCs w:val="24"/>
        </w:rPr>
      </w:pPr>
      <w:r>
        <w:rPr>
          <w:rFonts w:ascii="宋体" w:hAnsi="宋体" w:eastAsia="宋体" w:cs="Times New Roman"/>
          <w:color w:val="000000"/>
          <w:kern w:val="2"/>
          <w:sz w:val="24"/>
          <w:szCs w:val="24"/>
        </w:rPr>
        <w:t xml:space="preserve">    </w:t>
      </w:r>
      <w:r>
        <w:rPr>
          <w:rFonts w:hint="eastAsia" w:ascii="宋体" w:hAnsi="宋体" w:eastAsia="宋体" w:cs="Times New Roman"/>
          <w:color w:val="000000"/>
          <w:kern w:val="2"/>
          <w:sz w:val="24"/>
          <w:szCs w:val="24"/>
        </w:rPr>
        <w:t>一</w:t>
      </w:r>
      <w:r>
        <w:rPr>
          <w:rFonts w:ascii="宋体" w:hAnsi="宋体" w:eastAsia="宋体" w:cs="Times New Roman"/>
          <w:color w:val="000000"/>
          <w:kern w:val="2"/>
          <w:sz w:val="24"/>
          <w:szCs w:val="24"/>
        </w:rPr>
        <w:t>、招标内容：</w:t>
      </w:r>
    </w:p>
    <w:p>
      <w:pPr>
        <w:widowControl w:val="0"/>
        <w:adjustRightInd/>
        <w:snapToGrid/>
        <w:spacing w:after="0"/>
        <w:rPr>
          <w:rFonts w:ascii="宋体" w:hAnsi="宋体" w:eastAsia="宋体" w:cs="Times New Roman"/>
          <w:color w:val="000000"/>
          <w:kern w:val="2"/>
          <w:sz w:val="24"/>
          <w:szCs w:val="24"/>
        </w:rPr>
      </w:pPr>
      <w:r>
        <w:rPr>
          <w:rFonts w:ascii="宋体" w:hAnsi="宋体" w:eastAsia="宋体" w:cs="Times New Roman"/>
          <w:color w:val="000000"/>
          <w:kern w:val="2"/>
          <w:sz w:val="24"/>
          <w:szCs w:val="24"/>
        </w:rPr>
        <w:t xml:space="preserve">    </w:t>
      </w:r>
      <w:r>
        <w:rPr>
          <w:rFonts w:hint="eastAsia" w:ascii="宋体" w:hAnsi="宋体" w:eastAsia="宋体" w:cs="Times New Roman"/>
          <w:color w:val="000000"/>
          <w:kern w:val="2"/>
          <w:sz w:val="24"/>
          <w:szCs w:val="24"/>
          <w:lang w:eastAsia="zh-CN"/>
        </w:rPr>
        <w:t>乌鲁木齐市水磨沟区城市管理局（乌鲁木齐市水磨沟区城市管理行政执法局）12月防疫物资采购项目</w:t>
      </w:r>
      <w:r>
        <w:rPr>
          <w:rFonts w:hint="eastAsia" w:ascii="宋体" w:hAnsi="宋体" w:eastAsia="宋体" w:cs="Times New Roman"/>
          <w:color w:val="000000"/>
          <w:kern w:val="2"/>
          <w:sz w:val="24"/>
          <w:szCs w:val="24"/>
        </w:rPr>
        <w:t>招标文件全部内容(详见招标文件)；</w:t>
      </w:r>
    </w:p>
    <w:p>
      <w:pPr>
        <w:widowControl w:val="0"/>
        <w:adjustRightInd/>
        <w:snapToGrid/>
        <w:spacing w:after="0"/>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二</w:t>
      </w:r>
      <w:r>
        <w:rPr>
          <w:rFonts w:ascii="宋体" w:hAnsi="宋体" w:eastAsia="宋体" w:cs="Times New Roman"/>
          <w:color w:val="000000"/>
          <w:kern w:val="2"/>
          <w:sz w:val="24"/>
          <w:szCs w:val="24"/>
        </w:rPr>
        <w:t>、投标要求及说明：</w:t>
      </w:r>
    </w:p>
    <w:p>
      <w:pPr>
        <w:widowControl w:val="0"/>
        <w:adjustRightInd/>
        <w:snapToGrid/>
        <w:spacing w:after="0"/>
        <w:rPr>
          <w:rFonts w:ascii="宋体" w:hAnsi="宋体" w:eastAsia="宋体" w:cs="Times New Roman"/>
          <w:color w:val="000000"/>
          <w:kern w:val="2"/>
          <w:sz w:val="24"/>
          <w:szCs w:val="24"/>
        </w:rPr>
      </w:pPr>
      <w:r>
        <w:rPr>
          <w:rFonts w:ascii="宋体" w:hAnsi="宋体" w:eastAsia="宋体" w:cs="Times New Roman"/>
          <w:color w:val="000000"/>
          <w:kern w:val="2"/>
          <w:sz w:val="24"/>
          <w:szCs w:val="24"/>
        </w:rPr>
        <w:t>本次招标设标底。</w:t>
      </w:r>
    </w:p>
    <w:p>
      <w:pPr>
        <w:widowControl w:val="0"/>
        <w:adjustRightInd/>
        <w:snapToGrid/>
        <w:spacing w:after="0"/>
        <w:rPr>
          <w:rFonts w:ascii="宋体" w:hAnsi="宋体" w:eastAsia="宋体" w:cs="Times New Roman"/>
          <w:color w:val="000000"/>
          <w:kern w:val="2"/>
          <w:sz w:val="24"/>
          <w:szCs w:val="24"/>
        </w:rPr>
      </w:pPr>
      <w:r>
        <w:rPr>
          <w:rFonts w:ascii="宋体" w:hAnsi="宋体" w:eastAsia="宋体" w:cs="Times New Roman"/>
          <w:color w:val="000000"/>
          <w:kern w:val="2"/>
          <w:sz w:val="24"/>
          <w:szCs w:val="24"/>
        </w:rPr>
        <w:t>投标人应</w:t>
      </w:r>
      <w:r>
        <w:rPr>
          <w:rFonts w:hint="eastAsia" w:ascii="宋体" w:hAnsi="宋体" w:eastAsia="宋体" w:cs="Times New Roman"/>
          <w:color w:val="000000"/>
          <w:kern w:val="2"/>
          <w:sz w:val="24"/>
          <w:szCs w:val="24"/>
        </w:rPr>
        <w:t>针对本</w:t>
      </w:r>
      <w:r>
        <w:rPr>
          <w:rFonts w:ascii="宋体" w:hAnsi="宋体" w:eastAsia="宋体" w:cs="Times New Roman"/>
          <w:color w:val="000000"/>
          <w:kern w:val="2"/>
          <w:sz w:val="24"/>
          <w:szCs w:val="24"/>
        </w:rPr>
        <w:t>招标内容进行投标。</w:t>
      </w:r>
    </w:p>
    <w:p>
      <w:pPr>
        <w:widowControl w:val="0"/>
        <w:adjustRightInd/>
        <w:snapToGrid/>
        <w:spacing w:after="0"/>
        <w:rPr>
          <w:rFonts w:ascii="宋体" w:hAnsi="宋体" w:eastAsia="宋体" w:cs="Times New Roman"/>
          <w:color w:val="000000"/>
          <w:kern w:val="2"/>
          <w:sz w:val="24"/>
          <w:szCs w:val="24"/>
        </w:rPr>
      </w:pPr>
      <w:r>
        <w:rPr>
          <w:rFonts w:ascii="宋体" w:hAnsi="宋体" w:eastAsia="宋体" w:cs="Times New Roman"/>
          <w:color w:val="000000"/>
          <w:kern w:val="2"/>
          <w:sz w:val="24"/>
          <w:szCs w:val="24"/>
        </w:rPr>
        <w:t>各部分货物均应</w:t>
      </w:r>
      <w:r>
        <w:rPr>
          <w:rFonts w:hint="eastAsia" w:ascii="宋体" w:hAnsi="宋体" w:eastAsia="宋体" w:cs="Times New Roman"/>
          <w:color w:val="000000"/>
          <w:kern w:val="2"/>
          <w:sz w:val="24"/>
          <w:szCs w:val="24"/>
        </w:rPr>
        <w:t>报价，包括：原材料及生产制造、检验、包装、保险、税、管理及运至招标人指定地点所发生的各项费用。</w:t>
      </w:r>
    </w:p>
    <w:p>
      <w:pPr>
        <w:widowControl w:val="0"/>
        <w:adjustRightInd/>
        <w:snapToGrid/>
        <w:spacing w:after="0"/>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4．</w:t>
      </w:r>
      <w:r>
        <w:rPr>
          <w:rFonts w:ascii="宋体" w:hAnsi="宋体" w:eastAsia="宋体" w:cs="Times New Roman"/>
          <w:color w:val="000000"/>
          <w:kern w:val="2"/>
          <w:sz w:val="24"/>
          <w:szCs w:val="24"/>
        </w:rPr>
        <w:t>投标人必须在</w:t>
      </w:r>
      <w:r>
        <w:rPr>
          <w:rFonts w:hint="eastAsia" w:ascii="宋体" w:hAnsi="宋体" w:eastAsia="宋体" w:cs="Times New Roman"/>
          <w:color w:val="000000"/>
          <w:kern w:val="2"/>
          <w:sz w:val="24"/>
          <w:szCs w:val="24"/>
        </w:rPr>
        <w:t>磋商响应文件</w:t>
      </w:r>
      <w:r>
        <w:rPr>
          <w:rFonts w:ascii="宋体" w:hAnsi="宋体" w:eastAsia="宋体" w:cs="Times New Roman"/>
          <w:color w:val="000000"/>
          <w:kern w:val="2"/>
          <w:sz w:val="24"/>
          <w:szCs w:val="24"/>
        </w:rPr>
        <w:t>中对所投</w:t>
      </w:r>
      <w:r>
        <w:rPr>
          <w:rFonts w:hint="eastAsia" w:ascii="宋体" w:hAnsi="宋体" w:eastAsia="宋体" w:cs="Times New Roman"/>
          <w:color w:val="000000"/>
          <w:kern w:val="2"/>
          <w:sz w:val="24"/>
          <w:szCs w:val="24"/>
        </w:rPr>
        <w:t>材料</w:t>
      </w:r>
      <w:r>
        <w:rPr>
          <w:rFonts w:ascii="宋体" w:hAnsi="宋体" w:eastAsia="宋体" w:cs="Times New Roman"/>
          <w:color w:val="000000"/>
          <w:kern w:val="2"/>
          <w:sz w:val="24"/>
          <w:szCs w:val="24"/>
        </w:rPr>
        <w:t>的材质、型号、规格、技</w:t>
      </w:r>
      <w:r>
        <w:rPr>
          <w:rFonts w:hint="eastAsia" w:ascii="宋体" w:hAnsi="宋体" w:eastAsia="宋体" w:cs="Times New Roman"/>
          <w:color w:val="000000"/>
          <w:kern w:val="2"/>
          <w:sz w:val="24"/>
          <w:szCs w:val="24"/>
        </w:rPr>
        <w:t>术参数及主要性能、特点及生产厂家概况予以说明。</w:t>
      </w:r>
    </w:p>
    <w:p>
      <w:pPr>
        <w:widowControl w:val="0"/>
        <w:adjustRightInd/>
        <w:snapToGrid/>
        <w:spacing w:after="0"/>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5．</w:t>
      </w:r>
      <w:r>
        <w:rPr>
          <w:rFonts w:ascii="宋体" w:hAnsi="宋体" w:eastAsia="宋体" w:cs="Times New Roman"/>
          <w:color w:val="000000"/>
          <w:kern w:val="2"/>
          <w:sz w:val="24"/>
          <w:szCs w:val="24"/>
        </w:rPr>
        <w:t>货物交货方式、地点、交货期</w:t>
      </w:r>
      <w:r>
        <w:rPr>
          <w:rFonts w:hint="eastAsia" w:ascii="宋体" w:hAnsi="宋体" w:eastAsia="宋体" w:cs="Times New Roman"/>
          <w:color w:val="000000"/>
          <w:kern w:val="2"/>
          <w:sz w:val="24"/>
          <w:szCs w:val="24"/>
        </w:rPr>
        <w:t xml:space="preserve"> </w:t>
      </w:r>
    </w:p>
    <w:p>
      <w:pPr>
        <w:widowControl w:val="0"/>
        <w:adjustRightInd/>
        <w:snapToGrid/>
        <w:spacing w:after="0"/>
        <w:rPr>
          <w:rFonts w:ascii="宋体" w:hAnsi="宋体" w:eastAsia="宋体" w:cs="Times New Roman"/>
          <w:color w:val="000000"/>
          <w:kern w:val="2"/>
          <w:sz w:val="24"/>
          <w:szCs w:val="24"/>
        </w:rPr>
      </w:pPr>
      <w:r>
        <w:rPr>
          <w:rFonts w:ascii="宋体" w:hAnsi="宋体" w:eastAsia="宋体" w:cs="Times New Roman"/>
          <w:color w:val="000000"/>
          <w:kern w:val="2"/>
          <w:sz w:val="24"/>
          <w:szCs w:val="24"/>
        </w:rPr>
        <w:t xml:space="preserve">    5.1要求交货日期：</w:t>
      </w:r>
      <w:r>
        <w:rPr>
          <w:rFonts w:hint="eastAsia" w:ascii="宋体" w:hAnsi="宋体" w:eastAsia="宋体" w:cs="Times New Roman"/>
          <w:color w:val="000000"/>
          <w:kern w:val="2"/>
          <w:sz w:val="24"/>
          <w:szCs w:val="24"/>
        </w:rPr>
        <w:t>投标人在与招标人签订合同后</w:t>
      </w:r>
      <w:r>
        <w:rPr>
          <w:rFonts w:hint="eastAsia" w:ascii="宋体" w:hAnsi="宋体" w:eastAsia="宋体" w:cs="Times New Roman"/>
          <w:color w:val="000000"/>
          <w:kern w:val="2"/>
          <w:sz w:val="24"/>
          <w:szCs w:val="24"/>
          <w:lang w:val="en-US" w:eastAsia="zh-CN"/>
        </w:rPr>
        <w:t>7</w:t>
      </w:r>
      <w:r>
        <w:rPr>
          <w:rFonts w:hint="eastAsia" w:ascii="宋体" w:hAnsi="宋体" w:eastAsia="宋体" w:cs="Times New Roman"/>
          <w:color w:val="000000"/>
          <w:kern w:val="2"/>
          <w:sz w:val="24"/>
          <w:szCs w:val="24"/>
        </w:rPr>
        <w:t>日历日内完成。</w:t>
      </w:r>
    </w:p>
    <w:p>
      <w:pPr>
        <w:widowControl w:val="0"/>
        <w:adjustRightInd/>
        <w:snapToGrid/>
        <w:spacing w:after="0"/>
        <w:rPr>
          <w:rFonts w:ascii="宋体" w:hAnsi="宋体" w:eastAsia="宋体" w:cs="Times New Roman"/>
          <w:color w:val="000000"/>
          <w:kern w:val="2"/>
          <w:sz w:val="24"/>
          <w:szCs w:val="24"/>
        </w:rPr>
      </w:pPr>
      <w:r>
        <w:rPr>
          <w:rFonts w:ascii="宋体" w:hAnsi="宋体" w:eastAsia="宋体" w:cs="Times New Roman"/>
          <w:color w:val="000000"/>
          <w:kern w:val="2"/>
          <w:sz w:val="24"/>
          <w:szCs w:val="24"/>
        </w:rPr>
        <w:t xml:space="preserve">    5.2中标人应在要求的交货期内将本次招标的</w:t>
      </w:r>
      <w:r>
        <w:rPr>
          <w:rFonts w:hint="eastAsia" w:ascii="宋体" w:hAnsi="宋体" w:eastAsia="宋体" w:cs="Times New Roman"/>
          <w:color w:val="000000"/>
          <w:kern w:val="2"/>
          <w:sz w:val="24"/>
          <w:szCs w:val="24"/>
        </w:rPr>
        <w:t>所有</w:t>
      </w:r>
      <w:r>
        <w:rPr>
          <w:rFonts w:ascii="宋体" w:hAnsi="宋体" w:eastAsia="宋体" w:cs="Times New Roman"/>
          <w:color w:val="000000"/>
          <w:kern w:val="2"/>
          <w:sz w:val="24"/>
          <w:szCs w:val="24"/>
        </w:rPr>
        <w:t>货物运至</w:t>
      </w:r>
      <w:r>
        <w:rPr>
          <w:rFonts w:hint="eastAsia" w:ascii="宋体" w:hAnsi="宋体" w:eastAsia="宋体" w:cs="Times New Roman"/>
          <w:color w:val="000000"/>
          <w:kern w:val="2"/>
          <w:sz w:val="24"/>
          <w:szCs w:val="24"/>
        </w:rPr>
        <w:t>招标人指定的地点。</w:t>
      </w:r>
    </w:p>
    <w:p>
      <w:pPr>
        <w:widowControl w:val="0"/>
        <w:adjustRightInd/>
        <w:snapToGrid/>
        <w:spacing w:after="0"/>
        <w:rPr>
          <w:rFonts w:ascii="宋体" w:hAnsi="宋体" w:eastAsia="宋体" w:cs="Times New Roman"/>
          <w:color w:val="000000"/>
          <w:kern w:val="2"/>
          <w:sz w:val="24"/>
          <w:szCs w:val="24"/>
        </w:rPr>
      </w:pPr>
      <w:r>
        <w:rPr>
          <w:rFonts w:ascii="宋体" w:hAnsi="宋体" w:eastAsia="宋体" w:cs="Times New Roman"/>
          <w:color w:val="000000"/>
          <w:kern w:val="2"/>
          <w:sz w:val="24"/>
          <w:szCs w:val="24"/>
        </w:rPr>
        <w:t xml:space="preserve">    6</w:t>
      </w:r>
      <w:r>
        <w:rPr>
          <w:rFonts w:hint="eastAsia" w:ascii="宋体" w:hAnsi="宋体" w:eastAsia="宋体" w:cs="Times New Roman"/>
          <w:color w:val="000000"/>
          <w:kern w:val="2"/>
          <w:sz w:val="24"/>
          <w:szCs w:val="24"/>
        </w:rPr>
        <w:t>．</w:t>
      </w:r>
      <w:r>
        <w:rPr>
          <w:rFonts w:ascii="宋体" w:hAnsi="宋体" w:eastAsia="宋体" w:cs="Times New Roman"/>
          <w:color w:val="000000"/>
          <w:kern w:val="2"/>
          <w:sz w:val="24"/>
          <w:szCs w:val="24"/>
        </w:rPr>
        <w:t>质量验收</w:t>
      </w:r>
    </w:p>
    <w:p>
      <w:pPr>
        <w:widowControl w:val="0"/>
        <w:adjustRightInd/>
        <w:snapToGrid/>
        <w:spacing w:after="0"/>
        <w:rPr>
          <w:rFonts w:ascii="宋体" w:hAnsi="宋体" w:eastAsia="宋体" w:cs="Times New Roman"/>
          <w:color w:val="000000"/>
          <w:kern w:val="2"/>
          <w:sz w:val="24"/>
          <w:szCs w:val="24"/>
        </w:rPr>
      </w:pPr>
      <w:r>
        <w:rPr>
          <w:rFonts w:ascii="宋体" w:hAnsi="宋体" w:eastAsia="宋体" w:cs="Times New Roman"/>
          <w:color w:val="000000"/>
          <w:kern w:val="2"/>
          <w:sz w:val="24"/>
          <w:szCs w:val="24"/>
        </w:rPr>
        <w:t xml:space="preserve">    6.1标准货物应按国际标准</w:t>
      </w:r>
      <w:r>
        <w:rPr>
          <w:rFonts w:hint="eastAsia" w:ascii="宋体" w:hAnsi="宋体" w:eastAsia="宋体" w:cs="Times New Roman"/>
          <w:color w:val="000000"/>
          <w:kern w:val="2"/>
          <w:sz w:val="24"/>
          <w:szCs w:val="24"/>
        </w:rPr>
        <w:t>、国标、部标或行业标准，并在国家规定的专业生产厂制造，进口货物应符合国家相关规定。</w:t>
      </w:r>
    </w:p>
    <w:p>
      <w:pPr>
        <w:widowControl w:val="0"/>
        <w:adjustRightInd/>
        <w:snapToGrid/>
        <w:spacing w:after="0"/>
        <w:rPr>
          <w:rFonts w:ascii="宋体" w:hAnsi="宋体" w:eastAsia="宋体" w:cs="Times New Roman"/>
          <w:color w:val="000000"/>
          <w:kern w:val="2"/>
          <w:sz w:val="24"/>
          <w:szCs w:val="24"/>
        </w:rPr>
      </w:pPr>
      <w:r>
        <w:rPr>
          <w:rFonts w:ascii="宋体" w:hAnsi="宋体" w:eastAsia="宋体" w:cs="Times New Roman"/>
          <w:color w:val="000000"/>
          <w:kern w:val="2"/>
          <w:sz w:val="24"/>
          <w:szCs w:val="24"/>
        </w:rPr>
        <w:t xml:space="preserve">    6.2非标货物按招标人提供的图纸生产制造，质量标准执行国家现行有</w:t>
      </w:r>
      <w:r>
        <w:rPr>
          <w:rFonts w:hint="eastAsia" w:ascii="宋体" w:hAnsi="宋体" w:eastAsia="宋体" w:cs="Times New Roman"/>
          <w:color w:val="000000"/>
          <w:kern w:val="2"/>
          <w:sz w:val="24"/>
          <w:szCs w:val="24"/>
        </w:rPr>
        <w:t>关规定及合同约定。</w:t>
      </w:r>
    </w:p>
    <w:p>
      <w:pPr>
        <w:widowControl w:val="0"/>
        <w:adjustRightInd/>
        <w:snapToGrid/>
        <w:spacing w:after="0"/>
        <w:rPr>
          <w:rFonts w:ascii="宋体" w:hAnsi="宋体" w:eastAsia="宋体" w:cs="Times New Roman"/>
          <w:color w:val="000000"/>
          <w:kern w:val="2"/>
          <w:sz w:val="24"/>
          <w:szCs w:val="24"/>
        </w:rPr>
      </w:pPr>
      <w:r>
        <w:rPr>
          <w:rFonts w:ascii="宋体" w:hAnsi="宋体" w:eastAsia="宋体" w:cs="Times New Roman"/>
          <w:color w:val="000000"/>
          <w:kern w:val="2"/>
          <w:sz w:val="24"/>
          <w:szCs w:val="24"/>
        </w:rPr>
        <w:t xml:space="preserve">    7</w:t>
      </w:r>
      <w:r>
        <w:rPr>
          <w:rFonts w:hint="eastAsia" w:ascii="宋体" w:hAnsi="宋体" w:eastAsia="宋体" w:cs="Times New Roman"/>
          <w:color w:val="000000"/>
          <w:kern w:val="2"/>
          <w:sz w:val="24"/>
          <w:szCs w:val="24"/>
        </w:rPr>
        <w:t>．</w:t>
      </w:r>
      <w:r>
        <w:rPr>
          <w:rFonts w:ascii="宋体" w:hAnsi="宋体" w:eastAsia="宋体" w:cs="Times New Roman"/>
          <w:color w:val="000000"/>
          <w:kern w:val="2"/>
          <w:sz w:val="24"/>
          <w:szCs w:val="24"/>
        </w:rPr>
        <w:t>付款方式：</w:t>
      </w:r>
      <w:r>
        <w:rPr>
          <w:rFonts w:hint="eastAsia" w:ascii="宋体" w:hAnsi="宋体" w:eastAsia="宋体" w:cs="Times New Roman"/>
          <w:color w:val="000000"/>
          <w:kern w:val="2"/>
          <w:sz w:val="24"/>
          <w:szCs w:val="24"/>
        </w:rPr>
        <w:t>付款方式于签定合同时由甲乙双方协商决定</w:t>
      </w:r>
    </w:p>
    <w:p>
      <w:pPr>
        <w:widowControl w:val="0"/>
        <w:adjustRightInd/>
        <w:snapToGrid/>
        <w:spacing w:after="0"/>
        <w:rPr>
          <w:rFonts w:ascii="宋体" w:hAnsi="宋体" w:eastAsia="宋体" w:cs="Times New Roman"/>
          <w:color w:val="000000"/>
          <w:kern w:val="2"/>
          <w:sz w:val="24"/>
          <w:szCs w:val="24"/>
        </w:rPr>
      </w:pPr>
      <w:r>
        <w:rPr>
          <w:rFonts w:ascii="宋体" w:hAnsi="宋体" w:eastAsia="宋体" w:cs="Times New Roman"/>
          <w:color w:val="000000"/>
          <w:kern w:val="2"/>
          <w:sz w:val="24"/>
          <w:szCs w:val="24"/>
        </w:rPr>
        <w:t xml:space="preserve">    8</w:t>
      </w:r>
      <w:r>
        <w:rPr>
          <w:rFonts w:hint="eastAsia" w:ascii="宋体" w:hAnsi="宋体" w:eastAsia="宋体" w:cs="Times New Roman"/>
          <w:color w:val="000000"/>
          <w:kern w:val="2"/>
          <w:sz w:val="24"/>
          <w:szCs w:val="24"/>
        </w:rPr>
        <w:t>．</w:t>
      </w:r>
      <w:r>
        <w:rPr>
          <w:rFonts w:ascii="宋体" w:hAnsi="宋体" w:eastAsia="宋体" w:cs="Times New Roman"/>
          <w:color w:val="000000"/>
          <w:kern w:val="2"/>
          <w:sz w:val="24"/>
          <w:szCs w:val="24"/>
        </w:rPr>
        <w:t>凡涉及报价或其它方面的补充说明或修正，均以</w:t>
      </w:r>
      <w:r>
        <w:rPr>
          <w:rFonts w:hint="eastAsia" w:ascii="宋体" w:hAnsi="宋体" w:eastAsia="宋体" w:cs="Times New Roman"/>
          <w:color w:val="000000"/>
          <w:kern w:val="2"/>
          <w:sz w:val="24"/>
          <w:szCs w:val="24"/>
        </w:rPr>
        <w:t>新疆丰源建设工程项目管理咨询有限公司书面依据为准。</w:t>
      </w:r>
    </w:p>
    <w:p>
      <w:pPr>
        <w:widowControl w:val="0"/>
        <w:adjustRightInd/>
        <w:snapToGrid/>
        <w:spacing w:after="0"/>
        <w:rPr>
          <w:rFonts w:ascii="宋体" w:hAnsi="宋体" w:eastAsia="宋体" w:cs="Times New Roman"/>
          <w:color w:val="000000"/>
          <w:kern w:val="2"/>
          <w:sz w:val="24"/>
          <w:szCs w:val="24"/>
        </w:rPr>
      </w:pPr>
      <w:r>
        <w:rPr>
          <w:rFonts w:ascii="宋体" w:hAnsi="宋体" w:eastAsia="宋体" w:cs="Times New Roman"/>
          <w:color w:val="000000"/>
          <w:kern w:val="2"/>
          <w:sz w:val="24"/>
          <w:szCs w:val="24"/>
        </w:rPr>
        <w:t xml:space="preserve">  </w:t>
      </w:r>
      <w:r>
        <w:rPr>
          <w:rFonts w:hint="eastAsia" w:ascii="宋体" w:hAnsi="宋体" w:eastAsia="宋体" w:cs="Times New Roman"/>
          <w:color w:val="000000"/>
          <w:kern w:val="2"/>
          <w:sz w:val="24"/>
          <w:szCs w:val="24"/>
        </w:rPr>
        <w:t>　</w:t>
      </w:r>
      <w:r>
        <w:rPr>
          <w:rFonts w:ascii="宋体" w:hAnsi="宋体" w:eastAsia="宋体" w:cs="Times New Roman"/>
          <w:color w:val="000000"/>
          <w:kern w:val="2"/>
          <w:sz w:val="24"/>
          <w:szCs w:val="24"/>
        </w:rPr>
        <w:t>9</w:t>
      </w:r>
      <w:r>
        <w:rPr>
          <w:rFonts w:hint="eastAsia" w:ascii="宋体" w:hAnsi="宋体" w:eastAsia="宋体" w:cs="Times New Roman"/>
          <w:color w:val="000000"/>
          <w:kern w:val="2"/>
          <w:sz w:val="24"/>
          <w:szCs w:val="24"/>
        </w:rPr>
        <w:t>．</w:t>
      </w:r>
      <w:r>
        <w:rPr>
          <w:rFonts w:ascii="宋体" w:hAnsi="宋体" w:eastAsia="宋体" w:cs="Times New Roman"/>
          <w:color w:val="000000"/>
          <w:kern w:val="2"/>
          <w:sz w:val="24"/>
          <w:szCs w:val="24"/>
        </w:rPr>
        <w:t>投标人应按照招标文件的要求完整的编制</w:t>
      </w:r>
      <w:r>
        <w:rPr>
          <w:rFonts w:hint="eastAsia" w:ascii="宋体" w:hAnsi="宋体" w:eastAsia="宋体" w:cs="Times New Roman"/>
          <w:color w:val="000000"/>
          <w:kern w:val="2"/>
          <w:sz w:val="24"/>
          <w:szCs w:val="24"/>
        </w:rPr>
        <w:t>磋商响应文件</w:t>
      </w:r>
      <w:r>
        <w:rPr>
          <w:rFonts w:ascii="宋体" w:hAnsi="宋体" w:eastAsia="宋体" w:cs="Times New Roman"/>
          <w:color w:val="000000"/>
          <w:kern w:val="2"/>
          <w:sz w:val="24"/>
          <w:szCs w:val="24"/>
        </w:rPr>
        <w:t>。</w:t>
      </w:r>
    </w:p>
    <w:p>
      <w:pPr>
        <w:widowControl w:val="0"/>
        <w:adjustRightInd/>
        <w:snapToGrid/>
        <w:spacing w:after="0"/>
        <w:rPr>
          <w:rFonts w:ascii="宋体" w:hAnsi="宋体" w:eastAsia="宋体" w:cs="Times New Roman"/>
          <w:color w:val="000000"/>
          <w:kern w:val="2"/>
          <w:sz w:val="24"/>
          <w:szCs w:val="24"/>
        </w:rPr>
      </w:pPr>
      <w:r>
        <w:rPr>
          <w:rFonts w:ascii="宋体" w:hAnsi="宋体" w:eastAsia="宋体" w:cs="Times New Roman"/>
          <w:color w:val="000000"/>
          <w:kern w:val="2"/>
          <w:sz w:val="24"/>
          <w:szCs w:val="24"/>
        </w:rPr>
        <w:t xml:space="preserve">  </w:t>
      </w:r>
      <w:r>
        <w:rPr>
          <w:rFonts w:hint="eastAsia" w:ascii="宋体" w:hAnsi="宋体" w:eastAsia="宋体" w:cs="Times New Roman"/>
          <w:color w:val="000000"/>
          <w:kern w:val="2"/>
          <w:sz w:val="24"/>
          <w:szCs w:val="24"/>
        </w:rPr>
        <w:t>　三</w:t>
      </w:r>
      <w:r>
        <w:rPr>
          <w:rFonts w:ascii="宋体" w:hAnsi="宋体" w:eastAsia="宋体" w:cs="Times New Roman"/>
          <w:color w:val="000000"/>
          <w:kern w:val="2"/>
          <w:sz w:val="24"/>
          <w:szCs w:val="24"/>
        </w:rPr>
        <w:t>、释义</w:t>
      </w:r>
    </w:p>
    <w:p>
      <w:pPr>
        <w:widowControl w:val="0"/>
        <w:adjustRightInd/>
        <w:snapToGrid/>
        <w:spacing w:after="0"/>
        <w:rPr>
          <w:rFonts w:ascii="宋体" w:hAnsi="宋体" w:eastAsia="宋体" w:cs="Times New Roman"/>
          <w:color w:val="000000"/>
          <w:kern w:val="2"/>
          <w:sz w:val="24"/>
          <w:szCs w:val="24"/>
        </w:rPr>
      </w:pPr>
      <w:r>
        <w:rPr>
          <w:rFonts w:ascii="宋体" w:hAnsi="宋体" w:eastAsia="宋体" w:cs="Times New Roman"/>
          <w:color w:val="000000"/>
          <w:kern w:val="2"/>
          <w:sz w:val="24"/>
          <w:szCs w:val="24"/>
        </w:rPr>
        <w:t xml:space="preserve">  </w:t>
      </w:r>
      <w:r>
        <w:rPr>
          <w:rFonts w:hint="eastAsia" w:ascii="宋体" w:hAnsi="宋体" w:eastAsia="宋体" w:cs="Times New Roman"/>
          <w:color w:val="000000"/>
          <w:kern w:val="2"/>
          <w:sz w:val="24"/>
          <w:szCs w:val="24"/>
        </w:rPr>
        <w:t>　</w:t>
      </w:r>
      <w:r>
        <w:rPr>
          <w:rFonts w:ascii="宋体" w:hAnsi="宋体" w:eastAsia="宋体" w:cs="Times New Roman"/>
          <w:color w:val="000000"/>
          <w:kern w:val="2"/>
          <w:sz w:val="24"/>
          <w:szCs w:val="24"/>
        </w:rPr>
        <w:t>除非另有说明，本招标文件中凡出现以下词语应按照如下释义理解。</w:t>
      </w:r>
    </w:p>
    <w:p>
      <w:pPr>
        <w:widowControl w:val="0"/>
        <w:adjustRightInd/>
        <w:snapToGrid/>
        <w:spacing w:after="0"/>
        <w:rPr>
          <w:rFonts w:ascii="宋体" w:hAnsi="宋体" w:eastAsia="宋体" w:cs="Times New Roman"/>
          <w:color w:val="000000"/>
          <w:kern w:val="2"/>
          <w:sz w:val="24"/>
          <w:szCs w:val="24"/>
        </w:rPr>
      </w:pPr>
      <w:r>
        <w:rPr>
          <w:rFonts w:ascii="宋体" w:hAnsi="宋体" w:eastAsia="宋体" w:cs="Times New Roman"/>
          <w:color w:val="000000"/>
          <w:kern w:val="2"/>
          <w:sz w:val="24"/>
          <w:szCs w:val="24"/>
        </w:rPr>
        <w:t xml:space="preserve">  </w:t>
      </w:r>
      <w:r>
        <w:rPr>
          <w:rFonts w:hint="eastAsia" w:ascii="宋体" w:hAnsi="宋体" w:eastAsia="宋体" w:cs="Times New Roman"/>
          <w:color w:val="000000"/>
          <w:kern w:val="2"/>
          <w:sz w:val="24"/>
          <w:szCs w:val="24"/>
        </w:rPr>
        <w:t>　</w:t>
      </w:r>
      <w:r>
        <w:rPr>
          <w:rFonts w:ascii="宋体" w:hAnsi="宋体" w:eastAsia="宋体" w:cs="Times New Roman"/>
          <w:color w:val="000000"/>
          <w:kern w:val="2"/>
          <w:sz w:val="24"/>
          <w:szCs w:val="24"/>
        </w:rPr>
        <w:t>1</w:t>
      </w:r>
      <w:r>
        <w:rPr>
          <w:rFonts w:hint="eastAsia" w:ascii="宋体" w:hAnsi="宋体" w:eastAsia="宋体" w:cs="Times New Roman"/>
          <w:color w:val="000000"/>
          <w:kern w:val="2"/>
          <w:sz w:val="24"/>
          <w:szCs w:val="24"/>
        </w:rPr>
        <w:t>．</w:t>
      </w:r>
      <w:r>
        <w:rPr>
          <w:rFonts w:ascii="宋体" w:hAnsi="宋体" w:eastAsia="宋体" w:cs="Times New Roman"/>
          <w:color w:val="000000"/>
          <w:kern w:val="2"/>
          <w:sz w:val="24"/>
          <w:szCs w:val="24"/>
        </w:rPr>
        <w:t>招标人：指作为建设工程投资责任者的法人或依法成立的其他组织</w:t>
      </w:r>
      <w:r>
        <w:rPr>
          <w:rFonts w:hint="eastAsia" w:ascii="宋体" w:hAnsi="宋体" w:eastAsia="宋体" w:cs="Times New Roman"/>
          <w:color w:val="000000"/>
          <w:kern w:val="2"/>
          <w:sz w:val="24"/>
          <w:szCs w:val="24"/>
        </w:rPr>
        <w:t>及个人，即买方</w:t>
      </w:r>
      <w:r>
        <w:rPr>
          <w:rFonts w:ascii="宋体" w:hAnsi="宋体" w:eastAsia="宋体" w:cs="Times New Roman"/>
          <w:color w:val="000000"/>
          <w:kern w:val="2"/>
          <w:sz w:val="24"/>
          <w:szCs w:val="24"/>
        </w:rPr>
        <w:t>(甲方)。</w:t>
      </w:r>
    </w:p>
    <w:p>
      <w:pPr>
        <w:widowControl w:val="0"/>
        <w:adjustRightInd/>
        <w:snapToGrid/>
        <w:spacing w:after="0"/>
        <w:rPr>
          <w:rFonts w:hint="eastAsia" w:ascii="宋体" w:hAnsi="宋体" w:eastAsia="宋体" w:cs="Times New Roman"/>
          <w:color w:val="000000"/>
          <w:kern w:val="2"/>
          <w:sz w:val="24"/>
          <w:szCs w:val="24"/>
          <w:lang w:eastAsia="zh-CN"/>
        </w:rPr>
      </w:pPr>
      <w:r>
        <w:rPr>
          <w:rFonts w:ascii="宋体" w:hAnsi="宋体" w:eastAsia="宋体" w:cs="Times New Roman"/>
          <w:color w:val="000000"/>
          <w:kern w:val="2"/>
          <w:sz w:val="24"/>
          <w:szCs w:val="24"/>
        </w:rPr>
        <w:t>本次招标活动的招标人为：</w:t>
      </w:r>
      <w:r>
        <w:rPr>
          <w:rFonts w:hint="eastAsia" w:ascii="宋体" w:hAnsi="宋体" w:eastAsia="宋体" w:cs="Times New Roman"/>
          <w:color w:val="000000"/>
          <w:kern w:val="2"/>
          <w:sz w:val="24"/>
          <w:szCs w:val="24"/>
          <w:lang w:eastAsia="zh-CN"/>
        </w:rPr>
        <w:t>乌鲁木齐市水磨沟区城市管理局（乌鲁木齐市水磨沟区城市管理行政执法局）</w:t>
      </w:r>
    </w:p>
    <w:p>
      <w:pPr>
        <w:widowControl w:val="0"/>
        <w:adjustRightInd/>
        <w:snapToGrid/>
        <w:spacing w:after="0"/>
        <w:rPr>
          <w:rFonts w:ascii="宋体" w:hAnsi="宋体" w:eastAsia="宋体" w:cs="Times New Roman"/>
          <w:color w:val="000000"/>
          <w:kern w:val="2"/>
          <w:sz w:val="24"/>
          <w:szCs w:val="24"/>
        </w:rPr>
      </w:pPr>
      <w:r>
        <w:rPr>
          <w:rFonts w:ascii="宋体" w:hAnsi="宋体" w:eastAsia="宋体" w:cs="Times New Roman"/>
          <w:color w:val="000000"/>
          <w:kern w:val="2"/>
          <w:sz w:val="24"/>
          <w:szCs w:val="24"/>
        </w:rPr>
        <w:t>2</w:t>
      </w:r>
      <w:r>
        <w:rPr>
          <w:rFonts w:hint="eastAsia" w:ascii="宋体" w:hAnsi="宋体" w:eastAsia="宋体" w:cs="Times New Roman"/>
          <w:color w:val="000000"/>
          <w:kern w:val="2"/>
          <w:sz w:val="24"/>
          <w:szCs w:val="24"/>
        </w:rPr>
        <w:t>．</w:t>
      </w:r>
      <w:r>
        <w:rPr>
          <w:rFonts w:ascii="宋体" w:hAnsi="宋体" w:eastAsia="宋体" w:cs="Times New Roman"/>
          <w:color w:val="000000"/>
          <w:kern w:val="2"/>
          <w:sz w:val="24"/>
          <w:szCs w:val="24"/>
        </w:rPr>
        <w:t>招标机构：指依法设立并受招标人委托办理招标业务的专职机构。</w:t>
      </w:r>
    </w:p>
    <w:p>
      <w:pPr>
        <w:widowControl w:val="0"/>
        <w:adjustRightInd/>
        <w:snapToGrid/>
        <w:spacing w:after="0"/>
        <w:rPr>
          <w:rFonts w:ascii="宋体" w:hAnsi="宋体" w:eastAsia="宋体" w:cs="Times New Roman"/>
          <w:color w:val="000000"/>
          <w:kern w:val="2"/>
          <w:sz w:val="24"/>
          <w:szCs w:val="24"/>
        </w:rPr>
      </w:pPr>
      <w:r>
        <w:rPr>
          <w:rFonts w:ascii="宋体" w:hAnsi="宋体" w:eastAsia="宋体" w:cs="Times New Roman"/>
          <w:color w:val="000000"/>
          <w:kern w:val="2"/>
          <w:sz w:val="24"/>
          <w:szCs w:val="24"/>
        </w:rPr>
        <w:t xml:space="preserve">    本次招标活动的招标机构是：</w:t>
      </w:r>
      <w:r>
        <w:rPr>
          <w:rFonts w:hint="eastAsia" w:ascii="宋体" w:hAnsi="宋体" w:eastAsia="宋体" w:cs="Times New Roman"/>
          <w:color w:val="000000"/>
          <w:kern w:val="2"/>
          <w:sz w:val="24"/>
          <w:szCs w:val="24"/>
        </w:rPr>
        <w:t>新疆丰源建设工程项目管理咨询有限公司</w:t>
      </w:r>
      <w:r>
        <w:rPr>
          <w:rFonts w:ascii="宋体" w:hAnsi="宋体" w:eastAsia="宋体" w:cs="Times New Roman"/>
          <w:color w:val="000000"/>
          <w:kern w:val="2"/>
          <w:sz w:val="24"/>
          <w:szCs w:val="24"/>
        </w:rPr>
        <w:t>。</w:t>
      </w:r>
    </w:p>
    <w:p>
      <w:pPr>
        <w:widowControl w:val="0"/>
        <w:adjustRightInd/>
        <w:snapToGrid/>
        <w:spacing w:after="0"/>
        <w:rPr>
          <w:rFonts w:ascii="宋体" w:hAnsi="宋体" w:eastAsia="宋体" w:cs="Times New Roman"/>
          <w:color w:val="000000"/>
          <w:kern w:val="2"/>
          <w:sz w:val="24"/>
          <w:szCs w:val="24"/>
        </w:rPr>
      </w:pPr>
      <w:r>
        <w:rPr>
          <w:rFonts w:ascii="宋体" w:hAnsi="宋体" w:eastAsia="宋体" w:cs="Times New Roman"/>
          <w:color w:val="000000"/>
          <w:kern w:val="2"/>
          <w:sz w:val="24"/>
          <w:szCs w:val="24"/>
        </w:rPr>
        <w:t xml:space="preserve">    3</w:t>
      </w:r>
      <w:r>
        <w:rPr>
          <w:rFonts w:hint="eastAsia" w:ascii="宋体" w:hAnsi="宋体" w:eastAsia="宋体" w:cs="Times New Roman"/>
          <w:color w:val="000000"/>
          <w:kern w:val="2"/>
          <w:sz w:val="24"/>
          <w:szCs w:val="24"/>
        </w:rPr>
        <w:t>．</w:t>
      </w:r>
      <w:r>
        <w:rPr>
          <w:rFonts w:ascii="宋体" w:hAnsi="宋体" w:eastAsia="宋体" w:cs="Times New Roman"/>
          <w:color w:val="000000"/>
          <w:kern w:val="2"/>
          <w:sz w:val="24"/>
          <w:szCs w:val="24"/>
        </w:rPr>
        <w:t>投标人：指响应招标，并按照招标文件的要</w:t>
      </w:r>
      <w:r>
        <w:rPr>
          <w:rFonts w:hint="eastAsia" w:ascii="宋体" w:hAnsi="宋体" w:eastAsia="宋体" w:cs="Times New Roman"/>
          <w:color w:val="000000"/>
          <w:kern w:val="2"/>
          <w:sz w:val="24"/>
          <w:szCs w:val="24"/>
        </w:rPr>
        <w:t>求参与货物供应及劳务、服务竞争的法人或其他组织及个人，即：卖方</w:t>
      </w:r>
      <w:r>
        <w:rPr>
          <w:rFonts w:ascii="宋体" w:hAnsi="宋体" w:eastAsia="宋体" w:cs="Times New Roman"/>
          <w:color w:val="000000"/>
          <w:kern w:val="2"/>
          <w:sz w:val="24"/>
          <w:szCs w:val="24"/>
        </w:rPr>
        <w:t>(乙方)。</w:t>
      </w:r>
    </w:p>
    <w:p>
      <w:pPr>
        <w:widowControl w:val="0"/>
        <w:adjustRightInd/>
        <w:snapToGrid/>
        <w:spacing w:after="0"/>
        <w:rPr>
          <w:rFonts w:ascii="宋体" w:hAnsi="宋体" w:eastAsia="宋体" w:cs="Times New Roman"/>
          <w:color w:val="000000"/>
          <w:kern w:val="2"/>
          <w:sz w:val="24"/>
          <w:szCs w:val="24"/>
        </w:rPr>
      </w:pPr>
      <w:r>
        <w:rPr>
          <w:rFonts w:ascii="宋体" w:hAnsi="宋体" w:eastAsia="宋体" w:cs="Times New Roman"/>
          <w:color w:val="000000"/>
          <w:kern w:val="2"/>
          <w:sz w:val="24"/>
          <w:szCs w:val="24"/>
        </w:rPr>
        <w:t xml:space="preserve">    4</w:t>
      </w:r>
      <w:r>
        <w:rPr>
          <w:rFonts w:hint="eastAsia" w:ascii="宋体" w:hAnsi="宋体" w:eastAsia="宋体" w:cs="Times New Roman"/>
          <w:color w:val="000000"/>
          <w:kern w:val="2"/>
          <w:sz w:val="24"/>
          <w:szCs w:val="24"/>
        </w:rPr>
        <w:t>．</w:t>
      </w:r>
      <w:r>
        <w:rPr>
          <w:rFonts w:ascii="宋体" w:hAnsi="宋体" w:eastAsia="宋体" w:cs="Times New Roman"/>
          <w:color w:val="000000"/>
          <w:kern w:val="2"/>
          <w:sz w:val="24"/>
          <w:szCs w:val="24"/>
        </w:rPr>
        <w:t>货物：</w:t>
      </w:r>
      <w:r>
        <w:rPr>
          <w:rFonts w:hint="eastAsia" w:ascii="宋体" w:hAnsi="宋体" w:eastAsia="宋体" w:cs="Times New Roman"/>
          <w:color w:val="000000"/>
          <w:kern w:val="2"/>
          <w:sz w:val="24"/>
          <w:szCs w:val="24"/>
        </w:rPr>
        <w:t>招标内容</w:t>
      </w:r>
      <w:r>
        <w:rPr>
          <w:rFonts w:ascii="宋体" w:hAnsi="宋体" w:eastAsia="宋体" w:cs="Times New Roman"/>
          <w:color w:val="000000"/>
          <w:kern w:val="2"/>
          <w:sz w:val="24"/>
          <w:szCs w:val="24"/>
        </w:rPr>
        <w:t>。</w:t>
      </w:r>
    </w:p>
    <w:p>
      <w:pPr>
        <w:widowControl w:val="0"/>
        <w:adjustRightInd/>
        <w:snapToGrid/>
        <w:spacing w:after="0"/>
        <w:rPr>
          <w:rFonts w:ascii="宋体" w:hAnsi="宋体" w:eastAsia="宋体" w:cs="Times New Roman"/>
          <w:color w:val="000000"/>
          <w:kern w:val="2"/>
          <w:sz w:val="24"/>
          <w:szCs w:val="24"/>
        </w:rPr>
      </w:pPr>
      <w:r>
        <w:rPr>
          <w:rFonts w:ascii="宋体" w:hAnsi="宋体" w:eastAsia="宋体" w:cs="Times New Roman"/>
          <w:color w:val="000000"/>
          <w:kern w:val="2"/>
          <w:sz w:val="24"/>
          <w:szCs w:val="24"/>
        </w:rPr>
        <w:t xml:space="preserve">    5</w:t>
      </w:r>
      <w:r>
        <w:rPr>
          <w:rFonts w:hint="eastAsia" w:ascii="宋体" w:hAnsi="宋体" w:eastAsia="宋体" w:cs="Times New Roman"/>
          <w:color w:val="000000"/>
          <w:kern w:val="2"/>
          <w:sz w:val="24"/>
          <w:szCs w:val="24"/>
        </w:rPr>
        <w:t>．</w:t>
      </w:r>
      <w:r>
        <w:rPr>
          <w:rFonts w:ascii="宋体" w:hAnsi="宋体" w:eastAsia="宋体" w:cs="Times New Roman"/>
          <w:color w:val="000000"/>
          <w:kern w:val="2"/>
          <w:sz w:val="24"/>
          <w:szCs w:val="24"/>
        </w:rPr>
        <w:t>劳务：指一切不以工程、货物等实物形态而以劳动或知识形态为他</w:t>
      </w:r>
      <w:r>
        <w:rPr>
          <w:rFonts w:hint="eastAsia" w:ascii="宋体" w:hAnsi="宋体" w:eastAsia="宋体" w:cs="Times New Roman"/>
          <w:color w:val="000000"/>
          <w:kern w:val="2"/>
          <w:sz w:val="24"/>
          <w:szCs w:val="24"/>
        </w:rPr>
        <w:t>人提供某种效用的活动</w:t>
      </w:r>
      <w:r>
        <w:rPr>
          <w:rFonts w:ascii="宋体" w:hAnsi="宋体" w:eastAsia="宋体" w:cs="Times New Roman"/>
          <w:color w:val="000000"/>
          <w:kern w:val="2"/>
          <w:sz w:val="24"/>
          <w:szCs w:val="24"/>
        </w:rPr>
        <w:t>(不含前述工程、货物中应有的服务)。</w:t>
      </w:r>
    </w:p>
    <w:p>
      <w:pPr>
        <w:widowControl w:val="0"/>
        <w:adjustRightInd/>
        <w:snapToGrid/>
        <w:spacing w:after="0"/>
        <w:rPr>
          <w:rFonts w:ascii="宋体" w:hAnsi="宋体" w:eastAsia="宋体" w:cs="Times New Roman"/>
          <w:color w:val="000000"/>
          <w:kern w:val="2"/>
          <w:sz w:val="24"/>
          <w:szCs w:val="24"/>
        </w:rPr>
      </w:pPr>
      <w:r>
        <w:rPr>
          <w:rFonts w:ascii="宋体" w:hAnsi="宋体" w:eastAsia="宋体" w:cs="Times New Roman"/>
          <w:color w:val="000000"/>
          <w:kern w:val="2"/>
          <w:sz w:val="24"/>
          <w:szCs w:val="24"/>
        </w:rPr>
        <w:t xml:space="preserve">    6</w:t>
      </w:r>
      <w:r>
        <w:rPr>
          <w:rFonts w:hint="eastAsia" w:ascii="宋体" w:hAnsi="宋体" w:eastAsia="宋体" w:cs="Times New Roman"/>
          <w:color w:val="000000"/>
          <w:kern w:val="2"/>
          <w:sz w:val="24"/>
          <w:szCs w:val="24"/>
        </w:rPr>
        <w:t>．</w:t>
      </w:r>
      <w:r>
        <w:rPr>
          <w:rFonts w:ascii="宋体" w:hAnsi="宋体" w:eastAsia="宋体" w:cs="Times New Roman"/>
          <w:color w:val="000000"/>
          <w:kern w:val="2"/>
          <w:sz w:val="24"/>
          <w:szCs w:val="24"/>
        </w:rPr>
        <w:t>服务：指为工程、货物实现设计以及投入使用而必须履行的活动和</w:t>
      </w:r>
      <w:r>
        <w:rPr>
          <w:rFonts w:hint="eastAsia" w:ascii="宋体" w:hAnsi="宋体" w:eastAsia="宋体" w:cs="Times New Roman"/>
          <w:color w:val="000000"/>
          <w:kern w:val="2"/>
          <w:sz w:val="24"/>
          <w:szCs w:val="24"/>
        </w:rPr>
        <w:t>承担的义务。</w:t>
      </w:r>
    </w:p>
    <w:p>
      <w:pPr>
        <w:widowControl w:val="0"/>
        <w:adjustRightInd/>
        <w:snapToGrid/>
        <w:spacing w:after="0"/>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四</w:t>
      </w:r>
      <w:r>
        <w:rPr>
          <w:rFonts w:ascii="宋体" w:hAnsi="宋体" w:eastAsia="宋体" w:cs="Times New Roman"/>
          <w:color w:val="000000"/>
          <w:kern w:val="2"/>
          <w:sz w:val="24"/>
          <w:szCs w:val="24"/>
        </w:rPr>
        <w:t>、其它</w:t>
      </w:r>
    </w:p>
    <w:p>
      <w:pPr>
        <w:widowControl w:val="0"/>
        <w:adjustRightInd/>
        <w:snapToGrid/>
        <w:spacing w:after="0"/>
        <w:rPr>
          <w:rFonts w:ascii="宋体" w:hAnsi="宋体" w:eastAsia="宋体" w:cs="Times New Roman"/>
          <w:color w:val="000000"/>
          <w:kern w:val="2"/>
          <w:sz w:val="24"/>
          <w:szCs w:val="24"/>
        </w:rPr>
      </w:pPr>
      <w:r>
        <w:rPr>
          <w:rFonts w:ascii="宋体" w:hAnsi="宋体" w:eastAsia="宋体" w:cs="Times New Roman"/>
          <w:color w:val="000000"/>
          <w:kern w:val="2"/>
          <w:sz w:val="24"/>
          <w:szCs w:val="24"/>
        </w:rPr>
        <w:t xml:space="preserve"> l</w:t>
      </w:r>
      <w:r>
        <w:rPr>
          <w:rFonts w:hint="eastAsia" w:ascii="宋体" w:hAnsi="宋体" w:eastAsia="宋体" w:cs="Times New Roman"/>
          <w:color w:val="000000"/>
          <w:kern w:val="2"/>
          <w:sz w:val="24"/>
          <w:szCs w:val="24"/>
        </w:rPr>
        <w:t>．</w:t>
      </w:r>
      <w:r>
        <w:rPr>
          <w:rFonts w:ascii="宋体" w:hAnsi="宋体" w:eastAsia="宋体" w:cs="Times New Roman"/>
          <w:color w:val="000000"/>
          <w:kern w:val="2"/>
          <w:sz w:val="24"/>
          <w:szCs w:val="24"/>
        </w:rPr>
        <w:t>招标文件将在</w:t>
      </w:r>
      <w:r>
        <w:rPr>
          <w:rFonts w:hint="eastAsia" w:ascii="宋体" w:hAnsi="宋体" w:eastAsia="宋体" w:cs="Times New Roman"/>
          <w:color w:val="000000"/>
          <w:kern w:val="2"/>
          <w:sz w:val="24"/>
          <w:szCs w:val="24"/>
        </w:rPr>
        <w:t>新疆丰源建设工程项目管理咨询有限公司发售，每份200元。招标文件一经售出，不论投标方出于何种原因，标书费概不退还。 </w:t>
      </w:r>
    </w:p>
    <w:p>
      <w:pPr>
        <w:widowControl w:val="0"/>
        <w:adjustRightInd/>
        <w:snapToGrid/>
        <w:spacing w:after="0"/>
        <w:rPr>
          <w:rFonts w:ascii="宋体" w:hAnsi="宋体" w:eastAsia="宋体" w:cs="Times New Roman"/>
          <w:color w:val="000000"/>
          <w:kern w:val="2"/>
          <w:sz w:val="24"/>
          <w:szCs w:val="24"/>
        </w:rPr>
      </w:pPr>
      <w:r>
        <w:rPr>
          <w:rFonts w:ascii="宋体" w:hAnsi="宋体" w:eastAsia="宋体" w:cs="Times New Roman"/>
          <w:color w:val="000000"/>
          <w:kern w:val="2"/>
          <w:sz w:val="24"/>
          <w:szCs w:val="24"/>
        </w:rPr>
        <w:t>投标地点：</w:t>
      </w:r>
      <w:r>
        <w:rPr>
          <w:rFonts w:hint="eastAsia" w:ascii="宋体" w:hAnsi="宋体" w:eastAsia="宋体" w:cs="Times New Roman"/>
          <w:color w:val="000000"/>
          <w:kern w:val="2"/>
          <w:sz w:val="24"/>
          <w:szCs w:val="24"/>
        </w:rPr>
        <w:t>乌鲁木齐市水磨沟区红光山路2588号绿地中心领海501室   </w:t>
      </w:r>
    </w:p>
    <w:p>
      <w:pPr>
        <w:widowControl w:val="0"/>
        <w:adjustRightInd/>
        <w:snapToGrid/>
        <w:spacing w:after="0"/>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 xml:space="preserve">    3. 投标截止时间：</w:t>
      </w:r>
      <w:r>
        <w:rPr>
          <w:rFonts w:hint="eastAsia" w:ascii="宋体" w:hAnsi="宋体" w:eastAsia="宋体" w:cs="Times New Roman"/>
          <w:color w:val="000000"/>
          <w:kern w:val="2"/>
          <w:sz w:val="24"/>
          <w:szCs w:val="24"/>
          <w:lang w:val="en-US" w:eastAsia="zh-CN"/>
        </w:rPr>
        <w:t>2022</w:t>
      </w:r>
      <w:r>
        <w:rPr>
          <w:rFonts w:hint="eastAsia" w:ascii="宋体" w:hAnsi="宋体" w:eastAsia="宋体" w:cs="Times New Roman"/>
          <w:color w:val="000000"/>
          <w:kern w:val="2"/>
          <w:sz w:val="24"/>
          <w:szCs w:val="24"/>
        </w:rPr>
        <w:t>年</w:t>
      </w:r>
      <w:r>
        <w:rPr>
          <w:rFonts w:hint="eastAsia" w:ascii="宋体" w:hAnsi="宋体" w:eastAsia="宋体" w:cs="Times New Roman"/>
          <w:color w:val="000000"/>
          <w:kern w:val="2"/>
          <w:sz w:val="24"/>
          <w:szCs w:val="24"/>
          <w:lang w:val="en-US" w:eastAsia="zh-CN"/>
        </w:rPr>
        <w:t>01</w:t>
      </w:r>
      <w:r>
        <w:rPr>
          <w:rFonts w:hint="eastAsia" w:ascii="宋体" w:hAnsi="宋体" w:eastAsia="宋体" w:cs="Times New Roman"/>
          <w:color w:val="000000"/>
          <w:kern w:val="2"/>
          <w:sz w:val="24"/>
          <w:szCs w:val="24"/>
        </w:rPr>
        <w:t>月</w:t>
      </w:r>
      <w:r>
        <w:rPr>
          <w:rFonts w:hint="eastAsia" w:ascii="宋体" w:hAnsi="宋体" w:eastAsia="宋体" w:cs="Times New Roman"/>
          <w:color w:val="000000"/>
          <w:kern w:val="2"/>
          <w:sz w:val="24"/>
          <w:szCs w:val="24"/>
          <w:lang w:val="en-US" w:eastAsia="zh-CN"/>
        </w:rPr>
        <w:t>10</w:t>
      </w:r>
      <w:r>
        <w:rPr>
          <w:rFonts w:hint="eastAsia" w:ascii="宋体" w:hAnsi="宋体" w:eastAsia="宋体" w:cs="Times New Roman"/>
          <w:color w:val="000000"/>
          <w:kern w:val="2"/>
          <w:sz w:val="24"/>
          <w:szCs w:val="24"/>
        </w:rPr>
        <w:t>日16:00(北京时间)，过时概不接受。</w:t>
      </w:r>
    </w:p>
    <w:p>
      <w:pPr>
        <w:widowControl w:val="0"/>
        <w:adjustRightInd/>
        <w:snapToGrid/>
        <w:spacing w:after="0"/>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 xml:space="preserve">    4．开标时间：202</w:t>
      </w:r>
      <w:r>
        <w:rPr>
          <w:rFonts w:hint="eastAsia" w:ascii="宋体" w:hAnsi="宋体" w:eastAsia="宋体" w:cs="Times New Roman"/>
          <w:color w:val="000000"/>
          <w:kern w:val="2"/>
          <w:sz w:val="24"/>
          <w:szCs w:val="24"/>
          <w:lang w:val="en-US" w:eastAsia="zh-CN"/>
        </w:rPr>
        <w:t>2</w:t>
      </w:r>
      <w:r>
        <w:rPr>
          <w:rFonts w:hint="eastAsia" w:ascii="宋体" w:hAnsi="宋体" w:eastAsia="宋体" w:cs="Times New Roman"/>
          <w:color w:val="000000"/>
          <w:kern w:val="2"/>
          <w:sz w:val="24"/>
          <w:szCs w:val="24"/>
        </w:rPr>
        <w:t>年</w:t>
      </w:r>
      <w:r>
        <w:rPr>
          <w:rFonts w:hint="eastAsia" w:ascii="宋体" w:hAnsi="宋体" w:eastAsia="宋体" w:cs="Times New Roman"/>
          <w:color w:val="000000"/>
          <w:kern w:val="2"/>
          <w:sz w:val="24"/>
          <w:szCs w:val="24"/>
          <w:lang w:val="en-US" w:eastAsia="zh-CN"/>
        </w:rPr>
        <w:t>01</w:t>
      </w:r>
      <w:r>
        <w:rPr>
          <w:rFonts w:hint="eastAsia" w:ascii="宋体" w:hAnsi="宋体" w:eastAsia="宋体" w:cs="Times New Roman"/>
          <w:color w:val="000000"/>
          <w:kern w:val="2"/>
          <w:sz w:val="24"/>
          <w:szCs w:val="24"/>
        </w:rPr>
        <w:t>月</w:t>
      </w:r>
      <w:r>
        <w:rPr>
          <w:rFonts w:hint="eastAsia" w:ascii="宋体" w:hAnsi="宋体" w:eastAsia="宋体" w:cs="Times New Roman"/>
          <w:color w:val="000000"/>
          <w:kern w:val="2"/>
          <w:sz w:val="24"/>
          <w:szCs w:val="24"/>
          <w:lang w:val="en-US" w:eastAsia="zh-CN"/>
        </w:rPr>
        <w:t>10</w:t>
      </w:r>
      <w:r>
        <w:rPr>
          <w:rFonts w:hint="eastAsia" w:ascii="宋体" w:hAnsi="宋体" w:eastAsia="宋体" w:cs="Times New Roman"/>
          <w:color w:val="000000"/>
          <w:kern w:val="2"/>
          <w:sz w:val="24"/>
          <w:szCs w:val="24"/>
        </w:rPr>
        <w:t>日16:00(北京时间)</w:t>
      </w:r>
    </w:p>
    <w:p>
      <w:pPr>
        <w:widowControl w:val="0"/>
        <w:adjustRightInd/>
        <w:snapToGrid/>
        <w:spacing w:after="0"/>
        <w:rPr>
          <w:rFonts w:ascii="宋体" w:hAnsi="宋体" w:eastAsia="宋体" w:cs="Times New Roman"/>
          <w:color w:val="000000"/>
          <w:kern w:val="2"/>
          <w:sz w:val="24"/>
          <w:szCs w:val="24"/>
        </w:rPr>
      </w:pPr>
      <w:r>
        <w:rPr>
          <w:rFonts w:ascii="宋体" w:hAnsi="宋体" w:eastAsia="宋体" w:cs="Times New Roman"/>
          <w:color w:val="000000"/>
          <w:kern w:val="2"/>
          <w:sz w:val="24"/>
          <w:szCs w:val="24"/>
        </w:rPr>
        <w:t xml:space="preserve">    5、联系电话：</w:t>
      </w:r>
    </w:p>
    <w:p>
      <w:pPr>
        <w:widowControl w:val="0"/>
        <w:adjustRightInd/>
        <w:snapToGrid/>
        <w:spacing w:after="0"/>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电</w:t>
      </w:r>
      <w:r>
        <w:rPr>
          <w:rFonts w:ascii="宋体" w:hAnsi="宋体" w:eastAsia="宋体" w:cs="Times New Roman"/>
          <w:color w:val="000000"/>
          <w:kern w:val="2"/>
          <w:sz w:val="24"/>
          <w:szCs w:val="24"/>
        </w:rPr>
        <w:t xml:space="preserve">    话：</w:t>
      </w:r>
      <w:r>
        <w:rPr>
          <w:rFonts w:hint="eastAsia" w:ascii="宋体" w:hAnsi="宋体" w:eastAsia="宋体" w:cs="Times New Roman"/>
          <w:color w:val="000000"/>
          <w:kern w:val="2"/>
          <w:sz w:val="24"/>
          <w:szCs w:val="24"/>
        </w:rPr>
        <w:t>15160911314   0991-2350363      联系人：张明阳</w:t>
      </w:r>
      <w:r>
        <w:rPr>
          <w:rFonts w:ascii="宋体" w:hAnsi="宋体" w:eastAsia="宋体" w:cs="Times New Roman"/>
          <w:color w:val="000000"/>
          <w:kern w:val="2"/>
          <w:sz w:val="24"/>
          <w:szCs w:val="24"/>
        </w:rPr>
        <w:t xml:space="preserve"> </w:t>
      </w:r>
    </w:p>
    <w:p>
      <w:pPr>
        <w:widowControl w:val="0"/>
        <w:adjustRightInd/>
        <w:snapToGrid/>
        <w:spacing w:after="0"/>
        <w:rPr>
          <w:rFonts w:ascii="宋体" w:hAnsi="宋体" w:eastAsia="宋体" w:cs="Times New Roman"/>
          <w:color w:val="000000"/>
          <w:kern w:val="2"/>
          <w:sz w:val="24"/>
          <w:szCs w:val="24"/>
        </w:rPr>
      </w:pPr>
    </w:p>
    <w:p>
      <w:pPr>
        <w:widowControl w:val="0"/>
        <w:adjustRightInd/>
        <w:snapToGrid/>
        <w:spacing w:after="0"/>
        <w:rPr>
          <w:rFonts w:ascii="宋体" w:hAnsi="宋体" w:eastAsia="宋体" w:cs="Times New Roman"/>
          <w:color w:val="000000"/>
          <w:kern w:val="2"/>
          <w:sz w:val="24"/>
          <w:szCs w:val="24"/>
        </w:rPr>
      </w:pPr>
    </w:p>
    <w:p>
      <w:pPr>
        <w:widowControl w:val="0"/>
        <w:adjustRightInd/>
        <w:snapToGrid/>
        <w:spacing w:after="0"/>
        <w:ind w:firstLine="4680" w:firstLineChars="1950"/>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新疆丰源建设工程项目管理咨询有限公司</w:t>
      </w:r>
    </w:p>
    <w:p>
      <w:pPr>
        <w:widowControl w:val="0"/>
        <w:adjustRightInd/>
        <w:snapToGrid/>
        <w:spacing w:after="0"/>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　　　　　　　　　　　　　　　　　　　　　　　　　2021年1</w:t>
      </w:r>
      <w:r>
        <w:rPr>
          <w:rFonts w:hint="eastAsia" w:ascii="宋体" w:hAnsi="宋体" w:eastAsia="宋体" w:cs="Times New Roman"/>
          <w:color w:val="000000"/>
          <w:kern w:val="2"/>
          <w:sz w:val="24"/>
          <w:szCs w:val="24"/>
          <w:lang w:val="en-US" w:eastAsia="zh-CN"/>
        </w:rPr>
        <w:t>2</w:t>
      </w:r>
      <w:r>
        <w:rPr>
          <w:rFonts w:hint="eastAsia" w:ascii="宋体" w:hAnsi="宋体" w:eastAsia="宋体" w:cs="Times New Roman"/>
          <w:color w:val="000000"/>
          <w:kern w:val="2"/>
          <w:sz w:val="24"/>
          <w:szCs w:val="24"/>
        </w:rPr>
        <w:t>月</w:t>
      </w:r>
    </w:p>
    <w:p>
      <w:pPr>
        <w:spacing w:line="460" w:lineRule="exact"/>
        <w:rPr>
          <w:rFonts w:ascii="宋体" w:hAnsi="宋体"/>
          <w:color w:val="000000"/>
          <w:sz w:val="24"/>
        </w:rPr>
      </w:pPr>
      <w:r>
        <w:rPr>
          <w:rFonts w:ascii="宋体" w:hAnsi="宋体"/>
          <w:color w:val="000000"/>
          <w:sz w:val="24"/>
        </w:rPr>
        <w:t xml:space="preserve">   </w:t>
      </w: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rPr>
          <w:rFonts w:ascii="宋体" w:hAnsi="宋体"/>
          <w:b/>
          <w:bCs/>
          <w:color w:val="000000"/>
          <w:sz w:val="24"/>
        </w:rPr>
      </w:pPr>
    </w:p>
    <w:p>
      <w:pPr>
        <w:spacing w:line="460" w:lineRule="exact"/>
        <w:jc w:val="center"/>
        <w:rPr>
          <w:rFonts w:ascii="宋体" w:hAnsi="宋体"/>
          <w:b/>
          <w:bCs/>
          <w:color w:val="000000"/>
          <w:sz w:val="24"/>
        </w:rPr>
      </w:pPr>
      <w:r>
        <w:rPr>
          <w:rFonts w:ascii="宋体" w:hAnsi="宋体"/>
          <w:b/>
          <w:bCs/>
          <w:color w:val="000000"/>
          <w:sz w:val="24"/>
        </w:rPr>
        <w:t>第二章</w:t>
      </w:r>
      <w:r>
        <w:rPr>
          <w:rFonts w:hint="eastAsia" w:ascii="宋体" w:hAnsi="宋体"/>
          <w:b/>
          <w:bCs/>
          <w:color w:val="000000"/>
          <w:sz w:val="24"/>
        </w:rPr>
        <w:t>　</w:t>
      </w:r>
      <w:r>
        <w:rPr>
          <w:rFonts w:ascii="宋体" w:hAnsi="宋体"/>
          <w:b/>
          <w:bCs/>
          <w:color w:val="000000"/>
          <w:sz w:val="24"/>
        </w:rPr>
        <w:t>投标人须知</w:t>
      </w:r>
    </w:p>
    <w:p>
      <w:pPr>
        <w:spacing w:line="460" w:lineRule="exact"/>
        <w:jc w:val="center"/>
        <w:rPr>
          <w:rFonts w:ascii="宋体" w:hAnsi="宋体"/>
          <w:b/>
          <w:bCs/>
          <w:color w:val="000000"/>
          <w:sz w:val="24"/>
        </w:rPr>
      </w:pPr>
    </w:p>
    <w:p>
      <w:pPr>
        <w:spacing w:line="460" w:lineRule="exact"/>
        <w:jc w:val="center"/>
        <w:outlineLvl w:val="0"/>
        <w:rPr>
          <w:rFonts w:ascii="宋体" w:hAnsi="宋体"/>
          <w:color w:val="000000"/>
          <w:sz w:val="24"/>
        </w:rPr>
      </w:pPr>
      <w:r>
        <w:rPr>
          <w:rFonts w:ascii="宋体" w:hAnsi="宋体"/>
          <w:b/>
          <w:bCs/>
          <w:color w:val="000000"/>
          <w:sz w:val="24"/>
        </w:rPr>
        <w:t>一</w:t>
      </w:r>
      <w:r>
        <w:rPr>
          <w:rFonts w:hint="eastAsia" w:ascii="宋体" w:hAnsi="宋体"/>
          <w:b/>
          <w:bCs/>
          <w:color w:val="000000"/>
          <w:sz w:val="24"/>
        </w:rPr>
        <w:t>、</w:t>
      </w:r>
      <w:r>
        <w:rPr>
          <w:rFonts w:ascii="宋体" w:hAnsi="宋体"/>
          <w:b/>
          <w:bCs/>
          <w:color w:val="000000"/>
          <w:sz w:val="24"/>
        </w:rPr>
        <w:t>总  则</w:t>
      </w:r>
    </w:p>
    <w:p>
      <w:pPr>
        <w:spacing w:line="460" w:lineRule="exact"/>
        <w:rPr>
          <w:rFonts w:ascii="宋体" w:hAnsi="宋体"/>
          <w:color w:val="000000"/>
          <w:sz w:val="24"/>
        </w:rPr>
      </w:pPr>
      <w:r>
        <w:rPr>
          <w:rFonts w:ascii="宋体" w:hAnsi="宋体"/>
          <w:color w:val="000000"/>
          <w:sz w:val="24"/>
        </w:rPr>
        <w:t xml:space="preserve">    1．适用范围</w:t>
      </w:r>
    </w:p>
    <w:p>
      <w:pPr>
        <w:spacing w:line="460" w:lineRule="exact"/>
        <w:rPr>
          <w:rFonts w:ascii="宋体" w:hAnsi="宋体"/>
          <w:color w:val="000000"/>
          <w:sz w:val="24"/>
        </w:rPr>
      </w:pPr>
      <w:r>
        <w:rPr>
          <w:rFonts w:ascii="宋体" w:hAnsi="宋体"/>
          <w:color w:val="000000"/>
          <w:sz w:val="24"/>
        </w:rPr>
        <w:t xml:space="preserve">    1.1本招标文件仅适用于本次招标中所</w:t>
      </w:r>
      <w:r>
        <w:rPr>
          <w:rFonts w:hint="eastAsia" w:ascii="宋体" w:hAnsi="宋体"/>
          <w:color w:val="000000"/>
          <w:sz w:val="24"/>
        </w:rPr>
        <w:t>描述</w:t>
      </w:r>
      <w:r>
        <w:rPr>
          <w:rFonts w:ascii="宋体" w:hAnsi="宋体"/>
          <w:color w:val="000000"/>
          <w:sz w:val="24"/>
        </w:rPr>
        <w:t>的</w:t>
      </w:r>
      <w:r>
        <w:rPr>
          <w:rFonts w:hint="eastAsia" w:ascii="宋体" w:hAnsi="宋体"/>
          <w:color w:val="000000"/>
          <w:sz w:val="24"/>
        </w:rPr>
        <w:t>材料</w:t>
      </w:r>
      <w:r>
        <w:rPr>
          <w:rFonts w:ascii="宋体" w:hAnsi="宋体"/>
          <w:color w:val="000000"/>
          <w:sz w:val="24"/>
        </w:rPr>
        <w:t>供应及服务。</w:t>
      </w:r>
    </w:p>
    <w:p>
      <w:pPr>
        <w:spacing w:line="460" w:lineRule="exact"/>
        <w:rPr>
          <w:rFonts w:ascii="宋体" w:hAnsi="宋体"/>
          <w:color w:val="000000"/>
          <w:sz w:val="24"/>
        </w:rPr>
      </w:pPr>
      <w:r>
        <w:rPr>
          <w:rFonts w:ascii="宋体" w:hAnsi="宋体"/>
          <w:color w:val="000000"/>
          <w:sz w:val="24"/>
        </w:rPr>
        <w:t xml:space="preserve">    2．合格的投标人</w:t>
      </w:r>
    </w:p>
    <w:p>
      <w:pPr>
        <w:spacing w:line="460" w:lineRule="exact"/>
        <w:rPr>
          <w:rFonts w:ascii="宋体" w:hAnsi="宋体"/>
          <w:color w:val="000000"/>
          <w:sz w:val="24"/>
        </w:rPr>
      </w:pPr>
      <w:r>
        <w:rPr>
          <w:rFonts w:ascii="宋体" w:hAnsi="宋体"/>
          <w:color w:val="000000"/>
          <w:sz w:val="24"/>
        </w:rPr>
        <w:t xml:space="preserve">    2.1在中国境内注册的具有法人资格，具有有效的营业执照和相应的经</w:t>
      </w:r>
      <w:r>
        <w:rPr>
          <w:rFonts w:hint="eastAsia" w:ascii="宋体" w:hAnsi="宋体"/>
          <w:color w:val="000000"/>
          <w:sz w:val="24"/>
        </w:rPr>
        <w:t>营范围、良好的信誉，承认并履行招标文件的各项规定的企业。</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3．投标费用</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 xml:space="preserve"> 3.1无论投标结果如何，投标人须自行承担所有与参加投标有关的全部</w:t>
      </w:r>
      <w:r>
        <w:rPr>
          <w:rFonts w:hint="eastAsia" w:ascii="宋体" w:hAnsi="宋体"/>
          <w:color w:val="000000"/>
          <w:sz w:val="24"/>
        </w:rPr>
        <w:t>费用。</w:t>
      </w: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rPr>
          <w:rFonts w:ascii="宋体" w:hAnsi="宋体"/>
          <w:b/>
          <w:bCs/>
          <w:color w:val="000000"/>
          <w:sz w:val="24"/>
        </w:rPr>
      </w:pPr>
    </w:p>
    <w:p>
      <w:pPr>
        <w:spacing w:line="460" w:lineRule="exact"/>
        <w:rPr>
          <w:rFonts w:ascii="宋体" w:hAnsi="宋体"/>
          <w:b/>
          <w:bCs/>
          <w:color w:val="000000"/>
          <w:sz w:val="24"/>
        </w:rPr>
      </w:pPr>
    </w:p>
    <w:p>
      <w:pPr>
        <w:spacing w:line="460" w:lineRule="exact"/>
        <w:rPr>
          <w:rFonts w:ascii="宋体" w:hAnsi="宋体"/>
          <w:b/>
          <w:bCs/>
          <w:color w:val="000000"/>
          <w:sz w:val="24"/>
        </w:rPr>
      </w:pPr>
    </w:p>
    <w:p>
      <w:pPr>
        <w:spacing w:line="460" w:lineRule="exact"/>
        <w:jc w:val="center"/>
        <w:outlineLvl w:val="0"/>
        <w:rPr>
          <w:rFonts w:ascii="宋体" w:hAnsi="宋体"/>
          <w:b/>
          <w:bCs/>
          <w:color w:val="000000"/>
          <w:sz w:val="24"/>
        </w:rPr>
      </w:pPr>
      <w:r>
        <w:rPr>
          <w:rFonts w:ascii="宋体" w:hAnsi="宋体"/>
          <w:b/>
          <w:bCs/>
          <w:color w:val="000000"/>
          <w:sz w:val="24"/>
        </w:rPr>
        <w:t>二、招标文件</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4．招标文件</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4.1招标文件用以阐明招标内容、招标投标程序、合同条件、</w:t>
      </w:r>
      <w:r>
        <w:rPr>
          <w:rFonts w:hint="eastAsia" w:ascii="宋体" w:hAnsi="宋体"/>
          <w:color w:val="000000"/>
          <w:sz w:val="24"/>
        </w:rPr>
        <w:t>评标因素及标准等。包括：</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4.1.1招标书；</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4.1.2投标人须知；</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 xml:space="preserve"> 4.1.3招标货物清单</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4.1.4招标货物技术要求</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 xml:space="preserve"> 4.1.5合同条款</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4.1.6</w:t>
      </w:r>
      <w:r>
        <w:rPr>
          <w:rFonts w:hint="eastAsia" w:ascii="宋体" w:hAnsi="宋体"/>
          <w:color w:val="000000"/>
          <w:sz w:val="24"/>
        </w:rPr>
        <w:t>招</w:t>
      </w:r>
      <w:r>
        <w:rPr>
          <w:rFonts w:ascii="宋体" w:hAnsi="宋体"/>
          <w:color w:val="000000"/>
          <w:sz w:val="24"/>
        </w:rPr>
        <w:t>标文件格式</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4.2投标人应仔细阅读招标文件中的所有内容。招标人将拒绝未按招标</w:t>
      </w:r>
      <w:r>
        <w:rPr>
          <w:rFonts w:hint="eastAsia" w:ascii="宋体" w:hAnsi="宋体"/>
          <w:color w:val="000000"/>
          <w:sz w:val="24"/>
        </w:rPr>
        <w:t>文件的要求提供全部资料，或提交的磋商响应文件未对招标文件作出实质性响应的投标。</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 xml:space="preserve"> 5．招标文件的澄清    </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5.1任何要求澄清招标文件的投标人，均应在投标截止日期</w:t>
      </w:r>
      <w:r>
        <w:rPr>
          <w:rFonts w:hint="eastAsia" w:ascii="宋体" w:hAnsi="宋体"/>
          <w:color w:val="000000"/>
          <w:sz w:val="24"/>
        </w:rPr>
        <w:t>三</w:t>
      </w:r>
      <w:r>
        <w:rPr>
          <w:rFonts w:ascii="宋体" w:hAnsi="宋体"/>
          <w:color w:val="000000"/>
          <w:sz w:val="24"/>
        </w:rPr>
        <w:t>天前以书</w:t>
      </w:r>
      <w:r>
        <w:rPr>
          <w:rFonts w:hint="eastAsia" w:ascii="宋体" w:hAnsi="宋体"/>
          <w:color w:val="000000"/>
          <w:sz w:val="24"/>
        </w:rPr>
        <w:t>面形式通知招标机构。招标机构将以书面形式予以答复，同时将书面通知每个购买招标文件的投标人。投标人对招标文件所作的任何推论、解释和结论，以及投标人对招标文件的任何推论、误解或因招标机构、招标人对有关问题的口头解释所造成的后果，均由投标人自行承担。投标人不得与招标人私下就招投标的有关实质性问题进行磋商。</w:t>
      </w:r>
    </w:p>
    <w:p>
      <w:pPr>
        <w:spacing w:line="460" w:lineRule="exact"/>
        <w:rPr>
          <w:rFonts w:ascii="宋体" w:hAnsi="宋体"/>
          <w:color w:val="000000"/>
          <w:sz w:val="24"/>
        </w:rPr>
      </w:pPr>
      <w:r>
        <w:rPr>
          <w:rFonts w:ascii="宋体" w:hAnsi="宋体"/>
          <w:color w:val="000000"/>
          <w:sz w:val="24"/>
        </w:rPr>
        <w:t xml:space="preserve">  6．招标文件的修改</w:t>
      </w:r>
    </w:p>
    <w:p>
      <w:pPr>
        <w:spacing w:line="460" w:lineRule="exact"/>
        <w:rPr>
          <w:rFonts w:ascii="宋体" w:hAnsi="宋体"/>
          <w:color w:val="000000"/>
          <w:sz w:val="24"/>
        </w:rPr>
      </w:pPr>
      <w:r>
        <w:rPr>
          <w:rFonts w:ascii="宋体" w:hAnsi="宋体"/>
          <w:color w:val="000000"/>
          <w:sz w:val="24"/>
        </w:rPr>
        <w:t xml:space="preserve">  6.1在投标截止日期的</w:t>
      </w:r>
      <w:r>
        <w:rPr>
          <w:rFonts w:hint="eastAsia" w:ascii="宋体" w:hAnsi="宋体"/>
          <w:color w:val="000000"/>
          <w:sz w:val="24"/>
        </w:rPr>
        <w:t>叁</w:t>
      </w:r>
      <w:r>
        <w:rPr>
          <w:rFonts w:ascii="宋体" w:hAnsi="宋体"/>
          <w:color w:val="000000"/>
          <w:sz w:val="24"/>
        </w:rPr>
        <w:t>天前，无论出于何种原因，招标机构可主动地或</w:t>
      </w:r>
      <w:r>
        <w:rPr>
          <w:rFonts w:hint="eastAsia" w:ascii="宋体" w:hAnsi="宋体"/>
          <w:color w:val="000000"/>
          <w:sz w:val="24"/>
        </w:rPr>
        <w:t>在解答投标人提出的问题时对招标文件进行修改。</w:t>
      </w:r>
    </w:p>
    <w:p>
      <w:pPr>
        <w:spacing w:line="460" w:lineRule="exact"/>
        <w:rPr>
          <w:rFonts w:ascii="宋体" w:hAnsi="宋体"/>
          <w:color w:val="000000"/>
          <w:sz w:val="24"/>
        </w:rPr>
      </w:pPr>
      <w:r>
        <w:rPr>
          <w:rFonts w:ascii="宋体" w:hAnsi="宋体"/>
          <w:color w:val="000000"/>
          <w:sz w:val="24"/>
        </w:rPr>
        <w:t xml:space="preserve">    6.2招标文件的修改将以书面形式通知所有购买招标文件的投标人，并具</w:t>
      </w:r>
      <w:r>
        <w:rPr>
          <w:rFonts w:hint="eastAsia" w:ascii="宋体" w:hAnsi="宋体"/>
          <w:color w:val="000000"/>
          <w:sz w:val="24"/>
        </w:rPr>
        <w:t>有普遍的约束力。</w:t>
      </w:r>
    </w:p>
    <w:p>
      <w:pPr>
        <w:spacing w:line="460" w:lineRule="exact"/>
        <w:rPr>
          <w:rFonts w:ascii="宋体" w:hAnsi="宋体"/>
          <w:sz w:val="24"/>
          <w:highlight w:val="cyan"/>
        </w:rPr>
      </w:pPr>
      <w:r>
        <w:rPr>
          <w:rFonts w:ascii="宋体" w:hAnsi="宋体"/>
          <w:color w:val="000000"/>
          <w:sz w:val="24"/>
        </w:rPr>
        <w:t xml:space="preserve">    6.3为使投标人在编写</w:t>
      </w:r>
      <w:r>
        <w:rPr>
          <w:rFonts w:hint="eastAsia" w:ascii="宋体" w:hAnsi="宋体"/>
          <w:color w:val="000000"/>
          <w:sz w:val="24"/>
        </w:rPr>
        <w:t>磋商响应</w:t>
      </w:r>
      <w:r>
        <w:rPr>
          <w:rFonts w:ascii="宋体" w:hAnsi="宋体"/>
          <w:color w:val="000000"/>
          <w:sz w:val="24"/>
        </w:rPr>
        <w:t>文件时，有充分时间对招标文件的修改部分进</w:t>
      </w:r>
      <w:r>
        <w:rPr>
          <w:rFonts w:hint="eastAsia" w:ascii="宋体" w:hAnsi="宋体"/>
          <w:color w:val="000000"/>
          <w:sz w:val="24"/>
        </w:rPr>
        <w:t>行研究，招标机构可以相应延迟投标截止日期，而不必征得投标人的同意。</w:t>
      </w:r>
    </w:p>
    <w:p>
      <w:pPr>
        <w:spacing w:line="460" w:lineRule="exact"/>
        <w:jc w:val="center"/>
        <w:rPr>
          <w:rFonts w:ascii="宋体" w:hAnsi="宋体"/>
          <w:b/>
          <w:bCs/>
          <w:color w:val="000000"/>
          <w:sz w:val="24"/>
        </w:rPr>
      </w:pPr>
    </w:p>
    <w:p>
      <w:pPr>
        <w:spacing w:line="460" w:lineRule="exact"/>
        <w:jc w:val="center"/>
        <w:outlineLvl w:val="0"/>
        <w:rPr>
          <w:rFonts w:ascii="宋体" w:hAnsi="宋体"/>
          <w:b/>
          <w:bCs/>
          <w:color w:val="000000"/>
          <w:sz w:val="24"/>
        </w:rPr>
      </w:pPr>
      <w:r>
        <w:rPr>
          <w:rFonts w:ascii="宋体" w:hAnsi="宋体"/>
          <w:b/>
          <w:bCs/>
          <w:color w:val="000000"/>
          <w:sz w:val="24"/>
        </w:rPr>
        <w:t>三、</w:t>
      </w:r>
      <w:r>
        <w:rPr>
          <w:rFonts w:hint="eastAsia" w:ascii="宋体" w:hAnsi="宋体"/>
          <w:b/>
          <w:bCs/>
          <w:color w:val="000000"/>
          <w:sz w:val="24"/>
        </w:rPr>
        <w:t>磋商响应</w:t>
      </w:r>
      <w:r>
        <w:rPr>
          <w:rFonts w:ascii="宋体" w:hAnsi="宋体"/>
          <w:b/>
          <w:bCs/>
          <w:color w:val="000000"/>
          <w:sz w:val="24"/>
        </w:rPr>
        <w:t>文件的编制</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7．</w:t>
      </w:r>
      <w:r>
        <w:rPr>
          <w:rFonts w:hint="eastAsia" w:ascii="宋体" w:hAnsi="宋体"/>
          <w:color w:val="000000"/>
          <w:sz w:val="24"/>
        </w:rPr>
        <w:t>磋商响应文件</w:t>
      </w:r>
      <w:r>
        <w:rPr>
          <w:rFonts w:ascii="宋体" w:hAnsi="宋体"/>
          <w:color w:val="000000"/>
          <w:sz w:val="24"/>
        </w:rPr>
        <w:t xml:space="preserve">的编写    </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7.1投标人应仔细阅读招标文件，了解招标文件的要求。在充分理解的基</w:t>
      </w:r>
      <w:r>
        <w:rPr>
          <w:rFonts w:hint="eastAsia" w:ascii="宋体" w:hAnsi="宋体"/>
          <w:color w:val="000000"/>
          <w:sz w:val="24"/>
        </w:rPr>
        <w:t>础上，制作磋商响应文件。</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8．投标的语言及计量单位</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8.1投标人的</w:t>
      </w:r>
      <w:r>
        <w:rPr>
          <w:rFonts w:hint="eastAsia" w:ascii="宋体" w:hAnsi="宋体"/>
          <w:color w:val="000000"/>
          <w:sz w:val="24"/>
        </w:rPr>
        <w:t>磋商响应</w:t>
      </w:r>
      <w:r>
        <w:rPr>
          <w:rFonts w:ascii="宋体" w:hAnsi="宋体"/>
          <w:color w:val="000000"/>
          <w:sz w:val="24"/>
        </w:rPr>
        <w:t>文件以及投标人与招标机构就有关招标活动的所有来</w:t>
      </w:r>
      <w:r>
        <w:rPr>
          <w:rFonts w:hint="eastAsia" w:ascii="宋体" w:hAnsi="宋体"/>
          <w:color w:val="000000"/>
          <w:sz w:val="24"/>
        </w:rPr>
        <w:t>往函电均应使用中文。如果磋商响应文件或与投标有关的其它文件、信件及来往函电以其它语言书写，投标人应将其译成中文。</w:t>
      </w:r>
    </w:p>
    <w:p>
      <w:pPr>
        <w:spacing w:line="460" w:lineRule="exact"/>
        <w:rPr>
          <w:rFonts w:ascii="宋体" w:hAnsi="宋体"/>
          <w:color w:val="000000"/>
          <w:sz w:val="24"/>
        </w:rPr>
      </w:pPr>
      <w:r>
        <w:rPr>
          <w:rFonts w:ascii="宋体" w:hAnsi="宋体"/>
          <w:color w:val="000000"/>
          <w:sz w:val="24"/>
        </w:rPr>
        <w:t xml:space="preserve">    8.1</w:t>
      </w:r>
      <w:r>
        <w:rPr>
          <w:rFonts w:hint="eastAsia" w:ascii="宋体" w:hAnsi="宋体"/>
          <w:color w:val="000000"/>
          <w:sz w:val="24"/>
        </w:rPr>
        <w:t>磋商响应</w:t>
      </w:r>
      <w:r>
        <w:rPr>
          <w:rFonts w:ascii="宋体" w:hAnsi="宋体"/>
          <w:color w:val="000000"/>
          <w:sz w:val="24"/>
        </w:rPr>
        <w:t>文件中所使用的计量单位除招标文件中有特殊规定外，一律使用</w:t>
      </w:r>
      <w:r>
        <w:rPr>
          <w:rFonts w:hint="eastAsia" w:ascii="宋体" w:hAnsi="宋体"/>
          <w:color w:val="000000"/>
          <w:sz w:val="24"/>
        </w:rPr>
        <w:t>中华人民共和国法定计量单位</w:t>
      </w:r>
      <w:r>
        <w:rPr>
          <w:rFonts w:ascii="宋体" w:hAnsi="宋体"/>
          <w:color w:val="000000"/>
          <w:sz w:val="24"/>
        </w:rPr>
        <w:t>(国际单位制和国家选定的其它计量单位)。</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9．</w:t>
      </w:r>
      <w:r>
        <w:rPr>
          <w:rFonts w:hint="eastAsia" w:ascii="宋体" w:hAnsi="宋体"/>
          <w:color w:val="000000"/>
          <w:sz w:val="24"/>
        </w:rPr>
        <w:t>磋商响应</w:t>
      </w:r>
      <w:r>
        <w:rPr>
          <w:rFonts w:ascii="宋体" w:hAnsi="宋体"/>
          <w:color w:val="000000"/>
          <w:sz w:val="24"/>
        </w:rPr>
        <w:t>文件构成</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9.1投标人编写的</w:t>
      </w:r>
      <w:r>
        <w:rPr>
          <w:rFonts w:hint="eastAsia" w:ascii="宋体" w:hAnsi="宋体"/>
          <w:color w:val="000000"/>
          <w:sz w:val="24"/>
        </w:rPr>
        <w:t>磋商响应</w:t>
      </w:r>
      <w:r>
        <w:rPr>
          <w:rFonts w:ascii="宋体" w:hAnsi="宋体"/>
          <w:color w:val="000000"/>
          <w:sz w:val="24"/>
        </w:rPr>
        <w:t>文件应包括下列文件：</w:t>
      </w:r>
    </w:p>
    <w:p>
      <w:pPr>
        <w:spacing w:line="460" w:lineRule="exact"/>
        <w:rPr>
          <w:rFonts w:ascii="宋体" w:hAnsi="宋体"/>
          <w:color w:val="000000"/>
          <w:sz w:val="24"/>
        </w:rPr>
      </w:pPr>
      <w:r>
        <w:rPr>
          <w:rFonts w:ascii="宋体" w:hAnsi="宋体"/>
          <w:color w:val="000000"/>
          <w:sz w:val="24"/>
        </w:rPr>
        <w:t xml:space="preserve">    (1)投标书；</w:t>
      </w:r>
    </w:p>
    <w:p>
      <w:pPr>
        <w:spacing w:line="460" w:lineRule="exact"/>
        <w:rPr>
          <w:rFonts w:ascii="宋体" w:hAnsi="宋体"/>
          <w:color w:val="000000"/>
          <w:sz w:val="24"/>
        </w:rPr>
      </w:pPr>
      <w:r>
        <w:rPr>
          <w:rFonts w:ascii="宋体" w:hAnsi="宋体"/>
          <w:color w:val="000000"/>
          <w:sz w:val="24"/>
        </w:rPr>
        <w:t xml:space="preserve">    (2)开标一览表；</w:t>
      </w:r>
    </w:p>
    <w:p>
      <w:pPr>
        <w:spacing w:line="460" w:lineRule="exact"/>
        <w:rPr>
          <w:rFonts w:ascii="宋体" w:hAnsi="宋体"/>
          <w:color w:val="000000"/>
          <w:sz w:val="24"/>
        </w:rPr>
      </w:pPr>
      <w:r>
        <w:rPr>
          <w:rFonts w:ascii="宋体" w:hAnsi="宋体"/>
          <w:color w:val="000000"/>
          <w:sz w:val="24"/>
        </w:rPr>
        <w:t xml:space="preserve">    (3)投标保证金</w:t>
      </w:r>
      <w:r>
        <w:rPr>
          <w:rFonts w:hint="eastAsia" w:ascii="宋体" w:hAnsi="宋体"/>
          <w:color w:val="000000"/>
          <w:sz w:val="24"/>
        </w:rPr>
        <w:t>收据（</w:t>
      </w:r>
      <w:r>
        <w:rPr>
          <w:rFonts w:ascii="宋体" w:hAnsi="宋体"/>
          <w:color w:val="000000"/>
          <w:sz w:val="24"/>
        </w:rPr>
        <w:t>原件随身携</w:t>
      </w:r>
      <w:r>
        <w:rPr>
          <w:rFonts w:hint="eastAsia" w:ascii="宋体" w:hAnsi="宋体"/>
          <w:color w:val="000000"/>
          <w:sz w:val="24"/>
        </w:rPr>
        <w:t>带开标时查验</w:t>
      </w:r>
      <w:r>
        <w:rPr>
          <w:rFonts w:ascii="宋体" w:hAnsi="宋体"/>
          <w:color w:val="000000"/>
          <w:sz w:val="24"/>
        </w:rPr>
        <w:t>)；</w:t>
      </w:r>
    </w:p>
    <w:p>
      <w:pPr>
        <w:spacing w:line="460" w:lineRule="exact"/>
        <w:ind w:left="480" w:hanging="480" w:hangingChars="200"/>
        <w:rPr>
          <w:rFonts w:ascii="宋体" w:hAnsi="宋体"/>
          <w:color w:val="000000"/>
          <w:sz w:val="24"/>
        </w:rPr>
      </w:pPr>
      <w:r>
        <w:rPr>
          <w:rFonts w:ascii="宋体" w:hAnsi="宋体"/>
          <w:color w:val="000000"/>
          <w:sz w:val="24"/>
        </w:rPr>
        <w:t xml:space="preserve">    (4)法定代表人授权委托书原件及被授权人身份证复印件(原件随身携</w:t>
      </w:r>
      <w:r>
        <w:rPr>
          <w:rFonts w:hint="eastAsia" w:ascii="宋体" w:hAnsi="宋体"/>
          <w:color w:val="000000"/>
          <w:sz w:val="24"/>
        </w:rPr>
        <w:t>带开标时查验</w:t>
      </w:r>
      <w:r>
        <w:rPr>
          <w:rFonts w:ascii="宋体" w:hAnsi="宋体"/>
          <w:color w:val="000000"/>
          <w:sz w:val="24"/>
        </w:rPr>
        <w:t>)；</w:t>
      </w:r>
    </w:p>
    <w:p>
      <w:pPr>
        <w:spacing w:line="460" w:lineRule="exact"/>
        <w:rPr>
          <w:rFonts w:ascii="宋体" w:hAnsi="宋体"/>
          <w:color w:val="000000"/>
          <w:sz w:val="24"/>
        </w:rPr>
      </w:pPr>
      <w:r>
        <w:rPr>
          <w:rFonts w:ascii="宋体" w:hAnsi="宋体"/>
          <w:color w:val="000000"/>
          <w:sz w:val="24"/>
        </w:rPr>
        <w:t xml:space="preserve">    (5)</w:t>
      </w:r>
      <w:r>
        <w:rPr>
          <w:rFonts w:hint="eastAsia" w:ascii="宋体" w:hAnsi="宋体"/>
          <w:color w:val="000000"/>
          <w:sz w:val="24"/>
        </w:rPr>
        <w:t>投标人需提供</w:t>
      </w:r>
      <w:r>
        <w:rPr>
          <w:rFonts w:hAnsi="宋体"/>
          <w:bCs/>
          <w:sz w:val="24"/>
        </w:rPr>
        <w:t>经年检合格有效的企业营业执照</w:t>
      </w:r>
      <w:r>
        <w:rPr>
          <w:rFonts w:ascii="宋体" w:hAnsi="宋体"/>
          <w:color w:val="000000"/>
          <w:sz w:val="24"/>
        </w:rPr>
        <w:t>原件随身携</w:t>
      </w:r>
      <w:r>
        <w:rPr>
          <w:rFonts w:hint="eastAsia" w:ascii="宋体" w:hAnsi="宋体"/>
          <w:color w:val="000000"/>
          <w:sz w:val="24"/>
        </w:rPr>
        <w:t>带开标时查验</w:t>
      </w:r>
      <w:r>
        <w:rPr>
          <w:rFonts w:ascii="宋体" w:hAnsi="宋体"/>
          <w:color w:val="000000"/>
          <w:sz w:val="24"/>
        </w:rPr>
        <w:t>)；</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6</w:t>
      </w:r>
      <w:r>
        <w:rPr>
          <w:rFonts w:ascii="宋体" w:hAnsi="宋体"/>
          <w:color w:val="000000"/>
          <w:sz w:val="24"/>
        </w:rPr>
        <w:t>)货物清单及报价表；</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7</w:t>
      </w:r>
      <w:r>
        <w:rPr>
          <w:rFonts w:ascii="宋体" w:hAnsi="宋体"/>
          <w:color w:val="000000"/>
          <w:sz w:val="24"/>
        </w:rPr>
        <w:t>)货物性能说明及资料；</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8</w:t>
      </w:r>
      <w:r>
        <w:rPr>
          <w:rFonts w:ascii="宋体" w:hAnsi="宋体"/>
          <w:color w:val="000000"/>
          <w:sz w:val="24"/>
        </w:rPr>
        <w:t>)质量保证体系说明及资料；</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9</w:t>
      </w:r>
      <w:r>
        <w:rPr>
          <w:rFonts w:ascii="宋体" w:hAnsi="宋体"/>
          <w:color w:val="000000"/>
          <w:sz w:val="24"/>
        </w:rPr>
        <w:t>)技术服务措施及承诺；</w:t>
      </w:r>
    </w:p>
    <w:p>
      <w:pPr>
        <w:spacing w:line="460" w:lineRule="exact"/>
        <w:rPr>
          <w:rFonts w:ascii="宋体" w:hAnsi="宋体"/>
          <w:color w:val="000000"/>
          <w:sz w:val="24"/>
        </w:rPr>
      </w:pPr>
      <w:r>
        <w:rPr>
          <w:rFonts w:ascii="宋体" w:hAnsi="宋体"/>
          <w:color w:val="000000"/>
          <w:sz w:val="24"/>
        </w:rPr>
        <w:t xml:space="preserve">    (1</w:t>
      </w:r>
      <w:r>
        <w:rPr>
          <w:rFonts w:hint="eastAsia" w:ascii="宋体" w:hAnsi="宋体"/>
          <w:color w:val="000000"/>
          <w:sz w:val="24"/>
        </w:rPr>
        <w:t>0</w:t>
      </w:r>
      <w:r>
        <w:rPr>
          <w:rFonts w:ascii="宋体" w:hAnsi="宋体"/>
          <w:color w:val="000000"/>
          <w:sz w:val="24"/>
        </w:rPr>
        <w:t>)业绩表</w:t>
      </w:r>
      <w:r>
        <w:rPr>
          <w:rFonts w:hint="eastAsia" w:ascii="宋体" w:hAnsi="宋体"/>
          <w:color w:val="000000"/>
          <w:sz w:val="24"/>
        </w:rPr>
        <w:t>；</w:t>
      </w:r>
    </w:p>
    <w:p>
      <w:pPr>
        <w:spacing w:line="460" w:lineRule="exact"/>
        <w:rPr>
          <w:rFonts w:ascii="宋体" w:hAnsi="宋体"/>
          <w:color w:val="000000"/>
          <w:sz w:val="24"/>
        </w:rPr>
      </w:pPr>
      <w:r>
        <w:rPr>
          <w:rFonts w:ascii="宋体" w:hAnsi="宋体"/>
          <w:color w:val="000000"/>
          <w:sz w:val="24"/>
        </w:rPr>
        <w:t xml:space="preserve">    (1</w:t>
      </w:r>
      <w:r>
        <w:rPr>
          <w:rFonts w:hint="eastAsia" w:ascii="宋体" w:hAnsi="宋体"/>
          <w:color w:val="000000"/>
          <w:sz w:val="24"/>
        </w:rPr>
        <w:t>1</w:t>
      </w:r>
      <w:r>
        <w:rPr>
          <w:rFonts w:ascii="宋体" w:hAnsi="宋体"/>
          <w:color w:val="000000"/>
          <w:sz w:val="24"/>
        </w:rPr>
        <w:t>)投标货物技术偏离表及说明；</w:t>
      </w:r>
    </w:p>
    <w:p>
      <w:pPr>
        <w:spacing w:line="460" w:lineRule="exact"/>
        <w:rPr>
          <w:rFonts w:ascii="黑体" w:hAnsi="宋体" w:eastAsia="黑体"/>
          <w:b/>
          <w:bCs/>
          <w:color w:val="000000"/>
          <w:sz w:val="24"/>
        </w:rPr>
      </w:pPr>
      <w:r>
        <w:rPr>
          <w:rFonts w:ascii="宋体" w:hAnsi="宋体"/>
          <w:color w:val="000000"/>
          <w:sz w:val="24"/>
        </w:rPr>
        <w:t xml:space="preserve">    </w:t>
      </w:r>
      <w:r>
        <w:rPr>
          <w:rFonts w:ascii="黑体" w:hAnsi="宋体" w:eastAsia="黑体"/>
          <w:b/>
          <w:bCs/>
          <w:color w:val="000000"/>
          <w:sz w:val="24"/>
        </w:rPr>
        <w:t>其中第(1)～(5)为开标审查时的必备项。投标人必须提供</w:t>
      </w:r>
      <w:r>
        <w:rPr>
          <w:rFonts w:hint="eastAsia" w:ascii="黑体" w:hAnsi="宋体" w:eastAsia="黑体"/>
          <w:b/>
          <w:bCs/>
          <w:color w:val="000000"/>
          <w:sz w:val="24"/>
        </w:rPr>
        <w:t>。</w:t>
      </w:r>
    </w:p>
    <w:p>
      <w:pPr>
        <w:spacing w:line="460" w:lineRule="exact"/>
        <w:rPr>
          <w:rFonts w:ascii="宋体" w:hAnsi="宋体"/>
          <w:color w:val="000000"/>
          <w:sz w:val="24"/>
        </w:rPr>
      </w:pPr>
      <w:r>
        <w:rPr>
          <w:rFonts w:ascii="宋体" w:hAnsi="宋体"/>
          <w:color w:val="000000"/>
          <w:sz w:val="24"/>
        </w:rPr>
        <w:t xml:space="preserve">    10．投标书格式</w:t>
      </w:r>
    </w:p>
    <w:p>
      <w:pPr>
        <w:spacing w:line="460" w:lineRule="exact"/>
        <w:rPr>
          <w:rFonts w:ascii="宋体" w:hAnsi="宋体"/>
          <w:color w:val="000000"/>
          <w:sz w:val="24"/>
        </w:rPr>
      </w:pPr>
      <w:r>
        <w:rPr>
          <w:rFonts w:ascii="宋体" w:hAnsi="宋体"/>
          <w:color w:val="000000"/>
          <w:sz w:val="24"/>
        </w:rPr>
        <w:t xml:space="preserve">    10.1投标人应当使用招标文件提供的表格格式，但表格可以按同样格式</w:t>
      </w:r>
      <w:r>
        <w:rPr>
          <w:rFonts w:hint="eastAsia" w:ascii="宋体" w:hAnsi="宋体"/>
          <w:color w:val="000000"/>
          <w:sz w:val="24"/>
        </w:rPr>
        <w:t>扩展。招标文件中没有提供格式的，投标人可以自行设计。</w:t>
      </w:r>
    </w:p>
    <w:p>
      <w:pPr>
        <w:spacing w:line="460" w:lineRule="exact"/>
        <w:rPr>
          <w:rFonts w:ascii="宋体" w:hAnsi="宋体"/>
          <w:color w:val="000000"/>
          <w:sz w:val="24"/>
        </w:rPr>
      </w:pPr>
      <w:r>
        <w:rPr>
          <w:rFonts w:ascii="宋体" w:hAnsi="宋体"/>
          <w:color w:val="000000"/>
          <w:sz w:val="24"/>
        </w:rPr>
        <w:t xml:space="preserve">    11．投标报价</w:t>
      </w:r>
    </w:p>
    <w:p>
      <w:pPr>
        <w:spacing w:line="460" w:lineRule="exact"/>
        <w:rPr>
          <w:rFonts w:ascii="宋体" w:hAnsi="宋体"/>
          <w:color w:val="000000"/>
          <w:sz w:val="24"/>
        </w:rPr>
      </w:pPr>
      <w:r>
        <w:rPr>
          <w:rFonts w:ascii="宋体" w:hAnsi="宋体"/>
          <w:color w:val="000000"/>
          <w:sz w:val="24"/>
        </w:rPr>
        <w:t xml:space="preserve">    11.1投标人应对</w:t>
      </w:r>
      <w:r>
        <w:rPr>
          <w:rFonts w:hint="eastAsia" w:ascii="宋体" w:hAnsi="宋体"/>
          <w:color w:val="000000"/>
          <w:sz w:val="24"/>
        </w:rPr>
        <w:t>全部内容</w:t>
      </w:r>
      <w:r>
        <w:rPr>
          <w:rFonts w:ascii="宋体" w:hAnsi="宋体"/>
          <w:color w:val="000000"/>
          <w:sz w:val="24"/>
        </w:rPr>
        <w:t>进行报价</w:t>
      </w:r>
      <w:r>
        <w:rPr>
          <w:rFonts w:hint="eastAsia" w:ascii="宋体" w:hAnsi="宋体"/>
          <w:color w:val="000000"/>
          <w:sz w:val="24"/>
        </w:rPr>
        <w:t>。</w:t>
      </w:r>
    </w:p>
    <w:p>
      <w:pPr>
        <w:spacing w:line="460" w:lineRule="exact"/>
        <w:rPr>
          <w:rFonts w:ascii="宋体" w:hAnsi="宋体"/>
          <w:color w:val="000000"/>
          <w:sz w:val="24"/>
        </w:rPr>
      </w:pPr>
      <w:r>
        <w:rPr>
          <w:rFonts w:ascii="宋体" w:hAnsi="宋体"/>
          <w:color w:val="000000"/>
          <w:sz w:val="24"/>
        </w:rPr>
        <w:t xml:space="preserve">    11.2任何有选择的报价将不予接受。</w:t>
      </w:r>
    </w:p>
    <w:p>
      <w:pPr>
        <w:spacing w:line="460" w:lineRule="exact"/>
        <w:rPr>
          <w:rFonts w:ascii="宋体" w:hAnsi="宋体"/>
          <w:color w:val="000000"/>
          <w:sz w:val="24"/>
        </w:rPr>
      </w:pPr>
      <w:r>
        <w:rPr>
          <w:rFonts w:ascii="宋体" w:hAnsi="宋体"/>
          <w:color w:val="000000"/>
          <w:sz w:val="24"/>
        </w:rPr>
        <w:t xml:space="preserve">    11.3较低报价将有利于中标，但投标人不得以低于成本的报价竞标。</w:t>
      </w:r>
    </w:p>
    <w:p>
      <w:pPr>
        <w:spacing w:line="460" w:lineRule="exact"/>
        <w:rPr>
          <w:rFonts w:ascii="宋体" w:hAnsi="宋体"/>
          <w:color w:val="000000"/>
          <w:sz w:val="24"/>
        </w:rPr>
      </w:pPr>
      <w:r>
        <w:rPr>
          <w:rFonts w:ascii="宋体" w:hAnsi="宋体"/>
          <w:color w:val="000000"/>
          <w:sz w:val="24"/>
        </w:rPr>
        <w:t xml:space="preserve">    11.4投标人投标货物报价应准确详细，如在合同执行过程中招标人未对</w:t>
      </w:r>
      <w:r>
        <w:rPr>
          <w:rFonts w:hint="eastAsia" w:ascii="宋体" w:hAnsi="宋体"/>
          <w:color w:val="000000"/>
          <w:sz w:val="24"/>
        </w:rPr>
        <w:t>合同内容进行调整，则其单价不做变动。</w:t>
      </w:r>
    </w:p>
    <w:p>
      <w:pPr>
        <w:spacing w:line="460" w:lineRule="exact"/>
        <w:rPr>
          <w:rFonts w:ascii="宋体" w:hAnsi="宋体"/>
          <w:color w:val="000000"/>
          <w:sz w:val="24"/>
        </w:rPr>
      </w:pPr>
      <w:r>
        <w:rPr>
          <w:rFonts w:ascii="宋体" w:hAnsi="宋体"/>
          <w:color w:val="000000"/>
          <w:sz w:val="24"/>
        </w:rPr>
        <w:t xml:space="preserve">    12．投标货币</w:t>
      </w:r>
    </w:p>
    <w:p>
      <w:pPr>
        <w:spacing w:line="460" w:lineRule="exact"/>
        <w:rPr>
          <w:rFonts w:ascii="宋体" w:hAnsi="宋体"/>
          <w:color w:val="000000"/>
          <w:sz w:val="24"/>
        </w:rPr>
      </w:pPr>
      <w:r>
        <w:rPr>
          <w:rFonts w:ascii="宋体" w:hAnsi="宋体"/>
          <w:color w:val="000000"/>
          <w:sz w:val="24"/>
        </w:rPr>
        <w:t xml:space="preserve">    12.1投标应以人民币报价。</w:t>
      </w:r>
    </w:p>
    <w:p>
      <w:pPr>
        <w:spacing w:line="460" w:lineRule="exact"/>
        <w:rPr>
          <w:rFonts w:ascii="宋体" w:hAnsi="宋体"/>
          <w:color w:val="000000"/>
          <w:sz w:val="24"/>
        </w:rPr>
      </w:pPr>
      <w:r>
        <w:rPr>
          <w:rFonts w:ascii="宋体" w:hAnsi="宋体"/>
          <w:color w:val="000000"/>
          <w:sz w:val="24"/>
        </w:rPr>
        <w:t xml:space="preserve">    13．</w:t>
      </w:r>
      <w:r>
        <w:rPr>
          <w:rFonts w:hint="eastAsia" w:ascii="宋体" w:hAnsi="宋体"/>
          <w:color w:val="000000"/>
          <w:sz w:val="24"/>
        </w:rPr>
        <w:t>磋商响应</w:t>
      </w:r>
      <w:r>
        <w:rPr>
          <w:rFonts w:ascii="宋体" w:hAnsi="宋体"/>
          <w:color w:val="000000"/>
          <w:sz w:val="24"/>
        </w:rPr>
        <w:t>文件的有效期</w:t>
      </w:r>
    </w:p>
    <w:p>
      <w:pPr>
        <w:spacing w:line="460" w:lineRule="exact"/>
        <w:rPr>
          <w:rFonts w:ascii="宋体" w:hAnsi="宋体"/>
          <w:color w:val="000000"/>
          <w:sz w:val="24"/>
        </w:rPr>
      </w:pPr>
      <w:r>
        <w:rPr>
          <w:rFonts w:ascii="宋体" w:hAnsi="宋体"/>
          <w:color w:val="000000"/>
          <w:sz w:val="24"/>
        </w:rPr>
        <w:t xml:space="preserve">    13.1</w:t>
      </w:r>
      <w:r>
        <w:rPr>
          <w:rFonts w:hint="eastAsia" w:ascii="宋体" w:hAnsi="宋体"/>
          <w:color w:val="000000"/>
          <w:sz w:val="24"/>
        </w:rPr>
        <w:t>磋商响应</w:t>
      </w:r>
      <w:r>
        <w:rPr>
          <w:rFonts w:ascii="宋体" w:hAnsi="宋体"/>
          <w:color w:val="000000"/>
          <w:sz w:val="24"/>
        </w:rPr>
        <w:t>文件从实际开标之日起</w:t>
      </w:r>
      <w:r>
        <w:rPr>
          <w:rFonts w:hint="eastAsia" w:ascii="宋体" w:hAnsi="宋体"/>
          <w:color w:val="000000"/>
          <w:sz w:val="24"/>
        </w:rPr>
        <w:t>60</w:t>
      </w:r>
      <w:r>
        <w:rPr>
          <w:rFonts w:ascii="宋体" w:hAnsi="宋体"/>
          <w:color w:val="000000"/>
          <w:sz w:val="24"/>
        </w:rPr>
        <w:t>天内有效</w:t>
      </w:r>
      <w:r>
        <w:rPr>
          <w:rFonts w:hint="eastAsia" w:ascii="宋体" w:hAnsi="宋体"/>
          <w:color w:val="000000"/>
          <w:sz w:val="24"/>
        </w:rPr>
        <w:t>。</w:t>
      </w:r>
    </w:p>
    <w:p>
      <w:pPr>
        <w:spacing w:line="460" w:lineRule="exact"/>
        <w:rPr>
          <w:rFonts w:ascii="宋体" w:hAnsi="宋体"/>
          <w:color w:val="000000"/>
          <w:sz w:val="24"/>
        </w:rPr>
      </w:pPr>
      <w:r>
        <w:rPr>
          <w:rFonts w:ascii="宋体" w:hAnsi="宋体"/>
          <w:color w:val="000000"/>
          <w:sz w:val="24"/>
        </w:rPr>
        <w:t xml:space="preserve">    13.2在特殊情况下，在原投标有效期届满之前，招标机构可与投标人协</w:t>
      </w:r>
      <w:r>
        <w:rPr>
          <w:rFonts w:hint="eastAsia" w:ascii="宋体" w:hAnsi="宋体"/>
          <w:color w:val="000000"/>
          <w:sz w:val="24"/>
        </w:rPr>
        <w:t>商延长磋商响应文件的有效期，并经投标人确认。</w:t>
      </w:r>
    </w:p>
    <w:p>
      <w:pPr>
        <w:spacing w:line="460" w:lineRule="exact"/>
        <w:rPr>
          <w:rFonts w:ascii="宋体" w:hAnsi="宋体"/>
          <w:color w:val="000000"/>
          <w:sz w:val="24"/>
        </w:rPr>
      </w:pPr>
      <w:r>
        <w:rPr>
          <w:rFonts w:ascii="宋体" w:hAnsi="宋体"/>
          <w:color w:val="000000"/>
          <w:sz w:val="24"/>
        </w:rPr>
        <w:t xml:space="preserve">    14．</w:t>
      </w:r>
      <w:r>
        <w:rPr>
          <w:rFonts w:hint="eastAsia" w:ascii="宋体" w:hAnsi="宋体"/>
          <w:color w:val="000000"/>
          <w:sz w:val="24"/>
        </w:rPr>
        <w:t>磋商响应文件</w:t>
      </w:r>
      <w:r>
        <w:rPr>
          <w:rFonts w:ascii="宋体" w:hAnsi="宋体"/>
          <w:color w:val="000000"/>
          <w:sz w:val="24"/>
        </w:rPr>
        <w:t>的书写要求、签署及份数</w:t>
      </w:r>
    </w:p>
    <w:p>
      <w:pPr>
        <w:spacing w:line="460" w:lineRule="exact"/>
        <w:rPr>
          <w:rFonts w:ascii="宋体" w:hAnsi="宋体"/>
          <w:color w:val="000000"/>
          <w:sz w:val="24"/>
        </w:rPr>
      </w:pPr>
      <w:r>
        <w:rPr>
          <w:rFonts w:ascii="宋体" w:hAnsi="宋体"/>
          <w:color w:val="000000"/>
          <w:sz w:val="24"/>
        </w:rPr>
        <w:t xml:space="preserve">    14.1</w:t>
      </w:r>
      <w:r>
        <w:rPr>
          <w:rFonts w:hint="eastAsia" w:ascii="宋体" w:hAnsi="宋体"/>
          <w:color w:val="000000"/>
          <w:sz w:val="24"/>
        </w:rPr>
        <w:t>磋商响应</w:t>
      </w:r>
      <w:r>
        <w:rPr>
          <w:rFonts w:ascii="宋体" w:hAnsi="宋体"/>
          <w:color w:val="000000"/>
          <w:sz w:val="24"/>
        </w:rPr>
        <w:t>文件须用不褪色的墨水笔书写或打印。</w:t>
      </w:r>
    </w:p>
    <w:p>
      <w:pPr>
        <w:spacing w:line="460" w:lineRule="exact"/>
        <w:rPr>
          <w:rFonts w:ascii="宋体" w:hAnsi="宋体"/>
          <w:color w:val="000000"/>
          <w:sz w:val="24"/>
        </w:rPr>
      </w:pPr>
      <w:r>
        <w:rPr>
          <w:rFonts w:ascii="宋体" w:hAnsi="宋体"/>
          <w:color w:val="000000"/>
          <w:sz w:val="24"/>
        </w:rPr>
        <w:t xml:space="preserve">    14.2</w:t>
      </w:r>
      <w:r>
        <w:rPr>
          <w:rFonts w:hint="eastAsia" w:ascii="宋体" w:hAnsi="宋体"/>
          <w:color w:val="000000"/>
          <w:sz w:val="24"/>
        </w:rPr>
        <w:t>磋商响应</w:t>
      </w:r>
      <w:r>
        <w:rPr>
          <w:rFonts w:ascii="宋体" w:hAnsi="宋体"/>
          <w:color w:val="000000"/>
          <w:sz w:val="24"/>
        </w:rPr>
        <w:t>文件的书写应清楚工整，修改处应由投标人全权代表签章。</w:t>
      </w:r>
    </w:p>
    <w:p>
      <w:pPr>
        <w:spacing w:line="460" w:lineRule="exact"/>
        <w:rPr>
          <w:rFonts w:ascii="宋体" w:hAnsi="宋体"/>
          <w:color w:val="000000"/>
          <w:sz w:val="24"/>
        </w:rPr>
      </w:pPr>
      <w:r>
        <w:rPr>
          <w:rFonts w:ascii="宋体" w:hAnsi="宋体"/>
          <w:color w:val="000000"/>
          <w:sz w:val="24"/>
        </w:rPr>
        <w:t xml:space="preserve">    14.3字迹潦草、表达不清、未按要求填写或可能导致非唯一理解的</w:t>
      </w:r>
      <w:r>
        <w:rPr>
          <w:rFonts w:hint="eastAsia" w:ascii="宋体" w:hAnsi="宋体"/>
          <w:color w:val="000000"/>
          <w:sz w:val="24"/>
        </w:rPr>
        <w:t>磋商响应文件可能被定为废标。</w:t>
      </w:r>
    </w:p>
    <w:p>
      <w:pPr>
        <w:spacing w:line="460" w:lineRule="exact"/>
        <w:rPr>
          <w:rFonts w:ascii="宋体" w:hAnsi="宋体"/>
          <w:color w:val="000000"/>
          <w:sz w:val="24"/>
        </w:rPr>
      </w:pPr>
      <w:r>
        <w:rPr>
          <w:rFonts w:ascii="宋体" w:hAnsi="宋体"/>
          <w:color w:val="000000"/>
          <w:sz w:val="24"/>
        </w:rPr>
        <w:t xml:space="preserve">    14.4</w:t>
      </w:r>
      <w:r>
        <w:rPr>
          <w:rFonts w:hint="eastAsia" w:ascii="宋体" w:hAnsi="宋体"/>
          <w:color w:val="000000"/>
          <w:sz w:val="24"/>
        </w:rPr>
        <w:t>磋商响应</w:t>
      </w:r>
      <w:r>
        <w:rPr>
          <w:rFonts w:ascii="宋体" w:hAnsi="宋体"/>
          <w:color w:val="000000"/>
          <w:sz w:val="24"/>
        </w:rPr>
        <w:t>文件应由企业法人或法人授权代表在凡规定签章处逐一签署及</w:t>
      </w:r>
      <w:r>
        <w:rPr>
          <w:rFonts w:hint="eastAsia" w:ascii="宋体" w:hAnsi="宋体"/>
          <w:color w:val="000000"/>
          <w:sz w:val="24"/>
        </w:rPr>
        <w:t>加盖单位的公章。</w:t>
      </w:r>
    </w:p>
    <w:p>
      <w:pPr>
        <w:spacing w:line="460" w:lineRule="exact"/>
        <w:rPr>
          <w:rFonts w:ascii="宋体" w:hAnsi="宋体"/>
          <w:color w:val="000000"/>
          <w:sz w:val="24"/>
        </w:rPr>
      </w:pPr>
      <w:r>
        <w:rPr>
          <w:rFonts w:ascii="宋体" w:hAnsi="宋体"/>
          <w:color w:val="000000"/>
          <w:sz w:val="24"/>
        </w:rPr>
        <w:t xml:space="preserve">    14.5</w:t>
      </w:r>
      <w:r>
        <w:rPr>
          <w:rFonts w:hint="eastAsia" w:ascii="宋体" w:hAnsi="宋体"/>
          <w:color w:val="000000"/>
          <w:sz w:val="24"/>
        </w:rPr>
        <w:t>磋商响应文件的份数：一式叁份。正本一份，副本二份，电子版一份（Word版或PDF）并在磋商响应文件封面左上角注明“正本”、“副本”字样，一旦正本和副本不符，以正本为准。参考资料不限量。</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15．投标保证金</w:t>
      </w:r>
    </w:p>
    <w:p>
      <w:pPr>
        <w:spacing w:line="360" w:lineRule="auto"/>
        <w:ind w:firstLine="600" w:firstLineChars="250"/>
        <w:rPr>
          <w:rFonts w:ascii="宋体" w:hAnsi="宋体"/>
          <w:color w:val="000000"/>
          <w:sz w:val="24"/>
        </w:rPr>
      </w:pPr>
      <w:r>
        <w:rPr>
          <w:rFonts w:ascii="宋体" w:hAnsi="宋体"/>
          <w:color w:val="000000"/>
          <w:sz w:val="24"/>
        </w:rPr>
        <w:t>15.1投标保证金金额为</w:t>
      </w:r>
      <w:r>
        <w:rPr>
          <w:rFonts w:hint="eastAsia" w:ascii="宋体" w:hAnsi="宋体"/>
          <w:color w:val="000000"/>
          <w:sz w:val="24"/>
          <w:highlight w:val="yellow"/>
          <w:lang w:val="en-US" w:eastAsia="zh-CN"/>
        </w:rPr>
        <w:t>38000</w:t>
      </w:r>
      <w:r>
        <w:rPr>
          <w:rFonts w:hint="eastAsia" w:ascii="宋体"/>
          <w:color w:val="000000"/>
          <w:sz w:val="24"/>
          <w:szCs w:val="18"/>
          <w:highlight w:val="yellow"/>
        </w:rPr>
        <w:t>元</w:t>
      </w:r>
      <w:r>
        <w:rPr>
          <w:rFonts w:hint="eastAsia" w:ascii="宋体" w:hAnsi="宋体"/>
          <w:color w:val="000000"/>
          <w:sz w:val="24"/>
        </w:rPr>
        <w:t>，开标前一天18时前交至招标代理公司财务室。以</w:t>
      </w:r>
      <w:r>
        <w:rPr>
          <w:rFonts w:ascii="宋体" w:hAnsi="宋体"/>
          <w:color w:val="000000"/>
          <w:sz w:val="24"/>
        </w:rPr>
        <w:t>支票</w:t>
      </w:r>
      <w:r>
        <w:rPr>
          <w:rFonts w:hint="eastAsia" w:ascii="宋体" w:hAnsi="宋体"/>
          <w:color w:val="000000"/>
          <w:sz w:val="24"/>
        </w:rPr>
        <w:t>或电汇方式打入招标代理单位账户</w:t>
      </w:r>
    </w:p>
    <w:p>
      <w:pPr>
        <w:spacing w:line="360" w:lineRule="auto"/>
        <w:ind w:firstLine="600" w:firstLineChars="250"/>
        <w:rPr>
          <w:rFonts w:ascii="宋体" w:hAnsi="宋体"/>
          <w:color w:val="000000"/>
          <w:sz w:val="24"/>
        </w:rPr>
      </w:pPr>
      <w:r>
        <w:rPr>
          <w:rFonts w:hint="eastAsia" w:ascii="宋体" w:hAnsi="宋体"/>
          <w:color w:val="000000"/>
          <w:sz w:val="24"/>
        </w:rPr>
        <w:t>单位名称：新疆丰源建设工程项目管理咨询有限公司</w:t>
      </w:r>
    </w:p>
    <w:p>
      <w:pPr>
        <w:spacing w:line="360" w:lineRule="auto"/>
        <w:ind w:firstLine="600" w:firstLineChars="250"/>
        <w:rPr>
          <w:rFonts w:ascii="宋体" w:hAnsi="宋体"/>
          <w:color w:val="000000"/>
          <w:sz w:val="24"/>
        </w:rPr>
      </w:pPr>
      <w:r>
        <w:rPr>
          <w:rFonts w:hint="eastAsia" w:ascii="宋体" w:hAnsi="宋体"/>
          <w:color w:val="000000"/>
          <w:sz w:val="24"/>
        </w:rPr>
        <w:t>开户银行：建行人民路支行</w:t>
      </w:r>
    </w:p>
    <w:p>
      <w:pPr>
        <w:spacing w:line="360" w:lineRule="auto"/>
        <w:ind w:firstLine="600" w:firstLineChars="250"/>
        <w:rPr>
          <w:rFonts w:ascii="宋体" w:hAnsi="宋体"/>
          <w:color w:val="000000"/>
          <w:sz w:val="24"/>
        </w:rPr>
      </w:pPr>
      <w:r>
        <w:rPr>
          <w:rFonts w:hint="eastAsia" w:ascii="宋体" w:hAnsi="宋体"/>
          <w:color w:val="000000"/>
          <w:sz w:val="24"/>
        </w:rPr>
        <w:t>银行帐号：65001610200050003521</w:t>
      </w:r>
    </w:p>
    <w:p>
      <w:pPr>
        <w:spacing w:line="360" w:lineRule="auto"/>
        <w:ind w:firstLine="600" w:firstLineChars="250"/>
        <w:rPr>
          <w:rFonts w:ascii="宋体" w:hAnsi="宋体"/>
          <w:sz w:val="24"/>
        </w:rPr>
      </w:pPr>
      <w:r>
        <w:rPr>
          <w:rFonts w:hint="eastAsia" w:ascii="宋体" w:hAnsi="宋体"/>
          <w:color w:val="000000"/>
          <w:sz w:val="24"/>
        </w:rPr>
        <w:t>行号：105881000116</w:t>
      </w:r>
      <w:r>
        <w:rPr>
          <w:rFonts w:hint="eastAsia" w:ascii="宋体" w:hAnsi="宋体"/>
          <w:sz w:val="24"/>
        </w:rPr>
        <w:t>（</w:t>
      </w:r>
      <w:r>
        <w:rPr>
          <w:rFonts w:hint="eastAsia" w:ascii="宋体" w:hAnsi="宋体"/>
          <w:color w:val="C00000"/>
          <w:sz w:val="24"/>
        </w:rPr>
        <w:t>备注：汇证金时请备注项目名称</w:t>
      </w:r>
      <w:r>
        <w:rPr>
          <w:rFonts w:hint="eastAsia" w:ascii="宋体" w:hAnsi="宋体"/>
          <w:sz w:val="24"/>
        </w:rPr>
        <w:t>）</w:t>
      </w:r>
    </w:p>
    <w:p>
      <w:pPr>
        <w:spacing w:line="460" w:lineRule="exact"/>
        <w:ind w:firstLine="240" w:firstLineChars="100"/>
        <w:rPr>
          <w:rFonts w:ascii="宋体" w:hAnsi="宋体"/>
          <w:color w:val="000000"/>
          <w:sz w:val="24"/>
        </w:rPr>
      </w:pPr>
      <w:r>
        <w:rPr>
          <w:rFonts w:ascii="宋体" w:hAnsi="宋体"/>
          <w:color w:val="000000"/>
          <w:sz w:val="24"/>
        </w:rPr>
        <w:t xml:space="preserve">  15.2投标保证金用于保护本次招标免受投标人的违规、违约行为而引起</w:t>
      </w:r>
      <w:r>
        <w:rPr>
          <w:rFonts w:hint="eastAsia" w:ascii="宋体" w:hAnsi="宋体"/>
          <w:color w:val="000000"/>
          <w:sz w:val="24"/>
        </w:rPr>
        <w:t>的风险。</w:t>
      </w:r>
    </w:p>
    <w:p>
      <w:pPr>
        <w:spacing w:line="460" w:lineRule="exact"/>
        <w:rPr>
          <w:rFonts w:ascii="宋体" w:hAnsi="宋体"/>
          <w:color w:val="000000"/>
          <w:sz w:val="24"/>
        </w:rPr>
      </w:pPr>
      <w:r>
        <w:rPr>
          <w:rFonts w:ascii="宋体" w:hAnsi="宋体"/>
          <w:color w:val="000000"/>
          <w:sz w:val="24"/>
        </w:rPr>
        <w:t xml:space="preserve">    15.3投标保证金应用人民币，由投标人按招标文件第一章(招标书)中</w:t>
      </w:r>
      <w:r>
        <w:rPr>
          <w:rFonts w:hint="eastAsia" w:ascii="宋体" w:hAnsi="宋体"/>
          <w:color w:val="000000"/>
          <w:sz w:val="24"/>
        </w:rPr>
        <w:t>明确的银行、帐号，按</w:t>
      </w:r>
      <w:r>
        <w:rPr>
          <w:rFonts w:ascii="宋体" w:hAnsi="宋体"/>
          <w:color w:val="000000"/>
          <w:sz w:val="24"/>
        </w:rPr>
        <w:t>15.1条要求的数额办理，于递交</w:t>
      </w:r>
      <w:r>
        <w:rPr>
          <w:rFonts w:hint="eastAsia" w:ascii="宋体" w:hAnsi="宋体"/>
          <w:color w:val="000000"/>
          <w:sz w:val="24"/>
        </w:rPr>
        <w:t>磋商响应</w:t>
      </w:r>
      <w:r>
        <w:rPr>
          <w:rFonts w:ascii="宋体" w:hAnsi="宋体"/>
          <w:color w:val="000000"/>
          <w:sz w:val="24"/>
        </w:rPr>
        <w:t>文件的同时交招标</w:t>
      </w:r>
      <w:r>
        <w:rPr>
          <w:rFonts w:hint="eastAsia" w:ascii="宋体" w:hAnsi="宋体"/>
          <w:color w:val="000000"/>
          <w:sz w:val="24"/>
        </w:rPr>
        <w:t>机构。对未按要求提交投标保证金的投标书，招标机构将视为不响应投标而予以拒绝。</w:t>
      </w:r>
      <w:r>
        <w:rPr>
          <w:rFonts w:ascii="宋体" w:hAnsi="宋体"/>
          <w:color w:val="000000"/>
          <w:sz w:val="24"/>
        </w:rPr>
        <w:t xml:space="preserve">    。</w:t>
      </w:r>
    </w:p>
    <w:p>
      <w:pPr>
        <w:spacing w:line="460" w:lineRule="exact"/>
        <w:ind w:firstLine="480"/>
        <w:rPr>
          <w:rFonts w:ascii="宋体" w:hAnsi="宋体"/>
          <w:color w:val="000000"/>
          <w:sz w:val="24"/>
        </w:rPr>
      </w:pPr>
      <w:r>
        <w:rPr>
          <w:rFonts w:ascii="宋体" w:hAnsi="宋体"/>
          <w:color w:val="000000"/>
          <w:sz w:val="24"/>
        </w:rPr>
        <w:t>15.4投标保证金应以</w:t>
      </w:r>
      <w:r>
        <w:rPr>
          <w:rFonts w:hint="eastAsia" w:ascii="宋体" w:hAnsi="宋体"/>
          <w:color w:val="000000"/>
          <w:sz w:val="24"/>
        </w:rPr>
        <w:t>电汇方式或转账</w:t>
      </w:r>
      <w:r>
        <w:rPr>
          <w:rFonts w:ascii="宋体" w:hAnsi="宋体"/>
          <w:color w:val="000000"/>
          <w:sz w:val="24"/>
        </w:rPr>
        <w:t>方式提交。</w:t>
      </w:r>
    </w:p>
    <w:p>
      <w:pPr>
        <w:spacing w:line="460" w:lineRule="exact"/>
        <w:rPr>
          <w:rFonts w:ascii="宋体" w:hAnsi="宋体"/>
          <w:color w:val="000000"/>
          <w:sz w:val="24"/>
        </w:rPr>
      </w:pPr>
      <w:r>
        <w:rPr>
          <w:rFonts w:ascii="宋体" w:hAnsi="宋体"/>
          <w:color w:val="000000"/>
          <w:sz w:val="24"/>
        </w:rPr>
        <w:t xml:space="preserve">    15.5未中标人的投标保证金，将在定标结束后</w:t>
      </w:r>
      <w:r>
        <w:rPr>
          <w:rFonts w:hint="eastAsia" w:ascii="宋体" w:hAnsi="宋体"/>
          <w:color w:val="000000"/>
          <w:sz w:val="24"/>
        </w:rPr>
        <w:t>5</w:t>
      </w:r>
      <w:r>
        <w:rPr>
          <w:rFonts w:ascii="宋体" w:hAnsi="宋体"/>
          <w:color w:val="000000"/>
          <w:sz w:val="24"/>
        </w:rPr>
        <w:t>日内予以退还。</w:t>
      </w:r>
    </w:p>
    <w:p>
      <w:pPr>
        <w:spacing w:line="460" w:lineRule="exact"/>
        <w:rPr>
          <w:rFonts w:ascii="宋体" w:hAnsi="宋体"/>
          <w:color w:val="000000"/>
          <w:sz w:val="24"/>
        </w:rPr>
      </w:pPr>
      <w:r>
        <w:rPr>
          <w:rFonts w:ascii="宋体" w:hAnsi="宋体"/>
          <w:color w:val="000000"/>
          <w:sz w:val="24"/>
        </w:rPr>
        <w:t xml:space="preserve">    15.6发生以下情况投标保证金</w:t>
      </w:r>
      <w:r>
        <w:rPr>
          <w:rFonts w:hint="eastAsia" w:ascii="宋体" w:hAnsi="宋体"/>
          <w:color w:val="000000"/>
          <w:sz w:val="24"/>
        </w:rPr>
        <w:t>可能被没收：</w:t>
      </w:r>
    </w:p>
    <w:p>
      <w:pPr>
        <w:spacing w:line="460" w:lineRule="exact"/>
        <w:rPr>
          <w:rFonts w:ascii="宋体" w:hAnsi="宋体"/>
          <w:color w:val="000000"/>
          <w:sz w:val="24"/>
        </w:rPr>
      </w:pPr>
      <w:r>
        <w:rPr>
          <w:rFonts w:ascii="宋体" w:hAnsi="宋体"/>
          <w:color w:val="000000"/>
          <w:sz w:val="24"/>
        </w:rPr>
        <w:t xml:space="preserve">    15.6.1如果投标人在投标有效期内撤回投标；</w:t>
      </w:r>
    </w:p>
    <w:p>
      <w:pPr>
        <w:spacing w:line="460" w:lineRule="exact"/>
        <w:rPr>
          <w:rFonts w:ascii="宋体" w:hAnsi="宋体"/>
          <w:color w:val="000000"/>
          <w:sz w:val="24"/>
        </w:rPr>
      </w:pPr>
      <w:r>
        <w:rPr>
          <w:rFonts w:ascii="宋体" w:hAnsi="宋体"/>
          <w:color w:val="000000"/>
          <w:sz w:val="24"/>
        </w:rPr>
        <w:t xml:space="preserve">    15.6.2如果中标人未能在规定的期限内签署合同协议书</w:t>
      </w:r>
      <w:r>
        <w:rPr>
          <w:rFonts w:hint="eastAsia" w:ascii="宋体" w:hAnsi="宋体"/>
          <w:color w:val="000000"/>
          <w:sz w:val="24"/>
        </w:rPr>
        <w:t>。</w:t>
      </w:r>
    </w:p>
    <w:p>
      <w:pPr>
        <w:spacing w:line="460" w:lineRule="exact"/>
        <w:rPr>
          <w:rFonts w:ascii="宋体" w:hAnsi="宋体"/>
          <w:color w:val="000000"/>
          <w:sz w:val="24"/>
        </w:rPr>
      </w:pPr>
      <w:r>
        <w:rPr>
          <w:rFonts w:ascii="宋体" w:hAnsi="宋体"/>
          <w:color w:val="000000"/>
          <w:sz w:val="24"/>
        </w:rPr>
        <w:t xml:space="preserve">    16．</w:t>
      </w:r>
      <w:r>
        <w:rPr>
          <w:rFonts w:hint="eastAsia" w:ascii="宋体" w:hAnsi="宋体"/>
          <w:color w:val="000000"/>
          <w:sz w:val="24"/>
        </w:rPr>
        <w:t>磋商响应</w:t>
      </w:r>
      <w:r>
        <w:rPr>
          <w:rFonts w:ascii="宋体" w:hAnsi="宋体"/>
          <w:color w:val="000000"/>
          <w:sz w:val="24"/>
        </w:rPr>
        <w:t>文件的密封与标记</w:t>
      </w:r>
    </w:p>
    <w:p>
      <w:pPr>
        <w:spacing w:line="460" w:lineRule="exact"/>
        <w:rPr>
          <w:rFonts w:ascii="宋体" w:hAnsi="宋体"/>
          <w:color w:val="000000"/>
          <w:sz w:val="24"/>
        </w:rPr>
      </w:pPr>
      <w:r>
        <w:rPr>
          <w:rFonts w:ascii="宋体" w:hAnsi="宋体"/>
          <w:color w:val="000000"/>
          <w:sz w:val="24"/>
        </w:rPr>
        <w:t xml:space="preserve">    16.1投标人应将填好的开标一览表装入一单独的信袋</w:t>
      </w:r>
      <w:r>
        <w:rPr>
          <w:rFonts w:hint="eastAsia" w:ascii="宋体" w:hAnsi="宋体"/>
          <w:color w:val="000000"/>
          <w:sz w:val="24"/>
        </w:rPr>
        <w:t>内加以密封，在密封处压口加盖公章</w:t>
      </w:r>
      <w:r>
        <w:rPr>
          <w:rFonts w:ascii="宋体" w:hAnsi="宋体"/>
          <w:color w:val="000000"/>
          <w:sz w:val="24"/>
        </w:rPr>
        <w:t>(或合同专用章)，并在信袋上注明“开</w:t>
      </w:r>
      <w:r>
        <w:rPr>
          <w:rFonts w:hint="eastAsia" w:ascii="宋体" w:hAnsi="宋体"/>
          <w:color w:val="000000"/>
          <w:sz w:val="24"/>
        </w:rPr>
        <w:t>标”字样，作为磋商响应文件的一部分。</w:t>
      </w:r>
    </w:p>
    <w:p>
      <w:pPr>
        <w:spacing w:line="460" w:lineRule="exact"/>
        <w:rPr>
          <w:rFonts w:ascii="宋体" w:hAnsi="宋体"/>
          <w:color w:val="000000"/>
          <w:sz w:val="24"/>
        </w:rPr>
      </w:pPr>
      <w:r>
        <w:rPr>
          <w:rFonts w:ascii="宋体" w:hAnsi="宋体"/>
          <w:color w:val="000000"/>
          <w:sz w:val="24"/>
        </w:rPr>
        <w:t xml:space="preserve">    16.2投标人应将</w:t>
      </w:r>
      <w:r>
        <w:rPr>
          <w:rFonts w:hint="eastAsia" w:ascii="宋体" w:hAnsi="宋体"/>
          <w:color w:val="000000"/>
          <w:sz w:val="24"/>
        </w:rPr>
        <w:t>磋商响应文件</w:t>
      </w:r>
      <w:r>
        <w:rPr>
          <w:rFonts w:ascii="宋体" w:hAnsi="宋体"/>
          <w:color w:val="000000"/>
          <w:sz w:val="24"/>
        </w:rPr>
        <w:t>的正本和副本及装有开标一览表</w:t>
      </w:r>
      <w:r>
        <w:rPr>
          <w:rFonts w:hint="eastAsia" w:ascii="宋体" w:hAnsi="宋体"/>
          <w:color w:val="000000"/>
          <w:sz w:val="24"/>
        </w:rPr>
        <w:t>的信袋全部装入一个包装物内加以密封，并在密封处压口加盖公章</w:t>
      </w:r>
      <w:r>
        <w:rPr>
          <w:rFonts w:ascii="宋体" w:hAnsi="宋体"/>
          <w:color w:val="000000"/>
          <w:sz w:val="24"/>
        </w:rPr>
        <w:t>(</w:t>
      </w:r>
      <w:r>
        <w:rPr>
          <w:rFonts w:hint="eastAsia" w:ascii="宋体" w:hAnsi="宋体"/>
          <w:color w:val="000000"/>
          <w:sz w:val="24"/>
        </w:rPr>
        <w:t>或合同专用章</w:t>
      </w:r>
      <w:r>
        <w:rPr>
          <w:rFonts w:ascii="宋体" w:hAnsi="宋体"/>
          <w:color w:val="000000"/>
          <w:sz w:val="24"/>
        </w:rPr>
        <w:t>)。</w:t>
      </w:r>
    </w:p>
    <w:p>
      <w:pPr>
        <w:spacing w:line="460" w:lineRule="exact"/>
        <w:rPr>
          <w:rFonts w:ascii="宋体" w:hAnsi="宋体"/>
          <w:color w:val="000000"/>
          <w:sz w:val="24"/>
        </w:rPr>
      </w:pPr>
      <w:r>
        <w:rPr>
          <w:rFonts w:ascii="宋体" w:hAnsi="宋体"/>
          <w:color w:val="000000"/>
          <w:sz w:val="24"/>
        </w:rPr>
        <w:t xml:space="preserve">    16.3</w:t>
      </w:r>
      <w:r>
        <w:rPr>
          <w:rFonts w:hint="eastAsia" w:ascii="宋体" w:hAnsi="宋体"/>
          <w:color w:val="000000"/>
          <w:sz w:val="24"/>
        </w:rPr>
        <w:t>磋商响应文件</w:t>
      </w:r>
      <w:r>
        <w:rPr>
          <w:rFonts w:ascii="宋体" w:hAnsi="宋体"/>
          <w:color w:val="000000"/>
          <w:sz w:val="24"/>
        </w:rPr>
        <w:t>包装物上应贴上封条，封条上写明以下内容：</w:t>
      </w:r>
    </w:p>
    <w:p>
      <w:pPr>
        <w:spacing w:line="460" w:lineRule="exact"/>
        <w:ind w:firstLine="480"/>
        <w:rPr>
          <w:rFonts w:ascii="宋体" w:hAnsi="宋体"/>
          <w:color w:val="000000"/>
          <w:sz w:val="24"/>
        </w:rPr>
      </w:pPr>
      <w:r>
        <w:rPr>
          <w:rFonts w:ascii="宋体" w:hAnsi="宋体"/>
          <w:color w:val="000000"/>
          <w:sz w:val="24"/>
        </w:rPr>
        <w:t>(1)招标机构名称：</w:t>
      </w:r>
      <w:r>
        <w:rPr>
          <w:rFonts w:hint="eastAsia"/>
          <w:sz w:val="24"/>
        </w:rPr>
        <w:t>新疆丰源建设工程项目管理咨询有限公司</w:t>
      </w:r>
    </w:p>
    <w:p>
      <w:pPr>
        <w:pStyle w:val="14"/>
        <w:widowControl/>
        <w:spacing w:line="375" w:lineRule="atLeast"/>
        <w:ind w:firstLine="480" w:firstLineChars="200"/>
        <w:jc w:val="left"/>
        <w:rPr>
          <w:rFonts w:hint="eastAsia" w:ascii="宋体" w:hAnsi="宋体" w:eastAsia="微软雅黑" w:cs="宋体"/>
          <w:color w:val="000000"/>
          <w:szCs w:val="24"/>
          <w:lang w:eastAsia="zh-CN"/>
        </w:rPr>
      </w:pPr>
      <w:r>
        <w:rPr>
          <w:rFonts w:ascii="宋体" w:hAnsi="宋体"/>
          <w:color w:val="000000"/>
        </w:rPr>
        <w:t>(2)项目名称：</w:t>
      </w:r>
      <w:r>
        <w:rPr>
          <w:rFonts w:hint="eastAsia" w:ascii="宋体" w:hAnsi="宋体" w:cs="宋体"/>
          <w:color w:val="000000"/>
          <w:szCs w:val="24"/>
          <w:lang w:eastAsia="zh-CN"/>
        </w:rPr>
        <w:t>乌鲁木齐市水磨沟区城市管理局（乌鲁木齐市水磨沟区城市管理行政执法局）12月防疫物资采购项目</w:t>
      </w:r>
    </w:p>
    <w:p>
      <w:pPr>
        <w:spacing w:line="460" w:lineRule="exact"/>
        <w:ind w:firstLine="480"/>
        <w:rPr>
          <w:rFonts w:ascii="宋体" w:hAnsi="宋体"/>
          <w:color w:val="000000"/>
          <w:sz w:val="24"/>
        </w:rPr>
      </w:pPr>
      <w:r>
        <w:rPr>
          <w:rFonts w:ascii="宋体" w:hAnsi="宋体"/>
          <w:color w:val="000000"/>
          <w:sz w:val="24"/>
        </w:rPr>
        <w:t xml:space="preserve"> (3) 投标人名称和地址：</w:t>
      </w:r>
    </w:p>
    <w:p>
      <w:pPr>
        <w:spacing w:line="460" w:lineRule="exact"/>
        <w:rPr>
          <w:rFonts w:ascii="宋体" w:hAnsi="宋体"/>
          <w:color w:val="000000"/>
          <w:sz w:val="24"/>
        </w:rPr>
      </w:pPr>
      <w:r>
        <w:rPr>
          <w:rFonts w:ascii="宋体" w:hAnsi="宋体"/>
          <w:color w:val="000000"/>
          <w:sz w:val="24"/>
        </w:rPr>
        <w:t xml:space="preserve">    (4) 注明“开标前不准启封”，“正本”，“副本”等字样。 </w:t>
      </w:r>
    </w:p>
    <w:p>
      <w:pPr>
        <w:spacing w:line="460" w:lineRule="exact"/>
        <w:ind w:firstLine="465"/>
        <w:rPr>
          <w:rFonts w:ascii="宋体" w:hAnsi="宋体"/>
          <w:color w:val="000000"/>
          <w:sz w:val="24"/>
        </w:rPr>
      </w:pPr>
      <w:r>
        <w:rPr>
          <w:rFonts w:ascii="宋体" w:hAnsi="宋体"/>
          <w:color w:val="000000"/>
          <w:sz w:val="24"/>
        </w:rPr>
        <w:t>16.4未按本须知要求密封、标记和投递的</w:t>
      </w:r>
      <w:r>
        <w:rPr>
          <w:rFonts w:hint="eastAsia" w:ascii="宋体" w:hAnsi="宋体"/>
          <w:color w:val="000000"/>
          <w:sz w:val="24"/>
        </w:rPr>
        <w:t>磋商响应文件</w:t>
      </w:r>
      <w:r>
        <w:rPr>
          <w:rFonts w:ascii="宋体" w:hAnsi="宋体"/>
          <w:color w:val="000000"/>
          <w:sz w:val="24"/>
        </w:rPr>
        <w:t>，招标机构不对其后</w:t>
      </w:r>
      <w:r>
        <w:rPr>
          <w:rFonts w:hint="eastAsia" w:ascii="宋体" w:hAnsi="宋体"/>
          <w:color w:val="000000"/>
          <w:sz w:val="24"/>
        </w:rPr>
        <w:t>果负责。</w:t>
      </w:r>
    </w:p>
    <w:p>
      <w:pPr>
        <w:spacing w:line="460" w:lineRule="exact"/>
        <w:ind w:firstLine="465"/>
        <w:rPr>
          <w:rFonts w:ascii="宋体" w:hAnsi="宋体"/>
          <w:color w:val="000000"/>
          <w:sz w:val="24"/>
        </w:rPr>
      </w:pPr>
      <w:r>
        <w:rPr>
          <w:rFonts w:ascii="宋体" w:hAnsi="宋体"/>
          <w:color w:val="000000"/>
          <w:sz w:val="24"/>
        </w:rPr>
        <w:t>17．</w:t>
      </w:r>
      <w:r>
        <w:rPr>
          <w:rFonts w:hint="eastAsia" w:ascii="宋体" w:hAnsi="宋体"/>
          <w:color w:val="000000"/>
          <w:sz w:val="24"/>
        </w:rPr>
        <w:t>磋商响应文件</w:t>
      </w:r>
      <w:r>
        <w:rPr>
          <w:rFonts w:ascii="宋体" w:hAnsi="宋体"/>
          <w:color w:val="000000"/>
          <w:sz w:val="24"/>
        </w:rPr>
        <w:t>递交的截止日期</w:t>
      </w:r>
    </w:p>
    <w:p>
      <w:pPr>
        <w:spacing w:line="460" w:lineRule="exact"/>
        <w:rPr>
          <w:rFonts w:ascii="宋体" w:hAnsi="宋体"/>
          <w:color w:val="000000"/>
          <w:sz w:val="24"/>
        </w:rPr>
      </w:pPr>
      <w:r>
        <w:rPr>
          <w:rFonts w:ascii="宋体" w:hAnsi="宋体"/>
          <w:color w:val="000000"/>
          <w:sz w:val="24"/>
        </w:rPr>
        <w:t xml:space="preserve">    17.1投标人必须按“投标人须知前附表”中规定的投标截止时间将</w:t>
      </w:r>
      <w:r>
        <w:rPr>
          <w:rFonts w:hint="eastAsia" w:ascii="宋体" w:hAnsi="宋体"/>
          <w:color w:val="000000"/>
          <w:sz w:val="24"/>
        </w:rPr>
        <w:t>磋商响应文件送达至开标地点。</w:t>
      </w:r>
    </w:p>
    <w:p>
      <w:pPr>
        <w:spacing w:line="460" w:lineRule="exact"/>
        <w:rPr>
          <w:rFonts w:ascii="宋体" w:hAnsi="宋体"/>
          <w:color w:val="000000"/>
          <w:sz w:val="24"/>
        </w:rPr>
      </w:pPr>
      <w:r>
        <w:rPr>
          <w:rFonts w:ascii="宋体" w:hAnsi="宋体"/>
          <w:color w:val="000000"/>
          <w:sz w:val="24"/>
        </w:rPr>
        <w:t xml:space="preserve">    17.2超过招标文件规定的投标截止时间送达或邮寄到的</w:t>
      </w:r>
      <w:r>
        <w:rPr>
          <w:rFonts w:hint="eastAsia" w:ascii="宋体" w:hAnsi="宋体"/>
          <w:color w:val="000000"/>
          <w:sz w:val="24"/>
        </w:rPr>
        <w:t>磋商响应文件</w:t>
      </w:r>
      <w:r>
        <w:rPr>
          <w:rFonts w:ascii="宋体" w:hAnsi="宋体"/>
          <w:color w:val="000000"/>
          <w:sz w:val="24"/>
        </w:rPr>
        <w:t>将不予</w:t>
      </w:r>
      <w:r>
        <w:rPr>
          <w:rFonts w:hint="eastAsia" w:ascii="宋体" w:hAnsi="宋体"/>
          <w:color w:val="000000"/>
          <w:sz w:val="24"/>
        </w:rPr>
        <w:t>接受。</w:t>
      </w:r>
    </w:p>
    <w:p>
      <w:pPr>
        <w:spacing w:line="460" w:lineRule="exact"/>
        <w:rPr>
          <w:rFonts w:ascii="宋体" w:hAnsi="宋体"/>
          <w:color w:val="000000"/>
          <w:sz w:val="24"/>
        </w:rPr>
      </w:pPr>
      <w:r>
        <w:rPr>
          <w:rFonts w:ascii="宋体" w:hAnsi="宋体"/>
          <w:color w:val="000000"/>
          <w:sz w:val="24"/>
        </w:rPr>
        <w:t xml:space="preserve">    18．</w:t>
      </w:r>
      <w:r>
        <w:rPr>
          <w:rFonts w:hint="eastAsia" w:ascii="宋体" w:hAnsi="宋体"/>
          <w:color w:val="000000"/>
          <w:sz w:val="24"/>
        </w:rPr>
        <w:t>磋商响应文件</w:t>
      </w:r>
      <w:r>
        <w:rPr>
          <w:rFonts w:ascii="宋体" w:hAnsi="宋体"/>
          <w:color w:val="000000"/>
          <w:sz w:val="24"/>
        </w:rPr>
        <w:t>的修改和撤销</w:t>
      </w:r>
    </w:p>
    <w:p>
      <w:pPr>
        <w:spacing w:line="460" w:lineRule="exact"/>
        <w:rPr>
          <w:rFonts w:ascii="宋体" w:hAnsi="宋体"/>
          <w:color w:val="000000"/>
          <w:sz w:val="24"/>
        </w:rPr>
      </w:pPr>
      <w:r>
        <w:rPr>
          <w:rFonts w:ascii="宋体" w:hAnsi="宋体"/>
          <w:color w:val="000000"/>
          <w:sz w:val="24"/>
        </w:rPr>
        <w:t xml:space="preserve">    18.1投标人在提交</w:t>
      </w:r>
      <w:r>
        <w:rPr>
          <w:rFonts w:hint="eastAsia" w:ascii="宋体" w:hAnsi="宋体"/>
          <w:color w:val="000000"/>
          <w:sz w:val="24"/>
        </w:rPr>
        <w:t>磋商响应文件</w:t>
      </w:r>
      <w:r>
        <w:rPr>
          <w:rFonts w:ascii="宋体" w:hAnsi="宋体"/>
          <w:color w:val="000000"/>
          <w:sz w:val="24"/>
        </w:rPr>
        <w:t>后可以对其</w:t>
      </w:r>
      <w:r>
        <w:rPr>
          <w:rFonts w:hint="eastAsia" w:ascii="宋体" w:hAnsi="宋体"/>
          <w:color w:val="000000"/>
          <w:sz w:val="24"/>
        </w:rPr>
        <w:t>磋商响应文件</w:t>
      </w:r>
      <w:r>
        <w:rPr>
          <w:rFonts w:ascii="宋体" w:hAnsi="宋体"/>
          <w:color w:val="000000"/>
          <w:sz w:val="24"/>
        </w:rPr>
        <w:t>进行修改或撤销，但招</w:t>
      </w:r>
      <w:r>
        <w:rPr>
          <w:rFonts w:hint="eastAsia" w:ascii="宋体" w:hAnsi="宋体"/>
          <w:color w:val="000000"/>
          <w:sz w:val="24"/>
        </w:rPr>
        <w:t>标机构必须在招标文件规定的投标截止时间前收到该修改或撤销的书面通知。</w:t>
      </w:r>
    </w:p>
    <w:p>
      <w:pPr>
        <w:spacing w:line="460" w:lineRule="exact"/>
        <w:rPr>
          <w:rFonts w:ascii="宋体" w:hAnsi="宋体"/>
          <w:color w:val="000000"/>
          <w:sz w:val="24"/>
        </w:rPr>
      </w:pPr>
      <w:r>
        <w:rPr>
          <w:rFonts w:ascii="宋体" w:hAnsi="宋体"/>
          <w:color w:val="000000"/>
          <w:sz w:val="24"/>
        </w:rPr>
        <w:t xml:space="preserve">    l8.2投标人对</w:t>
      </w:r>
      <w:r>
        <w:rPr>
          <w:rFonts w:hint="eastAsia" w:ascii="宋体" w:hAnsi="宋体"/>
          <w:color w:val="000000"/>
          <w:sz w:val="24"/>
        </w:rPr>
        <w:t>磋商响应文件</w:t>
      </w:r>
      <w:r>
        <w:rPr>
          <w:rFonts w:ascii="宋体" w:hAnsi="宋体"/>
          <w:color w:val="000000"/>
          <w:sz w:val="24"/>
        </w:rPr>
        <w:t>的修改或撤销应按本章第16和17条规定进行准</w:t>
      </w:r>
      <w:r>
        <w:rPr>
          <w:rFonts w:hint="eastAsia" w:ascii="宋体" w:hAnsi="宋体"/>
          <w:color w:val="000000"/>
          <w:sz w:val="24"/>
        </w:rPr>
        <w:t>备、密封、标注和递交。</w:t>
      </w:r>
    </w:p>
    <w:p>
      <w:pPr>
        <w:spacing w:line="460" w:lineRule="exact"/>
        <w:rPr>
          <w:rFonts w:ascii="宋体" w:hAnsi="宋体"/>
          <w:color w:val="000000"/>
          <w:sz w:val="24"/>
        </w:rPr>
      </w:pPr>
      <w:r>
        <w:rPr>
          <w:rFonts w:ascii="宋体" w:hAnsi="宋体"/>
          <w:color w:val="000000"/>
          <w:sz w:val="24"/>
        </w:rPr>
        <w:t xml:space="preserve">    18.3投标截止时间后不得修改</w:t>
      </w:r>
      <w:r>
        <w:rPr>
          <w:rFonts w:hint="eastAsia" w:ascii="宋体" w:hAnsi="宋体"/>
          <w:color w:val="000000"/>
          <w:sz w:val="24"/>
        </w:rPr>
        <w:t>磋商响应文件</w:t>
      </w:r>
      <w:r>
        <w:rPr>
          <w:rFonts w:ascii="宋体" w:hAnsi="宋体"/>
          <w:color w:val="000000"/>
          <w:sz w:val="24"/>
        </w:rPr>
        <w:t>。</w:t>
      </w:r>
    </w:p>
    <w:p>
      <w:pPr>
        <w:spacing w:line="460" w:lineRule="exact"/>
        <w:ind w:firstLine="480"/>
        <w:rPr>
          <w:rFonts w:ascii="宋体" w:hAnsi="宋体"/>
          <w:color w:val="000000"/>
          <w:sz w:val="24"/>
        </w:rPr>
      </w:pPr>
      <w:r>
        <w:rPr>
          <w:rFonts w:ascii="宋体" w:hAnsi="宋体"/>
          <w:color w:val="000000"/>
          <w:sz w:val="24"/>
        </w:rPr>
        <w:t>18.4投标人不得在投标截止时间起至</w:t>
      </w:r>
      <w:r>
        <w:rPr>
          <w:rFonts w:hint="eastAsia" w:ascii="宋体" w:hAnsi="宋体"/>
          <w:color w:val="000000"/>
          <w:sz w:val="24"/>
        </w:rPr>
        <w:t>磋商响应文件</w:t>
      </w:r>
      <w:r>
        <w:rPr>
          <w:rFonts w:ascii="宋体" w:hAnsi="宋体"/>
          <w:color w:val="000000"/>
          <w:sz w:val="24"/>
        </w:rPr>
        <w:t>有效期满前撤销投标，否</w:t>
      </w:r>
      <w:r>
        <w:rPr>
          <w:rFonts w:hint="eastAsia" w:ascii="宋体" w:hAnsi="宋体"/>
          <w:color w:val="000000"/>
          <w:sz w:val="24"/>
        </w:rPr>
        <w:t>则招标机构将没收其投标保证金。作为对招标机构和招标人的违约赔偿金。</w:t>
      </w: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rPr>
          <w:rFonts w:ascii="宋体" w:hAnsi="宋体"/>
          <w:color w:val="000000"/>
          <w:sz w:val="24"/>
        </w:rPr>
      </w:pPr>
    </w:p>
    <w:p>
      <w:pPr>
        <w:spacing w:line="360" w:lineRule="auto"/>
        <w:ind w:right="880"/>
        <w:jc w:val="right"/>
        <w:rPr>
          <w:rFonts w:ascii="仿宋_GB2312" w:hAnsi="宋体" w:eastAsia="仿宋_GB2312"/>
          <w:b/>
          <w:bCs/>
          <w:sz w:val="44"/>
          <w:szCs w:val="44"/>
          <w:bdr w:val="single" w:color="auto" w:sz="4" w:space="0"/>
        </w:rPr>
      </w:pPr>
      <w:r>
        <w:rPr>
          <w:rFonts w:hint="eastAsia" w:ascii="仿宋_GB2312" w:hAnsi="宋体" w:eastAsia="仿宋_GB2312"/>
          <w:b/>
          <w:bCs/>
          <w:sz w:val="44"/>
          <w:szCs w:val="44"/>
          <w:bdr w:val="single" w:color="auto" w:sz="4" w:space="0"/>
        </w:rPr>
        <w:t>正本</w:t>
      </w:r>
    </w:p>
    <w:p>
      <w:pPr>
        <w:spacing w:line="360" w:lineRule="auto"/>
        <w:jc w:val="center"/>
        <w:outlineLvl w:val="0"/>
        <w:rPr>
          <w:rFonts w:ascii="仿宋_GB2312" w:hAnsi="宋体" w:eastAsia="仿宋_GB2312"/>
          <w:sz w:val="72"/>
          <w:szCs w:val="72"/>
          <w:lang w:val="zh-CN"/>
        </w:rPr>
      </w:pPr>
      <w:r>
        <w:rPr>
          <w:rFonts w:hint="eastAsia" w:ascii="仿宋_GB2312" w:hAnsi="宋体" w:eastAsia="仿宋_GB2312"/>
          <w:sz w:val="72"/>
          <w:szCs w:val="72"/>
          <w:lang w:val="zh-CN"/>
        </w:rPr>
        <w:t>磋商响应文件</w:t>
      </w:r>
    </w:p>
    <w:p>
      <w:pPr>
        <w:spacing w:line="360" w:lineRule="auto"/>
        <w:rPr>
          <w:rFonts w:ascii="仿宋_GB2312" w:hAnsi="宋体" w:eastAsia="仿宋_GB2312"/>
          <w:sz w:val="52"/>
          <w:szCs w:val="52"/>
          <w:lang w:val="zh-CN"/>
        </w:rPr>
      </w:pPr>
    </w:p>
    <w:p>
      <w:pPr>
        <w:spacing w:line="360" w:lineRule="auto"/>
        <w:outlineLvl w:val="0"/>
        <w:rPr>
          <w:rFonts w:ascii="仿宋_GB2312" w:hAnsi="宋体" w:eastAsia="仿宋_GB2312"/>
          <w:sz w:val="32"/>
          <w:szCs w:val="32"/>
          <w:lang w:val="zh-CN"/>
        </w:rPr>
      </w:pPr>
      <w:r>
        <w:rPr>
          <w:rFonts w:hint="eastAsia" w:ascii="仿宋_GB2312" w:hAnsi="宋体" w:eastAsia="仿宋_GB2312"/>
          <w:sz w:val="32"/>
          <w:szCs w:val="32"/>
          <w:lang w:val="zh-CN"/>
        </w:rPr>
        <w:t>项目名称: 乌鲁木齐市水磨沟区城市管理局（乌鲁木齐市水磨沟区城市管理行政执法局）12月防疫物资采购项目</w:t>
      </w:r>
    </w:p>
    <w:p>
      <w:pPr>
        <w:spacing w:line="360" w:lineRule="auto"/>
        <w:rPr>
          <w:rFonts w:ascii="仿宋_GB2312" w:hAnsi="宋体" w:eastAsia="仿宋_GB2312"/>
          <w:sz w:val="32"/>
          <w:szCs w:val="32"/>
          <w:lang w:val="zh-CN"/>
        </w:rPr>
      </w:pPr>
    </w:p>
    <w:p>
      <w:pPr>
        <w:spacing w:line="360" w:lineRule="auto"/>
        <w:outlineLvl w:val="0"/>
        <w:rPr>
          <w:rFonts w:ascii="仿宋_GB2312" w:hAnsi="宋体" w:eastAsia="仿宋_GB2312"/>
          <w:sz w:val="32"/>
          <w:szCs w:val="32"/>
        </w:rPr>
      </w:pPr>
      <w:r>
        <w:rPr>
          <w:rFonts w:hint="eastAsia" w:ascii="仿宋_GB2312" w:hAnsi="宋体" w:eastAsia="仿宋_GB2312"/>
          <w:sz w:val="32"/>
          <w:szCs w:val="32"/>
          <w:lang w:val="zh-CN"/>
        </w:rPr>
        <w:t>项目编号: XJFYZB2021-1202</w:t>
      </w:r>
    </w:p>
    <w:p>
      <w:pPr>
        <w:spacing w:line="360" w:lineRule="auto"/>
        <w:rPr>
          <w:rFonts w:ascii="仿宋_GB2312" w:hAnsi="宋体" w:eastAsia="仿宋_GB2312"/>
          <w:sz w:val="32"/>
          <w:szCs w:val="32"/>
          <w:lang w:val="zh-CN"/>
        </w:rPr>
      </w:pPr>
    </w:p>
    <w:p>
      <w:pPr>
        <w:spacing w:line="360" w:lineRule="auto"/>
        <w:outlineLvl w:val="0"/>
        <w:rPr>
          <w:rFonts w:ascii="仿宋_GB2312" w:hAnsi="宋体" w:eastAsia="仿宋_GB2312"/>
          <w:sz w:val="32"/>
          <w:szCs w:val="32"/>
          <w:lang w:val="zh-CN"/>
        </w:rPr>
      </w:pPr>
      <w:r>
        <w:rPr>
          <w:rFonts w:hint="eastAsia" w:ascii="仿宋_GB2312" w:hAnsi="宋体" w:eastAsia="仿宋_GB2312"/>
          <w:sz w:val="32"/>
          <w:szCs w:val="32"/>
          <w:lang w:val="zh-CN"/>
        </w:rPr>
        <w:t>投标人名称:(盖章)</w:t>
      </w:r>
    </w:p>
    <w:p>
      <w:pPr>
        <w:spacing w:line="360" w:lineRule="auto"/>
        <w:rPr>
          <w:rFonts w:ascii="仿宋_GB2312" w:hAnsi="宋体" w:eastAsia="仿宋_GB2312"/>
          <w:sz w:val="32"/>
          <w:szCs w:val="32"/>
          <w:lang w:val="zh-CN"/>
        </w:rPr>
      </w:pPr>
    </w:p>
    <w:p>
      <w:pPr>
        <w:spacing w:line="360" w:lineRule="auto"/>
        <w:outlineLvl w:val="0"/>
        <w:rPr>
          <w:rFonts w:ascii="仿宋_GB2312" w:hAnsi="宋体" w:eastAsia="仿宋_GB2312"/>
          <w:sz w:val="32"/>
          <w:szCs w:val="32"/>
          <w:lang w:val="zh-CN"/>
        </w:rPr>
      </w:pPr>
      <w:r>
        <w:rPr>
          <w:rFonts w:hint="eastAsia" w:ascii="仿宋_GB2312" w:hAnsi="宋体" w:eastAsia="仿宋_GB2312"/>
          <w:sz w:val="32"/>
          <w:szCs w:val="32"/>
          <w:lang w:val="zh-CN"/>
        </w:rPr>
        <w:t>法定代表人或授权代表: (盖章)</w:t>
      </w:r>
    </w:p>
    <w:p>
      <w:pPr>
        <w:spacing w:line="360" w:lineRule="auto"/>
        <w:rPr>
          <w:rFonts w:ascii="仿宋_GB2312" w:hAnsi="宋体" w:eastAsia="仿宋_GB2312"/>
          <w:sz w:val="32"/>
          <w:szCs w:val="32"/>
          <w:lang w:val="zh-CN"/>
        </w:rPr>
      </w:pPr>
    </w:p>
    <w:p>
      <w:pPr>
        <w:spacing w:line="360" w:lineRule="auto"/>
        <w:rPr>
          <w:rFonts w:ascii="仿宋_GB2312" w:hAnsi="宋体" w:eastAsia="仿宋_GB2312"/>
          <w:sz w:val="32"/>
          <w:szCs w:val="32"/>
          <w:lang w:val="zh-CN"/>
        </w:rPr>
      </w:pPr>
      <w:r>
        <w:rPr>
          <w:rFonts w:hint="eastAsia" w:ascii="仿宋_GB2312" w:hAnsi="宋体" w:eastAsia="仿宋_GB2312"/>
          <w:sz w:val="32"/>
          <w:szCs w:val="32"/>
          <w:lang w:val="zh-CN"/>
        </w:rPr>
        <w:t>编制时间:    年   月   日</w:t>
      </w:r>
    </w:p>
    <w:p>
      <w:pPr>
        <w:spacing w:line="460" w:lineRule="exact"/>
        <w:ind w:firstLine="480"/>
        <w:rPr>
          <w:rFonts w:ascii="宋体" w:hAnsi="宋体"/>
          <w:color w:val="000000"/>
          <w:sz w:val="24"/>
        </w:rPr>
      </w:pPr>
    </w:p>
    <w:p>
      <w:pPr>
        <w:spacing w:line="460" w:lineRule="exact"/>
        <w:rPr>
          <w:rFonts w:ascii="宋体" w:hAnsi="宋体"/>
          <w:b/>
          <w:bCs/>
          <w:color w:val="000000"/>
          <w:sz w:val="24"/>
        </w:rPr>
      </w:pPr>
    </w:p>
    <w:p>
      <w:pPr>
        <w:spacing w:line="460" w:lineRule="exact"/>
        <w:rPr>
          <w:rFonts w:ascii="宋体" w:hAnsi="宋体"/>
          <w:b/>
          <w:bCs/>
          <w:color w:val="000000"/>
          <w:sz w:val="24"/>
        </w:rPr>
      </w:pPr>
    </w:p>
    <w:p>
      <w:pPr>
        <w:spacing w:line="460" w:lineRule="exact"/>
        <w:jc w:val="center"/>
        <w:outlineLvl w:val="0"/>
        <w:rPr>
          <w:rFonts w:ascii="宋体" w:hAnsi="宋体"/>
          <w:b/>
          <w:bCs/>
          <w:color w:val="000000"/>
          <w:sz w:val="24"/>
        </w:rPr>
      </w:pPr>
      <w:r>
        <w:rPr>
          <w:rFonts w:ascii="宋体" w:hAnsi="宋体"/>
          <w:b/>
          <w:bCs/>
          <w:color w:val="000000"/>
          <w:sz w:val="24"/>
        </w:rPr>
        <w:t>四、开标</w:t>
      </w:r>
    </w:p>
    <w:p>
      <w:pPr>
        <w:spacing w:line="460" w:lineRule="exact"/>
        <w:rPr>
          <w:rFonts w:ascii="宋体" w:hAnsi="宋体"/>
          <w:color w:val="000000"/>
          <w:sz w:val="24"/>
        </w:rPr>
      </w:pPr>
      <w:r>
        <w:rPr>
          <w:rFonts w:ascii="宋体" w:hAnsi="宋体"/>
          <w:color w:val="000000"/>
          <w:sz w:val="24"/>
        </w:rPr>
        <w:t xml:space="preserve">    19．开标</w:t>
      </w:r>
    </w:p>
    <w:p>
      <w:pPr>
        <w:spacing w:line="460" w:lineRule="exact"/>
        <w:ind w:firstLine="480"/>
        <w:rPr>
          <w:rFonts w:ascii="宋体" w:hAnsi="宋体"/>
          <w:color w:val="000000"/>
          <w:sz w:val="24"/>
        </w:rPr>
      </w:pPr>
      <w:r>
        <w:rPr>
          <w:rFonts w:ascii="宋体" w:hAnsi="宋体"/>
          <w:color w:val="000000"/>
          <w:sz w:val="24"/>
        </w:rPr>
        <w:t>19.1招标机构按“投标人须知前附表”规定的时间和地点开标，届时请投</w:t>
      </w:r>
      <w:r>
        <w:rPr>
          <w:rFonts w:hint="eastAsia" w:ascii="宋体" w:hAnsi="宋体"/>
          <w:color w:val="000000"/>
          <w:sz w:val="24"/>
        </w:rPr>
        <w:t>标方派代表参加，并随身携带</w:t>
      </w:r>
      <w:r>
        <w:rPr>
          <w:rFonts w:ascii="宋体" w:hAnsi="宋体"/>
          <w:color w:val="000000"/>
          <w:sz w:val="24"/>
        </w:rPr>
        <w:t>投标保证金</w:t>
      </w:r>
      <w:r>
        <w:rPr>
          <w:rFonts w:hint="eastAsia" w:ascii="宋体" w:hAnsi="宋体"/>
          <w:color w:val="000000"/>
          <w:sz w:val="24"/>
        </w:rPr>
        <w:t>收据</w:t>
      </w:r>
      <w:r>
        <w:rPr>
          <w:rFonts w:ascii="宋体" w:hAnsi="宋体"/>
          <w:color w:val="000000"/>
          <w:sz w:val="24"/>
        </w:rPr>
        <w:t>原件</w:t>
      </w:r>
      <w:r>
        <w:rPr>
          <w:rFonts w:hint="eastAsia" w:ascii="宋体" w:hAnsi="宋体"/>
          <w:color w:val="000000"/>
          <w:sz w:val="24"/>
        </w:rPr>
        <w:t>、</w:t>
      </w:r>
      <w:r>
        <w:rPr>
          <w:rFonts w:ascii="宋体" w:hAnsi="宋体"/>
          <w:color w:val="000000"/>
          <w:sz w:val="24"/>
        </w:rPr>
        <w:t>法定代表人授权委托书原件及被授权人身份证复印件原件</w:t>
      </w:r>
      <w:r>
        <w:rPr>
          <w:rFonts w:hint="eastAsia" w:ascii="宋体" w:hAnsi="宋体"/>
          <w:color w:val="000000"/>
          <w:sz w:val="24"/>
        </w:rPr>
        <w:t>、</w:t>
      </w:r>
      <w:r>
        <w:rPr>
          <w:rFonts w:ascii="宋体" w:hAnsi="宋体"/>
          <w:color w:val="000000"/>
          <w:sz w:val="24"/>
        </w:rPr>
        <w:t>企业营业执照副本</w:t>
      </w:r>
      <w:r>
        <w:rPr>
          <w:rFonts w:hint="eastAsia" w:ascii="宋体" w:hAnsi="宋体"/>
          <w:color w:val="000000"/>
          <w:sz w:val="24"/>
        </w:rPr>
        <w:t>原件。</w:t>
      </w:r>
    </w:p>
    <w:p>
      <w:pPr>
        <w:spacing w:line="460" w:lineRule="exact"/>
        <w:ind w:firstLine="480"/>
        <w:rPr>
          <w:rFonts w:ascii="宋体" w:hAnsi="宋体"/>
          <w:color w:val="000000"/>
          <w:sz w:val="24"/>
        </w:rPr>
      </w:pPr>
      <w:r>
        <w:rPr>
          <w:rFonts w:ascii="宋体" w:hAnsi="宋体"/>
          <w:color w:val="000000"/>
          <w:sz w:val="24"/>
        </w:rPr>
        <w:t>19.2开标时唱</w:t>
      </w:r>
      <w:r>
        <w:rPr>
          <w:rFonts w:hint="eastAsia" w:ascii="宋体" w:hAnsi="宋体"/>
          <w:color w:val="000000"/>
          <w:sz w:val="24"/>
        </w:rPr>
        <w:t>磋商响应文件</w:t>
      </w:r>
      <w:r>
        <w:rPr>
          <w:rFonts w:ascii="宋体" w:hAnsi="宋体"/>
          <w:color w:val="000000"/>
          <w:sz w:val="24"/>
        </w:rPr>
        <w:t>正本“开标一览表”的内容、</w:t>
      </w:r>
      <w:r>
        <w:rPr>
          <w:rFonts w:hint="eastAsia" w:ascii="宋体" w:hAnsi="宋体"/>
          <w:color w:val="000000"/>
          <w:sz w:val="24"/>
        </w:rPr>
        <w:t>磋商响应文件</w:t>
      </w:r>
      <w:r>
        <w:rPr>
          <w:rFonts w:ascii="宋体" w:hAnsi="宋体"/>
          <w:color w:val="000000"/>
          <w:sz w:val="24"/>
        </w:rPr>
        <w:t>的修改、</w:t>
      </w:r>
      <w:r>
        <w:rPr>
          <w:rFonts w:hint="eastAsia" w:ascii="宋体" w:hAnsi="宋体"/>
          <w:color w:val="000000"/>
          <w:sz w:val="24"/>
        </w:rPr>
        <w:t>撤销以及招标机构认为合适的其它内容。</w:t>
      </w: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pStyle w:val="2"/>
        <w:numPr>
          <w:ilvl w:val="0"/>
          <w:numId w:val="0"/>
        </w:numPr>
      </w:pP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rPr>
          <w:rFonts w:ascii="宋体" w:hAnsi="宋体"/>
          <w:b/>
          <w:bCs/>
          <w:sz w:val="24"/>
        </w:rPr>
      </w:pPr>
    </w:p>
    <w:p>
      <w:pPr>
        <w:spacing w:line="460" w:lineRule="exact"/>
        <w:ind w:firstLine="480" w:firstLineChars="200"/>
        <w:jc w:val="center"/>
        <w:outlineLvl w:val="0"/>
        <w:rPr>
          <w:rFonts w:ascii="宋体" w:hAnsi="宋体"/>
          <w:b/>
          <w:bCs/>
          <w:sz w:val="24"/>
        </w:rPr>
      </w:pPr>
      <w:r>
        <w:rPr>
          <w:rFonts w:hint="eastAsia" w:ascii="宋体" w:hAnsi="宋体"/>
          <w:b/>
          <w:bCs/>
          <w:sz w:val="24"/>
        </w:rPr>
        <w:t>五、评标、定标</w:t>
      </w:r>
    </w:p>
    <w:p>
      <w:pPr>
        <w:spacing w:line="460" w:lineRule="exact"/>
        <w:ind w:firstLine="480" w:firstLineChars="200"/>
        <w:rPr>
          <w:rFonts w:ascii="宋体" w:hAnsi="宋体"/>
          <w:color w:val="000000"/>
          <w:sz w:val="24"/>
        </w:rPr>
      </w:pPr>
      <w:r>
        <w:rPr>
          <w:rFonts w:ascii="宋体" w:hAnsi="宋体"/>
          <w:color w:val="000000"/>
          <w:sz w:val="24"/>
        </w:rPr>
        <w:t>20．评标组织</w:t>
      </w:r>
    </w:p>
    <w:p>
      <w:pPr>
        <w:spacing w:line="460" w:lineRule="exact"/>
        <w:rPr>
          <w:rFonts w:ascii="宋体" w:hAnsi="宋体"/>
          <w:color w:val="000000"/>
          <w:sz w:val="24"/>
        </w:rPr>
      </w:pPr>
      <w:r>
        <w:rPr>
          <w:rFonts w:ascii="宋体" w:hAnsi="宋体"/>
          <w:color w:val="000000"/>
          <w:sz w:val="24"/>
        </w:rPr>
        <w:t xml:space="preserve">    20.1招标机构会同招标人根据国家计委等七部委联合颁发的《评标委员</w:t>
      </w:r>
      <w:r>
        <w:rPr>
          <w:rFonts w:hint="eastAsia" w:ascii="宋体" w:hAnsi="宋体"/>
          <w:color w:val="000000"/>
          <w:sz w:val="24"/>
        </w:rPr>
        <w:t>会和评标方法暂行规定》在开标会议之前组建评标委员会。</w:t>
      </w:r>
    </w:p>
    <w:p>
      <w:pPr>
        <w:spacing w:line="460" w:lineRule="exact"/>
        <w:rPr>
          <w:rFonts w:ascii="宋体" w:hAnsi="宋体"/>
          <w:color w:val="000000"/>
          <w:sz w:val="24"/>
        </w:rPr>
      </w:pPr>
      <w:r>
        <w:rPr>
          <w:rFonts w:ascii="宋体" w:hAnsi="宋体"/>
          <w:color w:val="000000"/>
          <w:sz w:val="24"/>
        </w:rPr>
        <w:t xml:space="preserve">    20.2评标委员会独立自主评标，根据评标结果向招标人推荐中标候选人。</w:t>
      </w:r>
    </w:p>
    <w:p>
      <w:pPr>
        <w:spacing w:line="460" w:lineRule="exact"/>
        <w:rPr>
          <w:rFonts w:ascii="宋体" w:hAnsi="宋体"/>
          <w:color w:val="000000"/>
          <w:sz w:val="24"/>
        </w:rPr>
      </w:pPr>
      <w:r>
        <w:rPr>
          <w:rFonts w:ascii="宋体" w:hAnsi="宋体"/>
          <w:color w:val="000000"/>
          <w:sz w:val="24"/>
        </w:rPr>
        <w:t xml:space="preserve">    20.3招标人组建招标领导小组，招标领导小组由招标人、招标人的上级主</w:t>
      </w:r>
      <w:r>
        <w:rPr>
          <w:rFonts w:hint="eastAsia" w:ascii="宋体" w:hAnsi="宋体"/>
          <w:color w:val="000000"/>
          <w:sz w:val="24"/>
        </w:rPr>
        <w:t>管部门，及其它有关部门的负责人组成。招标领导小组负责审核评标委员会的评标报告，按照国家计委等七部委联合颁发的《评标委员会和评标方法暂行规定》确认中标人。</w:t>
      </w:r>
    </w:p>
    <w:p>
      <w:pPr>
        <w:spacing w:line="460" w:lineRule="exact"/>
        <w:ind w:firstLine="480"/>
        <w:rPr>
          <w:rFonts w:ascii="宋体" w:hAnsi="宋体"/>
          <w:color w:val="000000"/>
          <w:sz w:val="24"/>
        </w:rPr>
      </w:pPr>
      <w:r>
        <w:rPr>
          <w:rFonts w:ascii="宋体" w:hAnsi="宋体"/>
          <w:color w:val="000000"/>
          <w:sz w:val="24"/>
        </w:rPr>
        <w:t>20.4评标委员会和招标领导小组成员名单在定标后宣布，此前</w:t>
      </w:r>
      <w:r>
        <w:rPr>
          <w:rFonts w:hint="eastAsia" w:ascii="宋体" w:hAnsi="宋体"/>
          <w:color w:val="000000"/>
          <w:sz w:val="24"/>
        </w:rPr>
        <w:t>予以保密。</w:t>
      </w:r>
      <w:bookmarkStart w:id="42" w:name="_Toc236642242"/>
    </w:p>
    <w:p>
      <w:pPr>
        <w:spacing w:line="460" w:lineRule="exact"/>
        <w:ind w:firstLine="480"/>
        <w:rPr>
          <w:rFonts w:ascii="宋体" w:hAnsi="宋体"/>
          <w:color w:val="000000"/>
          <w:sz w:val="24"/>
        </w:rPr>
      </w:pPr>
      <w:r>
        <w:rPr>
          <w:rFonts w:hint="eastAsia"/>
          <w:sz w:val="24"/>
        </w:rPr>
        <w:t>21评标标准及说明</w:t>
      </w:r>
      <w:bookmarkEnd w:id="42"/>
    </w:p>
    <w:p>
      <w:pPr>
        <w:spacing w:line="360" w:lineRule="auto"/>
        <w:ind w:firstLine="420"/>
        <w:rPr>
          <w:rFonts w:ascii="宋体" w:hAnsi="宋体"/>
          <w:color w:val="000000"/>
          <w:sz w:val="24"/>
        </w:rPr>
      </w:pPr>
      <w:r>
        <w:rPr>
          <w:rFonts w:hint="eastAsia" w:ascii="宋体" w:hAnsi="宋体"/>
          <w:color w:val="000000"/>
          <w:sz w:val="24"/>
        </w:rPr>
        <w:t>21.1</w:t>
      </w:r>
      <w:r>
        <w:rPr>
          <w:rFonts w:hint="eastAsia" w:ascii="宋体" w:hAnsi="宋体"/>
          <w:sz w:val="24"/>
        </w:rPr>
        <w:t>评标标准的说明</w:t>
      </w:r>
      <w:r>
        <w:rPr>
          <w:rFonts w:hint="eastAsia" w:ascii="宋体" w:hAnsi="宋体"/>
          <w:color w:val="000000"/>
          <w:sz w:val="24"/>
        </w:rPr>
        <w:t>如下：</w:t>
      </w:r>
    </w:p>
    <w:p>
      <w:pPr>
        <w:spacing w:line="360" w:lineRule="auto"/>
        <w:ind w:firstLine="420"/>
        <w:rPr>
          <w:rFonts w:ascii="宋体" w:hAnsi="宋体"/>
          <w:color w:val="000000"/>
          <w:sz w:val="24"/>
        </w:rPr>
      </w:pPr>
      <w:r>
        <w:rPr>
          <w:rFonts w:hint="eastAsia" w:ascii="宋体" w:hAnsi="宋体"/>
          <w:color w:val="000000"/>
          <w:sz w:val="24"/>
        </w:rPr>
        <w:t>评标计分方法按</w:t>
      </w:r>
      <w:r>
        <w:rPr>
          <w:rFonts w:ascii="宋体" w:hAnsi="宋体"/>
          <w:color w:val="000000"/>
          <w:sz w:val="24"/>
        </w:rPr>
        <w:t>综合评分法</w:t>
      </w:r>
      <w:r>
        <w:rPr>
          <w:rFonts w:hint="eastAsia" w:ascii="宋体" w:hAnsi="宋体"/>
          <w:color w:val="000000"/>
          <w:sz w:val="24"/>
        </w:rPr>
        <w:t>进行评标。综合评估法是指对磋商响应文件经济标（30分）、技术标（70分）、实行量化百分制进行综合评定。评标时评标委员会根据招标文件确定的评标标准，对其进行技术评标。</w:t>
      </w:r>
    </w:p>
    <w:p>
      <w:pPr>
        <w:spacing w:line="360" w:lineRule="auto"/>
        <w:ind w:firstLine="420"/>
        <w:rPr>
          <w:rFonts w:ascii="宋体" w:hAnsi="宋体"/>
          <w:color w:val="000000"/>
          <w:sz w:val="24"/>
        </w:rPr>
      </w:pPr>
      <w:r>
        <w:rPr>
          <w:rFonts w:hint="eastAsia" w:ascii="宋体" w:hAnsi="宋体"/>
          <w:color w:val="000000"/>
          <w:sz w:val="24"/>
        </w:rPr>
        <w:t>评委打分保留小数点后两位，汇总后平均分值计算保留小数点后两位，第三位四舍五入。每个投标人的得分为其经济部分和技术部分得分的总和。</w:t>
      </w:r>
      <w:r>
        <w:rPr>
          <w:rFonts w:ascii="宋体" w:hAnsi="宋体"/>
          <w:color w:val="000000"/>
          <w:sz w:val="24"/>
        </w:rPr>
        <w:t xml:space="preserve">  </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23．评标依据</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23.1评标依据是招标文件和</w:t>
      </w:r>
      <w:r>
        <w:rPr>
          <w:rFonts w:hint="eastAsia" w:ascii="宋体" w:hAnsi="宋体"/>
          <w:color w:val="000000"/>
          <w:sz w:val="24"/>
        </w:rPr>
        <w:t>磋商响应文件</w:t>
      </w:r>
      <w:r>
        <w:rPr>
          <w:rFonts w:ascii="宋体" w:hAnsi="宋体"/>
          <w:color w:val="000000"/>
          <w:sz w:val="24"/>
        </w:rPr>
        <w:t>，不考虑或引用其它因素。</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24．评标内容的保密</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24.1评标过程的保密性。</w:t>
      </w:r>
    </w:p>
    <w:p>
      <w:pPr>
        <w:spacing w:line="460" w:lineRule="exact"/>
        <w:rPr>
          <w:rFonts w:ascii="宋体" w:hAnsi="宋体"/>
          <w:color w:val="000000"/>
          <w:sz w:val="24"/>
        </w:rPr>
      </w:pPr>
      <w:r>
        <w:rPr>
          <w:rFonts w:ascii="宋体" w:hAnsi="宋体"/>
          <w:color w:val="000000"/>
          <w:sz w:val="24"/>
        </w:rPr>
        <w:t xml:space="preserve">    开标后，直到授予投标人合同止，凡是属于审查、澄清、评价和比较的</w:t>
      </w:r>
      <w:r>
        <w:rPr>
          <w:rFonts w:hint="eastAsia" w:ascii="宋体" w:hAnsi="宋体"/>
          <w:color w:val="000000"/>
          <w:sz w:val="24"/>
        </w:rPr>
        <w:t>有关资料以及授标建议等均不向投标人或其他无关的人员透露。</w:t>
      </w:r>
    </w:p>
    <w:p>
      <w:pPr>
        <w:spacing w:line="460" w:lineRule="exact"/>
        <w:rPr>
          <w:rFonts w:ascii="宋体" w:hAnsi="宋体"/>
          <w:color w:val="000000"/>
          <w:sz w:val="24"/>
        </w:rPr>
      </w:pPr>
      <w:r>
        <w:rPr>
          <w:rFonts w:ascii="宋体" w:hAnsi="宋体"/>
          <w:color w:val="000000"/>
          <w:sz w:val="24"/>
        </w:rPr>
        <w:t xml:space="preserve">    24.2投标人在评标过程中，所进行的力图影响评标结果的不符合招标规</w:t>
      </w:r>
      <w:r>
        <w:rPr>
          <w:rFonts w:hint="eastAsia" w:ascii="宋体" w:hAnsi="宋体"/>
          <w:color w:val="000000"/>
          <w:sz w:val="24"/>
        </w:rPr>
        <w:t>则的活动，可能导致其被取消中标资格。</w:t>
      </w:r>
    </w:p>
    <w:p>
      <w:pPr>
        <w:spacing w:line="460" w:lineRule="exact"/>
        <w:rPr>
          <w:rFonts w:ascii="宋体" w:hAnsi="宋体"/>
          <w:color w:val="000000"/>
          <w:sz w:val="24"/>
        </w:rPr>
      </w:pPr>
      <w:r>
        <w:rPr>
          <w:rFonts w:ascii="宋体" w:hAnsi="宋体"/>
          <w:color w:val="000000"/>
          <w:sz w:val="24"/>
        </w:rPr>
        <w:t xml:space="preserve">    24.3与招标文件有重大偏离的</w:t>
      </w:r>
      <w:r>
        <w:rPr>
          <w:rFonts w:hint="eastAsia" w:ascii="宋体" w:hAnsi="宋体"/>
          <w:color w:val="000000"/>
          <w:sz w:val="24"/>
        </w:rPr>
        <w:t>磋商响应文件</w:t>
      </w:r>
      <w:r>
        <w:rPr>
          <w:rFonts w:ascii="宋体" w:hAnsi="宋体"/>
          <w:color w:val="000000"/>
          <w:sz w:val="24"/>
        </w:rPr>
        <w:t>将被拒绝。这些重大偏离在开标</w:t>
      </w:r>
      <w:r>
        <w:rPr>
          <w:rFonts w:hint="eastAsia" w:ascii="宋体" w:hAnsi="宋体"/>
          <w:color w:val="000000"/>
          <w:sz w:val="24"/>
        </w:rPr>
        <w:t>后不许修改。</w:t>
      </w:r>
    </w:p>
    <w:p>
      <w:pPr>
        <w:spacing w:line="460" w:lineRule="exact"/>
        <w:rPr>
          <w:rFonts w:ascii="宋体" w:hAnsi="宋体"/>
          <w:color w:val="000000"/>
          <w:sz w:val="24"/>
        </w:rPr>
      </w:pPr>
      <w:r>
        <w:rPr>
          <w:rFonts w:ascii="宋体" w:hAnsi="宋体"/>
          <w:color w:val="000000"/>
          <w:sz w:val="24"/>
        </w:rPr>
        <w:t xml:space="preserve">    25．对</w:t>
      </w:r>
      <w:r>
        <w:rPr>
          <w:rFonts w:hint="eastAsia" w:ascii="宋体" w:hAnsi="宋体"/>
          <w:color w:val="000000"/>
          <w:sz w:val="24"/>
        </w:rPr>
        <w:t>磋商响应文件</w:t>
      </w:r>
      <w:r>
        <w:rPr>
          <w:rFonts w:ascii="宋体" w:hAnsi="宋体"/>
          <w:color w:val="000000"/>
          <w:sz w:val="24"/>
        </w:rPr>
        <w:t>的初步审查和响应性确定</w:t>
      </w:r>
    </w:p>
    <w:p>
      <w:pPr>
        <w:spacing w:line="460" w:lineRule="exact"/>
        <w:rPr>
          <w:rFonts w:ascii="宋体" w:hAnsi="宋体"/>
          <w:color w:val="000000"/>
          <w:sz w:val="24"/>
        </w:rPr>
      </w:pPr>
      <w:r>
        <w:rPr>
          <w:rFonts w:ascii="宋体" w:hAnsi="宋体"/>
          <w:color w:val="000000"/>
          <w:sz w:val="24"/>
        </w:rPr>
        <w:t xml:space="preserve">    25.1开标后评标组织将审查</w:t>
      </w:r>
      <w:r>
        <w:rPr>
          <w:rFonts w:hint="eastAsia" w:ascii="宋体" w:hAnsi="宋体"/>
          <w:color w:val="000000"/>
          <w:sz w:val="24"/>
        </w:rPr>
        <w:t>磋商响应文件</w:t>
      </w:r>
      <w:r>
        <w:rPr>
          <w:rFonts w:ascii="宋体" w:hAnsi="宋体"/>
          <w:color w:val="000000"/>
          <w:sz w:val="24"/>
        </w:rPr>
        <w:t>是否完整、要求</w:t>
      </w:r>
      <w:r>
        <w:rPr>
          <w:rFonts w:hint="eastAsia" w:ascii="宋体" w:hAnsi="宋体"/>
          <w:color w:val="000000"/>
          <w:sz w:val="24"/>
        </w:rPr>
        <w:t>的保证金是否已提供、文件是否恰当签署；若大写与小写数字有出入，则以大写金额为准，若投标人拒绝接受上述修正，其投标将可能被拒绝。</w:t>
      </w:r>
    </w:p>
    <w:p>
      <w:pPr>
        <w:spacing w:line="460" w:lineRule="exact"/>
        <w:rPr>
          <w:rFonts w:ascii="宋体" w:hAnsi="宋体"/>
          <w:color w:val="000000"/>
          <w:sz w:val="24"/>
        </w:rPr>
      </w:pPr>
      <w:r>
        <w:rPr>
          <w:rFonts w:ascii="宋体" w:hAnsi="宋体"/>
          <w:color w:val="000000"/>
          <w:sz w:val="24"/>
        </w:rPr>
        <w:t xml:space="preserve">    25.2在对</w:t>
      </w:r>
      <w:r>
        <w:rPr>
          <w:rFonts w:hint="eastAsia" w:ascii="宋体" w:hAnsi="宋体"/>
          <w:color w:val="000000"/>
          <w:sz w:val="24"/>
        </w:rPr>
        <w:t>磋商响应文件</w:t>
      </w:r>
      <w:r>
        <w:rPr>
          <w:rFonts w:ascii="宋体" w:hAnsi="宋体"/>
          <w:color w:val="000000"/>
          <w:sz w:val="24"/>
        </w:rPr>
        <w:t>进行详细评估之前，评标组织将审查每一份</w:t>
      </w:r>
      <w:r>
        <w:rPr>
          <w:rFonts w:hint="eastAsia" w:ascii="宋体" w:hAnsi="宋体"/>
          <w:color w:val="000000"/>
          <w:sz w:val="24"/>
        </w:rPr>
        <w:t>磋商响应文件是否对招标文件的要求作出了实质性的响应。实质性响应的磋商响应文件应该是与招标文件的全部条款、条件和规格相符，而没有重大偏离。重大偏离系指影响到合同所有条款的供货范围、质量、性能和规格，或在实质上与招标文件不一致，而且限制了招标人的权力和投标人的义务。而纠正或承认这些偏离将会对其它投标人合理的竞争地位产生不公正的影响。</w:t>
      </w:r>
    </w:p>
    <w:p>
      <w:pPr>
        <w:spacing w:line="460" w:lineRule="exact"/>
        <w:rPr>
          <w:rFonts w:ascii="宋体" w:hAnsi="宋体"/>
          <w:color w:val="000000"/>
          <w:sz w:val="24"/>
        </w:rPr>
      </w:pPr>
      <w:r>
        <w:rPr>
          <w:rFonts w:ascii="宋体" w:hAnsi="宋体"/>
          <w:color w:val="000000"/>
          <w:sz w:val="24"/>
        </w:rPr>
        <w:t xml:space="preserve">    25.3对</w:t>
      </w:r>
      <w:r>
        <w:rPr>
          <w:rFonts w:hint="eastAsia" w:ascii="宋体" w:hAnsi="宋体"/>
          <w:color w:val="000000"/>
          <w:sz w:val="24"/>
        </w:rPr>
        <w:t>磋商响应文件</w:t>
      </w:r>
      <w:r>
        <w:rPr>
          <w:rFonts w:ascii="宋体" w:hAnsi="宋体"/>
          <w:color w:val="000000"/>
          <w:sz w:val="24"/>
        </w:rPr>
        <w:t>中遗漏的少量不致造成重大偏离的货物的投标报价，评</w:t>
      </w:r>
      <w:r>
        <w:rPr>
          <w:rFonts w:hint="eastAsia" w:ascii="宋体" w:hAnsi="宋体"/>
          <w:color w:val="000000"/>
          <w:sz w:val="24"/>
        </w:rPr>
        <w:t>标组织将按照有效磋商响应文件中该项货物的最高报价对磋商响应文件的投标报价进行调整计算评价。如果投标人拒绝这种调整，其磋商响应文件将被视为重大偏离。</w:t>
      </w:r>
    </w:p>
    <w:p>
      <w:pPr>
        <w:spacing w:line="460" w:lineRule="exact"/>
        <w:rPr>
          <w:rFonts w:ascii="宋体" w:hAnsi="宋体"/>
          <w:color w:val="000000"/>
          <w:sz w:val="24"/>
        </w:rPr>
      </w:pPr>
      <w:r>
        <w:rPr>
          <w:rFonts w:ascii="宋体" w:hAnsi="宋体"/>
          <w:color w:val="000000"/>
          <w:sz w:val="24"/>
        </w:rPr>
        <w:t xml:space="preserve">    25.4评标组织判断</w:t>
      </w:r>
      <w:r>
        <w:rPr>
          <w:rFonts w:hint="eastAsia" w:ascii="宋体" w:hAnsi="宋体"/>
          <w:color w:val="000000"/>
          <w:sz w:val="24"/>
        </w:rPr>
        <w:t>磋商响应文件</w:t>
      </w:r>
      <w:r>
        <w:rPr>
          <w:rFonts w:ascii="宋体" w:hAnsi="宋体"/>
          <w:color w:val="000000"/>
          <w:sz w:val="24"/>
        </w:rPr>
        <w:t>的响应性仅基于</w:t>
      </w:r>
      <w:r>
        <w:rPr>
          <w:rFonts w:hint="eastAsia" w:ascii="宋体" w:hAnsi="宋体"/>
          <w:color w:val="000000"/>
          <w:sz w:val="24"/>
        </w:rPr>
        <w:t>磋商响应文件</w:t>
      </w:r>
      <w:r>
        <w:rPr>
          <w:rFonts w:ascii="宋体" w:hAnsi="宋体"/>
          <w:color w:val="000000"/>
          <w:sz w:val="24"/>
        </w:rPr>
        <w:t>本身而不靠外部证</w:t>
      </w:r>
      <w:r>
        <w:rPr>
          <w:rFonts w:hint="eastAsia" w:ascii="宋体" w:hAnsi="宋体"/>
          <w:color w:val="000000"/>
          <w:sz w:val="24"/>
        </w:rPr>
        <w:t>据。</w:t>
      </w:r>
    </w:p>
    <w:p>
      <w:pPr>
        <w:spacing w:line="460" w:lineRule="exact"/>
        <w:rPr>
          <w:rFonts w:ascii="宋体" w:hAnsi="宋体"/>
          <w:color w:val="000000"/>
          <w:sz w:val="24"/>
        </w:rPr>
      </w:pPr>
      <w:r>
        <w:rPr>
          <w:rFonts w:ascii="宋体" w:hAnsi="宋体"/>
          <w:color w:val="000000"/>
          <w:sz w:val="24"/>
        </w:rPr>
        <w:t xml:space="preserve">    25.5评标组织将拒绝被定为非响应性的投标，投标人不能通过修正或撤</w:t>
      </w:r>
      <w:r>
        <w:rPr>
          <w:rFonts w:hint="eastAsia" w:ascii="宋体" w:hAnsi="宋体"/>
          <w:color w:val="000000"/>
          <w:sz w:val="24"/>
        </w:rPr>
        <w:t>销不符之处而使其投标成为响应性投标。</w:t>
      </w:r>
    </w:p>
    <w:p>
      <w:pPr>
        <w:spacing w:line="460" w:lineRule="exact"/>
        <w:rPr>
          <w:rFonts w:ascii="宋体" w:hAnsi="宋体"/>
          <w:color w:val="000000"/>
          <w:sz w:val="24"/>
        </w:rPr>
      </w:pPr>
      <w:r>
        <w:rPr>
          <w:rFonts w:ascii="宋体" w:hAnsi="宋体"/>
          <w:color w:val="000000"/>
          <w:sz w:val="24"/>
        </w:rPr>
        <w:t xml:space="preserve">    25.6招标人将允许投标中有微小的不正规、不一致或不规则，而该微小</w:t>
      </w:r>
      <w:r>
        <w:rPr>
          <w:rFonts w:hint="eastAsia" w:ascii="宋体" w:hAnsi="宋体"/>
          <w:color w:val="000000"/>
          <w:sz w:val="24"/>
        </w:rPr>
        <w:t>之处不致构成重大偏离。</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26．</w:t>
      </w:r>
      <w:r>
        <w:rPr>
          <w:rFonts w:hint="eastAsia" w:ascii="宋体" w:hAnsi="宋体"/>
          <w:color w:val="000000"/>
          <w:sz w:val="24"/>
        </w:rPr>
        <w:t>磋商响应文件</w:t>
      </w:r>
      <w:r>
        <w:rPr>
          <w:rFonts w:ascii="宋体" w:hAnsi="宋体"/>
          <w:color w:val="000000"/>
          <w:sz w:val="24"/>
        </w:rPr>
        <w:t>的澄清</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26.1评标委员会在评标过程中有权随时请投标人就</w:t>
      </w:r>
      <w:r>
        <w:rPr>
          <w:rFonts w:hint="eastAsia" w:ascii="宋体" w:hAnsi="宋体"/>
          <w:color w:val="000000"/>
          <w:sz w:val="24"/>
        </w:rPr>
        <w:t>磋商响应文件</w:t>
      </w:r>
      <w:r>
        <w:rPr>
          <w:rFonts w:ascii="宋体" w:hAnsi="宋体"/>
          <w:color w:val="000000"/>
          <w:sz w:val="24"/>
        </w:rPr>
        <w:t>中含混之</w:t>
      </w:r>
      <w:r>
        <w:rPr>
          <w:rFonts w:hint="eastAsia" w:ascii="宋体" w:hAnsi="宋体"/>
          <w:color w:val="000000"/>
          <w:sz w:val="24"/>
        </w:rPr>
        <w:t>处加以澄清或答疑。</w:t>
      </w:r>
    </w:p>
    <w:p>
      <w:pPr>
        <w:spacing w:line="460" w:lineRule="exact"/>
        <w:rPr>
          <w:rFonts w:ascii="宋体" w:hAnsi="宋体"/>
          <w:color w:val="000000"/>
          <w:sz w:val="24"/>
        </w:rPr>
      </w:pPr>
      <w:r>
        <w:rPr>
          <w:rFonts w:ascii="宋体" w:hAnsi="宋体"/>
          <w:color w:val="000000"/>
          <w:sz w:val="24"/>
        </w:rPr>
        <w:t xml:space="preserve">    26.2投标人对要求澄清的问题应以书面形式明确答复，并应有法定代表或</w:t>
      </w:r>
      <w:r>
        <w:rPr>
          <w:rFonts w:hint="eastAsia" w:ascii="宋体" w:hAnsi="宋体"/>
          <w:color w:val="000000"/>
          <w:sz w:val="24"/>
        </w:rPr>
        <w:t>投标授权代表的签署。</w:t>
      </w:r>
    </w:p>
    <w:p>
      <w:pPr>
        <w:spacing w:line="460" w:lineRule="exact"/>
        <w:rPr>
          <w:rFonts w:ascii="宋体" w:hAnsi="宋体"/>
          <w:color w:val="000000"/>
          <w:sz w:val="24"/>
        </w:rPr>
      </w:pPr>
      <w:r>
        <w:rPr>
          <w:rFonts w:ascii="宋体" w:hAnsi="宋体"/>
          <w:color w:val="000000"/>
          <w:sz w:val="24"/>
        </w:rPr>
        <w:t xml:space="preserve">    26.3投标人的澄清文件是</w:t>
      </w:r>
      <w:r>
        <w:rPr>
          <w:rFonts w:hint="eastAsia" w:ascii="宋体" w:hAnsi="宋体"/>
          <w:color w:val="000000"/>
          <w:sz w:val="24"/>
        </w:rPr>
        <w:t>磋商响应文件</w:t>
      </w:r>
      <w:r>
        <w:rPr>
          <w:rFonts w:ascii="宋体" w:hAnsi="宋体"/>
          <w:color w:val="000000"/>
          <w:sz w:val="24"/>
        </w:rPr>
        <w:t>的组成部分，并取代</w:t>
      </w:r>
      <w:r>
        <w:rPr>
          <w:rFonts w:hint="eastAsia" w:ascii="宋体" w:hAnsi="宋体"/>
          <w:color w:val="000000"/>
          <w:sz w:val="24"/>
        </w:rPr>
        <w:t>磋商响应文件</w:t>
      </w:r>
      <w:r>
        <w:rPr>
          <w:rFonts w:ascii="宋体" w:hAnsi="宋体"/>
          <w:color w:val="000000"/>
          <w:sz w:val="24"/>
        </w:rPr>
        <w:t>中被澄</w:t>
      </w:r>
      <w:r>
        <w:rPr>
          <w:rFonts w:hint="eastAsia" w:ascii="宋体" w:hAnsi="宋体"/>
          <w:color w:val="000000"/>
          <w:sz w:val="24"/>
        </w:rPr>
        <w:t>清的部分。</w:t>
      </w:r>
    </w:p>
    <w:p>
      <w:pPr>
        <w:spacing w:line="460" w:lineRule="exact"/>
        <w:rPr>
          <w:rFonts w:ascii="宋体" w:hAnsi="宋体"/>
          <w:color w:val="000000"/>
          <w:sz w:val="24"/>
        </w:rPr>
      </w:pPr>
      <w:r>
        <w:rPr>
          <w:rFonts w:ascii="宋体" w:hAnsi="宋体"/>
          <w:color w:val="000000"/>
          <w:sz w:val="24"/>
        </w:rPr>
        <w:t xml:space="preserve">    26.4</w:t>
      </w:r>
      <w:r>
        <w:rPr>
          <w:rFonts w:hint="eastAsia" w:ascii="宋体" w:hAnsi="宋体"/>
          <w:color w:val="000000"/>
          <w:sz w:val="24"/>
        </w:rPr>
        <w:t>磋商响应文件</w:t>
      </w:r>
      <w:r>
        <w:rPr>
          <w:rFonts w:ascii="宋体" w:hAnsi="宋体"/>
          <w:color w:val="000000"/>
          <w:sz w:val="24"/>
        </w:rPr>
        <w:t>的澄清不得改变投标的实质内容。</w:t>
      </w:r>
    </w:p>
    <w:p>
      <w:pPr>
        <w:spacing w:line="460" w:lineRule="exact"/>
        <w:rPr>
          <w:rFonts w:ascii="宋体" w:hAnsi="宋体"/>
          <w:color w:val="000000"/>
          <w:sz w:val="24"/>
        </w:rPr>
      </w:pPr>
      <w:r>
        <w:rPr>
          <w:rFonts w:ascii="宋体" w:hAnsi="宋体"/>
          <w:color w:val="000000"/>
          <w:sz w:val="24"/>
        </w:rPr>
        <w:t xml:space="preserve">    26.5如果投标人在</w:t>
      </w:r>
      <w:r>
        <w:rPr>
          <w:rFonts w:hint="eastAsia" w:ascii="宋体" w:hAnsi="宋体"/>
          <w:color w:val="000000"/>
          <w:sz w:val="24"/>
        </w:rPr>
        <w:t>磋商响应文件</w:t>
      </w:r>
      <w:r>
        <w:rPr>
          <w:rFonts w:ascii="宋体" w:hAnsi="宋体"/>
          <w:color w:val="000000"/>
          <w:sz w:val="24"/>
        </w:rPr>
        <w:t>中未对招标文件中的条款或参数要求提出偏</w:t>
      </w:r>
      <w:r>
        <w:rPr>
          <w:rFonts w:hint="eastAsia" w:ascii="宋体" w:hAnsi="宋体"/>
          <w:color w:val="000000"/>
          <w:sz w:val="24"/>
        </w:rPr>
        <w:t>离意见或澄清，将视同投标人同意招标文件的全部或部分要求。</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27．中标人</w:t>
      </w:r>
      <w:r>
        <w:rPr>
          <w:rFonts w:hint="eastAsia" w:ascii="宋体" w:hAnsi="宋体"/>
          <w:color w:val="000000"/>
          <w:sz w:val="24"/>
        </w:rPr>
        <w:t>的确认</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27.1评标组织有权选择和拒绝投标人中标。评标组织无义务向投标人进</w:t>
      </w:r>
      <w:r>
        <w:rPr>
          <w:rFonts w:hint="eastAsia" w:ascii="宋体" w:hAnsi="宋体"/>
          <w:color w:val="000000"/>
          <w:sz w:val="24"/>
        </w:rPr>
        <w:t>行任何有关评标的解释工作。</w:t>
      </w:r>
    </w:p>
    <w:p>
      <w:pPr>
        <w:spacing w:line="460" w:lineRule="exact"/>
        <w:rPr>
          <w:rFonts w:ascii="宋体" w:hAnsi="宋体"/>
          <w:color w:val="000000"/>
          <w:sz w:val="24"/>
        </w:rPr>
      </w:pPr>
      <w:r>
        <w:rPr>
          <w:rFonts w:ascii="宋体" w:hAnsi="宋体"/>
          <w:color w:val="000000"/>
          <w:sz w:val="24"/>
        </w:rPr>
        <w:t xml:space="preserve">    27.2评标委员会负责评出中标候选人，经招标领导小组审核后确认中标</w:t>
      </w:r>
      <w:r>
        <w:rPr>
          <w:rFonts w:hint="eastAsia" w:ascii="宋体" w:hAnsi="宋体"/>
          <w:color w:val="000000"/>
          <w:sz w:val="24"/>
        </w:rPr>
        <w:t>人。</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28．中标通知书</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28.1招标人根据定标结果</w:t>
      </w:r>
      <w:r>
        <w:rPr>
          <w:rFonts w:hint="eastAsia" w:ascii="宋体" w:hAnsi="宋体"/>
          <w:color w:val="000000"/>
          <w:sz w:val="24"/>
        </w:rPr>
        <w:t>，</w:t>
      </w:r>
      <w:r>
        <w:rPr>
          <w:rFonts w:ascii="宋体" w:hAnsi="宋体"/>
          <w:color w:val="000000"/>
          <w:sz w:val="24"/>
        </w:rPr>
        <w:t>在投标有效期届满之前，以书面形式向中标</w:t>
      </w:r>
      <w:r>
        <w:rPr>
          <w:rFonts w:hint="eastAsia" w:ascii="宋体" w:hAnsi="宋体"/>
          <w:color w:val="000000"/>
          <w:sz w:val="24"/>
        </w:rPr>
        <w:t>人发出中标通知书。</w:t>
      </w:r>
    </w:p>
    <w:p>
      <w:pPr>
        <w:spacing w:line="460" w:lineRule="exact"/>
        <w:rPr>
          <w:rFonts w:ascii="宋体" w:hAnsi="宋体"/>
          <w:color w:val="000000"/>
          <w:sz w:val="24"/>
        </w:rPr>
      </w:pPr>
      <w:r>
        <w:rPr>
          <w:rFonts w:ascii="宋体" w:hAnsi="宋体"/>
          <w:color w:val="000000"/>
          <w:sz w:val="24"/>
        </w:rPr>
        <w:t xml:space="preserve">    28.2招标机构将定标结果及时通知未中标人并于</w:t>
      </w:r>
      <w:r>
        <w:rPr>
          <w:rFonts w:hint="eastAsia" w:ascii="宋体" w:hAnsi="宋体"/>
          <w:color w:val="000000"/>
          <w:sz w:val="24"/>
        </w:rPr>
        <w:t>2</w:t>
      </w:r>
      <w:r>
        <w:rPr>
          <w:rFonts w:ascii="宋体" w:hAnsi="宋体"/>
          <w:color w:val="000000"/>
          <w:sz w:val="24"/>
        </w:rPr>
        <w:t>日内无息退还投标保</w:t>
      </w:r>
      <w:r>
        <w:rPr>
          <w:rFonts w:hint="eastAsia" w:ascii="宋体" w:hAnsi="宋体"/>
          <w:color w:val="000000"/>
          <w:sz w:val="24"/>
        </w:rPr>
        <w:t>证金。不解释落标原因，不退还磋商响应文件。</w:t>
      </w:r>
    </w:p>
    <w:p>
      <w:pPr>
        <w:tabs>
          <w:tab w:val="left" w:pos="6951"/>
        </w:tabs>
        <w:spacing w:line="460" w:lineRule="exact"/>
        <w:rPr>
          <w:rFonts w:ascii="宋体" w:hAnsi="宋体"/>
          <w:color w:val="000000"/>
          <w:sz w:val="24"/>
        </w:rPr>
      </w:pPr>
      <w:r>
        <w:rPr>
          <w:rFonts w:ascii="宋体" w:hAnsi="宋体"/>
          <w:color w:val="000000"/>
          <w:sz w:val="24"/>
        </w:rPr>
        <w:t xml:space="preserve">    29．拒绝某些或所有投标的权力</w:t>
      </w:r>
      <w:r>
        <w:rPr>
          <w:rFonts w:hint="eastAsia" w:ascii="宋体" w:hAnsi="宋体"/>
          <w:color w:val="000000"/>
          <w:sz w:val="24"/>
        </w:rPr>
        <w:tab/>
      </w:r>
    </w:p>
    <w:p>
      <w:pPr>
        <w:spacing w:line="460" w:lineRule="exact"/>
        <w:rPr>
          <w:rFonts w:ascii="宋体" w:hAnsi="宋体"/>
          <w:color w:val="000000"/>
          <w:sz w:val="24"/>
        </w:rPr>
      </w:pPr>
      <w:r>
        <w:rPr>
          <w:rFonts w:ascii="宋体" w:hAnsi="宋体"/>
          <w:color w:val="000000"/>
          <w:sz w:val="24"/>
        </w:rPr>
        <w:t xml:space="preserve">    29.1招标人和评标委员会有权在定标之前拒</w:t>
      </w:r>
      <w:r>
        <w:rPr>
          <w:rFonts w:hint="eastAsia" w:ascii="宋体" w:hAnsi="宋体"/>
          <w:color w:val="000000"/>
          <w:sz w:val="24"/>
        </w:rPr>
        <w:t>绝任何有不正当行为或扰乱正常招标工作的投标人，由此对投标人造成的损失不负任何责任，同时对此也不做任何解释。</w:t>
      </w:r>
    </w:p>
    <w:p>
      <w:pPr>
        <w:spacing w:line="360" w:lineRule="auto"/>
        <w:ind w:firstLine="480" w:firstLineChars="200"/>
        <w:rPr>
          <w:rFonts w:ascii="宋体" w:hAnsi="宋体"/>
          <w:color w:val="000000"/>
          <w:sz w:val="24"/>
        </w:rPr>
      </w:pPr>
      <w:r>
        <w:rPr>
          <w:rFonts w:hint="eastAsia" w:ascii="宋体" w:hAnsi="宋体"/>
          <w:color w:val="000000"/>
          <w:sz w:val="24"/>
        </w:rPr>
        <w:t>30.1质疑</w:t>
      </w:r>
    </w:p>
    <w:p>
      <w:pPr>
        <w:spacing w:line="360" w:lineRule="auto"/>
        <w:ind w:firstLine="480" w:firstLineChars="200"/>
        <w:rPr>
          <w:rFonts w:ascii="宋体" w:hAnsi="宋体"/>
          <w:color w:val="000000"/>
          <w:sz w:val="24"/>
        </w:rPr>
      </w:pPr>
      <w:r>
        <w:rPr>
          <w:rFonts w:hint="eastAsia" w:ascii="宋体" w:hAnsi="宋体"/>
          <w:color w:val="000000"/>
          <w:sz w:val="24"/>
        </w:rPr>
        <w:t>30.1.1供应商认为招标文件、过程和中标结果使自己的权益受到损害的，可以在知道或者应知其权益受到损害之日起三个日历日内，以书面形式向招标人提出质疑。</w:t>
      </w:r>
    </w:p>
    <w:p>
      <w:pPr>
        <w:spacing w:line="360" w:lineRule="auto"/>
        <w:ind w:firstLine="480" w:firstLineChars="200"/>
        <w:rPr>
          <w:rFonts w:ascii="宋体" w:hAnsi="宋体"/>
          <w:color w:val="000000"/>
          <w:sz w:val="24"/>
        </w:rPr>
      </w:pPr>
      <w:r>
        <w:rPr>
          <w:rFonts w:hint="eastAsia" w:ascii="宋体" w:hAnsi="宋体"/>
          <w:color w:val="000000"/>
          <w:sz w:val="24"/>
        </w:rPr>
        <w:t>30.1.2招标人或者招标代理机构在三个日历日内对投标供应商依法提出的询问作出答复。</w:t>
      </w:r>
    </w:p>
    <w:p>
      <w:pPr>
        <w:spacing w:line="360" w:lineRule="auto"/>
        <w:ind w:firstLine="480" w:firstLineChars="200"/>
        <w:rPr>
          <w:rFonts w:ascii="宋体" w:hAnsi="宋体"/>
          <w:color w:val="000000"/>
          <w:sz w:val="24"/>
        </w:rPr>
      </w:pPr>
      <w:r>
        <w:rPr>
          <w:rFonts w:hint="eastAsia" w:ascii="宋体" w:hAnsi="宋体"/>
          <w:color w:val="000000"/>
          <w:sz w:val="24"/>
        </w:rPr>
        <w:t>30.1.3投标供应商质疑、投诉应当有明确的请求和必要的证明材料。投诉的事项不得超出已质疑事项的范围。</w:t>
      </w:r>
    </w:p>
    <w:p>
      <w:pPr>
        <w:spacing w:line="360" w:lineRule="auto"/>
        <w:ind w:firstLine="480" w:firstLineChars="200"/>
        <w:rPr>
          <w:rFonts w:ascii="宋体" w:hAnsi="宋体"/>
          <w:color w:val="000000"/>
          <w:sz w:val="24"/>
        </w:rPr>
      </w:pPr>
      <w:r>
        <w:rPr>
          <w:rFonts w:hint="eastAsia" w:ascii="宋体" w:hAnsi="宋体"/>
          <w:color w:val="000000"/>
          <w:sz w:val="24"/>
        </w:rPr>
        <w:t>31投诉</w:t>
      </w:r>
    </w:p>
    <w:p>
      <w:pPr>
        <w:spacing w:line="360" w:lineRule="auto"/>
        <w:ind w:firstLine="480" w:firstLineChars="200"/>
        <w:rPr>
          <w:rFonts w:ascii="宋体" w:hAnsi="宋体"/>
          <w:color w:val="000000"/>
          <w:sz w:val="24"/>
        </w:rPr>
      </w:pPr>
      <w:r>
        <w:rPr>
          <w:rFonts w:hint="eastAsia" w:ascii="宋体" w:hAnsi="宋体"/>
          <w:color w:val="000000"/>
          <w:sz w:val="24"/>
        </w:rPr>
        <w:t>31.1质疑供应商对招标人、代理机构的答复不满意或者招标人、代理机构未在规定的时间内作出答复的，可以在答复期满后十五个日历日内向同级政府采购监督管理部门投诉。</w:t>
      </w:r>
    </w:p>
    <w:p>
      <w:pPr>
        <w:spacing w:line="360" w:lineRule="auto"/>
        <w:ind w:firstLine="480" w:firstLineChars="200"/>
        <w:rPr>
          <w:rFonts w:ascii="宋体" w:hAnsi="宋体"/>
          <w:color w:val="000000"/>
          <w:sz w:val="24"/>
        </w:rPr>
      </w:pPr>
      <w:r>
        <w:rPr>
          <w:rFonts w:hint="eastAsia" w:ascii="宋体" w:hAnsi="宋体"/>
          <w:color w:val="000000"/>
          <w:sz w:val="24"/>
        </w:rPr>
        <w:t>31.2质疑期限</w:t>
      </w:r>
    </w:p>
    <w:p>
      <w:pPr>
        <w:spacing w:line="360" w:lineRule="auto"/>
        <w:ind w:firstLine="480" w:firstLineChars="200"/>
        <w:rPr>
          <w:rFonts w:hint="eastAsia" w:ascii="宋体" w:hAnsi="宋体"/>
          <w:sz w:val="24"/>
        </w:rPr>
      </w:pPr>
      <w:r>
        <w:rPr>
          <w:rFonts w:hint="eastAsia" w:ascii="宋体" w:hAnsi="宋体"/>
          <w:color w:val="000000"/>
          <w:sz w:val="24"/>
        </w:rPr>
        <w:t>31.3供应商应知其权益受到损害之日，是指：</w:t>
      </w:r>
      <w:r>
        <w:rPr>
          <w:rFonts w:hint="eastAsia" w:ascii="宋体" w:hAnsi="宋体"/>
          <w:color w:val="000000"/>
          <w:sz w:val="24"/>
        </w:rPr>
        <w:br w:type="textWrapping"/>
      </w:r>
      <w:r>
        <w:rPr>
          <w:rFonts w:hint="eastAsia" w:ascii="宋体" w:hAnsi="宋体"/>
          <w:color w:val="000000"/>
          <w:sz w:val="24"/>
        </w:rPr>
        <w:t>（1）对可以质疑的招标文件提出质疑的，为收到招标文件之日起开始计算</w:t>
      </w:r>
      <w:r>
        <w:rPr>
          <w:rFonts w:hint="eastAsia" w:ascii="宋体" w:hAnsi="宋体"/>
          <w:color w:val="000000"/>
          <w:sz w:val="24"/>
        </w:rPr>
        <w:br w:type="textWrapping"/>
      </w:r>
      <w:r>
        <w:rPr>
          <w:rFonts w:hint="eastAsia" w:ascii="宋体" w:hAnsi="宋体"/>
          <w:color w:val="000000"/>
          <w:sz w:val="24"/>
        </w:rPr>
        <w:t>（2）对招标采购过程提出质疑的，为各采购程序环节结束之日；</w:t>
      </w:r>
      <w:r>
        <w:rPr>
          <w:rFonts w:hint="eastAsia" w:ascii="宋体" w:hAnsi="宋体"/>
          <w:color w:val="000000"/>
          <w:sz w:val="24"/>
        </w:rPr>
        <w:br w:type="textWrapping"/>
      </w:r>
      <w:r>
        <w:rPr>
          <w:rFonts w:hint="eastAsia" w:ascii="宋体" w:hAnsi="宋体"/>
          <w:color w:val="000000"/>
          <w:sz w:val="24"/>
        </w:rPr>
        <w:t>（3）对中标结果提出质</w:t>
      </w:r>
      <w:r>
        <w:rPr>
          <w:rFonts w:hint="eastAsia" w:ascii="宋体" w:hAnsi="宋体"/>
          <w:sz w:val="24"/>
        </w:rPr>
        <w:t>疑的，为中标结果公告期限届满之日。</w:t>
      </w:r>
      <w:r>
        <w:rPr>
          <w:rFonts w:hint="eastAsia" w:ascii="宋体" w:hAnsi="宋体"/>
          <w:sz w:val="24"/>
        </w:rPr>
        <w:br w:type="textWrapping"/>
      </w:r>
      <w:r>
        <w:rPr>
          <w:rFonts w:hint="eastAsia" w:ascii="宋体" w:hAnsi="宋体"/>
          <w:sz w:val="24"/>
        </w:rPr>
        <w:t xml:space="preserve">    31.4投标人在领取招标文件后应认真阅读招标文件的全部内容，如有疑问时，必须以书面形式向招标采购单位提出，要求招标采购单位进行澄清。招标采购单位将在财政部门指定的政府采购信息发布媒体上发布更正公告进行澄清，并以书面形式通知所有招标文件收受人。除书面以外的其他要求澄清或修改澄清均无效。</w:t>
      </w:r>
    </w:p>
    <w:p>
      <w:pPr>
        <w:pStyle w:val="2"/>
        <w:widowControl w:val="0"/>
        <w:numPr>
          <w:ilvl w:val="0"/>
          <w:numId w:val="0"/>
        </w:numPr>
        <w:adjustRightInd/>
        <w:snapToGrid/>
        <w:spacing w:after="0"/>
        <w:jc w:val="center"/>
        <w:rPr>
          <w:rFonts w:hint="eastAsia" w:ascii="宋体" w:hAnsi="宋体"/>
          <w:sz w:val="24"/>
        </w:rPr>
      </w:pPr>
    </w:p>
    <w:p>
      <w:pPr>
        <w:pStyle w:val="2"/>
        <w:widowControl w:val="0"/>
        <w:numPr>
          <w:ilvl w:val="0"/>
          <w:numId w:val="0"/>
        </w:numPr>
        <w:adjustRightInd/>
        <w:snapToGrid/>
        <w:spacing w:after="0"/>
        <w:jc w:val="center"/>
        <w:rPr>
          <w:rFonts w:hint="eastAsia" w:ascii="宋体" w:hAnsi="宋体"/>
          <w:sz w:val="24"/>
        </w:rPr>
      </w:pPr>
    </w:p>
    <w:p>
      <w:pPr>
        <w:pStyle w:val="2"/>
        <w:widowControl w:val="0"/>
        <w:numPr>
          <w:ilvl w:val="0"/>
          <w:numId w:val="0"/>
        </w:numPr>
        <w:adjustRightInd/>
        <w:snapToGrid/>
        <w:spacing w:after="0"/>
        <w:jc w:val="center"/>
        <w:rPr>
          <w:rFonts w:hint="eastAsia" w:ascii="宋体" w:hAnsi="宋体"/>
          <w:sz w:val="24"/>
        </w:rPr>
      </w:pPr>
    </w:p>
    <w:p>
      <w:pPr>
        <w:pStyle w:val="2"/>
        <w:widowControl w:val="0"/>
        <w:numPr>
          <w:ilvl w:val="0"/>
          <w:numId w:val="0"/>
        </w:numPr>
        <w:adjustRightInd/>
        <w:snapToGrid/>
        <w:spacing w:after="0"/>
        <w:jc w:val="center"/>
        <w:rPr>
          <w:rFonts w:hint="eastAsia" w:ascii="宋体" w:hAnsi="宋体"/>
          <w:sz w:val="24"/>
        </w:rPr>
      </w:pPr>
    </w:p>
    <w:p>
      <w:pPr>
        <w:spacing w:line="460" w:lineRule="exact"/>
        <w:rPr>
          <w:rFonts w:ascii="宋体" w:hAnsi="宋体"/>
          <w:b/>
          <w:bCs/>
          <w:color w:val="000000"/>
          <w:sz w:val="24"/>
        </w:rPr>
      </w:pPr>
    </w:p>
    <w:p>
      <w:pPr>
        <w:spacing w:line="400" w:lineRule="exact"/>
        <w:rPr>
          <w:rFonts w:ascii="宋体" w:hAnsi="宋体"/>
          <w:b/>
          <w:color w:val="000000"/>
          <w:sz w:val="28"/>
          <w:szCs w:val="28"/>
        </w:rPr>
      </w:pPr>
      <w:r>
        <w:rPr>
          <w:rFonts w:hint="eastAsia" w:ascii="宋体" w:hAnsi="宋体"/>
          <w:b/>
          <w:color w:val="000000"/>
          <w:sz w:val="28"/>
          <w:szCs w:val="28"/>
        </w:rPr>
        <w:t>附评分标准(满分100分)</w:t>
      </w:r>
    </w:p>
    <w:p>
      <w:pPr>
        <w:pStyle w:val="3"/>
        <w:spacing w:line="360" w:lineRule="auto"/>
        <w:ind w:firstLine="560" w:firstLineChars="200"/>
        <w:jc w:val="center"/>
        <w:rPr>
          <w:rFonts w:ascii="宋体" w:hAnsi="宋体"/>
          <w:b/>
          <w:color w:val="000000"/>
          <w:sz w:val="28"/>
          <w:szCs w:val="28"/>
        </w:rPr>
      </w:pPr>
      <w:r>
        <w:rPr>
          <w:rFonts w:hint="eastAsia" w:ascii="宋体" w:hAnsi="宋体"/>
          <w:b/>
          <w:color w:val="000000"/>
          <w:sz w:val="28"/>
          <w:szCs w:val="28"/>
        </w:rPr>
        <w:t>经济标评标标准</w:t>
      </w:r>
    </w:p>
    <w:p>
      <w:pPr>
        <w:pStyle w:val="3"/>
        <w:spacing w:line="520" w:lineRule="exact"/>
        <w:ind w:firstLine="449" w:firstLineChars="197"/>
        <w:rPr>
          <w:rFonts w:ascii="宋体" w:hAnsi="宋体"/>
          <w:color w:val="000000"/>
          <w:sz w:val="24"/>
          <w:szCs w:val="24"/>
        </w:rPr>
      </w:pPr>
      <w:r>
        <w:rPr>
          <w:rFonts w:hint="eastAsia" w:ascii="宋体" w:hAnsi="宋体" w:cs="Arial"/>
          <w:b/>
          <w:spacing w:val="-6"/>
          <w:sz w:val="24"/>
          <w:szCs w:val="24"/>
        </w:rPr>
        <w:t>报价得分</w:t>
      </w:r>
      <w:r>
        <w:rPr>
          <w:rFonts w:ascii="宋体" w:hAnsi="宋体" w:cs="Arial"/>
          <w:b/>
          <w:spacing w:val="-6"/>
          <w:sz w:val="24"/>
          <w:szCs w:val="24"/>
        </w:rPr>
        <w:t>满分</w:t>
      </w:r>
      <w:r>
        <w:rPr>
          <w:rFonts w:hint="eastAsia" w:ascii="宋体" w:hAnsi="宋体" w:cs="Arial"/>
          <w:b/>
          <w:spacing w:val="-6"/>
          <w:sz w:val="24"/>
          <w:szCs w:val="24"/>
        </w:rPr>
        <w:t>30</w:t>
      </w:r>
      <w:r>
        <w:rPr>
          <w:rFonts w:ascii="宋体" w:hAnsi="宋体" w:cs="Arial"/>
          <w:b/>
          <w:spacing w:val="-6"/>
          <w:sz w:val="24"/>
          <w:szCs w:val="24"/>
        </w:rPr>
        <w:t>分，依照如下标准计算得分</w:t>
      </w:r>
      <w:r>
        <w:rPr>
          <w:rFonts w:hint="eastAsia" w:ascii="宋体" w:hAnsi="宋体" w:cs="Arial"/>
          <w:spacing w:val="-6"/>
          <w:sz w:val="24"/>
          <w:szCs w:val="24"/>
        </w:rPr>
        <w:t>：</w:t>
      </w:r>
    </w:p>
    <w:p>
      <w:pPr>
        <w:pStyle w:val="3"/>
        <w:spacing w:line="520" w:lineRule="exact"/>
        <w:ind w:firstLine="449" w:firstLineChars="197"/>
        <w:rPr>
          <w:rFonts w:ascii="宋体" w:hAnsi="宋体" w:cs="Arial"/>
          <w:b/>
          <w:spacing w:val="-6"/>
          <w:sz w:val="24"/>
          <w:szCs w:val="24"/>
        </w:rPr>
      </w:pPr>
      <w:r>
        <w:rPr>
          <w:rFonts w:ascii="宋体" w:hAnsi="宋体" w:cs="Arial"/>
          <w:b/>
          <w:spacing w:val="-6"/>
          <w:sz w:val="24"/>
          <w:szCs w:val="24"/>
        </w:rPr>
        <w:t>投标报价得分计算方法：投标报价满分</w:t>
      </w:r>
      <w:r>
        <w:rPr>
          <w:rFonts w:hint="eastAsia" w:ascii="宋体" w:hAnsi="宋体" w:cs="Arial"/>
          <w:b/>
          <w:spacing w:val="-6"/>
          <w:sz w:val="24"/>
          <w:szCs w:val="24"/>
        </w:rPr>
        <w:t>3</w:t>
      </w:r>
      <w:r>
        <w:rPr>
          <w:rFonts w:ascii="宋体" w:hAnsi="宋体" w:cs="Arial"/>
          <w:b/>
          <w:spacing w:val="-6"/>
          <w:sz w:val="24"/>
          <w:szCs w:val="24"/>
        </w:rPr>
        <w:t>0分。</w:t>
      </w:r>
      <w:r>
        <w:rPr>
          <w:rFonts w:ascii="宋体" w:hAnsi="宋体" w:cs="Arial"/>
          <w:b/>
          <w:spacing w:val="-6"/>
          <w:sz w:val="24"/>
          <w:szCs w:val="24"/>
        </w:rPr>
        <w:br w:type="textWrapping"/>
      </w:r>
      <w:r>
        <w:rPr>
          <w:rFonts w:ascii="宋体" w:hAnsi="宋体" w:cs="Arial"/>
          <w:b/>
          <w:spacing w:val="-6"/>
          <w:sz w:val="24"/>
          <w:szCs w:val="24"/>
        </w:rPr>
        <w:t>综合评分法中的报价得分采用低价优先法计算，即满足招标文件要求且投标价格最低的投标报价为评标基准价</w:t>
      </w:r>
      <w:r>
        <w:rPr>
          <w:rFonts w:hint="eastAsia" w:ascii="宋体" w:hAnsi="宋体" w:cs="Arial"/>
          <w:b/>
          <w:spacing w:val="-6"/>
          <w:sz w:val="24"/>
          <w:szCs w:val="24"/>
        </w:rPr>
        <w:t>（以第二次报价为准,第二次报价大小写不一致者，经济标按零分处理，且报价不纳入计分体系）</w:t>
      </w:r>
      <w:r>
        <w:rPr>
          <w:rFonts w:ascii="宋体" w:hAnsi="宋体" w:cs="Arial"/>
          <w:b/>
          <w:spacing w:val="-6"/>
          <w:sz w:val="24"/>
          <w:szCs w:val="24"/>
        </w:rPr>
        <w:t>，其价格分为满分。其他投标人的价格分统一按照下列公式计算：投标报价得分=(评标基准价／投标报价)×价格权值×100</w:t>
      </w:r>
    </w:p>
    <w:p>
      <w:pPr>
        <w:pStyle w:val="3"/>
        <w:spacing w:line="360" w:lineRule="auto"/>
        <w:ind w:firstLine="0"/>
        <w:jc w:val="center"/>
        <w:rPr>
          <w:b/>
          <w:sz w:val="28"/>
          <w:szCs w:val="28"/>
        </w:rPr>
      </w:pPr>
      <w:r>
        <w:rPr>
          <w:rFonts w:hAnsi="宋体"/>
          <w:b/>
          <w:sz w:val="28"/>
          <w:szCs w:val="28"/>
        </w:rPr>
        <w:t>技术标评标标准</w:t>
      </w:r>
    </w:p>
    <w:tbl>
      <w:tblPr>
        <w:tblStyle w:val="15"/>
        <w:tblW w:w="9854" w:type="dxa"/>
        <w:jc w:val="center"/>
        <w:tblLayout w:type="fixed"/>
        <w:tblCellMar>
          <w:top w:w="0" w:type="dxa"/>
          <w:left w:w="108" w:type="dxa"/>
          <w:bottom w:w="0" w:type="dxa"/>
          <w:right w:w="108" w:type="dxa"/>
        </w:tblCellMar>
      </w:tblPr>
      <w:tblGrid>
        <w:gridCol w:w="1385"/>
        <w:gridCol w:w="807"/>
        <w:gridCol w:w="7662"/>
      </w:tblGrid>
      <w:tr>
        <w:tblPrEx>
          <w:tblCellMar>
            <w:top w:w="0" w:type="dxa"/>
            <w:left w:w="108" w:type="dxa"/>
            <w:bottom w:w="0" w:type="dxa"/>
            <w:right w:w="108" w:type="dxa"/>
          </w:tblCellMar>
        </w:tblPrEx>
        <w:trPr>
          <w:jc w:val="center"/>
        </w:trPr>
        <w:tc>
          <w:tcPr>
            <w:tcW w:w="1385" w:type="dxa"/>
            <w:tcBorders>
              <w:top w:val="single" w:color="000000" w:sz="6" w:space="0"/>
              <w:left w:val="single" w:color="000000" w:sz="6" w:space="0"/>
              <w:bottom w:val="single" w:color="000000" w:sz="6" w:space="0"/>
              <w:right w:val="single" w:color="000000" w:sz="6" w:space="0"/>
            </w:tcBorders>
            <w:vAlign w:val="center"/>
          </w:tcPr>
          <w:p>
            <w:pPr>
              <w:pStyle w:val="14"/>
              <w:adjustRightInd w:val="0"/>
              <w:snapToGrid w:val="0"/>
              <w:spacing w:line="360" w:lineRule="auto"/>
              <w:rPr>
                <w:rFonts w:cs="宋体"/>
                <w:b/>
                <w:bCs/>
                <w:color w:val="000000"/>
                <w:sz w:val="21"/>
                <w:szCs w:val="21"/>
                <w:lang w:val="zh-CN"/>
              </w:rPr>
            </w:pPr>
            <w:r>
              <w:rPr>
                <w:rFonts w:hint="eastAsia" w:cs="宋体"/>
                <w:b/>
                <w:bCs/>
                <w:color w:val="000000"/>
                <w:sz w:val="21"/>
                <w:szCs w:val="21"/>
                <w:lang w:val="zh-CN"/>
              </w:rPr>
              <w:t>项目及权重</w:t>
            </w:r>
          </w:p>
        </w:tc>
        <w:tc>
          <w:tcPr>
            <w:tcW w:w="807" w:type="dxa"/>
            <w:tcBorders>
              <w:top w:val="single" w:color="000000" w:sz="6" w:space="0"/>
              <w:left w:val="single" w:color="000000" w:sz="6" w:space="0"/>
              <w:bottom w:val="single" w:color="000000" w:sz="6" w:space="0"/>
              <w:right w:val="single" w:color="000000" w:sz="6" w:space="0"/>
            </w:tcBorders>
            <w:vAlign w:val="center"/>
          </w:tcPr>
          <w:p>
            <w:pPr>
              <w:pStyle w:val="14"/>
              <w:adjustRightInd w:val="0"/>
              <w:snapToGrid w:val="0"/>
              <w:spacing w:line="360" w:lineRule="auto"/>
              <w:jc w:val="center"/>
              <w:rPr>
                <w:rFonts w:cs="宋体"/>
                <w:b/>
                <w:bCs/>
                <w:color w:val="000000"/>
                <w:sz w:val="21"/>
                <w:szCs w:val="21"/>
                <w:lang w:val="zh-CN"/>
              </w:rPr>
            </w:pPr>
            <w:r>
              <w:rPr>
                <w:rFonts w:hint="eastAsia" w:cs="宋体"/>
                <w:b/>
                <w:bCs/>
                <w:color w:val="000000"/>
                <w:sz w:val="21"/>
                <w:szCs w:val="21"/>
                <w:lang w:val="zh-CN"/>
              </w:rPr>
              <w:t>满分分值</w:t>
            </w:r>
          </w:p>
        </w:tc>
        <w:tc>
          <w:tcPr>
            <w:tcW w:w="7662" w:type="dxa"/>
            <w:tcBorders>
              <w:top w:val="single" w:color="000000" w:sz="6" w:space="0"/>
              <w:left w:val="single" w:color="000000" w:sz="6" w:space="0"/>
              <w:bottom w:val="single" w:color="000000" w:sz="6" w:space="0"/>
              <w:right w:val="single" w:color="000000" w:sz="6" w:space="0"/>
            </w:tcBorders>
            <w:vAlign w:val="center"/>
          </w:tcPr>
          <w:p>
            <w:pPr>
              <w:pStyle w:val="14"/>
              <w:adjustRightInd w:val="0"/>
              <w:snapToGrid w:val="0"/>
              <w:spacing w:line="360" w:lineRule="auto"/>
              <w:jc w:val="center"/>
              <w:rPr>
                <w:rFonts w:cs="宋体"/>
                <w:b/>
                <w:bCs/>
                <w:color w:val="000000"/>
                <w:sz w:val="21"/>
                <w:szCs w:val="21"/>
              </w:rPr>
            </w:pPr>
            <w:r>
              <w:rPr>
                <w:rFonts w:hint="eastAsia" w:cs="宋体"/>
                <w:b/>
                <w:bCs/>
                <w:color w:val="000000"/>
                <w:sz w:val="21"/>
                <w:szCs w:val="21"/>
              </w:rPr>
              <w:t>评分标准</w:t>
            </w:r>
          </w:p>
        </w:tc>
      </w:tr>
      <w:tr>
        <w:tblPrEx>
          <w:tblCellMar>
            <w:top w:w="0" w:type="dxa"/>
            <w:left w:w="108" w:type="dxa"/>
            <w:bottom w:w="0" w:type="dxa"/>
            <w:right w:w="108" w:type="dxa"/>
          </w:tblCellMar>
        </w:tblPrEx>
        <w:trPr>
          <w:jc w:val="center"/>
        </w:trPr>
        <w:tc>
          <w:tcPr>
            <w:tcW w:w="1385" w:type="dxa"/>
            <w:tcBorders>
              <w:top w:val="single" w:color="000000" w:sz="6" w:space="0"/>
              <w:left w:val="single" w:color="000000" w:sz="6" w:space="0"/>
              <w:bottom w:val="single" w:color="000000" w:sz="6" w:space="0"/>
              <w:right w:val="single" w:color="000000" w:sz="6" w:space="0"/>
            </w:tcBorders>
            <w:vAlign w:val="center"/>
          </w:tcPr>
          <w:p>
            <w:pPr>
              <w:pStyle w:val="14"/>
              <w:adjustRightInd w:val="0"/>
              <w:snapToGrid w:val="0"/>
              <w:spacing w:line="360" w:lineRule="auto"/>
              <w:jc w:val="center"/>
              <w:rPr>
                <w:rFonts w:cs="宋体"/>
                <w:color w:val="000000"/>
                <w:sz w:val="21"/>
                <w:szCs w:val="21"/>
                <w:lang w:val="zh-CN"/>
              </w:rPr>
            </w:pPr>
            <w:r>
              <w:rPr>
                <w:rFonts w:hint="eastAsia" w:cs="宋体"/>
                <w:color w:val="000000"/>
                <w:sz w:val="21"/>
                <w:szCs w:val="21"/>
                <w:lang w:val="zh-CN"/>
              </w:rPr>
              <w:t>技术</w:t>
            </w:r>
            <w:r>
              <w:rPr>
                <w:rFonts w:hint="eastAsia" w:cs="宋体"/>
                <w:color w:val="000000"/>
                <w:sz w:val="21"/>
                <w:szCs w:val="21"/>
              </w:rPr>
              <w:t>参数响应</w:t>
            </w:r>
          </w:p>
        </w:tc>
        <w:tc>
          <w:tcPr>
            <w:tcW w:w="807" w:type="dxa"/>
            <w:tcBorders>
              <w:top w:val="single" w:color="000000" w:sz="6" w:space="0"/>
              <w:left w:val="single" w:color="000000" w:sz="6" w:space="0"/>
              <w:bottom w:val="single" w:color="000000" w:sz="6" w:space="0"/>
              <w:right w:val="single" w:color="000000" w:sz="6" w:space="0"/>
            </w:tcBorders>
            <w:vAlign w:val="center"/>
          </w:tcPr>
          <w:p>
            <w:pPr>
              <w:pStyle w:val="14"/>
              <w:adjustRightInd w:val="0"/>
              <w:snapToGrid w:val="0"/>
              <w:spacing w:line="360" w:lineRule="auto"/>
              <w:jc w:val="center"/>
              <w:rPr>
                <w:rFonts w:cs="宋体"/>
                <w:color w:val="000000"/>
                <w:sz w:val="21"/>
                <w:szCs w:val="21"/>
                <w:lang w:val="zh-CN"/>
              </w:rPr>
            </w:pPr>
            <w:r>
              <w:rPr>
                <w:rFonts w:hint="eastAsia" w:cs="宋体"/>
                <w:color w:val="000000"/>
                <w:sz w:val="21"/>
                <w:szCs w:val="21"/>
              </w:rPr>
              <w:t>20</w:t>
            </w:r>
            <w:r>
              <w:rPr>
                <w:rFonts w:hint="eastAsia" w:cs="宋体"/>
                <w:color w:val="000000"/>
                <w:sz w:val="21"/>
                <w:szCs w:val="21"/>
                <w:lang w:val="zh-CN"/>
              </w:rPr>
              <w:t>分</w:t>
            </w:r>
          </w:p>
        </w:tc>
        <w:tc>
          <w:tcPr>
            <w:tcW w:w="7662" w:type="dxa"/>
            <w:tcBorders>
              <w:top w:val="single" w:color="000000" w:sz="6" w:space="0"/>
              <w:left w:val="single" w:color="000000" w:sz="6" w:space="0"/>
              <w:bottom w:val="single" w:color="000000" w:sz="6" w:space="0"/>
              <w:right w:val="single" w:color="000000" w:sz="6" w:space="0"/>
            </w:tcBorders>
            <w:vAlign w:val="center"/>
          </w:tcPr>
          <w:p>
            <w:pPr>
              <w:pStyle w:val="14"/>
              <w:adjustRightInd w:val="0"/>
              <w:snapToGrid w:val="0"/>
              <w:spacing w:line="360" w:lineRule="auto"/>
              <w:rPr>
                <w:rFonts w:cs="宋体"/>
                <w:color w:val="000000"/>
                <w:sz w:val="21"/>
                <w:szCs w:val="21"/>
              </w:rPr>
            </w:pPr>
            <w:r>
              <w:rPr>
                <w:rFonts w:hint="eastAsia" w:cs="宋体"/>
                <w:color w:val="000000"/>
                <w:sz w:val="21"/>
                <w:szCs w:val="21"/>
              </w:rPr>
              <w:t>所投产品参数完全符合招标文件要求且没有负偏离得分20；每有一项指标负偏离，扣2分，扣完为止。</w:t>
            </w:r>
          </w:p>
        </w:tc>
      </w:tr>
      <w:tr>
        <w:tblPrEx>
          <w:tblCellMar>
            <w:top w:w="0" w:type="dxa"/>
            <w:left w:w="108" w:type="dxa"/>
            <w:bottom w:w="0" w:type="dxa"/>
            <w:right w:w="108" w:type="dxa"/>
          </w:tblCellMar>
        </w:tblPrEx>
        <w:trPr>
          <w:jc w:val="center"/>
        </w:trPr>
        <w:tc>
          <w:tcPr>
            <w:tcW w:w="1385" w:type="dxa"/>
            <w:tcBorders>
              <w:top w:val="single" w:color="000000" w:sz="6" w:space="0"/>
              <w:left w:val="single" w:color="000000" w:sz="6" w:space="0"/>
              <w:bottom w:val="single" w:color="000000" w:sz="6" w:space="0"/>
              <w:right w:val="single" w:color="000000" w:sz="6" w:space="0"/>
            </w:tcBorders>
            <w:vAlign w:val="center"/>
          </w:tcPr>
          <w:p>
            <w:pPr>
              <w:pStyle w:val="14"/>
              <w:adjustRightInd w:val="0"/>
              <w:snapToGrid w:val="0"/>
              <w:spacing w:line="360" w:lineRule="auto"/>
              <w:jc w:val="center"/>
              <w:rPr>
                <w:rFonts w:cs="宋体"/>
                <w:color w:val="000000"/>
                <w:sz w:val="21"/>
                <w:szCs w:val="21"/>
                <w:lang w:val="zh-CN"/>
              </w:rPr>
            </w:pPr>
            <w:r>
              <w:rPr>
                <w:rFonts w:hint="eastAsia" w:cs="宋体"/>
                <w:color w:val="000000"/>
                <w:sz w:val="21"/>
                <w:szCs w:val="21"/>
              </w:rPr>
              <w:t>相关人员组织分工明确</w:t>
            </w:r>
          </w:p>
        </w:tc>
        <w:tc>
          <w:tcPr>
            <w:tcW w:w="807" w:type="dxa"/>
            <w:tcBorders>
              <w:top w:val="single" w:color="000000" w:sz="6" w:space="0"/>
              <w:left w:val="single" w:color="000000" w:sz="6" w:space="0"/>
              <w:bottom w:val="single" w:color="000000" w:sz="6" w:space="0"/>
              <w:right w:val="single" w:color="000000" w:sz="6" w:space="0"/>
            </w:tcBorders>
            <w:vAlign w:val="center"/>
          </w:tcPr>
          <w:p>
            <w:pPr>
              <w:pStyle w:val="14"/>
              <w:adjustRightInd w:val="0"/>
              <w:snapToGrid w:val="0"/>
              <w:spacing w:line="360" w:lineRule="auto"/>
              <w:jc w:val="center"/>
              <w:rPr>
                <w:rFonts w:cs="宋体"/>
                <w:sz w:val="21"/>
                <w:szCs w:val="21"/>
                <w:lang w:val="zh-CN"/>
              </w:rPr>
            </w:pPr>
            <w:r>
              <w:rPr>
                <w:rFonts w:hint="eastAsia" w:cs="宋体"/>
                <w:sz w:val="21"/>
                <w:szCs w:val="21"/>
              </w:rPr>
              <w:t>5</w:t>
            </w:r>
            <w:r>
              <w:rPr>
                <w:rFonts w:hint="eastAsia" w:cs="宋体"/>
                <w:sz w:val="21"/>
                <w:szCs w:val="21"/>
                <w:lang w:val="zh-CN"/>
              </w:rPr>
              <w:t>分</w:t>
            </w:r>
          </w:p>
        </w:tc>
        <w:tc>
          <w:tcPr>
            <w:tcW w:w="7662" w:type="dxa"/>
            <w:tcBorders>
              <w:top w:val="single" w:color="000000" w:sz="6" w:space="0"/>
              <w:left w:val="single" w:color="000000" w:sz="6" w:space="0"/>
              <w:bottom w:val="single" w:color="000000" w:sz="6" w:space="0"/>
              <w:right w:val="single" w:color="000000" w:sz="6" w:space="0"/>
            </w:tcBorders>
            <w:vAlign w:val="center"/>
          </w:tcPr>
          <w:p>
            <w:pPr>
              <w:pStyle w:val="14"/>
              <w:adjustRightInd w:val="0"/>
              <w:snapToGrid w:val="0"/>
              <w:spacing w:line="360" w:lineRule="auto"/>
              <w:rPr>
                <w:rFonts w:cs="宋体"/>
                <w:sz w:val="21"/>
                <w:szCs w:val="21"/>
              </w:rPr>
            </w:pPr>
            <w:r>
              <w:rPr>
                <w:rFonts w:hint="eastAsia" w:cs="宋体"/>
                <w:sz w:val="21"/>
                <w:szCs w:val="21"/>
              </w:rPr>
              <w:t>组织分工明确得5分。一般得3分。差或不提供得0分</w:t>
            </w:r>
          </w:p>
        </w:tc>
      </w:tr>
      <w:tr>
        <w:tblPrEx>
          <w:tblCellMar>
            <w:top w:w="0" w:type="dxa"/>
            <w:left w:w="108" w:type="dxa"/>
            <w:bottom w:w="0" w:type="dxa"/>
            <w:right w:w="108" w:type="dxa"/>
          </w:tblCellMar>
        </w:tblPrEx>
        <w:trPr>
          <w:jc w:val="center"/>
        </w:trPr>
        <w:tc>
          <w:tcPr>
            <w:tcW w:w="1385" w:type="dxa"/>
            <w:tcBorders>
              <w:top w:val="single" w:color="000000" w:sz="6" w:space="0"/>
              <w:left w:val="single" w:color="000000" w:sz="6" w:space="0"/>
              <w:bottom w:val="single" w:color="auto" w:sz="4" w:space="0"/>
              <w:right w:val="single" w:color="000000" w:sz="6" w:space="0"/>
            </w:tcBorders>
            <w:vAlign w:val="center"/>
          </w:tcPr>
          <w:p>
            <w:pPr>
              <w:pStyle w:val="14"/>
              <w:adjustRightInd w:val="0"/>
              <w:snapToGrid w:val="0"/>
              <w:spacing w:line="240" w:lineRule="exact"/>
              <w:jc w:val="center"/>
              <w:rPr>
                <w:rFonts w:cs="宋体"/>
                <w:sz w:val="21"/>
                <w:szCs w:val="21"/>
              </w:rPr>
            </w:pPr>
            <w:r>
              <w:rPr>
                <w:rFonts w:hint="eastAsia" w:cs="宋体"/>
                <w:color w:val="000000"/>
                <w:sz w:val="21"/>
                <w:szCs w:val="21"/>
              </w:rPr>
              <w:t>服务人员专业符合项目需要</w:t>
            </w:r>
          </w:p>
        </w:tc>
        <w:tc>
          <w:tcPr>
            <w:tcW w:w="807" w:type="dxa"/>
            <w:tcBorders>
              <w:top w:val="single" w:color="000000" w:sz="6" w:space="0"/>
              <w:left w:val="single" w:color="000000" w:sz="6" w:space="0"/>
              <w:bottom w:val="single" w:color="auto" w:sz="4" w:space="0"/>
              <w:right w:val="single" w:color="000000" w:sz="6" w:space="0"/>
            </w:tcBorders>
            <w:vAlign w:val="center"/>
          </w:tcPr>
          <w:p>
            <w:pPr>
              <w:pStyle w:val="14"/>
              <w:adjustRightInd w:val="0"/>
              <w:snapToGrid w:val="0"/>
              <w:spacing w:line="360" w:lineRule="auto"/>
              <w:jc w:val="center"/>
              <w:rPr>
                <w:rFonts w:cs="宋体"/>
                <w:color w:val="000000"/>
                <w:sz w:val="21"/>
                <w:szCs w:val="21"/>
              </w:rPr>
            </w:pPr>
            <w:r>
              <w:rPr>
                <w:rFonts w:hint="eastAsia" w:cs="宋体"/>
                <w:color w:val="000000"/>
                <w:sz w:val="21"/>
                <w:szCs w:val="21"/>
              </w:rPr>
              <w:t>5分</w:t>
            </w:r>
          </w:p>
        </w:tc>
        <w:tc>
          <w:tcPr>
            <w:tcW w:w="7662" w:type="dxa"/>
            <w:tcBorders>
              <w:top w:val="single" w:color="000000" w:sz="6" w:space="0"/>
              <w:left w:val="single" w:color="000000" w:sz="6" w:space="0"/>
              <w:bottom w:val="single" w:color="000000" w:sz="6" w:space="0"/>
              <w:right w:val="single" w:color="000000" w:sz="6" w:space="0"/>
            </w:tcBorders>
            <w:vAlign w:val="center"/>
          </w:tcPr>
          <w:p>
            <w:pPr>
              <w:pStyle w:val="14"/>
              <w:adjustRightInd w:val="0"/>
              <w:snapToGrid w:val="0"/>
              <w:spacing w:line="360" w:lineRule="auto"/>
              <w:rPr>
                <w:rFonts w:cs="宋体"/>
                <w:sz w:val="21"/>
                <w:szCs w:val="21"/>
                <w:highlight w:val="yellow"/>
              </w:rPr>
            </w:pPr>
            <w:r>
              <w:rPr>
                <w:rFonts w:hint="eastAsia" w:cs="宋体"/>
                <w:color w:val="000000"/>
                <w:sz w:val="21"/>
                <w:szCs w:val="21"/>
              </w:rPr>
              <w:t>服务人员专业符合项目需要得5分。一般的3分。</w:t>
            </w:r>
            <w:r>
              <w:rPr>
                <w:rFonts w:hint="eastAsia" w:cs="宋体"/>
                <w:sz w:val="21"/>
                <w:szCs w:val="21"/>
              </w:rPr>
              <w:t>差或不提供得0分</w:t>
            </w:r>
          </w:p>
        </w:tc>
      </w:tr>
      <w:tr>
        <w:tblPrEx>
          <w:tblCellMar>
            <w:top w:w="0" w:type="dxa"/>
            <w:left w:w="108" w:type="dxa"/>
            <w:bottom w:w="0" w:type="dxa"/>
            <w:right w:w="108" w:type="dxa"/>
          </w:tblCellMar>
        </w:tblPrEx>
        <w:trPr>
          <w:jc w:val="center"/>
        </w:trPr>
        <w:tc>
          <w:tcPr>
            <w:tcW w:w="1385" w:type="dxa"/>
            <w:tcBorders>
              <w:top w:val="single" w:color="000000" w:sz="6" w:space="0"/>
              <w:left w:val="single" w:color="000000" w:sz="6" w:space="0"/>
              <w:bottom w:val="single" w:color="000000" w:sz="6" w:space="0"/>
              <w:right w:val="single" w:color="000000" w:sz="6" w:space="0"/>
            </w:tcBorders>
            <w:vAlign w:val="center"/>
          </w:tcPr>
          <w:p>
            <w:pPr>
              <w:spacing w:before="156" w:after="156" w:line="440" w:lineRule="atLeast"/>
              <w:jc w:val="center"/>
              <w:textAlignment w:val="baseline"/>
              <w:rPr>
                <w:rFonts w:ascii="Calibri" w:hAnsi="Calibri" w:cs="宋体"/>
                <w:snapToGrid w:val="0"/>
                <w:color w:val="000000"/>
                <w:kern w:val="2"/>
                <w:sz w:val="21"/>
                <w:szCs w:val="21"/>
              </w:rPr>
            </w:pPr>
            <w:r>
              <w:rPr>
                <w:rFonts w:hint="eastAsia" w:ascii="Calibri" w:hAnsi="Calibri" w:cs="宋体"/>
                <w:snapToGrid w:val="0"/>
                <w:color w:val="000000"/>
                <w:kern w:val="2"/>
                <w:sz w:val="21"/>
                <w:szCs w:val="21"/>
              </w:rPr>
              <w:t>质量检测</w:t>
            </w:r>
          </w:p>
        </w:tc>
        <w:tc>
          <w:tcPr>
            <w:tcW w:w="807" w:type="dxa"/>
            <w:tcBorders>
              <w:top w:val="single" w:color="000000" w:sz="6" w:space="0"/>
              <w:left w:val="single" w:color="000000" w:sz="6" w:space="0"/>
              <w:bottom w:val="single" w:color="000000" w:sz="6" w:space="0"/>
              <w:right w:val="single" w:color="000000" w:sz="6" w:space="0"/>
            </w:tcBorders>
            <w:vAlign w:val="center"/>
          </w:tcPr>
          <w:p>
            <w:pPr>
              <w:spacing w:before="156" w:after="156"/>
              <w:jc w:val="both"/>
              <w:textAlignment w:val="baseline"/>
              <w:rPr>
                <w:rFonts w:ascii="Calibri" w:hAnsi="Calibri" w:cs="宋体"/>
                <w:snapToGrid w:val="0"/>
                <w:color w:val="000000"/>
                <w:kern w:val="2"/>
                <w:sz w:val="21"/>
                <w:szCs w:val="21"/>
                <w:lang w:val="zh-CN"/>
              </w:rPr>
            </w:pPr>
            <w:r>
              <w:rPr>
                <w:rFonts w:hint="eastAsia" w:ascii="Calibri" w:hAnsi="Calibri" w:cs="宋体"/>
                <w:snapToGrid w:val="0"/>
                <w:color w:val="000000"/>
                <w:kern w:val="2"/>
                <w:sz w:val="21"/>
                <w:szCs w:val="21"/>
              </w:rPr>
              <w:t>10分</w:t>
            </w:r>
          </w:p>
        </w:tc>
        <w:tc>
          <w:tcPr>
            <w:tcW w:w="7662" w:type="dxa"/>
            <w:tcBorders>
              <w:top w:val="single" w:color="000000" w:sz="6" w:space="0"/>
              <w:left w:val="single" w:color="000000" w:sz="6" w:space="0"/>
              <w:bottom w:val="single" w:color="000000" w:sz="6" w:space="0"/>
              <w:right w:val="single" w:color="000000" w:sz="6" w:space="0"/>
            </w:tcBorders>
          </w:tcPr>
          <w:p>
            <w:pPr>
              <w:spacing w:before="156" w:after="156" w:line="440" w:lineRule="atLeast"/>
              <w:textAlignment w:val="baseline"/>
              <w:rPr>
                <w:rFonts w:ascii="Calibri" w:hAnsi="Calibri" w:cs="宋体"/>
                <w:snapToGrid w:val="0"/>
                <w:color w:val="000000"/>
                <w:kern w:val="2"/>
                <w:sz w:val="21"/>
                <w:szCs w:val="21"/>
              </w:rPr>
            </w:pPr>
            <w:r>
              <w:rPr>
                <w:rFonts w:hint="eastAsia" w:ascii="Calibri" w:hAnsi="Calibri" w:cs="宋体"/>
                <w:snapToGrid w:val="0"/>
                <w:color w:val="000000"/>
                <w:kern w:val="2"/>
                <w:sz w:val="21"/>
                <w:szCs w:val="21"/>
              </w:rPr>
              <w:t>提供权威的质量检测机构出具的有限期内的、并与所投产品相关的检测报告，每有1项检测内容并且检测数据在合格范围值之内的得1分。该项满分10分。</w:t>
            </w:r>
          </w:p>
        </w:tc>
      </w:tr>
      <w:tr>
        <w:tblPrEx>
          <w:tblCellMar>
            <w:top w:w="0" w:type="dxa"/>
            <w:left w:w="108" w:type="dxa"/>
            <w:bottom w:w="0" w:type="dxa"/>
            <w:right w:w="108" w:type="dxa"/>
          </w:tblCellMar>
        </w:tblPrEx>
        <w:trPr>
          <w:trHeight w:val="2286" w:hRule="atLeast"/>
          <w:jc w:val="center"/>
        </w:trPr>
        <w:tc>
          <w:tcPr>
            <w:tcW w:w="1385" w:type="dxa"/>
            <w:tcBorders>
              <w:top w:val="single" w:color="000000" w:sz="6" w:space="0"/>
              <w:left w:val="single" w:color="000000" w:sz="6" w:space="0"/>
              <w:bottom w:val="single" w:color="000000" w:sz="6" w:space="0"/>
              <w:right w:val="single" w:color="000000" w:sz="6" w:space="0"/>
            </w:tcBorders>
            <w:vAlign w:val="center"/>
          </w:tcPr>
          <w:p>
            <w:pPr>
              <w:pStyle w:val="14"/>
              <w:adjustRightInd w:val="0"/>
              <w:snapToGrid w:val="0"/>
              <w:spacing w:line="360" w:lineRule="auto"/>
              <w:jc w:val="center"/>
              <w:rPr>
                <w:rFonts w:cs="宋体"/>
                <w:color w:val="000000"/>
                <w:sz w:val="21"/>
                <w:szCs w:val="21"/>
                <w:lang w:val="zh-CN"/>
              </w:rPr>
            </w:pPr>
            <w:r>
              <w:rPr>
                <w:rFonts w:hint="eastAsia" w:cs="宋体"/>
                <w:color w:val="000000"/>
                <w:sz w:val="21"/>
                <w:szCs w:val="21"/>
                <w:lang w:val="zh-CN"/>
              </w:rPr>
              <w:t>项目实施及售后服务计划</w:t>
            </w:r>
          </w:p>
        </w:tc>
        <w:tc>
          <w:tcPr>
            <w:tcW w:w="807" w:type="dxa"/>
            <w:tcBorders>
              <w:top w:val="single" w:color="000000" w:sz="6" w:space="0"/>
              <w:left w:val="single" w:color="000000" w:sz="6" w:space="0"/>
              <w:bottom w:val="single" w:color="000000" w:sz="6" w:space="0"/>
              <w:right w:val="single" w:color="000000" w:sz="6" w:space="0"/>
            </w:tcBorders>
            <w:vAlign w:val="center"/>
          </w:tcPr>
          <w:p>
            <w:pPr>
              <w:pStyle w:val="14"/>
              <w:adjustRightInd w:val="0"/>
              <w:snapToGrid w:val="0"/>
              <w:spacing w:line="360" w:lineRule="auto"/>
              <w:jc w:val="center"/>
              <w:rPr>
                <w:rFonts w:cs="宋体"/>
                <w:color w:val="000000"/>
                <w:sz w:val="21"/>
                <w:szCs w:val="21"/>
                <w:lang w:val="zh-CN"/>
              </w:rPr>
            </w:pPr>
            <w:r>
              <w:rPr>
                <w:rFonts w:hint="eastAsia" w:cs="宋体"/>
                <w:color w:val="000000"/>
                <w:sz w:val="21"/>
                <w:szCs w:val="21"/>
              </w:rPr>
              <w:t>15</w:t>
            </w:r>
            <w:r>
              <w:rPr>
                <w:rFonts w:hint="eastAsia" w:cs="宋体"/>
                <w:color w:val="000000"/>
                <w:sz w:val="21"/>
                <w:szCs w:val="21"/>
                <w:lang w:val="zh-CN"/>
              </w:rPr>
              <w:t>分</w:t>
            </w:r>
          </w:p>
        </w:tc>
        <w:tc>
          <w:tcPr>
            <w:tcW w:w="7662" w:type="dxa"/>
            <w:tcBorders>
              <w:top w:val="single" w:color="000000" w:sz="6" w:space="0"/>
              <w:left w:val="single" w:color="000000" w:sz="6" w:space="0"/>
              <w:bottom w:val="single" w:color="000000" w:sz="6" w:space="0"/>
              <w:right w:val="single" w:color="000000" w:sz="6" w:space="0"/>
            </w:tcBorders>
            <w:vAlign w:val="center"/>
          </w:tcPr>
          <w:p>
            <w:pPr>
              <w:pStyle w:val="14"/>
              <w:adjustRightInd w:val="0"/>
              <w:snapToGrid w:val="0"/>
              <w:spacing w:line="360" w:lineRule="auto"/>
              <w:rPr>
                <w:rFonts w:cs="宋体"/>
                <w:color w:val="000000"/>
                <w:sz w:val="21"/>
                <w:szCs w:val="21"/>
              </w:rPr>
            </w:pPr>
            <w:r>
              <w:rPr>
                <w:rFonts w:hint="eastAsia" w:cs="宋体"/>
                <w:color w:val="000000"/>
                <w:sz w:val="21"/>
                <w:szCs w:val="21"/>
              </w:rPr>
              <w:t>1、针对招标项目需求设置项目管理机构，具有合理、完整的组织架构、完善的项目管理、项目计划及实施方案，内容编制合理。优得7-5分，良得4-3分，一般得2-1分，差或不提供得0分。</w:t>
            </w:r>
          </w:p>
          <w:p>
            <w:pPr>
              <w:pStyle w:val="14"/>
              <w:adjustRightInd w:val="0"/>
              <w:snapToGrid w:val="0"/>
              <w:spacing w:line="360" w:lineRule="auto"/>
              <w:rPr>
                <w:rFonts w:cs="宋体"/>
                <w:color w:val="000000"/>
                <w:sz w:val="21"/>
                <w:szCs w:val="21"/>
              </w:rPr>
            </w:pPr>
            <w:r>
              <w:rPr>
                <w:rFonts w:hint="eastAsia" w:cs="宋体"/>
                <w:color w:val="000000"/>
                <w:sz w:val="21"/>
                <w:szCs w:val="21"/>
              </w:rPr>
              <w:t>2、针对项目需求提供切实可行的售后服务计划，内容应包含服务方案、处理程序、响应及处理时间、质量保证措施、服务方式等。优得8-5分，良得4-3分，一般得2-1分，差或不提供得0分。</w:t>
            </w:r>
          </w:p>
        </w:tc>
      </w:tr>
      <w:tr>
        <w:tblPrEx>
          <w:tblCellMar>
            <w:top w:w="0" w:type="dxa"/>
            <w:left w:w="108" w:type="dxa"/>
            <w:bottom w:w="0" w:type="dxa"/>
            <w:right w:w="108" w:type="dxa"/>
          </w:tblCellMar>
        </w:tblPrEx>
        <w:trPr>
          <w:trHeight w:val="783" w:hRule="atLeast"/>
          <w:jc w:val="center"/>
        </w:trPr>
        <w:tc>
          <w:tcPr>
            <w:tcW w:w="1385" w:type="dxa"/>
            <w:tcBorders>
              <w:top w:val="single" w:color="000000" w:sz="6" w:space="0"/>
              <w:left w:val="single" w:color="000000" w:sz="6" w:space="0"/>
              <w:bottom w:val="single" w:color="auto" w:sz="4" w:space="0"/>
              <w:right w:val="single" w:color="auto" w:sz="4" w:space="0"/>
            </w:tcBorders>
            <w:vAlign w:val="center"/>
          </w:tcPr>
          <w:p>
            <w:pPr>
              <w:pStyle w:val="14"/>
              <w:adjustRightInd w:val="0"/>
              <w:snapToGrid w:val="0"/>
              <w:spacing w:line="360" w:lineRule="auto"/>
              <w:jc w:val="center"/>
              <w:rPr>
                <w:rFonts w:cs="宋体"/>
                <w:color w:val="000000"/>
                <w:sz w:val="21"/>
                <w:szCs w:val="21"/>
                <w:lang w:val="zh-CN"/>
              </w:rPr>
            </w:pPr>
            <w:r>
              <w:rPr>
                <w:rFonts w:hint="eastAsia" w:cs="宋体"/>
                <w:color w:val="000000"/>
                <w:sz w:val="21"/>
                <w:szCs w:val="21"/>
                <w:lang w:val="zh-CN"/>
              </w:rPr>
              <w:t>安全保证措施和体系</w:t>
            </w:r>
          </w:p>
        </w:tc>
        <w:tc>
          <w:tcPr>
            <w:tcW w:w="807" w:type="dxa"/>
            <w:tcBorders>
              <w:top w:val="single" w:color="000000" w:sz="6"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cs="宋体"/>
                <w:color w:val="000000"/>
                <w:sz w:val="21"/>
                <w:szCs w:val="21"/>
              </w:rPr>
            </w:pPr>
            <w:r>
              <w:rPr>
                <w:rFonts w:hint="eastAsia" w:cs="宋体"/>
                <w:color w:val="000000"/>
                <w:sz w:val="21"/>
                <w:szCs w:val="21"/>
              </w:rPr>
              <w:t>10分</w:t>
            </w:r>
          </w:p>
        </w:tc>
        <w:tc>
          <w:tcPr>
            <w:tcW w:w="7662" w:type="dxa"/>
            <w:tcBorders>
              <w:top w:val="single" w:color="000000" w:sz="6" w:space="0"/>
              <w:left w:val="single" w:color="auto" w:sz="4" w:space="0"/>
              <w:bottom w:val="single" w:color="auto" w:sz="4" w:space="0"/>
              <w:right w:val="single" w:color="000000" w:sz="6" w:space="0"/>
            </w:tcBorders>
            <w:vAlign w:val="center"/>
          </w:tcPr>
          <w:p>
            <w:pPr>
              <w:pStyle w:val="14"/>
              <w:adjustRightInd w:val="0"/>
              <w:snapToGrid w:val="0"/>
              <w:spacing w:line="360" w:lineRule="auto"/>
              <w:rPr>
                <w:rFonts w:cs="宋体"/>
                <w:color w:val="000000"/>
                <w:sz w:val="21"/>
                <w:szCs w:val="21"/>
              </w:rPr>
            </w:pPr>
            <w:r>
              <w:rPr>
                <w:rFonts w:hint="eastAsia" w:cs="宋体"/>
                <w:color w:val="000000"/>
                <w:sz w:val="21"/>
                <w:szCs w:val="21"/>
                <w:lang w:val="zh-CN"/>
              </w:rPr>
              <w:t>具有安全保证措施和体系得</w:t>
            </w:r>
            <w:r>
              <w:rPr>
                <w:rFonts w:hint="eastAsia" w:cs="宋体"/>
                <w:color w:val="000000"/>
                <w:sz w:val="21"/>
                <w:szCs w:val="21"/>
              </w:rPr>
              <w:t>10</w:t>
            </w:r>
            <w:r>
              <w:rPr>
                <w:rFonts w:hint="eastAsia" w:cs="宋体"/>
                <w:color w:val="000000"/>
                <w:sz w:val="21"/>
                <w:szCs w:val="21"/>
                <w:lang w:val="zh-CN"/>
              </w:rPr>
              <w:t>-</w:t>
            </w:r>
            <w:r>
              <w:rPr>
                <w:rFonts w:hint="eastAsia" w:cs="宋体"/>
                <w:color w:val="000000"/>
                <w:sz w:val="21"/>
                <w:szCs w:val="21"/>
              </w:rPr>
              <w:t>5</w:t>
            </w:r>
            <w:r>
              <w:rPr>
                <w:rFonts w:hint="eastAsia" w:cs="宋体"/>
                <w:color w:val="000000"/>
                <w:sz w:val="21"/>
                <w:szCs w:val="21"/>
                <w:lang w:val="zh-CN"/>
              </w:rPr>
              <w:t>分。</w:t>
            </w:r>
            <w:r>
              <w:rPr>
                <w:rFonts w:hint="eastAsia" w:cs="宋体"/>
                <w:color w:val="000000"/>
                <w:sz w:val="21"/>
                <w:szCs w:val="21"/>
              </w:rPr>
              <w:t>一般的4-1分。</w:t>
            </w:r>
            <w:r>
              <w:rPr>
                <w:rFonts w:hint="eastAsia" w:cs="宋体"/>
                <w:sz w:val="21"/>
                <w:szCs w:val="21"/>
              </w:rPr>
              <w:t>差或不提供得0分</w:t>
            </w:r>
          </w:p>
        </w:tc>
      </w:tr>
      <w:tr>
        <w:tblPrEx>
          <w:tblCellMar>
            <w:top w:w="0" w:type="dxa"/>
            <w:left w:w="108" w:type="dxa"/>
            <w:bottom w:w="0" w:type="dxa"/>
            <w:right w:w="108" w:type="dxa"/>
          </w:tblCellMar>
        </w:tblPrEx>
        <w:trPr>
          <w:trHeight w:val="288" w:hRule="atLeast"/>
          <w:jc w:val="center"/>
        </w:trPr>
        <w:tc>
          <w:tcPr>
            <w:tcW w:w="1385" w:type="dxa"/>
            <w:tcBorders>
              <w:top w:val="single" w:color="auto" w:sz="4" w:space="0"/>
              <w:left w:val="single" w:color="000000" w:sz="6" w:space="0"/>
              <w:bottom w:val="single" w:color="000000" w:sz="6" w:space="0"/>
              <w:right w:val="single" w:color="auto" w:sz="4" w:space="0"/>
            </w:tcBorders>
            <w:vAlign w:val="center"/>
          </w:tcPr>
          <w:p>
            <w:pPr>
              <w:pStyle w:val="14"/>
              <w:adjustRightInd w:val="0"/>
              <w:snapToGrid w:val="0"/>
              <w:spacing w:line="360" w:lineRule="auto"/>
              <w:jc w:val="center"/>
              <w:rPr>
                <w:rFonts w:cs="宋体"/>
                <w:color w:val="000000"/>
                <w:sz w:val="21"/>
                <w:szCs w:val="21"/>
                <w:lang w:val="zh-CN"/>
              </w:rPr>
            </w:pPr>
            <w:r>
              <w:rPr>
                <w:rFonts w:hint="eastAsia" w:cs="宋体"/>
                <w:sz w:val="21"/>
                <w:szCs w:val="21"/>
              </w:rPr>
              <w:t>质量、工期保证措施和体系</w:t>
            </w:r>
          </w:p>
        </w:tc>
        <w:tc>
          <w:tcPr>
            <w:tcW w:w="807" w:type="dxa"/>
            <w:tcBorders>
              <w:top w:val="single" w:color="auto" w:sz="4" w:space="0"/>
              <w:left w:val="single" w:color="auto" w:sz="4" w:space="0"/>
              <w:bottom w:val="single" w:color="000000" w:sz="6" w:space="0"/>
              <w:right w:val="single" w:color="auto" w:sz="4" w:space="0"/>
            </w:tcBorders>
            <w:vAlign w:val="center"/>
          </w:tcPr>
          <w:p>
            <w:pPr>
              <w:pStyle w:val="14"/>
              <w:adjustRightInd w:val="0"/>
              <w:snapToGrid w:val="0"/>
              <w:spacing w:line="360" w:lineRule="auto"/>
              <w:jc w:val="center"/>
              <w:rPr>
                <w:rFonts w:cs="宋体"/>
                <w:color w:val="000000"/>
                <w:sz w:val="21"/>
                <w:szCs w:val="21"/>
                <w:lang w:val="zh-CN"/>
              </w:rPr>
            </w:pPr>
            <w:r>
              <w:rPr>
                <w:rFonts w:hint="eastAsia" w:cs="宋体"/>
                <w:color w:val="000000"/>
                <w:sz w:val="21"/>
                <w:szCs w:val="21"/>
              </w:rPr>
              <w:t>5</w:t>
            </w:r>
            <w:r>
              <w:rPr>
                <w:rFonts w:hint="eastAsia" w:cs="宋体"/>
                <w:color w:val="000000"/>
                <w:sz w:val="21"/>
                <w:szCs w:val="21"/>
                <w:lang w:val="zh-CN"/>
              </w:rPr>
              <w:t>分</w:t>
            </w:r>
          </w:p>
        </w:tc>
        <w:tc>
          <w:tcPr>
            <w:tcW w:w="7662" w:type="dxa"/>
            <w:tcBorders>
              <w:top w:val="single" w:color="auto" w:sz="4" w:space="0"/>
              <w:left w:val="single" w:color="auto" w:sz="4" w:space="0"/>
              <w:bottom w:val="single" w:color="000000" w:sz="6" w:space="0"/>
              <w:right w:val="single" w:color="000000" w:sz="6" w:space="0"/>
            </w:tcBorders>
            <w:vAlign w:val="center"/>
          </w:tcPr>
          <w:p>
            <w:pPr>
              <w:pStyle w:val="14"/>
              <w:adjustRightInd w:val="0"/>
              <w:snapToGrid w:val="0"/>
              <w:spacing w:line="360" w:lineRule="auto"/>
              <w:rPr>
                <w:rFonts w:cs="宋体"/>
                <w:color w:val="000000"/>
                <w:sz w:val="21"/>
                <w:szCs w:val="21"/>
                <w:lang w:val="zh-CN"/>
              </w:rPr>
            </w:pPr>
            <w:r>
              <w:rPr>
                <w:rFonts w:hint="eastAsia" w:cs="宋体"/>
                <w:sz w:val="21"/>
                <w:szCs w:val="21"/>
              </w:rPr>
              <w:t>具有质量、工期保证措施和体系得5分。其余不得分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385" w:type="dxa"/>
          </w:tcPr>
          <w:p>
            <w:pPr>
              <w:pStyle w:val="14"/>
              <w:adjustRightInd w:val="0"/>
              <w:snapToGrid w:val="0"/>
              <w:spacing w:line="360" w:lineRule="auto"/>
              <w:jc w:val="center"/>
              <w:rPr>
                <w:rFonts w:cs="宋体"/>
                <w:color w:val="000000"/>
                <w:sz w:val="21"/>
                <w:szCs w:val="21"/>
                <w:lang w:val="zh-CN"/>
              </w:rPr>
            </w:pPr>
          </w:p>
          <w:p>
            <w:pPr>
              <w:pStyle w:val="14"/>
              <w:adjustRightInd w:val="0"/>
              <w:snapToGrid w:val="0"/>
              <w:spacing w:line="360" w:lineRule="auto"/>
              <w:jc w:val="center"/>
              <w:rPr>
                <w:rFonts w:cs="宋体"/>
                <w:color w:val="000000"/>
                <w:sz w:val="21"/>
                <w:szCs w:val="21"/>
                <w:lang w:val="zh-CN"/>
              </w:rPr>
            </w:pPr>
            <w:r>
              <w:rPr>
                <w:rFonts w:hint="eastAsia" w:cs="宋体"/>
                <w:color w:val="000000"/>
                <w:sz w:val="21"/>
                <w:szCs w:val="21"/>
                <w:lang w:val="zh-CN"/>
              </w:rPr>
              <w:t>合计</w:t>
            </w:r>
          </w:p>
          <w:p>
            <w:pPr>
              <w:pStyle w:val="14"/>
              <w:adjustRightInd w:val="0"/>
              <w:snapToGrid w:val="0"/>
              <w:spacing w:line="360" w:lineRule="auto"/>
              <w:jc w:val="center"/>
              <w:rPr>
                <w:rFonts w:cs="宋体"/>
                <w:color w:val="000000"/>
                <w:sz w:val="21"/>
                <w:szCs w:val="21"/>
                <w:lang w:val="zh-CN"/>
              </w:rPr>
            </w:pPr>
          </w:p>
        </w:tc>
        <w:tc>
          <w:tcPr>
            <w:tcW w:w="807" w:type="dxa"/>
          </w:tcPr>
          <w:p>
            <w:pPr>
              <w:pStyle w:val="14"/>
              <w:adjustRightInd w:val="0"/>
              <w:snapToGrid w:val="0"/>
              <w:spacing w:line="360" w:lineRule="auto"/>
              <w:jc w:val="center"/>
              <w:rPr>
                <w:rFonts w:cs="宋体"/>
                <w:color w:val="000000"/>
                <w:sz w:val="21"/>
                <w:szCs w:val="21"/>
                <w:lang w:val="zh-CN"/>
              </w:rPr>
            </w:pPr>
          </w:p>
          <w:p>
            <w:pPr>
              <w:pStyle w:val="14"/>
              <w:adjustRightInd w:val="0"/>
              <w:snapToGrid w:val="0"/>
              <w:spacing w:line="360" w:lineRule="auto"/>
              <w:jc w:val="center"/>
              <w:rPr>
                <w:rFonts w:cs="宋体"/>
                <w:color w:val="000000"/>
                <w:sz w:val="21"/>
                <w:szCs w:val="21"/>
                <w:lang w:val="zh-CN"/>
              </w:rPr>
            </w:pPr>
            <w:r>
              <w:rPr>
                <w:rFonts w:hint="eastAsia" w:cs="宋体"/>
                <w:color w:val="000000"/>
                <w:sz w:val="21"/>
                <w:szCs w:val="21"/>
                <w:lang w:val="zh-CN"/>
              </w:rPr>
              <w:t>70分</w:t>
            </w:r>
          </w:p>
          <w:p>
            <w:pPr>
              <w:pStyle w:val="14"/>
              <w:adjustRightInd w:val="0"/>
              <w:snapToGrid w:val="0"/>
              <w:spacing w:line="360" w:lineRule="auto"/>
              <w:jc w:val="center"/>
              <w:rPr>
                <w:rFonts w:cs="宋体"/>
                <w:color w:val="000000"/>
                <w:sz w:val="21"/>
                <w:szCs w:val="21"/>
                <w:lang w:val="zh-CN"/>
              </w:rPr>
            </w:pPr>
          </w:p>
        </w:tc>
        <w:tc>
          <w:tcPr>
            <w:tcW w:w="7662" w:type="dxa"/>
          </w:tcPr>
          <w:p>
            <w:pPr>
              <w:pStyle w:val="14"/>
              <w:adjustRightInd w:val="0"/>
              <w:snapToGrid w:val="0"/>
              <w:spacing w:line="360" w:lineRule="auto"/>
              <w:rPr>
                <w:rFonts w:cs="宋体"/>
                <w:color w:val="000000"/>
                <w:sz w:val="21"/>
                <w:szCs w:val="21"/>
                <w:lang w:val="zh-CN"/>
              </w:rPr>
            </w:pPr>
          </w:p>
        </w:tc>
      </w:tr>
    </w:tbl>
    <w:p>
      <w:pPr>
        <w:spacing w:line="460" w:lineRule="exact"/>
        <w:rPr>
          <w:rFonts w:ascii="宋体" w:hAnsi="宋体"/>
          <w:b/>
          <w:bCs/>
          <w:color w:val="000000"/>
          <w:sz w:val="24"/>
        </w:rPr>
      </w:pPr>
    </w:p>
    <w:p>
      <w:pPr>
        <w:spacing w:line="460" w:lineRule="exact"/>
        <w:rPr>
          <w:rFonts w:ascii="宋体" w:hAnsi="宋体"/>
          <w:b/>
          <w:bCs/>
          <w:color w:val="000000"/>
          <w:sz w:val="24"/>
        </w:rPr>
      </w:pPr>
    </w:p>
    <w:p>
      <w:pPr>
        <w:spacing w:line="460" w:lineRule="exact"/>
        <w:rPr>
          <w:rFonts w:ascii="宋体" w:hAnsi="宋体"/>
          <w:b/>
          <w:bCs/>
          <w:color w:val="000000"/>
          <w:sz w:val="24"/>
        </w:rPr>
      </w:pPr>
    </w:p>
    <w:p>
      <w:pPr>
        <w:spacing w:line="460" w:lineRule="exact"/>
        <w:rPr>
          <w:rFonts w:ascii="宋体" w:hAnsi="宋体"/>
          <w:b/>
          <w:bCs/>
          <w:color w:val="000000"/>
          <w:sz w:val="24"/>
        </w:rPr>
      </w:pPr>
    </w:p>
    <w:p>
      <w:pPr>
        <w:spacing w:line="460" w:lineRule="exact"/>
        <w:rPr>
          <w:rFonts w:ascii="宋体" w:hAnsi="宋体"/>
          <w:b/>
          <w:bCs/>
          <w:color w:val="000000"/>
          <w:sz w:val="24"/>
        </w:rPr>
      </w:pPr>
    </w:p>
    <w:p>
      <w:pPr>
        <w:pStyle w:val="2"/>
        <w:numPr>
          <w:ilvl w:val="0"/>
          <w:numId w:val="0"/>
        </w:numPr>
        <w:rPr>
          <w:rFonts w:ascii="宋体" w:hAnsi="宋体"/>
          <w:b/>
          <w:bCs/>
          <w:color w:val="000000"/>
          <w:sz w:val="24"/>
        </w:rPr>
      </w:pPr>
    </w:p>
    <w:p>
      <w:pPr>
        <w:pStyle w:val="2"/>
        <w:numPr>
          <w:ilvl w:val="0"/>
          <w:numId w:val="0"/>
        </w:numPr>
        <w:rPr>
          <w:rFonts w:ascii="宋体" w:hAnsi="宋体"/>
          <w:b/>
          <w:bCs/>
          <w:color w:val="000000"/>
          <w:sz w:val="24"/>
        </w:rPr>
      </w:pPr>
    </w:p>
    <w:p>
      <w:pPr>
        <w:pStyle w:val="2"/>
        <w:numPr>
          <w:ilvl w:val="0"/>
          <w:numId w:val="0"/>
        </w:numPr>
        <w:rPr>
          <w:rFonts w:ascii="宋体" w:hAnsi="宋体"/>
          <w:b/>
          <w:bCs/>
          <w:color w:val="000000"/>
          <w:sz w:val="24"/>
        </w:rPr>
      </w:pPr>
    </w:p>
    <w:p>
      <w:pPr>
        <w:pStyle w:val="2"/>
        <w:numPr>
          <w:ilvl w:val="0"/>
          <w:numId w:val="0"/>
        </w:numPr>
        <w:rPr>
          <w:rFonts w:ascii="宋体" w:hAnsi="宋体"/>
          <w:b/>
          <w:bCs/>
          <w:color w:val="000000"/>
          <w:sz w:val="24"/>
        </w:rPr>
      </w:pPr>
    </w:p>
    <w:p>
      <w:pPr>
        <w:pStyle w:val="2"/>
        <w:numPr>
          <w:ilvl w:val="0"/>
          <w:numId w:val="0"/>
        </w:numPr>
        <w:rPr>
          <w:rFonts w:ascii="宋体" w:hAnsi="宋体"/>
          <w:b/>
          <w:bCs/>
          <w:color w:val="000000"/>
          <w:sz w:val="24"/>
        </w:rPr>
      </w:pPr>
    </w:p>
    <w:p>
      <w:pPr>
        <w:pStyle w:val="2"/>
        <w:numPr>
          <w:ilvl w:val="0"/>
          <w:numId w:val="0"/>
        </w:numPr>
        <w:rPr>
          <w:rFonts w:ascii="宋体" w:hAnsi="宋体"/>
          <w:b/>
          <w:bCs/>
          <w:color w:val="000000"/>
          <w:sz w:val="24"/>
        </w:rPr>
      </w:pPr>
    </w:p>
    <w:p>
      <w:pPr>
        <w:spacing w:line="460" w:lineRule="exact"/>
        <w:rPr>
          <w:rFonts w:ascii="宋体" w:hAnsi="宋体"/>
          <w:b/>
          <w:bCs/>
          <w:color w:val="000000"/>
          <w:sz w:val="24"/>
        </w:rPr>
      </w:pPr>
    </w:p>
    <w:p>
      <w:pPr>
        <w:spacing w:line="460" w:lineRule="exact"/>
        <w:rPr>
          <w:rFonts w:ascii="宋体" w:hAnsi="宋体"/>
          <w:b/>
          <w:bCs/>
          <w:color w:val="000000"/>
          <w:sz w:val="24"/>
        </w:rPr>
      </w:pPr>
    </w:p>
    <w:p>
      <w:pPr>
        <w:pStyle w:val="2"/>
        <w:numPr>
          <w:ilvl w:val="0"/>
          <w:numId w:val="0"/>
        </w:numPr>
        <w:ind w:left="900"/>
      </w:pPr>
    </w:p>
    <w:p>
      <w:pPr>
        <w:pStyle w:val="2"/>
        <w:numPr>
          <w:ilvl w:val="0"/>
          <w:numId w:val="0"/>
        </w:numPr>
        <w:ind w:left="900"/>
      </w:pPr>
    </w:p>
    <w:p>
      <w:pPr>
        <w:pStyle w:val="2"/>
        <w:numPr>
          <w:ilvl w:val="0"/>
          <w:numId w:val="0"/>
        </w:numPr>
        <w:jc w:val="both"/>
        <w:rPr>
          <w:rFonts w:ascii="宋体" w:hAnsi="宋体"/>
          <w:b/>
          <w:bCs/>
          <w:color w:val="000000"/>
          <w:sz w:val="24"/>
        </w:rPr>
      </w:pPr>
    </w:p>
    <w:p>
      <w:pPr>
        <w:pStyle w:val="2"/>
        <w:numPr>
          <w:ilvl w:val="0"/>
          <w:numId w:val="0"/>
        </w:numPr>
        <w:jc w:val="both"/>
        <w:rPr>
          <w:rFonts w:ascii="宋体" w:hAnsi="宋体"/>
          <w:b/>
          <w:bCs/>
          <w:color w:val="000000"/>
          <w:sz w:val="24"/>
        </w:rPr>
      </w:pPr>
    </w:p>
    <w:p>
      <w:pPr>
        <w:pStyle w:val="2"/>
        <w:numPr>
          <w:ilvl w:val="0"/>
          <w:numId w:val="0"/>
        </w:numPr>
        <w:jc w:val="both"/>
        <w:rPr>
          <w:rFonts w:ascii="宋体" w:hAnsi="宋体"/>
          <w:b/>
          <w:bCs/>
          <w:color w:val="000000"/>
          <w:sz w:val="24"/>
        </w:rPr>
      </w:pPr>
    </w:p>
    <w:p>
      <w:pPr>
        <w:pStyle w:val="2"/>
        <w:numPr>
          <w:ilvl w:val="0"/>
          <w:numId w:val="0"/>
        </w:numPr>
        <w:jc w:val="both"/>
        <w:rPr>
          <w:rFonts w:ascii="宋体" w:hAnsi="宋体"/>
          <w:b/>
          <w:bCs/>
          <w:color w:val="000000"/>
          <w:sz w:val="24"/>
        </w:rPr>
      </w:pPr>
    </w:p>
    <w:p>
      <w:pPr>
        <w:pStyle w:val="2"/>
        <w:numPr>
          <w:ilvl w:val="0"/>
          <w:numId w:val="0"/>
        </w:numPr>
        <w:jc w:val="both"/>
        <w:rPr>
          <w:rFonts w:ascii="宋体" w:hAnsi="宋体"/>
          <w:b/>
          <w:bCs/>
          <w:color w:val="000000"/>
          <w:sz w:val="24"/>
        </w:rPr>
      </w:pPr>
    </w:p>
    <w:p>
      <w:pPr>
        <w:pStyle w:val="2"/>
        <w:numPr>
          <w:ilvl w:val="0"/>
          <w:numId w:val="0"/>
        </w:numPr>
        <w:jc w:val="both"/>
        <w:rPr>
          <w:rFonts w:ascii="宋体" w:hAnsi="宋体"/>
          <w:b/>
          <w:bCs/>
          <w:color w:val="000000"/>
          <w:sz w:val="24"/>
        </w:rPr>
      </w:pPr>
    </w:p>
    <w:p>
      <w:pPr>
        <w:pStyle w:val="2"/>
        <w:numPr>
          <w:ilvl w:val="0"/>
          <w:numId w:val="0"/>
        </w:numPr>
        <w:rPr>
          <w:rFonts w:ascii="宋体" w:hAnsi="宋体"/>
          <w:b/>
          <w:bCs/>
          <w:color w:val="000000"/>
          <w:sz w:val="24"/>
        </w:rPr>
      </w:pPr>
    </w:p>
    <w:p>
      <w:pPr>
        <w:pStyle w:val="2"/>
        <w:numPr>
          <w:ilvl w:val="0"/>
          <w:numId w:val="0"/>
        </w:numPr>
        <w:rPr>
          <w:rFonts w:ascii="宋体" w:hAnsi="宋体"/>
          <w:b/>
          <w:bCs/>
          <w:color w:val="000000"/>
          <w:sz w:val="24"/>
        </w:rPr>
      </w:pPr>
    </w:p>
    <w:p>
      <w:pPr>
        <w:spacing w:line="460" w:lineRule="exact"/>
        <w:jc w:val="center"/>
        <w:outlineLvl w:val="0"/>
        <w:rPr>
          <w:rFonts w:ascii="宋体" w:hAnsi="宋体"/>
          <w:b/>
          <w:bCs/>
          <w:color w:val="000000"/>
          <w:sz w:val="24"/>
        </w:rPr>
      </w:pPr>
      <w:r>
        <w:rPr>
          <w:rFonts w:ascii="宋体" w:hAnsi="宋体"/>
          <w:b/>
          <w:bCs/>
          <w:color w:val="000000"/>
          <w:sz w:val="24"/>
        </w:rPr>
        <w:t>六、签订合同</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30．签订合同</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30.1中标人收到中标通知书后，按中标通知书中规定的时间地点与招标</w:t>
      </w:r>
      <w:r>
        <w:rPr>
          <w:rFonts w:hint="eastAsia" w:ascii="宋体" w:hAnsi="宋体"/>
          <w:color w:val="000000"/>
          <w:sz w:val="24"/>
        </w:rPr>
        <w:t>人签订经济合同。一般在《中标通知书》发出后7</w:t>
      </w:r>
      <w:r>
        <w:rPr>
          <w:rFonts w:ascii="宋体" w:hAnsi="宋体"/>
          <w:color w:val="000000"/>
          <w:sz w:val="24"/>
        </w:rPr>
        <w:t>天内进行。</w:t>
      </w:r>
    </w:p>
    <w:p>
      <w:pPr>
        <w:spacing w:line="460" w:lineRule="exact"/>
        <w:rPr>
          <w:rFonts w:ascii="宋体" w:hAnsi="宋体"/>
          <w:color w:val="000000"/>
          <w:sz w:val="24"/>
        </w:rPr>
      </w:pPr>
      <w:r>
        <w:rPr>
          <w:rFonts w:ascii="宋体" w:hAnsi="宋体"/>
          <w:color w:val="000000"/>
          <w:sz w:val="24"/>
        </w:rPr>
        <w:t xml:space="preserve">    30.2中标合同不得转让。合同分包需在</w:t>
      </w:r>
      <w:r>
        <w:rPr>
          <w:rFonts w:hint="eastAsia" w:ascii="宋体" w:hAnsi="宋体"/>
          <w:color w:val="000000"/>
          <w:sz w:val="24"/>
        </w:rPr>
        <w:t>磋商响应文件</w:t>
      </w:r>
      <w:r>
        <w:rPr>
          <w:rFonts w:ascii="宋体" w:hAnsi="宋体"/>
          <w:color w:val="000000"/>
          <w:sz w:val="24"/>
        </w:rPr>
        <w:t>中予以说明，并需经招</w:t>
      </w:r>
      <w:r>
        <w:rPr>
          <w:rFonts w:hint="eastAsia" w:ascii="宋体" w:hAnsi="宋体"/>
          <w:color w:val="000000"/>
          <w:sz w:val="24"/>
        </w:rPr>
        <w:t>标人同意。否则，招标人有权取消中标人的中标资格。</w:t>
      </w:r>
    </w:p>
    <w:p>
      <w:pPr>
        <w:spacing w:line="460" w:lineRule="exact"/>
        <w:rPr>
          <w:rFonts w:ascii="宋体" w:hAnsi="宋体"/>
          <w:color w:val="000000"/>
          <w:sz w:val="24"/>
        </w:rPr>
      </w:pPr>
      <w:r>
        <w:rPr>
          <w:rFonts w:ascii="宋体" w:hAnsi="宋体"/>
          <w:color w:val="000000"/>
          <w:sz w:val="24"/>
        </w:rPr>
        <w:t xml:space="preserve">    30.3招标人如遇中标人违约，可从候选中标人中按序重新选定中标人，</w:t>
      </w:r>
      <w:r>
        <w:rPr>
          <w:rFonts w:hint="eastAsia" w:ascii="宋体" w:hAnsi="宋体"/>
          <w:color w:val="000000"/>
          <w:sz w:val="24"/>
        </w:rPr>
        <w:t>并与其签订经济合同。</w:t>
      </w:r>
    </w:p>
    <w:p>
      <w:pPr>
        <w:spacing w:line="460" w:lineRule="exact"/>
        <w:rPr>
          <w:rFonts w:ascii="宋体" w:hAnsi="宋体"/>
          <w:color w:val="000000"/>
          <w:sz w:val="24"/>
        </w:rPr>
      </w:pPr>
      <w:r>
        <w:rPr>
          <w:rFonts w:ascii="宋体" w:hAnsi="宋体"/>
          <w:color w:val="000000"/>
          <w:sz w:val="24"/>
        </w:rPr>
        <w:t xml:space="preserve">    30.4合同的制订由招标人(项目法人)、中标人、招标机构三方参加，为</w:t>
      </w:r>
      <w:r>
        <w:rPr>
          <w:rFonts w:hint="eastAsia" w:ascii="宋体" w:hAnsi="宋体"/>
          <w:color w:val="000000"/>
          <w:sz w:val="24"/>
        </w:rPr>
        <w:t>确保合同双方的利益均等，由招标机构在合同制订过程中进行协调。</w:t>
      </w:r>
    </w:p>
    <w:p>
      <w:pPr>
        <w:spacing w:line="460" w:lineRule="exact"/>
        <w:rPr>
          <w:rFonts w:ascii="宋体" w:hAnsi="宋体"/>
          <w:color w:val="000000"/>
          <w:sz w:val="24"/>
          <w:highlight w:val="cyan"/>
        </w:rPr>
      </w:pPr>
      <w:r>
        <w:rPr>
          <w:rFonts w:ascii="宋体" w:hAnsi="宋体"/>
          <w:color w:val="000000"/>
          <w:sz w:val="24"/>
        </w:rPr>
        <w:t xml:space="preserve">    30.5合同经招标人和中标人双方签字盖章后即生效</w:t>
      </w:r>
      <w:r>
        <w:rPr>
          <w:rFonts w:hint="eastAsia" w:ascii="宋体" w:hAnsi="宋体"/>
          <w:color w:val="000000"/>
          <w:sz w:val="24"/>
        </w:rPr>
        <w:t>，</w:t>
      </w:r>
      <w:r>
        <w:rPr>
          <w:rFonts w:ascii="宋体" w:hAnsi="宋体"/>
          <w:color w:val="000000"/>
          <w:sz w:val="24"/>
        </w:rPr>
        <w:t>双方亦可自愿申请</w:t>
      </w:r>
      <w:r>
        <w:rPr>
          <w:rFonts w:hint="eastAsia" w:ascii="宋体" w:hAnsi="宋体"/>
          <w:color w:val="000000"/>
          <w:sz w:val="24"/>
        </w:rPr>
        <w:t>公证。</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31．合同的组成</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31.1</w:t>
      </w:r>
      <w:r>
        <w:rPr>
          <w:rFonts w:ascii="宋体" w:hAnsi="宋体"/>
          <w:color w:val="000000"/>
          <w:sz w:val="24"/>
        </w:rPr>
        <w:t>合同书；</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31.2</w:t>
      </w:r>
      <w:r>
        <w:rPr>
          <w:rFonts w:ascii="宋体" w:hAnsi="宋体"/>
          <w:color w:val="000000"/>
          <w:sz w:val="24"/>
        </w:rPr>
        <w:t>双方协商同意变更纪要、协议；</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31.3</w:t>
      </w:r>
      <w:r>
        <w:rPr>
          <w:rFonts w:ascii="宋体" w:hAnsi="宋体"/>
          <w:color w:val="000000"/>
          <w:sz w:val="24"/>
        </w:rPr>
        <w:t>中标通知书；</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31.4</w:t>
      </w:r>
      <w:r>
        <w:rPr>
          <w:rFonts w:ascii="宋体" w:hAnsi="宋体"/>
          <w:color w:val="000000"/>
          <w:sz w:val="24"/>
        </w:rPr>
        <w:t>招标会议答疑记录；</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31.5</w:t>
      </w:r>
      <w:r>
        <w:rPr>
          <w:rFonts w:ascii="宋体" w:hAnsi="宋体"/>
          <w:color w:val="000000"/>
          <w:sz w:val="24"/>
        </w:rPr>
        <w:t>已标定的货物清单及价格表；</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31.6</w:t>
      </w:r>
      <w:r>
        <w:rPr>
          <w:rFonts w:ascii="宋体" w:hAnsi="宋体"/>
          <w:color w:val="000000"/>
          <w:sz w:val="24"/>
        </w:rPr>
        <w:t>标准、规范和有关技术资料；</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31.7磋商响应文件</w:t>
      </w:r>
      <w:r>
        <w:rPr>
          <w:rFonts w:ascii="宋体" w:hAnsi="宋体"/>
          <w:color w:val="000000"/>
          <w:sz w:val="24"/>
        </w:rPr>
        <w:t>及附件；</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31.8</w:t>
      </w:r>
      <w:r>
        <w:rPr>
          <w:rFonts w:ascii="宋体" w:hAnsi="宋体"/>
          <w:color w:val="000000"/>
          <w:sz w:val="24"/>
        </w:rPr>
        <w:t>招标文件及修改答疑通知单；</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31.9</w:t>
      </w:r>
      <w:r>
        <w:rPr>
          <w:rFonts w:ascii="宋体" w:hAnsi="宋体"/>
          <w:color w:val="000000"/>
          <w:sz w:val="24"/>
        </w:rPr>
        <w:t>其它有关资料；</w:t>
      </w:r>
    </w:p>
    <w:p>
      <w:pPr>
        <w:spacing w:line="460" w:lineRule="exact"/>
        <w:ind w:firstLine="480"/>
        <w:rPr>
          <w:rFonts w:ascii="宋体" w:hAnsi="宋体"/>
          <w:b/>
          <w:bCs/>
          <w:color w:val="000000"/>
          <w:sz w:val="24"/>
        </w:rPr>
      </w:pPr>
      <w:r>
        <w:rPr>
          <w:rFonts w:ascii="宋体" w:hAnsi="宋体"/>
          <w:color w:val="000000"/>
          <w:sz w:val="24"/>
        </w:rPr>
        <w:t>上述文件互为补充和解释，如有不清楚或相互矛盾之处，以上面所列顺</w:t>
      </w:r>
      <w:r>
        <w:rPr>
          <w:rFonts w:hint="eastAsia" w:ascii="宋体" w:hAnsi="宋体"/>
          <w:color w:val="000000"/>
          <w:sz w:val="24"/>
        </w:rPr>
        <w:t>序在前的为准。</w:t>
      </w:r>
    </w:p>
    <w:p>
      <w:pPr>
        <w:pStyle w:val="2"/>
        <w:numPr>
          <w:ilvl w:val="0"/>
          <w:numId w:val="0"/>
        </w:numPr>
        <w:ind w:left="900"/>
        <w:jc w:val="both"/>
      </w:pPr>
    </w:p>
    <w:p>
      <w:pPr>
        <w:spacing w:line="460" w:lineRule="exact"/>
        <w:jc w:val="center"/>
        <w:outlineLvl w:val="0"/>
        <w:rPr>
          <w:rFonts w:ascii="宋体" w:hAnsi="宋体"/>
          <w:color w:val="000000"/>
          <w:sz w:val="24"/>
        </w:rPr>
      </w:pPr>
      <w:r>
        <w:rPr>
          <w:rFonts w:hint="eastAsia" w:ascii="宋体" w:hAnsi="宋体"/>
          <w:b/>
          <w:bCs/>
          <w:color w:val="000000"/>
          <w:sz w:val="24"/>
        </w:rPr>
        <w:t>七、特别提示</w:t>
      </w:r>
    </w:p>
    <w:p>
      <w:pPr>
        <w:spacing w:line="460" w:lineRule="exact"/>
        <w:ind w:firstLine="480"/>
        <w:rPr>
          <w:rFonts w:ascii="宋体" w:hAnsi="宋体"/>
          <w:color w:val="000000"/>
          <w:sz w:val="24"/>
        </w:rPr>
      </w:pPr>
      <w:r>
        <w:rPr>
          <w:rFonts w:hint="eastAsia" w:ascii="宋体" w:hAnsi="宋体"/>
          <w:color w:val="000000"/>
          <w:sz w:val="24"/>
        </w:rPr>
        <w:t>32．</w:t>
      </w:r>
      <w:r>
        <w:rPr>
          <w:rFonts w:ascii="宋体" w:hAnsi="宋体"/>
          <w:color w:val="000000"/>
          <w:sz w:val="24"/>
        </w:rPr>
        <w:t>投标人应认真研读整个招标文件，充分考虑招标文件中的技术要求和</w:t>
      </w:r>
      <w:r>
        <w:rPr>
          <w:rFonts w:hint="eastAsia" w:ascii="宋体" w:hAnsi="宋体"/>
          <w:color w:val="000000"/>
          <w:sz w:val="24"/>
        </w:rPr>
        <w:t>合同条款后编写磋商响应文件。</w:t>
      </w:r>
    </w:p>
    <w:p>
      <w:pPr>
        <w:spacing w:line="460" w:lineRule="exact"/>
        <w:ind w:firstLine="480"/>
        <w:rPr>
          <w:rFonts w:ascii="宋体" w:hAnsi="宋体"/>
          <w:color w:val="000000"/>
          <w:sz w:val="24"/>
        </w:rPr>
      </w:pPr>
      <w:r>
        <w:rPr>
          <w:rFonts w:ascii="宋体" w:hAnsi="宋体"/>
          <w:color w:val="000000"/>
          <w:sz w:val="24"/>
        </w:rPr>
        <w:t>3</w:t>
      </w:r>
      <w:r>
        <w:rPr>
          <w:rFonts w:hint="eastAsia" w:ascii="宋体" w:hAnsi="宋体"/>
          <w:color w:val="000000"/>
          <w:sz w:val="24"/>
        </w:rPr>
        <w:t>3</w:t>
      </w:r>
      <w:r>
        <w:rPr>
          <w:rFonts w:ascii="宋体" w:hAnsi="宋体"/>
          <w:color w:val="000000"/>
          <w:sz w:val="24"/>
        </w:rPr>
        <w:t>．本章所要求的投标保证金</w:t>
      </w:r>
      <w:r>
        <w:rPr>
          <w:rFonts w:hint="eastAsia" w:ascii="宋体" w:hAnsi="宋体"/>
          <w:color w:val="000000"/>
          <w:sz w:val="24"/>
        </w:rPr>
        <w:t>收据</w:t>
      </w:r>
      <w:r>
        <w:rPr>
          <w:rFonts w:ascii="宋体" w:hAnsi="宋体"/>
          <w:color w:val="000000"/>
          <w:sz w:val="24"/>
        </w:rPr>
        <w:t>原件</w:t>
      </w:r>
      <w:r>
        <w:rPr>
          <w:rFonts w:hint="eastAsia" w:ascii="宋体" w:hAnsi="宋体"/>
          <w:color w:val="000000"/>
          <w:sz w:val="24"/>
        </w:rPr>
        <w:t>、</w:t>
      </w:r>
      <w:r>
        <w:rPr>
          <w:rFonts w:ascii="宋体" w:hAnsi="宋体"/>
          <w:color w:val="000000"/>
          <w:sz w:val="24"/>
        </w:rPr>
        <w:t>法定代表人授权委托书原件及被授权人身份证复印件原件</w:t>
      </w:r>
      <w:r>
        <w:rPr>
          <w:rFonts w:hint="eastAsia" w:ascii="宋体" w:hAnsi="宋体"/>
          <w:color w:val="000000"/>
          <w:sz w:val="24"/>
        </w:rPr>
        <w:t>、</w:t>
      </w:r>
      <w:r>
        <w:rPr>
          <w:rFonts w:ascii="宋体" w:hAnsi="宋体"/>
          <w:color w:val="000000"/>
          <w:sz w:val="24"/>
        </w:rPr>
        <w:t>企业营业执照副本</w:t>
      </w:r>
      <w:r>
        <w:rPr>
          <w:rFonts w:hint="eastAsia" w:ascii="宋体" w:hAnsi="宋体"/>
          <w:color w:val="000000"/>
          <w:sz w:val="24"/>
        </w:rPr>
        <w:t>原件</w:t>
      </w:r>
      <w:r>
        <w:rPr>
          <w:rFonts w:ascii="宋体" w:hAnsi="宋体"/>
          <w:color w:val="000000"/>
          <w:sz w:val="24"/>
        </w:rPr>
        <w:t>或经公证部门公证的营业执照</w:t>
      </w:r>
      <w:r>
        <w:rPr>
          <w:rFonts w:hint="eastAsia" w:ascii="宋体" w:hAnsi="宋体"/>
          <w:color w:val="000000"/>
          <w:sz w:val="24"/>
        </w:rPr>
        <w:t>原件须</w:t>
      </w:r>
      <w:r>
        <w:rPr>
          <w:rFonts w:ascii="宋体" w:hAnsi="宋体"/>
          <w:color w:val="000000"/>
          <w:sz w:val="24"/>
        </w:rPr>
        <w:t>随身</w:t>
      </w:r>
      <w:r>
        <w:rPr>
          <w:rFonts w:hint="eastAsia" w:ascii="宋体" w:hAnsi="宋体"/>
          <w:color w:val="000000"/>
          <w:sz w:val="24"/>
        </w:rPr>
        <w:t>携带，开标时查验，但与此同时磋商响应文件中需提供其复印件。</w:t>
      </w: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sectPr>
          <w:footerReference r:id="rId6" w:type="first"/>
          <w:headerReference r:id="rId4" w:type="default"/>
          <w:footerReference r:id="rId5" w:type="default"/>
          <w:pgSz w:w="11906" w:h="16838"/>
          <w:pgMar w:top="1418" w:right="1418" w:bottom="1418" w:left="1418" w:header="0" w:footer="0" w:gutter="0"/>
          <w:cols w:space="720" w:num="1"/>
          <w:titlePg/>
          <w:docGrid w:type="lines" w:linePitch="312" w:charSpace="0"/>
        </w:sectPr>
      </w:pPr>
    </w:p>
    <w:p>
      <w:pPr>
        <w:widowControl w:val="0"/>
        <w:numPr>
          <w:ilvl w:val="0"/>
          <w:numId w:val="2"/>
        </w:numPr>
        <w:adjustRightInd/>
        <w:snapToGrid/>
        <w:spacing w:after="0" w:line="460" w:lineRule="exact"/>
        <w:jc w:val="center"/>
        <w:rPr>
          <w:rFonts w:ascii="宋体" w:hAnsi="宋体" w:cs="宋体"/>
          <w:b/>
          <w:bCs/>
          <w:sz w:val="32"/>
          <w:szCs w:val="36"/>
        </w:rPr>
      </w:pPr>
      <w:r>
        <w:rPr>
          <w:rFonts w:ascii="宋体" w:hAnsi="宋体"/>
          <w:b/>
          <w:bCs/>
          <w:color w:val="000000"/>
          <w:sz w:val="24"/>
        </w:rPr>
        <w:t>招标货物清</w:t>
      </w:r>
      <w:r>
        <w:rPr>
          <w:rFonts w:hint="eastAsia" w:ascii="宋体" w:hAnsi="宋体"/>
          <w:b/>
          <w:bCs/>
          <w:color w:val="000000"/>
          <w:sz w:val="24"/>
        </w:rPr>
        <w:t>单</w:t>
      </w:r>
    </w:p>
    <w:tbl>
      <w:tblPr>
        <w:tblStyle w:val="15"/>
        <w:tblpPr w:leftFromText="180" w:rightFromText="180" w:vertAnchor="text" w:horzAnchor="page" w:tblpX="1452" w:tblpY="933"/>
        <w:tblOverlap w:val="never"/>
        <w:tblW w:w="0" w:type="auto"/>
        <w:tblInd w:w="0" w:type="dxa"/>
        <w:tblLayout w:type="fixed"/>
        <w:tblCellMar>
          <w:top w:w="0" w:type="dxa"/>
          <w:left w:w="0" w:type="dxa"/>
          <w:bottom w:w="0" w:type="dxa"/>
          <w:right w:w="0" w:type="dxa"/>
        </w:tblCellMar>
      </w:tblPr>
      <w:tblGrid>
        <w:gridCol w:w="430"/>
        <w:gridCol w:w="1350"/>
        <w:gridCol w:w="3674"/>
        <w:gridCol w:w="840"/>
        <w:gridCol w:w="622"/>
        <w:gridCol w:w="622"/>
        <w:gridCol w:w="622"/>
        <w:gridCol w:w="613"/>
      </w:tblGrid>
      <w:tr>
        <w:tblPrEx>
          <w:tblCellMar>
            <w:top w:w="0" w:type="dxa"/>
            <w:left w:w="0" w:type="dxa"/>
            <w:bottom w:w="0" w:type="dxa"/>
            <w:right w:w="0" w:type="dxa"/>
          </w:tblCellMar>
        </w:tblPrEx>
        <w:trPr>
          <w:trHeight w:val="675" w:hRule="atLeast"/>
        </w:trPr>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序号</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物资名称</w:t>
            </w:r>
          </w:p>
        </w:tc>
        <w:tc>
          <w:tcPr>
            <w:tcW w:w="36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标准和要求</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数量</w:t>
            </w: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0"/>
                <w:szCs w:val="20"/>
                <w:lang w:val="en-US" w:eastAsia="zh-CN" w:bidi="ar"/>
              </w:rPr>
            </w:pPr>
            <w:r>
              <w:rPr>
                <w:rFonts w:hint="eastAsia" w:ascii="宋体" w:hAnsi="宋体" w:cs="宋体"/>
                <w:b/>
                <w:color w:val="000000"/>
                <w:kern w:val="0"/>
                <w:sz w:val="20"/>
                <w:szCs w:val="20"/>
                <w:lang w:val="en-US" w:eastAsia="zh-CN" w:bidi="ar"/>
              </w:rPr>
              <w:t>单位</w:t>
            </w: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lang w:val="en-US" w:eastAsia="zh-CN" w:bidi="ar"/>
              </w:rPr>
            </w:pPr>
            <w:r>
              <w:rPr>
                <w:rFonts w:hint="eastAsia" w:ascii="宋体" w:hAnsi="宋体" w:cs="宋体"/>
                <w:b/>
                <w:color w:val="000000"/>
                <w:kern w:val="0"/>
                <w:sz w:val="20"/>
                <w:szCs w:val="20"/>
                <w:lang w:val="en-US" w:eastAsia="zh-CN" w:bidi="ar"/>
              </w:rPr>
              <w:t>单价/元</w:t>
            </w: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cs="宋体"/>
                <w:b/>
                <w:color w:val="000000"/>
                <w:kern w:val="0"/>
                <w:sz w:val="20"/>
                <w:szCs w:val="20"/>
                <w:lang w:val="en-US" w:eastAsia="zh-CN" w:bidi="ar"/>
              </w:rPr>
            </w:pPr>
            <w:r>
              <w:rPr>
                <w:rFonts w:hint="eastAsia" w:ascii="宋体" w:hAnsi="宋体" w:cs="宋体"/>
                <w:b/>
                <w:color w:val="000000"/>
                <w:kern w:val="0"/>
                <w:sz w:val="20"/>
                <w:szCs w:val="20"/>
                <w:lang w:val="en-US" w:eastAsia="zh-CN" w:bidi="ar"/>
              </w:rPr>
              <w:t>合计/元</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cs="宋体"/>
                <w:b/>
                <w:color w:val="000000"/>
                <w:kern w:val="0"/>
                <w:sz w:val="20"/>
                <w:szCs w:val="20"/>
                <w:lang w:val="en-US" w:eastAsia="zh-CN" w:bidi="ar"/>
              </w:rPr>
            </w:pPr>
            <w:r>
              <w:rPr>
                <w:rFonts w:hint="eastAsia" w:ascii="宋体" w:hAnsi="宋体" w:cs="宋体"/>
                <w:b/>
                <w:color w:val="000000"/>
                <w:kern w:val="0"/>
                <w:sz w:val="20"/>
                <w:szCs w:val="20"/>
                <w:lang w:val="en-US" w:eastAsia="zh-CN" w:bidi="ar"/>
              </w:rPr>
              <w:t>备注</w:t>
            </w:r>
          </w:p>
        </w:tc>
      </w:tr>
      <w:tr>
        <w:tblPrEx>
          <w:tblCellMar>
            <w:top w:w="0" w:type="dxa"/>
            <w:left w:w="0" w:type="dxa"/>
            <w:bottom w:w="0" w:type="dxa"/>
            <w:right w:w="0" w:type="dxa"/>
          </w:tblCellMar>
        </w:tblPrEx>
        <w:trPr>
          <w:trHeight w:val="675" w:hRule="atLeast"/>
        </w:trPr>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1</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医用防护服</w:t>
            </w:r>
          </w:p>
        </w:tc>
        <w:tc>
          <w:tcPr>
            <w:tcW w:w="36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ind w:firstLine="0" w:firstLineChars="0"/>
              <w:jc w:val="left"/>
              <w:rPr>
                <w:rFonts w:hint="eastAsia" w:ascii="宋体" w:hAnsi="宋体" w:cs="宋体"/>
                <w:color w:val="000000"/>
                <w:sz w:val="20"/>
                <w:szCs w:val="20"/>
              </w:rPr>
            </w:pPr>
            <w:r>
              <w:rPr>
                <w:rFonts w:hint="eastAsia" w:ascii="宋体" w:hAnsi="宋体" w:cs="宋体"/>
                <w:color w:val="000000"/>
                <w:sz w:val="20"/>
                <w:szCs w:val="20"/>
              </w:rPr>
              <w:t>1．型号、规格：185及以上规格；</w:t>
            </w:r>
          </w:p>
          <w:p>
            <w:pPr>
              <w:pStyle w:val="3"/>
              <w:ind w:firstLine="0" w:firstLineChars="0"/>
              <w:jc w:val="left"/>
              <w:rPr>
                <w:rFonts w:hint="eastAsia" w:ascii="宋体" w:hAnsi="宋体" w:cs="宋体"/>
                <w:color w:val="000000"/>
                <w:sz w:val="20"/>
                <w:szCs w:val="20"/>
              </w:rPr>
            </w:pPr>
            <w:r>
              <w:rPr>
                <w:rFonts w:hint="eastAsia" w:ascii="宋体" w:hAnsi="宋体" w:cs="宋体"/>
                <w:color w:val="000000"/>
                <w:sz w:val="20"/>
                <w:szCs w:val="20"/>
              </w:rPr>
              <w:t>2．结构及组成：产品采用聚丙烯防粘覆PE膜非织造布材料制成，结构为连体式，由连帽上衣、裤子、胶套组成，袖口、脚踝口、胶套口为弹性收口，帽子面部收口及腰部收口采用弹性收口；</w:t>
            </w:r>
          </w:p>
          <w:p>
            <w:pPr>
              <w:pStyle w:val="3"/>
              <w:ind w:firstLine="0" w:firstLineChars="0"/>
              <w:jc w:val="left"/>
              <w:rPr>
                <w:rFonts w:hint="eastAsia" w:ascii="宋体" w:hAnsi="宋体" w:cs="宋体"/>
                <w:color w:val="000000"/>
                <w:sz w:val="20"/>
                <w:szCs w:val="20"/>
              </w:rPr>
            </w:pPr>
            <w:r>
              <w:rPr>
                <w:rFonts w:hint="eastAsia" w:ascii="宋体" w:hAnsi="宋体" w:cs="宋体"/>
                <w:color w:val="000000"/>
                <w:sz w:val="20"/>
                <w:szCs w:val="20"/>
              </w:rPr>
              <w:t>3．适应范围：供临床医务人员在工作时接触到的具有潜在感染性的患者血液、体液、分泌物等提供阻隔、防护用；</w:t>
            </w:r>
          </w:p>
          <w:p>
            <w:pPr>
              <w:pStyle w:val="3"/>
              <w:ind w:firstLine="0" w:firstLineChars="0"/>
              <w:jc w:val="left"/>
              <w:rPr>
                <w:rFonts w:hint="eastAsia" w:ascii="宋体" w:hAnsi="宋体" w:cs="宋体"/>
                <w:color w:val="000000"/>
                <w:sz w:val="20"/>
                <w:szCs w:val="20"/>
              </w:rPr>
            </w:pPr>
            <w:r>
              <w:rPr>
                <w:rFonts w:hint="eastAsia" w:ascii="宋体" w:hAnsi="宋体" w:cs="宋体"/>
                <w:color w:val="000000"/>
                <w:sz w:val="20"/>
                <w:szCs w:val="20"/>
              </w:rPr>
              <w:t>4．应具备医疗器械注册证或备案凭证及医疗器械生产许可或备案凭证；</w:t>
            </w:r>
          </w:p>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sz w:val="20"/>
                <w:szCs w:val="20"/>
              </w:rPr>
              <w:t>5．应至少符合国标：GB19082-2009标准。</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等线" w:hAnsi="宋体" w:eastAsia="等线" w:cs="宋体"/>
                <w:color w:val="000000"/>
                <w:sz w:val="18"/>
                <w:szCs w:val="18"/>
              </w:rPr>
            </w:pPr>
            <w:r>
              <w:rPr>
                <w:rFonts w:hint="eastAsia" w:ascii="等线" w:eastAsia="等线"/>
                <w:color w:val="000000"/>
                <w:sz w:val="18"/>
                <w:szCs w:val="18"/>
              </w:rPr>
              <w:t>30000</w:t>
            </w: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等线" w:eastAsia="等线"/>
                <w:color w:val="000000"/>
                <w:sz w:val="18"/>
                <w:szCs w:val="18"/>
              </w:rPr>
            </w:pPr>
            <w:r>
              <w:rPr>
                <w:rFonts w:hint="eastAsia" w:ascii="等线" w:eastAsia="等线"/>
                <w:color w:val="000000"/>
                <w:sz w:val="18"/>
                <w:szCs w:val="18"/>
              </w:rPr>
              <w:t>套</w:t>
            </w: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等线" w:eastAsia="等线"/>
                <w:color w:val="000000"/>
                <w:sz w:val="18"/>
                <w:szCs w:val="18"/>
                <w:lang w:val="en-US" w:eastAsia="zh-CN"/>
              </w:rPr>
            </w:pP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等线" w:eastAsia="等线"/>
                <w:color w:val="000000"/>
                <w:sz w:val="18"/>
                <w:szCs w:val="18"/>
                <w:lang w:val="en-US" w:eastAsia="zh-CN"/>
              </w:rPr>
            </w:pP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等线" w:eastAsia="等线"/>
                <w:color w:val="000000"/>
                <w:sz w:val="18"/>
                <w:szCs w:val="18"/>
                <w:lang w:val="en-US" w:eastAsia="zh-CN"/>
              </w:rPr>
            </w:pPr>
          </w:p>
        </w:tc>
      </w:tr>
      <w:tr>
        <w:tblPrEx>
          <w:tblCellMar>
            <w:top w:w="0" w:type="dxa"/>
            <w:left w:w="0" w:type="dxa"/>
            <w:bottom w:w="0" w:type="dxa"/>
            <w:right w:w="0" w:type="dxa"/>
          </w:tblCellMar>
        </w:tblPrEx>
        <w:trPr>
          <w:trHeight w:val="450" w:hRule="atLeast"/>
        </w:trPr>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ind w:firstLine="0" w:firstLineChars="0"/>
              <w:jc w:val="center"/>
              <w:rPr>
                <w:rFonts w:hint="eastAsia" w:ascii="宋体" w:hAnsi="宋体" w:cs="宋体"/>
                <w:color w:val="000000"/>
                <w:sz w:val="20"/>
                <w:szCs w:val="20"/>
              </w:rPr>
            </w:pPr>
            <w:r>
              <w:rPr>
                <w:rFonts w:hint="eastAsia" w:ascii="宋体" w:hAnsi="宋体" w:cs="宋体"/>
                <w:color w:val="000000"/>
                <w:sz w:val="20"/>
                <w:szCs w:val="20"/>
              </w:rPr>
              <w:t>医用橡胶检查手套</w:t>
            </w:r>
          </w:p>
        </w:tc>
        <w:tc>
          <w:tcPr>
            <w:tcW w:w="36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ind w:firstLine="0" w:firstLineChars="0"/>
              <w:jc w:val="left"/>
              <w:rPr>
                <w:rFonts w:hint="eastAsia" w:ascii="宋体" w:hAnsi="宋体" w:cs="宋体"/>
                <w:color w:val="000000"/>
                <w:sz w:val="20"/>
                <w:szCs w:val="20"/>
              </w:rPr>
            </w:pPr>
            <w:r>
              <w:rPr>
                <w:rFonts w:hint="eastAsia" w:ascii="宋体" w:hAnsi="宋体" w:cs="宋体"/>
                <w:color w:val="000000"/>
                <w:sz w:val="20"/>
                <w:szCs w:val="20"/>
              </w:rPr>
              <w:t>1．型号、规格：光面、无粉表面（7号-8.5号之间）；</w:t>
            </w:r>
          </w:p>
          <w:p>
            <w:pPr>
              <w:pStyle w:val="3"/>
              <w:ind w:firstLine="0" w:firstLineChars="0"/>
              <w:jc w:val="left"/>
              <w:rPr>
                <w:rFonts w:hint="eastAsia" w:ascii="宋体" w:hAnsi="宋体" w:cs="宋体"/>
                <w:color w:val="000000"/>
                <w:sz w:val="20"/>
                <w:szCs w:val="20"/>
              </w:rPr>
            </w:pPr>
            <w:r>
              <w:rPr>
                <w:rFonts w:hint="eastAsia" w:ascii="宋体" w:hAnsi="宋体" w:cs="宋体"/>
                <w:color w:val="000000"/>
                <w:sz w:val="20"/>
                <w:szCs w:val="20"/>
              </w:rPr>
              <w:t>2．结构及组成：由天然橡胶胶乳制成；</w:t>
            </w:r>
          </w:p>
          <w:p>
            <w:pPr>
              <w:pStyle w:val="3"/>
              <w:ind w:firstLine="0" w:firstLineChars="0"/>
              <w:jc w:val="left"/>
              <w:rPr>
                <w:rFonts w:hint="eastAsia" w:ascii="宋体" w:hAnsi="宋体" w:cs="宋体"/>
                <w:color w:val="000000"/>
                <w:sz w:val="20"/>
                <w:szCs w:val="20"/>
              </w:rPr>
            </w:pPr>
            <w:r>
              <w:rPr>
                <w:rFonts w:hint="eastAsia" w:ascii="宋体" w:hAnsi="宋体" w:cs="宋体"/>
                <w:color w:val="000000"/>
                <w:sz w:val="20"/>
                <w:szCs w:val="20"/>
              </w:rPr>
              <w:t>3．适用范围：适用于医用检查和诊断治疗过程中防止病人和使用者之间交叉感染，也用于处理受污染医疗材料；</w:t>
            </w:r>
          </w:p>
          <w:p>
            <w:pPr>
              <w:pStyle w:val="3"/>
              <w:ind w:firstLine="0" w:firstLineChars="0"/>
              <w:jc w:val="left"/>
              <w:rPr>
                <w:rFonts w:hint="eastAsia" w:ascii="宋体" w:hAnsi="宋体" w:cs="宋体"/>
                <w:color w:val="000000"/>
                <w:sz w:val="20"/>
                <w:szCs w:val="20"/>
              </w:rPr>
            </w:pPr>
            <w:r>
              <w:rPr>
                <w:rFonts w:hint="eastAsia" w:ascii="宋体" w:hAnsi="宋体" w:cs="宋体"/>
                <w:color w:val="000000"/>
                <w:sz w:val="20"/>
                <w:szCs w:val="20"/>
              </w:rPr>
              <w:t>4．产品应灭菌；</w:t>
            </w:r>
          </w:p>
          <w:p>
            <w:pPr>
              <w:pStyle w:val="3"/>
              <w:ind w:firstLine="0" w:firstLineChars="0"/>
              <w:jc w:val="left"/>
              <w:rPr>
                <w:rFonts w:hint="eastAsia" w:ascii="宋体" w:hAnsi="宋体" w:cs="宋体"/>
                <w:color w:val="000000"/>
                <w:sz w:val="20"/>
                <w:szCs w:val="20"/>
              </w:rPr>
            </w:pPr>
            <w:r>
              <w:rPr>
                <w:rFonts w:hint="eastAsia" w:ascii="宋体" w:hAnsi="宋体" w:cs="宋体"/>
                <w:color w:val="000000"/>
                <w:sz w:val="20"/>
                <w:szCs w:val="20"/>
              </w:rPr>
              <w:t>5．应具备医疗器械注册证或备案凭证及医疗器械生产许可或备案凭证。</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等线" w:hAnsi="宋体" w:eastAsia="等线" w:cs="宋体"/>
                <w:color w:val="000000"/>
                <w:sz w:val="18"/>
                <w:szCs w:val="18"/>
              </w:rPr>
            </w:pPr>
            <w:r>
              <w:rPr>
                <w:rFonts w:hint="eastAsia" w:ascii="等线" w:eastAsia="等线"/>
                <w:color w:val="000000"/>
                <w:sz w:val="18"/>
                <w:szCs w:val="18"/>
              </w:rPr>
              <w:t>200000</w:t>
            </w: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等线" w:eastAsia="等线"/>
                <w:color w:val="000000"/>
                <w:sz w:val="18"/>
                <w:szCs w:val="18"/>
              </w:rPr>
            </w:pPr>
            <w:r>
              <w:rPr>
                <w:rFonts w:hint="eastAsia" w:ascii="等线" w:eastAsia="等线"/>
                <w:color w:val="000000"/>
                <w:sz w:val="18"/>
                <w:szCs w:val="18"/>
              </w:rPr>
              <w:t>双</w:t>
            </w: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等线" w:eastAsia="等线"/>
                <w:color w:val="000000"/>
                <w:sz w:val="18"/>
                <w:szCs w:val="18"/>
                <w:lang w:val="en-US" w:eastAsia="zh-CN"/>
              </w:rPr>
            </w:pP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等线" w:eastAsia="等线"/>
                <w:color w:val="000000"/>
                <w:sz w:val="18"/>
                <w:szCs w:val="18"/>
                <w:lang w:val="en-US" w:eastAsia="zh-CN"/>
              </w:rPr>
            </w:pP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等线" w:eastAsia="等线"/>
                <w:color w:val="000000"/>
                <w:sz w:val="18"/>
                <w:szCs w:val="18"/>
                <w:lang w:val="en-US" w:eastAsia="zh-CN"/>
              </w:rPr>
            </w:pPr>
          </w:p>
        </w:tc>
      </w:tr>
      <w:tr>
        <w:tblPrEx>
          <w:tblCellMar>
            <w:top w:w="0" w:type="dxa"/>
            <w:left w:w="0" w:type="dxa"/>
            <w:bottom w:w="0" w:type="dxa"/>
            <w:right w:w="0" w:type="dxa"/>
          </w:tblCellMar>
        </w:tblPrEx>
        <w:trPr>
          <w:trHeight w:val="605" w:hRule="atLeast"/>
        </w:trPr>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反穿式防护隔离衣</w:t>
            </w:r>
          </w:p>
        </w:tc>
        <w:tc>
          <w:tcPr>
            <w:tcW w:w="36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ind w:firstLine="0" w:firstLineChars="0"/>
              <w:jc w:val="left"/>
              <w:rPr>
                <w:rFonts w:hint="eastAsia" w:ascii="宋体" w:hAnsi="宋体" w:cs="宋体"/>
                <w:color w:val="000000"/>
                <w:sz w:val="20"/>
                <w:szCs w:val="20"/>
              </w:rPr>
            </w:pPr>
            <w:r>
              <w:rPr>
                <w:rFonts w:hint="eastAsia" w:ascii="宋体" w:hAnsi="宋体" w:cs="宋体"/>
                <w:color w:val="000000"/>
                <w:sz w:val="20"/>
                <w:szCs w:val="20"/>
              </w:rPr>
              <w:t>1．型号规格：L号以上；</w:t>
            </w:r>
          </w:p>
          <w:p>
            <w:pPr>
              <w:pStyle w:val="3"/>
              <w:ind w:firstLine="0" w:firstLineChars="0"/>
              <w:jc w:val="left"/>
              <w:rPr>
                <w:rFonts w:hint="eastAsia" w:ascii="宋体" w:hAnsi="宋体" w:cs="宋体"/>
                <w:color w:val="000000"/>
                <w:sz w:val="20"/>
                <w:szCs w:val="20"/>
              </w:rPr>
            </w:pPr>
            <w:r>
              <w:rPr>
                <w:rFonts w:hint="eastAsia" w:ascii="宋体" w:hAnsi="宋体" w:cs="宋体"/>
                <w:color w:val="000000"/>
                <w:sz w:val="20"/>
                <w:szCs w:val="20"/>
              </w:rPr>
              <w:t>2．结构及组成：由非织造布为主要原料经裁剪、缝纫制成，反渗透；</w:t>
            </w:r>
          </w:p>
          <w:p>
            <w:pPr>
              <w:pStyle w:val="3"/>
              <w:ind w:firstLine="0" w:firstLineChars="0"/>
              <w:jc w:val="left"/>
              <w:rPr>
                <w:rFonts w:hint="eastAsia" w:ascii="宋体" w:hAnsi="宋体" w:cs="宋体"/>
                <w:color w:val="000000"/>
                <w:sz w:val="20"/>
                <w:szCs w:val="20"/>
              </w:rPr>
            </w:pPr>
            <w:r>
              <w:rPr>
                <w:rFonts w:hint="eastAsia" w:ascii="宋体" w:hAnsi="宋体" w:cs="宋体"/>
                <w:color w:val="000000"/>
                <w:sz w:val="20"/>
                <w:szCs w:val="20"/>
              </w:rPr>
              <w:t>3．适用范围：供医疗机构的门诊、病房及检验室等作普通隔离用；</w:t>
            </w:r>
          </w:p>
          <w:p>
            <w:pPr>
              <w:pStyle w:val="3"/>
              <w:ind w:firstLine="0" w:firstLineChars="0"/>
              <w:jc w:val="left"/>
              <w:rPr>
                <w:rFonts w:hint="eastAsia" w:ascii="宋体" w:hAnsi="宋体" w:cs="宋体"/>
                <w:color w:val="000000"/>
                <w:sz w:val="20"/>
                <w:szCs w:val="20"/>
              </w:rPr>
            </w:pPr>
            <w:r>
              <w:rPr>
                <w:rFonts w:hint="eastAsia" w:ascii="宋体" w:hAnsi="宋体" w:cs="宋体"/>
                <w:color w:val="000000"/>
                <w:sz w:val="20"/>
                <w:szCs w:val="20"/>
              </w:rPr>
              <w:t>4．应具备医疗器械注册证或备案凭证及医疗器械生产许可或备案凭证。</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等线" w:hAnsi="宋体" w:eastAsia="等线" w:cs="宋体"/>
                <w:color w:val="000000"/>
                <w:sz w:val="18"/>
                <w:szCs w:val="18"/>
              </w:rPr>
            </w:pPr>
            <w:r>
              <w:rPr>
                <w:rFonts w:hint="eastAsia" w:ascii="等线" w:eastAsia="等线"/>
                <w:color w:val="000000"/>
                <w:sz w:val="18"/>
                <w:szCs w:val="18"/>
              </w:rPr>
              <w:t>70000</w:t>
            </w: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等线" w:eastAsia="等线"/>
                <w:color w:val="000000"/>
                <w:sz w:val="18"/>
                <w:szCs w:val="18"/>
              </w:rPr>
            </w:pPr>
            <w:r>
              <w:rPr>
                <w:rFonts w:hint="eastAsia" w:ascii="等线" w:eastAsia="等线"/>
                <w:color w:val="000000"/>
                <w:sz w:val="18"/>
                <w:szCs w:val="18"/>
              </w:rPr>
              <w:t>套</w:t>
            </w: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等线" w:eastAsia="等线"/>
                <w:color w:val="000000"/>
                <w:sz w:val="18"/>
                <w:szCs w:val="18"/>
                <w:lang w:val="en-US" w:eastAsia="zh-CN"/>
              </w:rPr>
            </w:pP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等线" w:eastAsia="等线"/>
                <w:color w:val="000000"/>
                <w:sz w:val="18"/>
                <w:szCs w:val="18"/>
                <w:lang w:val="en-US" w:eastAsia="zh-CN"/>
              </w:rPr>
            </w:pP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等线" w:eastAsia="等线"/>
                <w:color w:val="000000"/>
                <w:sz w:val="18"/>
                <w:szCs w:val="18"/>
                <w:lang w:val="en-US" w:eastAsia="zh-CN"/>
              </w:rPr>
            </w:pPr>
          </w:p>
        </w:tc>
      </w:tr>
      <w:tr>
        <w:tblPrEx>
          <w:tblCellMar>
            <w:top w:w="0" w:type="dxa"/>
            <w:left w:w="0" w:type="dxa"/>
            <w:bottom w:w="0" w:type="dxa"/>
            <w:right w:w="0" w:type="dxa"/>
          </w:tblCellMar>
        </w:tblPrEx>
        <w:trPr>
          <w:trHeight w:val="675" w:hRule="atLeast"/>
        </w:trPr>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医用一次性面屏</w:t>
            </w:r>
          </w:p>
        </w:tc>
        <w:tc>
          <w:tcPr>
            <w:tcW w:w="36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3"/>
              </w:numPr>
              <w:jc w:val="left"/>
              <w:textAlignment w:val="center"/>
              <w:rPr>
                <w:rFonts w:hint="eastAsia" w:ascii="宋体" w:hAnsi="宋体" w:cs="宋体"/>
                <w:color w:val="000000"/>
                <w:sz w:val="20"/>
                <w:szCs w:val="20"/>
              </w:rPr>
            </w:pPr>
            <w:r>
              <w:rPr>
                <w:rFonts w:hint="eastAsia" w:ascii="宋体" w:hAnsi="宋体" w:cs="宋体"/>
                <w:color w:val="000000"/>
                <w:sz w:val="20"/>
                <w:szCs w:val="20"/>
              </w:rPr>
              <w:t>双面防起雾</w:t>
            </w:r>
          </w:p>
          <w:p>
            <w:pPr>
              <w:widowControl/>
              <w:numPr>
                <w:ilvl w:val="0"/>
                <w:numId w:val="3"/>
              </w:numPr>
              <w:jc w:val="left"/>
              <w:textAlignment w:val="center"/>
              <w:rPr>
                <w:rFonts w:hint="eastAsia" w:ascii="宋体" w:hAnsi="宋体" w:cs="宋体"/>
                <w:color w:val="000000"/>
                <w:sz w:val="20"/>
                <w:szCs w:val="20"/>
              </w:rPr>
            </w:pPr>
            <w:r>
              <w:rPr>
                <w:rFonts w:hint="eastAsia" w:ascii="宋体" w:hAnsi="宋体" w:cs="宋体"/>
                <w:color w:val="000000"/>
                <w:sz w:val="20"/>
                <w:szCs w:val="20"/>
              </w:rPr>
              <w:t>带海绵条，松紧带固定</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等线" w:hAnsi="宋体" w:eastAsia="等线" w:cs="宋体"/>
                <w:color w:val="000000"/>
                <w:sz w:val="18"/>
                <w:szCs w:val="18"/>
              </w:rPr>
            </w:pPr>
            <w:r>
              <w:rPr>
                <w:rFonts w:hint="eastAsia" w:ascii="等线" w:eastAsia="等线"/>
                <w:color w:val="000000"/>
                <w:sz w:val="18"/>
                <w:szCs w:val="18"/>
              </w:rPr>
              <w:t>200000</w:t>
            </w: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等线" w:eastAsia="等线"/>
                <w:color w:val="000000"/>
                <w:sz w:val="18"/>
                <w:szCs w:val="18"/>
              </w:rPr>
            </w:pPr>
            <w:r>
              <w:rPr>
                <w:rFonts w:hint="eastAsia" w:ascii="等线" w:eastAsia="等线"/>
                <w:color w:val="000000"/>
                <w:sz w:val="18"/>
                <w:szCs w:val="18"/>
              </w:rPr>
              <w:t>个</w:t>
            </w: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等线" w:eastAsia="等线"/>
                <w:color w:val="000000"/>
                <w:sz w:val="18"/>
                <w:szCs w:val="18"/>
                <w:lang w:val="en-US" w:eastAsia="zh-CN"/>
              </w:rPr>
            </w:pP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等线" w:eastAsia="等线"/>
                <w:color w:val="000000"/>
                <w:sz w:val="18"/>
                <w:szCs w:val="18"/>
                <w:lang w:val="en-US" w:eastAsia="zh-CN"/>
              </w:rPr>
            </w:pP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等线" w:eastAsia="等线"/>
                <w:color w:val="000000"/>
                <w:sz w:val="18"/>
                <w:szCs w:val="18"/>
                <w:lang w:val="en-US" w:eastAsia="zh-CN"/>
              </w:rPr>
            </w:pPr>
          </w:p>
        </w:tc>
      </w:tr>
      <w:tr>
        <w:tblPrEx>
          <w:tblCellMar>
            <w:top w:w="0" w:type="dxa"/>
            <w:left w:w="0" w:type="dxa"/>
            <w:bottom w:w="0" w:type="dxa"/>
            <w:right w:w="0" w:type="dxa"/>
          </w:tblCellMar>
        </w:tblPrEx>
        <w:trPr>
          <w:trHeight w:val="675" w:hRule="atLeast"/>
        </w:trPr>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医用防护口罩</w:t>
            </w:r>
          </w:p>
        </w:tc>
        <w:tc>
          <w:tcPr>
            <w:tcW w:w="36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ind w:firstLine="0" w:firstLineChars="0"/>
              <w:jc w:val="left"/>
              <w:rPr>
                <w:rFonts w:hint="eastAsia" w:ascii="宋体" w:hAnsi="宋体" w:cs="宋体"/>
                <w:color w:val="000000"/>
                <w:sz w:val="20"/>
                <w:szCs w:val="20"/>
              </w:rPr>
            </w:pPr>
            <w:r>
              <w:rPr>
                <w:rFonts w:hint="eastAsia" w:ascii="宋体" w:hAnsi="宋体" w:cs="宋体"/>
                <w:color w:val="000000"/>
                <w:sz w:val="20"/>
                <w:szCs w:val="20"/>
              </w:rPr>
              <w:t>1．型号、规格：绑带式折叠型(只包含拱形）；</w:t>
            </w:r>
          </w:p>
          <w:p>
            <w:pPr>
              <w:pStyle w:val="3"/>
              <w:ind w:firstLine="0" w:firstLineChars="0"/>
              <w:jc w:val="left"/>
              <w:rPr>
                <w:rFonts w:hint="eastAsia" w:ascii="宋体" w:hAnsi="宋体" w:cs="宋体"/>
                <w:color w:val="000000"/>
                <w:sz w:val="20"/>
                <w:szCs w:val="20"/>
              </w:rPr>
            </w:pPr>
            <w:r>
              <w:rPr>
                <w:rFonts w:hint="eastAsia" w:ascii="宋体" w:hAnsi="宋体" w:cs="宋体"/>
                <w:color w:val="000000"/>
                <w:sz w:val="20"/>
                <w:szCs w:val="20"/>
              </w:rPr>
              <w:t>2．结构及组成：N95滤材,由口罩带、鼻夹、口罩体组成。口罩体由无纺布和过滤材料加工制成；</w:t>
            </w:r>
          </w:p>
          <w:p>
            <w:pPr>
              <w:pStyle w:val="3"/>
              <w:ind w:firstLine="0" w:firstLineChars="0"/>
              <w:jc w:val="left"/>
              <w:rPr>
                <w:rFonts w:hint="eastAsia" w:ascii="宋体" w:hAnsi="宋体" w:cs="宋体"/>
                <w:color w:val="000000"/>
                <w:sz w:val="20"/>
                <w:szCs w:val="20"/>
              </w:rPr>
            </w:pPr>
            <w:r>
              <w:rPr>
                <w:rFonts w:hint="eastAsia" w:ascii="宋体" w:hAnsi="宋体" w:cs="宋体"/>
                <w:color w:val="000000"/>
                <w:sz w:val="20"/>
                <w:szCs w:val="20"/>
              </w:rPr>
              <w:t>3．适用范围：适用于医疗工作环境下，过滤空气中的颗粒物，阻隔飞沫、血液、体液和分泌物；</w:t>
            </w:r>
          </w:p>
          <w:p>
            <w:pPr>
              <w:pStyle w:val="3"/>
              <w:ind w:firstLine="0" w:firstLineChars="0"/>
              <w:jc w:val="left"/>
              <w:rPr>
                <w:rFonts w:hint="eastAsia" w:ascii="宋体" w:hAnsi="宋体" w:cs="宋体"/>
                <w:color w:val="000000"/>
                <w:sz w:val="20"/>
                <w:szCs w:val="20"/>
              </w:rPr>
            </w:pPr>
            <w:r>
              <w:rPr>
                <w:rFonts w:hint="eastAsia" w:ascii="宋体" w:hAnsi="宋体" w:cs="宋体"/>
                <w:color w:val="000000"/>
                <w:sz w:val="20"/>
                <w:szCs w:val="20"/>
              </w:rPr>
              <w:t>4．应具备医疗器械注册证或备案凭证及医疗器械生产许可或备案凭证；</w:t>
            </w:r>
          </w:p>
          <w:p>
            <w:pPr>
              <w:pStyle w:val="3"/>
              <w:ind w:firstLine="0" w:firstLineChars="0"/>
              <w:jc w:val="left"/>
              <w:rPr>
                <w:rFonts w:hint="eastAsia" w:ascii="宋体" w:hAnsi="宋体" w:cs="宋体"/>
                <w:color w:val="FF0000"/>
                <w:sz w:val="20"/>
                <w:szCs w:val="20"/>
              </w:rPr>
            </w:pPr>
            <w:r>
              <w:rPr>
                <w:rFonts w:hint="eastAsia" w:ascii="宋体" w:hAnsi="宋体" w:cs="宋体"/>
                <w:color w:val="000000"/>
                <w:sz w:val="20"/>
                <w:szCs w:val="20"/>
              </w:rPr>
              <w:t>5．应至少符合国标：GB19083-2010标准。</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等线" w:hAnsi="宋体" w:eastAsia="等线" w:cs="宋体"/>
                <w:color w:val="000000"/>
                <w:sz w:val="18"/>
                <w:szCs w:val="18"/>
              </w:rPr>
            </w:pPr>
            <w:r>
              <w:rPr>
                <w:rFonts w:hint="eastAsia" w:ascii="等线" w:eastAsia="等线"/>
                <w:color w:val="000000"/>
                <w:sz w:val="18"/>
                <w:szCs w:val="18"/>
              </w:rPr>
              <w:t>100000</w:t>
            </w: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等线" w:eastAsia="等线"/>
                <w:color w:val="000000"/>
                <w:sz w:val="18"/>
                <w:szCs w:val="18"/>
              </w:rPr>
            </w:pPr>
            <w:r>
              <w:rPr>
                <w:rFonts w:hint="eastAsia" w:ascii="等线" w:eastAsia="等线"/>
                <w:color w:val="000000"/>
                <w:sz w:val="18"/>
                <w:szCs w:val="18"/>
              </w:rPr>
              <w:t>只</w:t>
            </w: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等线" w:eastAsia="等线"/>
                <w:color w:val="000000"/>
                <w:sz w:val="18"/>
                <w:szCs w:val="18"/>
                <w:lang w:val="en-US" w:eastAsia="zh-CN"/>
              </w:rPr>
            </w:pP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等线" w:eastAsia="等线"/>
                <w:color w:val="000000"/>
                <w:sz w:val="18"/>
                <w:szCs w:val="18"/>
                <w:lang w:val="en-US" w:eastAsia="zh-CN"/>
              </w:rPr>
            </w:pP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等线" w:eastAsia="等线"/>
                <w:color w:val="000000"/>
                <w:sz w:val="18"/>
                <w:szCs w:val="18"/>
                <w:lang w:val="en-US" w:eastAsia="zh-CN"/>
              </w:rPr>
            </w:pPr>
          </w:p>
        </w:tc>
      </w:tr>
      <w:tr>
        <w:tblPrEx>
          <w:tblCellMar>
            <w:top w:w="0" w:type="dxa"/>
            <w:left w:w="0" w:type="dxa"/>
            <w:bottom w:w="0" w:type="dxa"/>
            <w:right w:w="0" w:type="dxa"/>
          </w:tblCellMar>
        </w:tblPrEx>
        <w:trPr>
          <w:trHeight w:val="675" w:hRule="atLeast"/>
        </w:trPr>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0"/>
                <w:szCs w:val="20"/>
              </w:rPr>
            </w:pPr>
            <w:r>
              <w:rPr>
                <w:rFonts w:hint="eastAsia" w:ascii="宋体" w:hAnsi="宋体" w:cs="宋体"/>
                <w:sz w:val="20"/>
                <w:szCs w:val="20"/>
              </w:rPr>
              <w:t>小号医疗废物包装袋（带标识）</w:t>
            </w:r>
          </w:p>
        </w:tc>
        <w:tc>
          <w:tcPr>
            <w:tcW w:w="36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numPr>
                <w:ilvl w:val="0"/>
                <w:numId w:val="4"/>
              </w:numPr>
              <w:ind w:firstLineChars="0"/>
              <w:jc w:val="left"/>
              <w:rPr>
                <w:rFonts w:hint="eastAsia" w:ascii="宋体" w:hAnsi="宋体" w:cs="宋体"/>
                <w:sz w:val="20"/>
                <w:szCs w:val="20"/>
              </w:rPr>
            </w:pPr>
            <w:r>
              <w:rPr>
                <w:rFonts w:hint="eastAsia" w:ascii="宋体" w:hAnsi="宋体" w:cs="宋体"/>
                <w:sz w:val="20"/>
                <w:szCs w:val="20"/>
              </w:rPr>
              <w:t>黄色，带有“医疗废物包装袋”标识</w:t>
            </w:r>
          </w:p>
          <w:p>
            <w:pPr>
              <w:pStyle w:val="3"/>
              <w:numPr>
                <w:ilvl w:val="0"/>
                <w:numId w:val="4"/>
              </w:numPr>
              <w:ind w:firstLineChars="0"/>
              <w:jc w:val="left"/>
              <w:rPr>
                <w:rFonts w:hint="eastAsia" w:ascii="宋体" w:hAnsi="宋体" w:cs="宋体"/>
                <w:sz w:val="20"/>
                <w:szCs w:val="20"/>
              </w:rPr>
            </w:pPr>
            <w:r>
              <w:rPr>
                <w:rFonts w:hint="eastAsia" w:ascii="宋体" w:hAnsi="宋体" w:cs="宋体"/>
                <w:sz w:val="20"/>
                <w:szCs w:val="20"/>
              </w:rPr>
              <w:t>材质为PE OPP</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等线" w:hAnsi="宋体" w:eastAsia="等线" w:cs="宋体"/>
                <w:color w:val="000000"/>
                <w:sz w:val="18"/>
                <w:szCs w:val="18"/>
              </w:rPr>
            </w:pPr>
            <w:r>
              <w:rPr>
                <w:rFonts w:hint="eastAsia" w:ascii="等线" w:eastAsia="等线"/>
                <w:color w:val="000000"/>
                <w:sz w:val="18"/>
                <w:szCs w:val="18"/>
              </w:rPr>
              <w:t>100000</w:t>
            </w: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等线" w:eastAsia="等线"/>
                <w:color w:val="000000"/>
                <w:sz w:val="18"/>
                <w:szCs w:val="18"/>
              </w:rPr>
            </w:pPr>
            <w:r>
              <w:rPr>
                <w:rFonts w:hint="eastAsia" w:ascii="等线" w:eastAsia="等线"/>
                <w:color w:val="000000"/>
                <w:sz w:val="18"/>
                <w:szCs w:val="18"/>
              </w:rPr>
              <w:t>个</w:t>
            </w: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等线" w:eastAsia="等线"/>
                <w:color w:val="000000"/>
                <w:sz w:val="18"/>
                <w:szCs w:val="18"/>
                <w:lang w:val="en-US" w:eastAsia="zh-CN"/>
              </w:rPr>
            </w:pP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等线" w:eastAsia="等线"/>
                <w:color w:val="000000"/>
                <w:sz w:val="18"/>
                <w:szCs w:val="18"/>
                <w:lang w:val="en-US" w:eastAsia="zh-CN"/>
              </w:rPr>
            </w:pP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等线" w:eastAsia="等线"/>
                <w:color w:val="000000"/>
                <w:sz w:val="18"/>
                <w:szCs w:val="18"/>
                <w:lang w:val="en-US" w:eastAsia="zh-CN"/>
              </w:rPr>
            </w:pPr>
          </w:p>
        </w:tc>
      </w:tr>
      <w:tr>
        <w:tblPrEx>
          <w:tblCellMar>
            <w:top w:w="0" w:type="dxa"/>
            <w:left w:w="0" w:type="dxa"/>
            <w:bottom w:w="0" w:type="dxa"/>
            <w:right w:w="0" w:type="dxa"/>
          </w:tblCellMar>
        </w:tblPrEx>
        <w:trPr>
          <w:trHeight w:val="675" w:hRule="atLeast"/>
        </w:trPr>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医用一次性靴套</w:t>
            </w:r>
          </w:p>
        </w:tc>
        <w:tc>
          <w:tcPr>
            <w:tcW w:w="36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ind w:firstLine="0" w:firstLineChars="0"/>
              <w:jc w:val="left"/>
              <w:rPr>
                <w:rFonts w:hint="eastAsia" w:ascii="宋体" w:hAnsi="宋体" w:cs="宋体"/>
                <w:color w:val="FF0000"/>
                <w:sz w:val="20"/>
                <w:szCs w:val="20"/>
              </w:rPr>
            </w:pPr>
            <w:r>
              <w:rPr>
                <w:rFonts w:hint="eastAsia" w:ascii="宋体" w:hAnsi="宋体" w:cs="宋体"/>
                <w:sz w:val="20"/>
                <w:szCs w:val="20"/>
              </w:rPr>
              <w:t xml:space="preserve">1．高筒，带胶条，可进红区 </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等线" w:hAnsi="宋体" w:eastAsia="等线" w:cs="宋体"/>
                <w:color w:val="000000"/>
                <w:sz w:val="18"/>
                <w:szCs w:val="18"/>
              </w:rPr>
            </w:pPr>
            <w:r>
              <w:rPr>
                <w:rFonts w:hint="eastAsia" w:ascii="等线" w:eastAsia="等线"/>
                <w:color w:val="000000"/>
                <w:sz w:val="18"/>
                <w:szCs w:val="18"/>
              </w:rPr>
              <w:t>20000</w:t>
            </w: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等线" w:eastAsia="等线"/>
                <w:color w:val="000000"/>
                <w:sz w:val="18"/>
                <w:szCs w:val="18"/>
              </w:rPr>
            </w:pPr>
            <w:r>
              <w:rPr>
                <w:rFonts w:hint="eastAsia" w:ascii="等线" w:eastAsia="等线"/>
                <w:color w:val="000000"/>
                <w:sz w:val="18"/>
                <w:szCs w:val="18"/>
              </w:rPr>
              <w:t>双</w:t>
            </w: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等线" w:eastAsia="等线"/>
                <w:color w:val="000000"/>
                <w:sz w:val="18"/>
                <w:szCs w:val="18"/>
                <w:lang w:val="en-US" w:eastAsia="zh-CN"/>
              </w:rPr>
            </w:pP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等线" w:eastAsia="等线"/>
                <w:color w:val="000000"/>
                <w:sz w:val="18"/>
                <w:szCs w:val="18"/>
                <w:lang w:val="en-US" w:eastAsia="zh-CN"/>
              </w:rPr>
            </w:pP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等线" w:eastAsia="等线"/>
                <w:color w:val="000000"/>
                <w:sz w:val="18"/>
                <w:szCs w:val="18"/>
                <w:lang w:val="en-US" w:eastAsia="zh-CN"/>
              </w:rPr>
            </w:pPr>
          </w:p>
        </w:tc>
      </w:tr>
      <w:tr>
        <w:tblPrEx>
          <w:tblCellMar>
            <w:top w:w="0" w:type="dxa"/>
            <w:left w:w="0" w:type="dxa"/>
            <w:bottom w:w="0" w:type="dxa"/>
            <w:right w:w="0" w:type="dxa"/>
          </w:tblCellMar>
        </w:tblPrEx>
        <w:trPr>
          <w:trHeight w:val="675" w:hRule="atLeast"/>
        </w:trPr>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医用检查帽</w:t>
            </w:r>
          </w:p>
        </w:tc>
        <w:tc>
          <w:tcPr>
            <w:tcW w:w="36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5"/>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无纺布材质，环氧乙烷灭菌</w:t>
            </w:r>
          </w:p>
          <w:p>
            <w:pPr>
              <w:widowControl/>
              <w:numPr>
                <w:ilvl w:val="0"/>
                <w:numId w:val="5"/>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条形折叠，带松紧</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等线" w:hAnsi="宋体" w:eastAsia="等线" w:cs="宋体"/>
                <w:color w:val="000000"/>
                <w:sz w:val="18"/>
                <w:szCs w:val="18"/>
              </w:rPr>
            </w:pPr>
            <w:r>
              <w:rPr>
                <w:rFonts w:hint="eastAsia" w:ascii="等线" w:eastAsia="等线"/>
                <w:color w:val="000000"/>
                <w:sz w:val="18"/>
                <w:szCs w:val="18"/>
              </w:rPr>
              <w:t>50000</w:t>
            </w: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等线" w:eastAsia="等线"/>
                <w:color w:val="000000"/>
                <w:sz w:val="18"/>
                <w:szCs w:val="18"/>
              </w:rPr>
            </w:pPr>
            <w:r>
              <w:rPr>
                <w:rFonts w:hint="eastAsia" w:ascii="等线" w:eastAsia="等线"/>
                <w:color w:val="000000"/>
                <w:sz w:val="18"/>
                <w:szCs w:val="18"/>
              </w:rPr>
              <w:t>个</w:t>
            </w: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等线" w:eastAsia="等线"/>
                <w:color w:val="000000"/>
                <w:sz w:val="18"/>
                <w:szCs w:val="18"/>
                <w:lang w:val="en-US" w:eastAsia="zh-CN"/>
              </w:rPr>
            </w:pP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等线" w:eastAsia="等线"/>
                <w:color w:val="000000"/>
                <w:sz w:val="18"/>
                <w:szCs w:val="18"/>
                <w:lang w:val="en-US" w:eastAsia="zh-CN"/>
              </w:rPr>
            </w:pP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等线" w:eastAsia="等线"/>
                <w:color w:val="000000"/>
                <w:sz w:val="18"/>
                <w:szCs w:val="18"/>
                <w:lang w:val="en-US" w:eastAsia="zh-CN"/>
              </w:rPr>
            </w:pPr>
          </w:p>
        </w:tc>
      </w:tr>
      <w:tr>
        <w:tblPrEx>
          <w:tblCellMar>
            <w:top w:w="0" w:type="dxa"/>
            <w:left w:w="0" w:type="dxa"/>
            <w:bottom w:w="0" w:type="dxa"/>
            <w:right w:w="0" w:type="dxa"/>
          </w:tblCellMar>
        </w:tblPrEx>
        <w:trPr>
          <w:trHeight w:val="675" w:hRule="atLeast"/>
        </w:trPr>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医用一次性鞋套</w:t>
            </w:r>
          </w:p>
        </w:tc>
        <w:tc>
          <w:tcPr>
            <w:tcW w:w="36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6"/>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塑料材质</w:t>
            </w:r>
          </w:p>
          <w:p>
            <w:pPr>
              <w:widowControl/>
              <w:numPr>
                <w:ilvl w:val="0"/>
                <w:numId w:val="6"/>
              </w:numPr>
              <w:jc w:val="left"/>
              <w:textAlignment w:val="center"/>
              <w:rPr>
                <w:rFonts w:hint="eastAsia" w:ascii="宋体" w:hAnsi="宋体" w:cs="宋体"/>
                <w:color w:val="000000"/>
                <w:sz w:val="20"/>
                <w:szCs w:val="20"/>
              </w:rPr>
            </w:pPr>
            <w:r>
              <w:rPr>
                <w:rFonts w:hint="eastAsia" w:ascii="宋体" w:hAnsi="宋体" w:cs="宋体"/>
                <w:color w:val="000000"/>
                <w:sz w:val="20"/>
                <w:szCs w:val="20"/>
              </w:rPr>
              <w:t>低</w:t>
            </w:r>
            <w:r>
              <w:rPr>
                <w:rFonts w:hint="eastAsia" w:ascii="宋体" w:hAnsi="宋体" w:cs="宋体"/>
                <w:color w:val="000000"/>
                <w:kern w:val="0"/>
                <w:sz w:val="20"/>
                <w:szCs w:val="20"/>
                <w:lang w:bidi="ar"/>
              </w:rPr>
              <w:t>筒，带松紧</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等线" w:hAnsi="宋体" w:eastAsia="等线" w:cs="宋体"/>
                <w:color w:val="000000"/>
                <w:sz w:val="18"/>
                <w:szCs w:val="18"/>
              </w:rPr>
            </w:pPr>
            <w:r>
              <w:rPr>
                <w:rFonts w:hint="eastAsia" w:ascii="等线" w:eastAsia="等线"/>
                <w:color w:val="000000"/>
                <w:sz w:val="18"/>
                <w:szCs w:val="18"/>
              </w:rPr>
              <w:t>50000</w:t>
            </w: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等线" w:eastAsia="等线"/>
                <w:color w:val="000000"/>
                <w:sz w:val="18"/>
                <w:szCs w:val="18"/>
              </w:rPr>
            </w:pPr>
            <w:r>
              <w:rPr>
                <w:rFonts w:hint="eastAsia" w:ascii="等线" w:eastAsia="等线"/>
                <w:color w:val="000000"/>
                <w:sz w:val="18"/>
                <w:szCs w:val="18"/>
              </w:rPr>
              <w:t>双</w:t>
            </w: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等线" w:eastAsia="等线"/>
                <w:color w:val="000000"/>
                <w:sz w:val="18"/>
                <w:szCs w:val="18"/>
                <w:lang w:val="en-US" w:eastAsia="zh-CN"/>
              </w:rPr>
            </w:pP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等线" w:eastAsia="等线"/>
                <w:color w:val="000000"/>
                <w:sz w:val="18"/>
                <w:szCs w:val="18"/>
                <w:lang w:val="en-US" w:eastAsia="zh-CN"/>
              </w:rPr>
            </w:pP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等线" w:eastAsia="等线"/>
                <w:color w:val="000000"/>
                <w:sz w:val="18"/>
                <w:szCs w:val="18"/>
                <w:lang w:val="en-US" w:eastAsia="zh-CN"/>
              </w:rPr>
            </w:pPr>
          </w:p>
        </w:tc>
      </w:tr>
      <w:tr>
        <w:tblPrEx>
          <w:tblCellMar>
            <w:top w:w="0" w:type="dxa"/>
            <w:left w:w="0" w:type="dxa"/>
            <w:bottom w:w="0" w:type="dxa"/>
            <w:right w:w="0" w:type="dxa"/>
          </w:tblCellMar>
        </w:tblPrEx>
        <w:trPr>
          <w:trHeight w:val="675" w:hRule="atLeast"/>
        </w:trPr>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连花清瘟颗粒</w:t>
            </w:r>
          </w:p>
        </w:tc>
        <w:tc>
          <w:tcPr>
            <w:tcW w:w="36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sz w:val="20"/>
                <w:szCs w:val="20"/>
              </w:rPr>
              <w:t>1．6g*10袋</w:t>
            </w:r>
          </w:p>
          <w:p>
            <w:pPr>
              <w:widowControl/>
              <w:jc w:val="left"/>
              <w:textAlignment w:val="center"/>
              <w:rPr>
                <w:rFonts w:hint="eastAsia" w:ascii="宋体" w:hAnsi="宋体" w:cs="宋体"/>
                <w:color w:val="000000"/>
                <w:sz w:val="20"/>
                <w:szCs w:val="20"/>
              </w:rPr>
            </w:pPr>
            <w:r>
              <w:rPr>
                <w:rFonts w:hint="eastAsia" w:ascii="宋体" w:hAnsi="宋体" w:cs="宋体"/>
                <w:color w:val="000000"/>
                <w:sz w:val="20"/>
                <w:szCs w:val="20"/>
              </w:rPr>
              <w:t>2．主要成份：连翘﹑金银花﹑麻黄（炙）﹑苦杏仁（炒）﹑石膏﹑板蓝根﹑绵马贯众﹑鱼腥草﹑广藿香﹑大黄﹑红景天﹑薄荷脑﹑甘草</w:t>
            </w:r>
          </w:p>
          <w:p>
            <w:pPr>
              <w:pStyle w:val="3"/>
              <w:ind w:firstLine="0" w:firstLineChars="0"/>
              <w:jc w:val="left"/>
              <w:rPr>
                <w:rFonts w:hint="eastAsia" w:ascii="宋体" w:hAnsi="宋体" w:cs="宋体"/>
                <w:color w:val="000000"/>
                <w:sz w:val="20"/>
                <w:szCs w:val="20"/>
              </w:rPr>
            </w:pPr>
            <w:r>
              <w:rPr>
                <w:rFonts w:hint="eastAsia" w:ascii="宋体" w:hAnsi="宋体" w:cs="宋体"/>
                <w:color w:val="000000"/>
                <w:sz w:val="20"/>
                <w:szCs w:val="20"/>
              </w:rPr>
              <w:t>3．应具备药品经营许可证或药品生产许可证</w:t>
            </w:r>
          </w:p>
          <w:p>
            <w:pPr>
              <w:pStyle w:val="3"/>
              <w:ind w:firstLine="0" w:firstLineChars="0"/>
              <w:jc w:val="left"/>
              <w:rPr>
                <w:rFonts w:hint="eastAsia" w:ascii="宋体" w:hAnsi="宋体" w:cs="宋体"/>
                <w:color w:val="000000"/>
                <w:sz w:val="20"/>
                <w:szCs w:val="20"/>
              </w:rPr>
            </w:pPr>
            <w:r>
              <w:rPr>
                <w:rFonts w:hint="eastAsia" w:ascii="宋体" w:hAnsi="宋体" w:cs="宋体"/>
                <w:color w:val="000000"/>
                <w:sz w:val="20"/>
                <w:szCs w:val="20"/>
              </w:rPr>
              <w:t>4．应具备药品生产批件或药品注册证及药品检验报告</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等线" w:hAnsi="宋体" w:eastAsia="等线" w:cs="宋体"/>
                <w:color w:val="000000"/>
                <w:sz w:val="18"/>
                <w:szCs w:val="18"/>
              </w:rPr>
            </w:pPr>
            <w:r>
              <w:rPr>
                <w:rFonts w:hint="eastAsia" w:ascii="等线" w:eastAsia="等线"/>
                <w:color w:val="000000"/>
                <w:sz w:val="18"/>
                <w:szCs w:val="18"/>
              </w:rPr>
              <w:t>4000</w:t>
            </w: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等线" w:eastAsia="等线"/>
                <w:color w:val="000000"/>
                <w:sz w:val="18"/>
                <w:szCs w:val="18"/>
              </w:rPr>
            </w:pPr>
            <w:r>
              <w:rPr>
                <w:rFonts w:hint="eastAsia" w:ascii="等线" w:eastAsia="等线"/>
                <w:color w:val="000000"/>
                <w:sz w:val="18"/>
                <w:szCs w:val="18"/>
              </w:rPr>
              <w:t>盒</w:t>
            </w: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等线" w:eastAsia="等线"/>
                <w:color w:val="000000"/>
                <w:sz w:val="18"/>
                <w:szCs w:val="18"/>
                <w:lang w:val="en-US" w:eastAsia="zh-CN"/>
              </w:rPr>
            </w:pP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等线" w:eastAsia="等线"/>
                <w:color w:val="000000"/>
                <w:sz w:val="18"/>
                <w:szCs w:val="18"/>
                <w:lang w:val="en-US" w:eastAsia="zh-CN"/>
              </w:rPr>
            </w:pP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等线" w:eastAsia="等线"/>
                <w:color w:val="000000"/>
                <w:sz w:val="18"/>
                <w:szCs w:val="18"/>
                <w:lang w:val="en-US" w:eastAsia="zh-CN"/>
              </w:rPr>
            </w:pPr>
          </w:p>
        </w:tc>
      </w:tr>
      <w:tr>
        <w:tblPrEx>
          <w:tblCellMar>
            <w:top w:w="0" w:type="dxa"/>
            <w:left w:w="0" w:type="dxa"/>
            <w:bottom w:w="0" w:type="dxa"/>
            <w:right w:w="0" w:type="dxa"/>
          </w:tblCellMar>
        </w:tblPrEx>
        <w:trPr>
          <w:trHeight w:val="675" w:hRule="atLeast"/>
        </w:trPr>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维生素C片</w:t>
            </w:r>
          </w:p>
        </w:tc>
        <w:tc>
          <w:tcPr>
            <w:tcW w:w="36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1．瓶装，</w:t>
            </w:r>
            <w:r>
              <w:rPr>
                <w:rFonts w:ascii="宋体" w:hAnsi="宋体" w:cs="宋体"/>
                <w:color w:val="000000"/>
                <w:kern w:val="0"/>
                <w:sz w:val="20"/>
                <w:szCs w:val="20"/>
                <w:lang w:bidi="ar"/>
              </w:rPr>
              <w:t>0.1g*100s</w:t>
            </w:r>
          </w:p>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2．主要成份维生素C 0.1克,辅料为淀粉、糊精、枸橼酸、可压性淀粉、滑石粉、硬脂酸镁、乙二胺四乙酸二钠盐</w:t>
            </w:r>
          </w:p>
          <w:p>
            <w:pPr>
              <w:pStyle w:val="3"/>
              <w:ind w:firstLine="0" w:firstLineChars="0"/>
              <w:jc w:val="left"/>
              <w:rPr>
                <w:rFonts w:hint="eastAsia" w:ascii="宋体" w:hAnsi="宋体" w:cs="宋体"/>
                <w:color w:val="000000"/>
                <w:sz w:val="20"/>
                <w:szCs w:val="20"/>
              </w:rPr>
            </w:pPr>
            <w:r>
              <w:rPr>
                <w:rFonts w:hint="eastAsia" w:ascii="宋体" w:hAnsi="宋体" w:cs="宋体"/>
                <w:color w:val="000000"/>
                <w:sz w:val="20"/>
                <w:szCs w:val="20"/>
              </w:rPr>
              <w:t>3．应具备药品经营许可证或药品生产许可证</w:t>
            </w:r>
          </w:p>
          <w:p>
            <w:pPr>
              <w:pStyle w:val="3"/>
              <w:ind w:firstLine="0" w:firstLineChars="0"/>
              <w:jc w:val="left"/>
              <w:rPr>
                <w:rFonts w:hint="eastAsia" w:ascii="宋体" w:hAnsi="宋体" w:cs="宋体"/>
                <w:color w:val="000000"/>
                <w:sz w:val="20"/>
                <w:szCs w:val="20"/>
              </w:rPr>
            </w:pPr>
            <w:r>
              <w:rPr>
                <w:rFonts w:hint="eastAsia" w:ascii="宋体" w:hAnsi="宋体" w:cs="宋体"/>
                <w:color w:val="000000"/>
                <w:sz w:val="20"/>
                <w:szCs w:val="20"/>
              </w:rPr>
              <w:t>4．应具备药品生产批件或药品注册证及药品检验报告</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等线" w:hAnsi="宋体" w:eastAsia="等线" w:cs="宋体"/>
                <w:color w:val="000000"/>
                <w:sz w:val="18"/>
                <w:szCs w:val="18"/>
              </w:rPr>
            </w:pPr>
            <w:r>
              <w:rPr>
                <w:rFonts w:hint="eastAsia" w:ascii="等线" w:eastAsia="等线"/>
                <w:color w:val="000000"/>
                <w:sz w:val="18"/>
                <w:szCs w:val="18"/>
              </w:rPr>
              <w:t>6720</w:t>
            </w: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等线" w:eastAsia="等线"/>
                <w:color w:val="000000"/>
                <w:sz w:val="18"/>
                <w:szCs w:val="18"/>
              </w:rPr>
            </w:pPr>
            <w:r>
              <w:rPr>
                <w:rFonts w:hint="eastAsia" w:ascii="等线" w:eastAsia="等线"/>
                <w:color w:val="000000"/>
                <w:sz w:val="18"/>
                <w:szCs w:val="18"/>
              </w:rPr>
              <w:t>瓶</w:t>
            </w: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等线" w:eastAsia="等线"/>
                <w:color w:val="000000"/>
                <w:sz w:val="18"/>
                <w:szCs w:val="18"/>
                <w:lang w:val="en-US" w:eastAsia="zh-CN"/>
              </w:rPr>
            </w:pPr>
          </w:p>
        </w:tc>
        <w:tc>
          <w:tcPr>
            <w:tcW w:w="6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等线" w:eastAsia="等线"/>
                <w:color w:val="000000"/>
                <w:sz w:val="18"/>
                <w:szCs w:val="18"/>
                <w:lang w:val="en-US" w:eastAsia="zh-CN"/>
              </w:rPr>
            </w:pP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等线" w:eastAsia="等线"/>
                <w:color w:val="000000"/>
                <w:sz w:val="18"/>
                <w:szCs w:val="18"/>
                <w:lang w:val="en-US" w:eastAsia="zh-CN"/>
              </w:rPr>
            </w:pPr>
          </w:p>
        </w:tc>
      </w:tr>
      <w:tr>
        <w:tblPrEx>
          <w:tblCellMar>
            <w:top w:w="0" w:type="dxa"/>
            <w:left w:w="0" w:type="dxa"/>
            <w:bottom w:w="0" w:type="dxa"/>
            <w:right w:w="0" w:type="dxa"/>
          </w:tblCellMar>
        </w:tblPrEx>
        <w:trPr>
          <w:trHeight w:val="675" w:hRule="atLeast"/>
        </w:trPr>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p>
        </w:tc>
        <w:tc>
          <w:tcPr>
            <w:tcW w:w="502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ind w:firstLine="0" w:firstLineChars="0"/>
              <w:jc w:val="center"/>
              <w:rPr>
                <w:rFonts w:hint="default" w:ascii="宋体" w:hAnsi="宋体" w:eastAsia="宋体" w:cs="宋体"/>
                <w:color w:val="000000"/>
                <w:sz w:val="20"/>
                <w:szCs w:val="20"/>
                <w:lang w:val="en-US" w:eastAsia="zh-CN"/>
              </w:rPr>
            </w:pPr>
          </w:p>
        </w:tc>
        <w:tc>
          <w:tcPr>
            <w:tcW w:w="270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等线" w:eastAsia="等线"/>
                <w:color w:val="000000"/>
                <w:sz w:val="18"/>
                <w:szCs w:val="18"/>
                <w:lang w:val="en-US" w:eastAsia="zh-CN"/>
              </w:rPr>
            </w:pP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等线" w:eastAsia="等线"/>
                <w:color w:val="000000"/>
                <w:sz w:val="18"/>
                <w:szCs w:val="18"/>
                <w:lang w:val="en-US" w:eastAsia="zh-CN"/>
              </w:rPr>
            </w:pPr>
          </w:p>
        </w:tc>
      </w:tr>
    </w:tbl>
    <w:p>
      <w:pPr>
        <w:pStyle w:val="2"/>
        <w:numPr>
          <w:ilvl w:val="0"/>
          <w:numId w:val="0"/>
        </w:numPr>
        <w:ind w:left="900"/>
        <w:jc w:val="left"/>
      </w:pPr>
    </w:p>
    <w:p>
      <w:pPr>
        <w:spacing w:line="460" w:lineRule="exact"/>
        <w:rPr>
          <w:rFonts w:ascii="宋体" w:hAnsi="宋体"/>
          <w:b/>
          <w:bCs/>
          <w:color w:val="000000"/>
          <w:sz w:val="24"/>
        </w:rPr>
      </w:pPr>
    </w:p>
    <w:p>
      <w:pPr>
        <w:pStyle w:val="2"/>
        <w:numPr>
          <w:ilvl w:val="0"/>
          <w:numId w:val="0"/>
        </w:numPr>
        <w:rPr>
          <w:rFonts w:ascii="宋体" w:hAnsi="宋体"/>
          <w:b/>
          <w:bCs/>
          <w:color w:val="000000"/>
          <w:sz w:val="24"/>
        </w:rPr>
      </w:pPr>
    </w:p>
    <w:p>
      <w:pPr>
        <w:pStyle w:val="2"/>
        <w:numPr>
          <w:ilvl w:val="0"/>
          <w:numId w:val="0"/>
        </w:numPr>
        <w:rPr>
          <w:rFonts w:ascii="宋体" w:hAnsi="宋体"/>
          <w:b/>
          <w:bCs/>
          <w:color w:val="000000"/>
          <w:sz w:val="24"/>
        </w:rPr>
      </w:pPr>
    </w:p>
    <w:p>
      <w:pPr>
        <w:pStyle w:val="2"/>
        <w:numPr>
          <w:ilvl w:val="0"/>
          <w:numId w:val="0"/>
        </w:numPr>
        <w:rPr>
          <w:rFonts w:ascii="宋体" w:hAnsi="宋体"/>
          <w:b/>
          <w:bCs/>
          <w:color w:val="000000"/>
          <w:sz w:val="24"/>
        </w:rPr>
      </w:pPr>
    </w:p>
    <w:p>
      <w:pPr>
        <w:pStyle w:val="2"/>
        <w:numPr>
          <w:ilvl w:val="0"/>
          <w:numId w:val="0"/>
        </w:numPr>
        <w:rPr>
          <w:rFonts w:ascii="宋体" w:hAnsi="宋体"/>
          <w:b/>
          <w:bCs/>
          <w:color w:val="000000"/>
          <w:sz w:val="24"/>
        </w:rPr>
      </w:pPr>
    </w:p>
    <w:p>
      <w:pPr>
        <w:spacing w:line="460" w:lineRule="exact"/>
        <w:rPr>
          <w:rFonts w:ascii="宋体" w:hAnsi="宋体"/>
          <w:b/>
          <w:bCs/>
          <w:color w:val="000000"/>
          <w:sz w:val="24"/>
        </w:rPr>
      </w:pPr>
    </w:p>
    <w:p>
      <w:pPr>
        <w:pStyle w:val="2"/>
        <w:numPr>
          <w:ilvl w:val="0"/>
          <w:numId w:val="0"/>
        </w:numPr>
        <w:ind w:left="900"/>
        <w:jc w:val="left"/>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pStyle w:val="7"/>
        <w:rPr>
          <w:rFonts w:ascii="宋体" w:hAnsi="宋体"/>
          <w:b/>
          <w:bCs/>
          <w:color w:val="000000"/>
          <w:sz w:val="24"/>
        </w:rPr>
      </w:pPr>
    </w:p>
    <w:p>
      <w:pPr>
        <w:pStyle w:val="7"/>
        <w:rPr>
          <w:rFonts w:ascii="宋体" w:hAnsi="宋体"/>
          <w:b/>
          <w:bCs/>
          <w:color w:val="000000"/>
          <w:sz w:val="24"/>
        </w:rPr>
      </w:pPr>
    </w:p>
    <w:p>
      <w:pPr>
        <w:pStyle w:val="7"/>
        <w:rPr>
          <w:rFonts w:ascii="宋体" w:hAnsi="宋体"/>
          <w:b/>
          <w:bCs/>
          <w:color w:val="000000"/>
          <w:sz w:val="24"/>
        </w:rPr>
      </w:pPr>
    </w:p>
    <w:p/>
    <w:p>
      <w:pPr>
        <w:pStyle w:val="2"/>
        <w:numPr>
          <w:ilvl w:val="0"/>
          <w:numId w:val="0"/>
        </w:numPr>
        <w:ind w:left="900"/>
      </w:pPr>
    </w:p>
    <w:p>
      <w:pPr>
        <w:pStyle w:val="2"/>
        <w:numPr>
          <w:ilvl w:val="0"/>
          <w:numId w:val="0"/>
        </w:numPr>
        <w:ind w:left="900"/>
      </w:pPr>
    </w:p>
    <w:p>
      <w:pPr>
        <w:pStyle w:val="2"/>
        <w:numPr>
          <w:ilvl w:val="0"/>
          <w:numId w:val="0"/>
        </w:numPr>
        <w:ind w:left="900"/>
      </w:pPr>
    </w:p>
    <w:p>
      <w:pPr>
        <w:pStyle w:val="2"/>
        <w:numPr>
          <w:ilvl w:val="0"/>
          <w:numId w:val="0"/>
        </w:numPr>
        <w:ind w:left="900"/>
      </w:pPr>
    </w:p>
    <w:p>
      <w:pPr>
        <w:pStyle w:val="2"/>
        <w:numPr>
          <w:ilvl w:val="0"/>
          <w:numId w:val="0"/>
        </w:numPr>
        <w:ind w:left="900"/>
      </w:pPr>
    </w:p>
    <w:p>
      <w:pPr>
        <w:pStyle w:val="2"/>
        <w:numPr>
          <w:ilvl w:val="0"/>
          <w:numId w:val="0"/>
        </w:numPr>
        <w:ind w:left="900"/>
      </w:pPr>
    </w:p>
    <w:p>
      <w:pPr>
        <w:pStyle w:val="2"/>
        <w:numPr>
          <w:ilvl w:val="0"/>
          <w:numId w:val="0"/>
        </w:numPr>
        <w:ind w:left="900"/>
      </w:pPr>
    </w:p>
    <w:p>
      <w:pPr>
        <w:pStyle w:val="2"/>
        <w:numPr>
          <w:ilvl w:val="0"/>
          <w:numId w:val="0"/>
        </w:numPr>
        <w:ind w:left="900"/>
      </w:pPr>
    </w:p>
    <w:p>
      <w:pPr>
        <w:pStyle w:val="2"/>
        <w:numPr>
          <w:ilvl w:val="0"/>
          <w:numId w:val="0"/>
        </w:numPr>
        <w:ind w:left="900"/>
      </w:pPr>
    </w:p>
    <w:p>
      <w:pPr>
        <w:pStyle w:val="2"/>
        <w:numPr>
          <w:ilvl w:val="0"/>
          <w:numId w:val="0"/>
        </w:numPr>
        <w:ind w:left="900"/>
      </w:pPr>
    </w:p>
    <w:p>
      <w:pPr>
        <w:pStyle w:val="2"/>
        <w:numPr>
          <w:ilvl w:val="0"/>
          <w:numId w:val="0"/>
        </w:numPr>
        <w:ind w:left="900"/>
      </w:pPr>
    </w:p>
    <w:p>
      <w:pPr>
        <w:pStyle w:val="2"/>
        <w:numPr>
          <w:ilvl w:val="0"/>
          <w:numId w:val="0"/>
        </w:numPr>
        <w:jc w:val="both"/>
      </w:pPr>
    </w:p>
    <w:p>
      <w:pPr>
        <w:pStyle w:val="2"/>
        <w:numPr>
          <w:ilvl w:val="0"/>
          <w:numId w:val="0"/>
        </w:numPr>
        <w:ind w:left="900"/>
      </w:pPr>
    </w:p>
    <w:p>
      <w:pPr>
        <w:spacing w:line="460" w:lineRule="exact"/>
        <w:jc w:val="center"/>
        <w:rPr>
          <w:rFonts w:ascii="宋体" w:hAnsi="宋体"/>
          <w:b/>
          <w:bCs/>
          <w:color w:val="000000"/>
          <w:sz w:val="24"/>
        </w:rPr>
      </w:pPr>
      <w:r>
        <w:rPr>
          <w:rFonts w:hint="eastAsia" w:ascii="宋体" w:hAnsi="宋体"/>
          <w:b/>
          <w:bCs/>
          <w:color w:val="000000"/>
          <w:sz w:val="24"/>
        </w:rPr>
        <w:t xml:space="preserve">第四章   </w:t>
      </w:r>
      <w:r>
        <w:rPr>
          <w:rFonts w:ascii="宋体" w:hAnsi="宋体"/>
          <w:b/>
          <w:bCs/>
          <w:color w:val="000000"/>
          <w:sz w:val="24"/>
        </w:rPr>
        <w:t>招标货物要求</w:t>
      </w:r>
    </w:p>
    <w:p>
      <w:pPr>
        <w:spacing w:line="460" w:lineRule="exact"/>
        <w:outlineLvl w:val="0"/>
        <w:rPr>
          <w:rFonts w:ascii="宋体" w:hAnsi="宋体"/>
          <w:sz w:val="24"/>
        </w:rPr>
      </w:pPr>
      <w:r>
        <w:rPr>
          <w:rFonts w:hint="eastAsia" w:ascii="宋体" w:hAnsi="宋体"/>
          <w:sz w:val="24"/>
        </w:rPr>
        <w:t>一、培训要求</w:t>
      </w:r>
    </w:p>
    <w:p>
      <w:pPr>
        <w:spacing w:line="460" w:lineRule="exact"/>
        <w:rPr>
          <w:rFonts w:ascii="宋体" w:hAnsi="宋体"/>
          <w:sz w:val="24"/>
        </w:rPr>
      </w:pPr>
      <w:r>
        <w:rPr>
          <w:rFonts w:hint="eastAsia" w:ascii="宋体" w:hAnsi="宋体"/>
          <w:sz w:val="24"/>
        </w:rPr>
        <w:t>1.1投标人应负责对招标人工程技术人员和操作人员提供免费的技术和操作、维修等方面的技术指导和培训。</w:t>
      </w:r>
    </w:p>
    <w:p>
      <w:pPr>
        <w:spacing w:line="460" w:lineRule="exact"/>
        <w:rPr>
          <w:rFonts w:ascii="宋体" w:hAnsi="宋体"/>
          <w:sz w:val="24"/>
        </w:rPr>
      </w:pPr>
      <w:r>
        <w:rPr>
          <w:rFonts w:hint="eastAsia" w:ascii="宋体" w:hAnsi="宋体"/>
          <w:sz w:val="24"/>
        </w:rPr>
        <w:t>1.2培训方式：培训主要为实际上机操作培训，在设备安装调试验收过程中进行,主要内容为设备结构、原理、安装技术特性，设备的操作、维修、使用初期及正常使用的维护保养、常见的故障及排除等。</w:t>
      </w:r>
    </w:p>
    <w:p>
      <w:pPr>
        <w:spacing w:line="460" w:lineRule="exact"/>
        <w:rPr>
          <w:rFonts w:ascii="宋体" w:hAnsi="宋体"/>
          <w:sz w:val="24"/>
        </w:rPr>
      </w:pPr>
      <w:r>
        <w:rPr>
          <w:rFonts w:hint="eastAsia" w:ascii="宋体" w:hAnsi="宋体"/>
          <w:sz w:val="24"/>
        </w:rPr>
        <w:t>1.3培训要求：熟练使用设备能力的系统培训，对设备经常性故障排除及操作系统培训，各种易损件的更换及注意事项的培训，技术文件的使用、生产工艺控制、操作指导、设备维护保养等知识的培训。使受培训人员认识设备的特点和特性，掌握设备运行、维修和使用管理等方面的综合知识。</w:t>
      </w:r>
    </w:p>
    <w:p>
      <w:pPr>
        <w:spacing w:line="460" w:lineRule="exact"/>
        <w:rPr>
          <w:rFonts w:ascii="宋体" w:hAnsi="宋体"/>
          <w:sz w:val="24"/>
        </w:rPr>
      </w:pPr>
      <w:r>
        <w:rPr>
          <w:rFonts w:hint="eastAsia" w:ascii="宋体" w:hAnsi="宋体"/>
          <w:sz w:val="24"/>
        </w:rPr>
        <w:t>1.4投标人应免费提供培训资料。</w:t>
      </w:r>
    </w:p>
    <w:p>
      <w:pPr>
        <w:spacing w:line="460" w:lineRule="exact"/>
        <w:outlineLvl w:val="0"/>
        <w:rPr>
          <w:rFonts w:ascii="宋体" w:hAnsi="宋体"/>
          <w:sz w:val="24"/>
        </w:rPr>
      </w:pPr>
      <w:r>
        <w:rPr>
          <w:rFonts w:hint="eastAsia" w:ascii="宋体" w:hAnsi="宋体"/>
          <w:sz w:val="24"/>
        </w:rPr>
        <w:t>二、售后服务及质量保证</w:t>
      </w:r>
    </w:p>
    <w:p>
      <w:pPr>
        <w:spacing w:line="460" w:lineRule="exact"/>
        <w:rPr>
          <w:rFonts w:ascii="宋体" w:hAnsi="宋体"/>
          <w:sz w:val="24"/>
          <w:highlight w:val="yellow"/>
        </w:rPr>
      </w:pPr>
      <w:r>
        <w:rPr>
          <w:rFonts w:hint="eastAsia" w:ascii="宋体" w:hAnsi="宋体"/>
          <w:sz w:val="24"/>
        </w:rPr>
        <w:t>2.1投标人在与招标人签订合同后，</w:t>
      </w:r>
      <w:r>
        <w:rPr>
          <w:rFonts w:hint="eastAsia" w:ascii="宋体" w:hAnsi="宋体"/>
          <w:sz w:val="24"/>
          <w:highlight w:val="yellow"/>
          <w:lang w:val="en-US" w:eastAsia="zh-CN"/>
        </w:rPr>
        <w:t>7</w:t>
      </w:r>
      <w:r>
        <w:rPr>
          <w:rFonts w:hint="eastAsia" w:ascii="宋体" w:hAnsi="宋体"/>
          <w:sz w:val="24"/>
          <w:highlight w:val="yellow"/>
        </w:rPr>
        <w:t>日历日内完成。</w:t>
      </w:r>
    </w:p>
    <w:p>
      <w:pPr>
        <w:spacing w:line="460" w:lineRule="exact"/>
        <w:rPr>
          <w:rFonts w:ascii="宋体" w:hAnsi="宋体"/>
          <w:sz w:val="24"/>
        </w:rPr>
      </w:pPr>
      <w:r>
        <w:rPr>
          <w:rFonts w:hint="eastAsia" w:ascii="宋体" w:hAnsi="宋体"/>
          <w:sz w:val="24"/>
        </w:rPr>
        <w:t>2.2调试期：投标人应在到货后立即进行安装及调试，保证货物交付使用。</w:t>
      </w:r>
    </w:p>
    <w:p>
      <w:pPr>
        <w:spacing w:line="460" w:lineRule="exact"/>
        <w:rPr>
          <w:rFonts w:ascii="宋体" w:hAnsi="宋体"/>
          <w:sz w:val="24"/>
        </w:rPr>
      </w:pPr>
      <w:r>
        <w:rPr>
          <w:rFonts w:hint="eastAsia" w:ascii="宋体" w:hAnsi="宋体"/>
          <w:sz w:val="24"/>
        </w:rPr>
        <w:t>2.3设备保质期在货物交付使用、招标人验收合格后算起，除有特殊要求外，质保期均为一年。</w:t>
      </w:r>
    </w:p>
    <w:p>
      <w:pPr>
        <w:spacing w:line="460" w:lineRule="exact"/>
        <w:rPr>
          <w:rFonts w:ascii="宋体" w:hAnsi="宋体"/>
          <w:sz w:val="24"/>
        </w:rPr>
      </w:pPr>
      <w:r>
        <w:rPr>
          <w:rFonts w:hint="eastAsia" w:ascii="宋体" w:hAnsi="宋体"/>
          <w:sz w:val="24"/>
        </w:rPr>
        <w:t>2.4在质保期内因设备质量问题造成的损坏，投标人负责免费维修或更换，要求售后服务24小时内及时响应。</w:t>
      </w:r>
    </w:p>
    <w:p>
      <w:pPr>
        <w:spacing w:line="460" w:lineRule="exact"/>
        <w:rPr>
          <w:rFonts w:ascii="宋体" w:hAnsi="宋体"/>
          <w:sz w:val="24"/>
        </w:rPr>
      </w:pPr>
      <w:r>
        <w:rPr>
          <w:rFonts w:hint="eastAsia" w:ascii="宋体" w:hAnsi="宋体"/>
          <w:sz w:val="24"/>
        </w:rPr>
        <w:t>2.5质保期满后，投标人应保证对设备的备件、易损件按投标时的报价优惠供应，并确保招标人及时收到所需的备件和易损件。</w:t>
      </w:r>
    </w:p>
    <w:p>
      <w:pPr>
        <w:spacing w:line="460" w:lineRule="exact"/>
        <w:rPr>
          <w:rFonts w:ascii="宋体" w:hAnsi="宋体"/>
          <w:sz w:val="24"/>
        </w:rPr>
      </w:pPr>
      <w:r>
        <w:rPr>
          <w:rFonts w:hint="eastAsia" w:ascii="宋体" w:hAnsi="宋体"/>
          <w:sz w:val="24"/>
        </w:rPr>
        <w:t>2.6投标人在产品交付使用后应保证售后服务，构建完好的售后服务体系，保证设备的正常运行。</w:t>
      </w:r>
    </w:p>
    <w:p>
      <w:pPr>
        <w:spacing w:line="460" w:lineRule="exact"/>
        <w:rPr>
          <w:rFonts w:ascii="宋体" w:hAnsi="宋体"/>
          <w:sz w:val="24"/>
        </w:rPr>
      </w:pPr>
      <w:r>
        <w:rPr>
          <w:rFonts w:hint="eastAsia" w:ascii="宋体" w:hAnsi="宋体"/>
          <w:sz w:val="24"/>
        </w:rPr>
        <w:t>2.7 投标人应在货物安装调试的同时或安装完毕及运行阶段，为招标人提供技术服务。</w:t>
      </w:r>
    </w:p>
    <w:p>
      <w:pPr>
        <w:spacing w:line="460" w:lineRule="exact"/>
        <w:rPr>
          <w:rFonts w:ascii="宋体" w:hAnsi="宋体"/>
          <w:b/>
          <w:bCs/>
          <w:color w:val="000000"/>
          <w:sz w:val="24"/>
        </w:rPr>
      </w:pPr>
      <w:r>
        <w:rPr>
          <w:rFonts w:hint="eastAsia" w:ascii="宋体" w:hAnsi="宋体"/>
          <w:sz w:val="24"/>
        </w:rPr>
        <w:t>2.8 售后保障：货物出现质量问题后，投标人应在接到招标人通知后按招标人要求到达货物使用现场，并负责货物维修及更换零部件。</w:t>
      </w:r>
    </w:p>
    <w:p>
      <w:pPr>
        <w:spacing w:line="460" w:lineRule="exact"/>
        <w:jc w:val="center"/>
        <w:rPr>
          <w:rFonts w:ascii="宋体" w:hAnsi="宋体"/>
          <w:b/>
          <w:bCs/>
          <w:color w:val="000000"/>
          <w:sz w:val="24"/>
        </w:rPr>
      </w:pPr>
    </w:p>
    <w:p>
      <w:pPr>
        <w:spacing w:line="460" w:lineRule="exact"/>
        <w:jc w:val="center"/>
        <w:rPr>
          <w:rFonts w:ascii="宋体" w:hAnsi="宋体"/>
          <w:color w:val="000000"/>
          <w:sz w:val="24"/>
        </w:rPr>
      </w:pPr>
      <w:r>
        <w:rPr>
          <w:rFonts w:ascii="宋体" w:hAnsi="宋体"/>
          <w:b/>
          <w:bCs/>
          <w:color w:val="000000"/>
          <w:sz w:val="24"/>
        </w:rPr>
        <w:t>第五章  合同条款</w:t>
      </w:r>
      <w:r>
        <w:rPr>
          <w:rFonts w:hint="eastAsia" w:ascii="宋体" w:hAnsi="宋体"/>
          <w:b/>
          <w:bCs/>
          <w:color w:val="000000"/>
          <w:sz w:val="24"/>
        </w:rPr>
        <w:t>（仅供参考）</w:t>
      </w:r>
    </w:p>
    <w:p>
      <w:pPr>
        <w:spacing w:line="460" w:lineRule="exact"/>
        <w:rPr>
          <w:rFonts w:ascii="宋体" w:hAnsi="宋体"/>
          <w:color w:val="000000"/>
          <w:sz w:val="24"/>
        </w:rPr>
      </w:pPr>
      <w:r>
        <w:rPr>
          <w:rFonts w:ascii="宋体" w:hAnsi="宋体"/>
          <w:color w:val="000000"/>
          <w:sz w:val="24"/>
        </w:rPr>
        <w:t>1．定义</w:t>
      </w:r>
    </w:p>
    <w:p>
      <w:pPr>
        <w:spacing w:line="460" w:lineRule="exact"/>
        <w:rPr>
          <w:rFonts w:ascii="宋体" w:hAnsi="宋体"/>
          <w:color w:val="000000"/>
          <w:sz w:val="24"/>
        </w:rPr>
      </w:pPr>
      <w:r>
        <w:rPr>
          <w:rFonts w:ascii="宋体" w:hAnsi="宋体"/>
          <w:color w:val="000000"/>
          <w:sz w:val="24"/>
        </w:rPr>
        <w:t xml:space="preserve">    1.1本合同下列词语应解释为：</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1.1.1</w:t>
      </w:r>
      <w:r>
        <w:rPr>
          <w:rFonts w:ascii="宋体" w:hAnsi="宋体"/>
          <w:color w:val="000000"/>
          <w:sz w:val="24"/>
        </w:rPr>
        <w:t>“合同”系指买方和卖方(以下简称合同双方)己达成的协议，即由</w:t>
      </w:r>
      <w:r>
        <w:rPr>
          <w:rFonts w:hint="eastAsia" w:ascii="宋体" w:hAnsi="宋体"/>
          <w:color w:val="000000"/>
          <w:sz w:val="24"/>
        </w:rPr>
        <w:t>双方签订的合同格式中的文件，包括所有附件、附表和组成合同部分的所有文件。</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1.1.2</w:t>
      </w:r>
      <w:r>
        <w:rPr>
          <w:rFonts w:ascii="宋体" w:hAnsi="宋体"/>
          <w:color w:val="000000"/>
          <w:sz w:val="24"/>
        </w:rPr>
        <w:t>“合同价格”系指根据合同规定，在卖方全面正确的履行合同义务时</w:t>
      </w:r>
      <w:r>
        <w:rPr>
          <w:rFonts w:hint="eastAsia" w:ascii="宋体" w:hAnsi="宋体"/>
          <w:color w:val="000000"/>
          <w:sz w:val="24"/>
        </w:rPr>
        <w:t>买方应支付给卖方的货币额。</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1.1.3</w:t>
      </w:r>
      <w:r>
        <w:rPr>
          <w:rFonts w:ascii="宋体" w:hAnsi="宋体"/>
          <w:color w:val="000000"/>
          <w:sz w:val="24"/>
        </w:rPr>
        <w:t>“货物”系指卖方按合同要求，须向买方提供的货物以及相关的技术</w:t>
      </w:r>
      <w:r>
        <w:rPr>
          <w:rFonts w:hint="eastAsia" w:ascii="宋体" w:hAnsi="宋体"/>
          <w:color w:val="000000"/>
          <w:sz w:val="24"/>
        </w:rPr>
        <w:t>资料和材料。</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1.1.4</w:t>
      </w:r>
      <w:r>
        <w:rPr>
          <w:rFonts w:ascii="宋体" w:hAnsi="宋体"/>
          <w:color w:val="000000"/>
          <w:sz w:val="24"/>
        </w:rPr>
        <w:t>“服务”系指合同规定卖方须承担的运输、保险、技术协助、校准、</w:t>
      </w:r>
      <w:r>
        <w:rPr>
          <w:rFonts w:hint="eastAsia" w:ascii="宋体" w:hAnsi="宋体"/>
          <w:color w:val="000000"/>
          <w:sz w:val="24"/>
        </w:rPr>
        <w:t>培训以及其他类似的义务。</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1.1.5</w:t>
      </w:r>
      <w:r>
        <w:rPr>
          <w:rFonts w:ascii="宋体" w:hAnsi="宋体"/>
          <w:color w:val="000000"/>
          <w:sz w:val="24"/>
        </w:rPr>
        <w:t>“买方”系指购买货物的单位。</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1.1.6</w:t>
      </w:r>
      <w:r>
        <w:rPr>
          <w:rFonts w:ascii="宋体" w:hAnsi="宋体"/>
          <w:color w:val="000000"/>
          <w:sz w:val="24"/>
        </w:rPr>
        <w:t>“卖方”系指提供合同货物和服务的法人实体。</w:t>
      </w:r>
    </w:p>
    <w:p>
      <w:pPr>
        <w:spacing w:line="460" w:lineRule="exact"/>
        <w:ind w:firstLine="480" w:firstLineChars="200"/>
        <w:rPr>
          <w:rFonts w:ascii="宋体" w:hAnsi="宋体"/>
          <w:color w:val="000000"/>
          <w:sz w:val="24"/>
        </w:rPr>
      </w:pPr>
      <w:r>
        <w:rPr>
          <w:rFonts w:hint="eastAsia" w:ascii="宋体" w:hAnsi="宋体"/>
          <w:color w:val="000000"/>
          <w:sz w:val="24"/>
        </w:rPr>
        <w:t>1.1.7</w:t>
      </w:r>
      <w:r>
        <w:rPr>
          <w:rFonts w:ascii="宋体" w:hAnsi="宋体"/>
          <w:color w:val="000000"/>
          <w:sz w:val="24"/>
        </w:rPr>
        <w:t>“现场”系指将要进行货物安装和运转的地点。</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1.1.8</w:t>
      </w:r>
      <w:r>
        <w:rPr>
          <w:rFonts w:ascii="宋体" w:hAnsi="宋体"/>
          <w:color w:val="000000"/>
          <w:sz w:val="24"/>
        </w:rPr>
        <w:t>“验收”系指买方依据技术规定接受所供货物应依据的程序和条件。</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2．技术规格和标准</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2.1本合同项下所供货物的技术规格应与本招标文件技术规格规定的</w:t>
      </w:r>
      <w:r>
        <w:rPr>
          <w:rFonts w:hint="eastAsia" w:ascii="宋体" w:hAnsi="宋体"/>
          <w:color w:val="000000"/>
          <w:sz w:val="24"/>
        </w:rPr>
        <w:t>标准相一致。若技术规格中无相应规定，货物则应符合国家有关部门最新颁布的相应标准。</w:t>
      </w:r>
    </w:p>
    <w:p>
      <w:pPr>
        <w:spacing w:line="460" w:lineRule="exact"/>
        <w:rPr>
          <w:rFonts w:ascii="宋体" w:hAnsi="宋体"/>
          <w:color w:val="000000"/>
          <w:sz w:val="24"/>
        </w:rPr>
      </w:pPr>
      <w:r>
        <w:rPr>
          <w:rFonts w:ascii="宋体" w:hAnsi="宋体"/>
          <w:color w:val="000000"/>
          <w:sz w:val="24"/>
        </w:rPr>
        <w:t xml:space="preserve">    3．专利权</w:t>
      </w:r>
    </w:p>
    <w:p>
      <w:pPr>
        <w:spacing w:line="460" w:lineRule="exact"/>
        <w:rPr>
          <w:rFonts w:ascii="宋体" w:hAnsi="宋体"/>
          <w:color w:val="000000"/>
          <w:sz w:val="24"/>
        </w:rPr>
      </w:pPr>
      <w:r>
        <w:rPr>
          <w:rFonts w:ascii="宋体" w:hAnsi="宋体"/>
          <w:color w:val="000000"/>
          <w:sz w:val="24"/>
        </w:rPr>
        <w:t xml:space="preserve">    3.1卖方须保证买方在使用其货物、服务及其任何一部分时不受到第三</w:t>
      </w:r>
      <w:r>
        <w:rPr>
          <w:rFonts w:hint="eastAsia" w:ascii="宋体" w:hAnsi="宋体"/>
          <w:color w:val="000000"/>
          <w:sz w:val="24"/>
        </w:rPr>
        <w:t>方关于侵权的指控。如果出现此类情况，由卖方与第三方交涉并承担可能发生的一切经济和法律责任。</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4</w:t>
      </w:r>
      <w:r>
        <w:rPr>
          <w:rFonts w:ascii="宋体" w:hAnsi="宋体"/>
          <w:color w:val="000000"/>
          <w:sz w:val="24"/>
        </w:rPr>
        <w:t>．交货条件</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4</w:t>
      </w:r>
      <w:r>
        <w:rPr>
          <w:rFonts w:ascii="宋体" w:hAnsi="宋体"/>
          <w:color w:val="000000"/>
          <w:sz w:val="24"/>
        </w:rPr>
        <w:t>.1卖方发货时，应事先用函</w:t>
      </w:r>
      <w:r>
        <w:rPr>
          <w:rFonts w:hint="eastAsia" w:ascii="宋体" w:hAnsi="宋体"/>
          <w:color w:val="000000"/>
          <w:sz w:val="24"/>
        </w:rPr>
        <w:t>、电话通知买方。</w:t>
      </w:r>
      <w:r>
        <w:rPr>
          <w:rFonts w:ascii="宋体" w:hAnsi="宋体"/>
          <w:color w:val="000000"/>
          <w:sz w:val="24"/>
        </w:rPr>
        <w:t xml:space="preserve">    </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4</w:t>
      </w:r>
      <w:r>
        <w:rPr>
          <w:rFonts w:ascii="宋体" w:hAnsi="宋体"/>
          <w:color w:val="000000"/>
          <w:sz w:val="24"/>
        </w:rPr>
        <w:t>.2交货时至少必须提供以下资料：</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4</w:t>
      </w:r>
      <w:r>
        <w:rPr>
          <w:rFonts w:ascii="宋体" w:hAnsi="宋体"/>
          <w:color w:val="000000"/>
          <w:sz w:val="24"/>
        </w:rPr>
        <w:t>.2.</w:t>
      </w:r>
      <w:r>
        <w:rPr>
          <w:rFonts w:hint="eastAsia" w:ascii="宋体" w:hAnsi="宋体"/>
          <w:color w:val="000000"/>
          <w:sz w:val="24"/>
        </w:rPr>
        <w:t>1</w:t>
      </w:r>
      <w:r>
        <w:rPr>
          <w:rFonts w:ascii="宋体" w:hAnsi="宋体"/>
          <w:color w:val="000000"/>
          <w:sz w:val="24"/>
        </w:rPr>
        <w:t>产品合格证</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4</w:t>
      </w:r>
      <w:r>
        <w:rPr>
          <w:rFonts w:ascii="宋体" w:hAnsi="宋体"/>
          <w:color w:val="000000"/>
          <w:sz w:val="24"/>
        </w:rPr>
        <w:t>.2.</w:t>
      </w:r>
      <w:r>
        <w:rPr>
          <w:rFonts w:hint="eastAsia" w:ascii="宋体" w:hAnsi="宋体"/>
          <w:color w:val="000000"/>
          <w:sz w:val="24"/>
        </w:rPr>
        <w:t>2</w:t>
      </w:r>
      <w:r>
        <w:rPr>
          <w:rFonts w:ascii="宋体" w:hAnsi="宋体"/>
          <w:color w:val="000000"/>
          <w:sz w:val="24"/>
        </w:rPr>
        <w:t>产品质检报告；</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 xml:space="preserve"> </w:t>
      </w:r>
      <w:r>
        <w:rPr>
          <w:rFonts w:hint="eastAsia" w:ascii="宋体" w:hAnsi="宋体"/>
          <w:color w:val="000000"/>
          <w:sz w:val="24"/>
        </w:rPr>
        <w:t>4</w:t>
      </w:r>
      <w:r>
        <w:rPr>
          <w:rFonts w:ascii="宋体" w:hAnsi="宋体"/>
          <w:color w:val="000000"/>
          <w:sz w:val="24"/>
        </w:rPr>
        <w:t>.2.</w:t>
      </w:r>
      <w:r>
        <w:rPr>
          <w:rFonts w:hint="eastAsia" w:ascii="宋体" w:hAnsi="宋体"/>
          <w:color w:val="000000"/>
          <w:sz w:val="24"/>
        </w:rPr>
        <w:t>3</w:t>
      </w:r>
      <w:r>
        <w:rPr>
          <w:rFonts w:ascii="宋体" w:hAnsi="宋体"/>
          <w:color w:val="000000"/>
          <w:sz w:val="24"/>
        </w:rPr>
        <w:t>安装使用维护说明书；</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 xml:space="preserve"> </w:t>
      </w:r>
      <w:r>
        <w:rPr>
          <w:rFonts w:hint="eastAsia" w:ascii="宋体" w:hAnsi="宋体"/>
          <w:color w:val="000000"/>
          <w:sz w:val="24"/>
        </w:rPr>
        <w:t>4</w:t>
      </w:r>
      <w:r>
        <w:rPr>
          <w:rFonts w:ascii="宋体" w:hAnsi="宋体"/>
          <w:color w:val="000000"/>
          <w:sz w:val="24"/>
        </w:rPr>
        <w:t>.2.</w:t>
      </w:r>
      <w:r>
        <w:rPr>
          <w:rFonts w:hint="eastAsia" w:ascii="宋体" w:hAnsi="宋体"/>
          <w:color w:val="000000"/>
          <w:sz w:val="24"/>
        </w:rPr>
        <w:t>4</w:t>
      </w:r>
      <w:r>
        <w:rPr>
          <w:rFonts w:ascii="宋体" w:hAnsi="宋体"/>
          <w:color w:val="000000"/>
          <w:sz w:val="24"/>
        </w:rPr>
        <w:t>出厂检测试验报告；</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6.3运输及到货地点：由卖方负责运输，运至甲方</w:t>
      </w:r>
      <w:r>
        <w:rPr>
          <w:rFonts w:hint="eastAsia" w:ascii="宋体" w:hAnsi="宋体"/>
          <w:color w:val="000000"/>
          <w:sz w:val="24"/>
        </w:rPr>
        <w:t>指定的施工现场。</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6.4卖方负责安排运输，费用包括在合同</w:t>
      </w:r>
      <w:r>
        <w:rPr>
          <w:rFonts w:hint="eastAsia" w:ascii="宋体" w:hAnsi="宋体"/>
          <w:color w:val="000000"/>
          <w:sz w:val="24"/>
        </w:rPr>
        <w:t>单</w:t>
      </w:r>
      <w:r>
        <w:rPr>
          <w:rFonts w:ascii="宋体" w:hAnsi="宋体"/>
          <w:color w:val="000000"/>
          <w:sz w:val="24"/>
        </w:rPr>
        <w:t>价。</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7</w:t>
      </w:r>
      <w:r>
        <w:rPr>
          <w:rFonts w:ascii="宋体" w:hAnsi="宋体"/>
          <w:color w:val="000000"/>
          <w:sz w:val="24"/>
        </w:rPr>
        <w:t>．货款支付办法</w:t>
      </w:r>
    </w:p>
    <w:p>
      <w:pPr>
        <w:spacing w:line="460" w:lineRule="exact"/>
        <w:ind w:firstLine="480" w:firstLineChars="200"/>
        <w:rPr>
          <w:rFonts w:ascii="宋体" w:hAnsi="宋体"/>
          <w:color w:val="000000"/>
          <w:sz w:val="24"/>
        </w:rPr>
      </w:pPr>
      <w:r>
        <w:rPr>
          <w:rFonts w:hint="eastAsia" w:ascii="宋体" w:hAnsi="宋体"/>
          <w:color w:val="000000"/>
          <w:sz w:val="24"/>
        </w:rPr>
        <w:t>见第一章第</w:t>
      </w:r>
      <w:r>
        <w:rPr>
          <w:rFonts w:ascii="宋体" w:hAnsi="宋体"/>
          <w:color w:val="000000"/>
          <w:sz w:val="24"/>
        </w:rPr>
        <w:t>7条：“付款方式”</w:t>
      </w:r>
    </w:p>
    <w:p>
      <w:pPr>
        <w:spacing w:line="460" w:lineRule="exact"/>
        <w:ind w:firstLine="480" w:firstLineChars="200"/>
        <w:rPr>
          <w:rFonts w:ascii="宋体" w:hAnsi="宋体"/>
          <w:color w:val="000000"/>
          <w:sz w:val="24"/>
        </w:rPr>
      </w:pPr>
      <w:r>
        <w:rPr>
          <w:rFonts w:hint="eastAsia" w:ascii="宋体" w:hAnsi="宋体"/>
          <w:color w:val="000000"/>
          <w:sz w:val="24"/>
        </w:rPr>
        <w:t>8</w:t>
      </w:r>
      <w:r>
        <w:rPr>
          <w:rFonts w:ascii="宋体" w:hAnsi="宋体"/>
          <w:color w:val="000000"/>
          <w:sz w:val="24"/>
        </w:rPr>
        <w:t>．技术资料</w:t>
      </w:r>
    </w:p>
    <w:p>
      <w:pPr>
        <w:spacing w:line="460" w:lineRule="exact"/>
        <w:ind w:firstLine="480" w:firstLineChars="200"/>
        <w:rPr>
          <w:rFonts w:ascii="宋体" w:hAnsi="宋体"/>
          <w:color w:val="000000"/>
          <w:sz w:val="24"/>
        </w:rPr>
      </w:pPr>
      <w:r>
        <w:rPr>
          <w:rFonts w:hint="eastAsia" w:ascii="宋体" w:hAnsi="宋体"/>
          <w:color w:val="000000"/>
          <w:sz w:val="24"/>
        </w:rPr>
        <w:t>8</w:t>
      </w:r>
      <w:r>
        <w:rPr>
          <w:rFonts w:ascii="宋体" w:hAnsi="宋体"/>
          <w:color w:val="000000"/>
          <w:sz w:val="24"/>
        </w:rPr>
        <w:t>.1卖方应准备与所供货物相符的中文或中英文对照说明的技术资料，</w:t>
      </w:r>
      <w:r>
        <w:rPr>
          <w:rFonts w:hint="eastAsia" w:ascii="宋体" w:hAnsi="宋体"/>
          <w:color w:val="000000"/>
          <w:sz w:val="24"/>
        </w:rPr>
        <w:t>并于合同生效后5</w:t>
      </w:r>
      <w:r>
        <w:rPr>
          <w:rFonts w:ascii="宋体" w:hAnsi="宋体"/>
          <w:color w:val="000000"/>
          <w:sz w:val="24"/>
        </w:rPr>
        <w:t>天内寄送到买方，例如：样本、图纸、操作手册、使用、</w:t>
      </w:r>
      <w:r>
        <w:rPr>
          <w:rFonts w:hint="eastAsia" w:ascii="宋体" w:hAnsi="宋体"/>
          <w:color w:val="000000"/>
          <w:sz w:val="24"/>
        </w:rPr>
        <w:t>维修指南和服务手册等，如本条款所述资料有不完整或丢失，卖方应在收到买方通知后2</w:t>
      </w:r>
      <w:r>
        <w:rPr>
          <w:rFonts w:ascii="宋体" w:hAnsi="宋体"/>
          <w:color w:val="000000"/>
          <w:sz w:val="24"/>
        </w:rPr>
        <w:t>天内免费另寄。</w:t>
      </w:r>
    </w:p>
    <w:p>
      <w:pPr>
        <w:spacing w:line="460" w:lineRule="exact"/>
        <w:ind w:firstLine="480" w:firstLineChars="200"/>
        <w:rPr>
          <w:rFonts w:ascii="宋体" w:hAnsi="宋体"/>
          <w:color w:val="000000"/>
          <w:sz w:val="24"/>
        </w:rPr>
      </w:pPr>
      <w:r>
        <w:rPr>
          <w:rFonts w:hint="eastAsia" w:ascii="宋体" w:hAnsi="宋体"/>
          <w:color w:val="000000"/>
          <w:sz w:val="24"/>
        </w:rPr>
        <w:t>8</w:t>
      </w:r>
      <w:r>
        <w:rPr>
          <w:rFonts w:ascii="宋体" w:hAnsi="宋体"/>
          <w:color w:val="000000"/>
          <w:sz w:val="24"/>
        </w:rPr>
        <w:t>.2一套完整的上述资料还应包装好随货物发运。</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9</w:t>
      </w:r>
      <w:r>
        <w:rPr>
          <w:rFonts w:ascii="宋体" w:hAnsi="宋体"/>
          <w:color w:val="000000"/>
          <w:sz w:val="24"/>
        </w:rPr>
        <w:t>．价格</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9</w:t>
      </w:r>
      <w:r>
        <w:rPr>
          <w:rFonts w:ascii="宋体" w:hAnsi="宋体"/>
          <w:color w:val="000000"/>
          <w:sz w:val="24"/>
        </w:rPr>
        <w:t>.1卖方为其所提供货物和服务而要求买方支付的金额应与其投标报</w:t>
      </w:r>
      <w:r>
        <w:rPr>
          <w:rFonts w:hint="eastAsia" w:ascii="宋体" w:hAnsi="宋体"/>
          <w:color w:val="000000"/>
          <w:sz w:val="24"/>
        </w:rPr>
        <w:t>价一致。</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1</w:t>
      </w:r>
      <w:r>
        <w:rPr>
          <w:rFonts w:hint="eastAsia" w:ascii="宋体" w:hAnsi="宋体"/>
          <w:color w:val="000000"/>
          <w:sz w:val="24"/>
        </w:rPr>
        <w:t>0</w:t>
      </w:r>
      <w:r>
        <w:rPr>
          <w:rFonts w:ascii="宋体" w:hAnsi="宋体"/>
          <w:color w:val="000000"/>
          <w:sz w:val="24"/>
        </w:rPr>
        <w:t xml:space="preserve">．质量保证    </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1</w:t>
      </w:r>
      <w:r>
        <w:rPr>
          <w:rFonts w:hint="eastAsia" w:ascii="宋体" w:hAnsi="宋体"/>
          <w:color w:val="000000"/>
          <w:sz w:val="24"/>
        </w:rPr>
        <w:t>0</w:t>
      </w:r>
      <w:r>
        <w:rPr>
          <w:rFonts w:ascii="宋体" w:hAnsi="宋体"/>
          <w:color w:val="000000"/>
          <w:sz w:val="24"/>
        </w:rPr>
        <w:t>.1卖方应保证其提供的货物是全新的、未使用过的，并在各个方面</w:t>
      </w:r>
      <w:r>
        <w:rPr>
          <w:rFonts w:hint="eastAsia" w:ascii="宋体" w:hAnsi="宋体"/>
          <w:color w:val="000000"/>
          <w:sz w:val="24"/>
        </w:rPr>
        <w:t>符合合同规定的质量、规格和性能。卖方应保证其货物经过正确安装、正常操作和保养，在货物寿命期内运转良好。在规定的产品质量保证期内，卖方应对由于设计、工艺或材料的缺陷而发生的任何质量问题负责。出现上述情况，卖方应在</w:t>
      </w:r>
      <w:r>
        <w:rPr>
          <w:rFonts w:ascii="宋体" w:hAnsi="宋体"/>
          <w:color w:val="000000"/>
          <w:sz w:val="24"/>
        </w:rPr>
        <w:t>72小时内，免费负责修理或更换有缺陷的货物，并相</w:t>
      </w:r>
      <w:r>
        <w:rPr>
          <w:rFonts w:hint="eastAsia" w:ascii="宋体" w:hAnsi="宋体"/>
          <w:color w:val="000000"/>
          <w:sz w:val="24"/>
        </w:rPr>
        <w:t>应延长该产品质量保证期。</w:t>
      </w:r>
    </w:p>
    <w:p>
      <w:pPr>
        <w:spacing w:line="460" w:lineRule="exact"/>
        <w:rPr>
          <w:rFonts w:ascii="宋体" w:hAnsi="宋体"/>
          <w:color w:val="000000"/>
          <w:sz w:val="24"/>
        </w:rPr>
      </w:pPr>
      <w:r>
        <w:rPr>
          <w:rFonts w:ascii="宋体" w:hAnsi="宋体"/>
          <w:color w:val="000000"/>
          <w:sz w:val="24"/>
        </w:rPr>
        <w:t xml:space="preserve">    1</w:t>
      </w:r>
      <w:r>
        <w:rPr>
          <w:rFonts w:hint="eastAsia" w:ascii="宋体" w:hAnsi="宋体"/>
          <w:color w:val="000000"/>
          <w:sz w:val="24"/>
        </w:rPr>
        <w:t>0</w:t>
      </w:r>
      <w:r>
        <w:rPr>
          <w:rFonts w:ascii="宋体" w:hAnsi="宋体"/>
          <w:color w:val="000000"/>
          <w:sz w:val="24"/>
        </w:rPr>
        <w:t>.2卖方的产品质量保证期为</w:t>
      </w:r>
      <w:r>
        <w:rPr>
          <w:rFonts w:hint="eastAsia" w:ascii="宋体" w:hAnsi="宋体"/>
          <w:color w:val="000000"/>
          <w:sz w:val="24"/>
        </w:rPr>
        <w:t>一年</w:t>
      </w:r>
      <w:r>
        <w:rPr>
          <w:rFonts w:ascii="宋体" w:hAnsi="宋体"/>
          <w:color w:val="000000"/>
          <w:sz w:val="24"/>
        </w:rPr>
        <w:t>，质量保证期内发生的所有</w:t>
      </w:r>
      <w:r>
        <w:rPr>
          <w:rFonts w:hint="eastAsia" w:ascii="宋体" w:hAnsi="宋体"/>
          <w:color w:val="000000"/>
          <w:sz w:val="24"/>
        </w:rPr>
        <w:t>质量问题均由卖方承担。</w:t>
      </w:r>
      <w:r>
        <w:rPr>
          <w:rFonts w:ascii="宋体" w:hAnsi="宋体"/>
          <w:color w:val="000000"/>
          <w:sz w:val="24"/>
        </w:rPr>
        <w:t xml:space="preserve">    </w:t>
      </w:r>
    </w:p>
    <w:p>
      <w:pPr>
        <w:spacing w:line="460" w:lineRule="exact"/>
        <w:rPr>
          <w:rFonts w:ascii="宋体" w:hAnsi="宋体"/>
          <w:color w:val="000000"/>
          <w:sz w:val="24"/>
        </w:rPr>
      </w:pPr>
      <w:r>
        <w:rPr>
          <w:rFonts w:ascii="宋体" w:hAnsi="宋体"/>
          <w:color w:val="000000"/>
          <w:sz w:val="24"/>
        </w:rPr>
        <w:t xml:space="preserve">    1</w:t>
      </w:r>
      <w:r>
        <w:rPr>
          <w:rFonts w:hint="eastAsia" w:ascii="宋体" w:hAnsi="宋体"/>
          <w:color w:val="000000"/>
          <w:sz w:val="24"/>
        </w:rPr>
        <w:t>1</w:t>
      </w:r>
      <w:r>
        <w:rPr>
          <w:rFonts w:ascii="宋体" w:hAnsi="宋体"/>
          <w:color w:val="000000"/>
          <w:sz w:val="24"/>
        </w:rPr>
        <w:t>．检验</w:t>
      </w:r>
    </w:p>
    <w:p>
      <w:pPr>
        <w:spacing w:line="460" w:lineRule="exact"/>
        <w:rPr>
          <w:rFonts w:ascii="宋体" w:hAnsi="宋体"/>
          <w:color w:val="000000"/>
          <w:sz w:val="24"/>
        </w:rPr>
      </w:pPr>
      <w:r>
        <w:rPr>
          <w:rFonts w:ascii="宋体" w:hAnsi="宋体"/>
          <w:color w:val="000000"/>
          <w:sz w:val="24"/>
        </w:rPr>
        <w:t xml:space="preserve">    1</w:t>
      </w:r>
      <w:r>
        <w:rPr>
          <w:rFonts w:hint="eastAsia" w:ascii="宋体" w:hAnsi="宋体"/>
          <w:color w:val="000000"/>
          <w:sz w:val="24"/>
        </w:rPr>
        <w:t>1</w:t>
      </w:r>
      <w:r>
        <w:rPr>
          <w:rFonts w:ascii="宋体" w:hAnsi="宋体"/>
          <w:color w:val="000000"/>
          <w:sz w:val="24"/>
        </w:rPr>
        <w:t>.1</w:t>
      </w:r>
      <w:r>
        <w:rPr>
          <w:rFonts w:hint="eastAsia" w:ascii="宋体" w:hAnsi="宋体"/>
          <w:color w:val="000000"/>
          <w:sz w:val="24"/>
        </w:rPr>
        <w:t>如发现品质或数量与本合同不符时，</w:t>
      </w:r>
      <w:r>
        <w:rPr>
          <w:rFonts w:ascii="宋体" w:hAnsi="宋体"/>
          <w:color w:val="000000"/>
          <w:sz w:val="24"/>
        </w:rPr>
        <w:t>卖方在接到上述索赔后</w:t>
      </w:r>
      <w:r>
        <w:rPr>
          <w:rFonts w:hint="eastAsia" w:ascii="宋体" w:hAnsi="宋体"/>
          <w:color w:val="000000"/>
          <w:sz w:val="24"/>
        </w:rPr>
        <w:t>一</w:t>
      </w:r>
      <w:r>
        <w:rPr>
          <w:rFonts w:ascii="宋体" w:hAnsi="宋体"/>
          <w:color w:val="000000"/>
          <w:sz w:val="24"/>
        </w:rPr>
        <w:t>个月内给出结果。</w:t>
      </w:r>
    </w:p>
    <w:p>
      <w:pPr>
        <w:spacing w:line="460" w:lineRule="exact"/>
        <w:rPr>
          <w:rFonts w:ascii="宋体" w:hAnsi="宋体"/>
          <w:color w:val="000000"/>
          <w:sz w:val="24"/>
        </w:rPr>
      </w:pPr>
      <w:r>
        <w:rPr>
          <w:rFonts w:ascii="宋体" w:hAnsi="宋体"/>
          <w:color w:val="000000"/>
          <w:sz w:val="24"/>
        </w:rPr>
        <w:t xml:space="preserve">    1</w:t>
      </w:r>
      <w:r>
        <w:rPr>
          <w:rFonts w:hint="eastAsia" w:ascii="宋体" w:hAnsi="宋体"/>
          <w:color w:val="000000"/>
          <w:sz w:val="24"/>
        </w:rPr>
        <w:t>1</w:t>
      </w:r>
      <w:r>
        <w:rPr>
          <w:rFonts w:ascii="宋体" w:hAnsi="宋体"/>
          <w:color w:val="000000"/>
          <w:sz w:val="24"/>
        </w:rPr>
        <w:t>.2货物型式检验包括：数量、外观质量、随机备品备件、装箱单、</w:t>
      </w:r>
      <w:r>
        <w:rPr>
          <w:rFonts w:hint="eastAsia" w:ascii="宋体" w:hAnsi="宋体"/>
          <w:color w:val="000000"/>
          <w:sz w:val="24"/>
        </w:rPr>
        <w:t>随机资料</w:t>
      </w:r>
      <w:r>
        <w:rPr>
          <w:rFonts w:ascii="宋体" w:hAnsi="宋体"/>
          <w:color w:val="000000"/>
          <w:sz w:val="24"/>
        </w:rPr>
        <w:t>(质量检验合格证)及包装完整无破损等事项。</w:t>
      </w:r>
    </w:p>
    <w:p>
      <w:pPr>
        <w:spacing w:line="460" w:lineRule="exact"/>
        <w:rPr>
          <w:rFonts w:ascii="宋体" w:hAnsi="宋体"/>
          <w:color w:val="000000"/>
          <w:sz w:val="24"/>
        </w:rPr>
      </w:pPr>
      <w:r>
        <w:rPr>
          <w:rFonts w:ascii="宋体" w:hAnsi="宋体"/>
          <w:color w:val="000000"/>
          <w:sz w:val="24"/>
        </w:rPr>
        <w:t xml:space="preserve">    1</w:t>
      </w:r>
      <w:r>
        <w:rPr>
          <w:rFonts w:hint="eastAsia" w:ascii="宋体" w:hAnsi="宋体"/>
          <w:color w:val="000000"/>
          <w:sz w:val="24"/>
        </w:rPr>
        <w:t>1</w:t>
      </w:r>
      <w:r>
        <w:rPr>
          <w:rFonts w:ascii="宋体" w:hAnsi="宋体"/>
          <w:color w:val="000000"/>
          <w:sz w:val="24"/>
        </w:rPr>
        <w:t>.3质量出现问题，卖方应负</w:t>
      </w:r>
      <w:r>
        <w:rPr>
          <w:rFonts w:hint="eastAsia" w:ascii="宋体" w:hAnsi="宋体"/>
          <w:color w:val="000000"/>
          <w:sz w:val="24"/>
        </w:rPr>
        <w:t>责三包</w:t>
      </w:r>
      <w:r>
        <w:rPr>
          <w:rFonts w:ascii="宋体" w:hAnsi="宋体"/>
          <w:color w:val="000000"/>
          <w:sz w:val="24"/>
        </w:rPr>
        <w:t>(包修、包换、包退)，费用由卖</w:t>
      </w:r>
      <w:r>
        <w:rPr>
          <w:rFonts w:hint="eastAsia" w:ascii="宋体" w:hAnsi="宋体"/>
          <w:color w:val="000000"/>
          <w:sz w:val="24"/>
        </w:rPr>
        <w:t>方负责。</w:t>
      </w:r>
    </w:p>
    <w:p>
      <w:pPr>
        <w:spacing w:line="460" w:lineRule="exact"/>
        <w:rPr>
          <w:rFonts w:ascii="宋体" w:hAnsi="宋体"/>
          <w:color w:val="000000"/>
          <w:sz w:val="24"/>
        </w:rPr>
      </w:pPr>
      <w:r>
        <w:rPr>
          <w:rFonts w:ascii="宋体" w:hAnsi="宋体"/>
          <w:color w:val="000000"/>
          <w:sz w:val="24"/>
        </w:rPr>
        <w:t xml:space="preserve">    1</w:t>
      </w:r>
      <w:r>
        <w:rPr>
          <w:rFonts w:hint="eastAsia" w:ascii="宋体" w:hAnsi="宋体"/>
          <w:color w:val="000000"/>
          <w:sz w:val="24"/>
        </w:rPr>
        <w:t>1</w:t>
      </w:r>
      <w:r>
        <w:rPr>
          <w:rFonts w:ascii="宋体" w:hAnsi="宋体"/>
          <w:color w:val="000000"/>
          <w:sz w:val="24"/>
        </w:rPr>
        <w:t>.4货到现场后，由于买方保管不当造成的质量问题，卖方亦应负责</w:t>
      </w:r>
      <w:r>
        <w:rPr>
          <w:rFonts w:hint="eastAsia" w:ascii="宋体" w:hAnsi="宋体"/>
          <w:color w:val="000000"/>
          <w:sz w:val="24"/>
        </w:rPr>
        <w:t>修理，但费用由买方负担。</w:t>
      </w:r>
    </w:p>
    <w:p>
      <w:pPr>
        <w:spacing w:line="460" w:lineRule="exact"/>
        <w:rPr>
          <w:rFonts w:ascii="宋体" w:hAnsi="宋体"/>
          <w:color w:val="000000"/>
          <w:sz w:val="24"/>
        </w:rPr>
      </w:pPr>
      <w:r>
        <w:rPr>
          <w:rFonts w:ascii="宋体" w:hAnsi="宋体"/>
          <w:color w:val="000000"/>
          <w:sz w:val="24"/>
        </w:rPr>
        <w:t xml:space="preserve">    1</w:t>
      </w:r>
      <w:r>
        <w:rPr>
          <w:rFonts w:hint="eastAsia" w:ascii="宋体" w:hAnsi="宋体"/>
          <w:color w:val="000000"/>
          <w:sz w:val="24"/>
        </w:rPr>
        <w:t>1</w:t>
      </w:r>
      <w:r>
        <w:rPr>
          <w:rFonts w:ascii="宋体" w:hAnsi="宋体"/>
          <w:color w:val="000000"/>
          <w:sz w:val="24"/>
        </w:rPr>
        <w:t>.5产品直接运到现场，由买方、卖方等有关人员进行开箱检验。</w:t>
      </w:r>
    </w:p>
    <w:p>
      <w:pPr>
        <w:spacing w:line="460" w:lineRule="exact"/>
        <w:rPr>
          <w:rFonts w:ascii="宋体" w:hAnsi="宋体"/>
          <w:color w:val="000000"/>
          <w:sz w:val="24"/>
        </w:rPr>
      </w:pPr>
      <w:r>
        <w:rPr>
          <w:rFonts w:ascii="宋体" w:hAnsi="宋体"/>
          <w:color w:val="000000"/>
          <w:sz w:val="24"/>
        </w:rPr>
        <w:t xml:space="preserve">    1</w:t>
      </w:r>
      <w:r>
        <w:rPr>
          <w:rFonts w:hint="eastAsia" w:ascii="宋体" w:hAnsi="宋体"/>
          <w:color w:val="000000"/>
          <w:sz w:val="24"/>
        </w:rPr>
        <w:t>2</w:t>
      </w:r>
      <w:r>
        <w:rPr>
          <w:rFonts w:ascii="宋体" w:hAnsi="宋体"/>
          <w:color w:val="000000"/>
          <w:sz w:val="24"/>
        </w:rPr>
        <w:t>．验收</w:t>
      </w:r>
    </w:p>
    <w:p>
      <w:pPr>
        <w:spacing w:line="460" w:lineRule="exact"/>
        <w:rPr>
          <w:rFonts w:ascii="宋体" w:hAnsi="宋体"/>
          <w:color w:val="000000"/>
          <w:sz w:val="24"/>
        </w:rPr>
      </w:pPr>
      <w:r>
        <w:rPr>
          <w:rFonts w:ascii="宋体" w:hAnsi="宋体"/>
          <w:color w:val="000000"/>
          <w:sz w:val="24"/>
        </w:rPr>
        <w:t xml:space="preserve">    1</w:t>
      </w:r>
      <w:r>
        <w:rPr>
          <w:rFonts w:hint="eastAsia" w:ascii="宋体" w:hAnsi="宋体"/>
          <w:color w:val="000000"/>
          <w:sz w:val="24"/>
        </w:rPr>
        <w:t>2</w:t>
      </w:r>
      <w:r>
        <w:rPr>
          <w:rFonts w:ascii="宋体" w:hAnsi="宋体"/>
          <w:color w:val="000000"/>
          <w:sz w:val="24"/>
        </w:rPr>
        <w:t>.1买方按产品标准和技术要求及国家、行业的相关规定在施工现场</w:t>
      </w:r>
      <w:r>
        <w:rPr>
          <w:rFonts w:hint="eastAsia" w:ascii="宋体" w:hAnsi="宋体"/>
          <w:color w:val="000000"/>
          <w:sz w:val="24"/>
        </w:rPr>
        <w:t>进行验收。验收标准按照招标文件中所提出的特殊要求及国家的最新标准，如卖方实际执行的标准高于国家标准和行业标准则按卖方标准验收。</w:t>
      </w:r>
    </w:p>
    <w:p>
      <w:pPr>
        <w:spacing w:line="460" w:lineRule="exact"/>
        <w:rPr>
          <w:rFonts w:ascii="宋体" w:hAnsi="宋体"/>
          <w:color w:val="000000"/>
          <w:sz w:val="24"/>
        </w:rPr>
      </w:pPr>
      <w:r>
        <w:rPr>
          <w:rFonts w:ascii="宋体" w:hAnsi="宋体"/>
          <w:color w:val="000000"/>
          <w:sz w:val="24"/>
        </w:rPr>
        <w:t xml:space="preserve">    1</w:t>
      </w:r>
      <w:r>
        <w:rPr>
          <w:rFonts w:hint="eastAsia" w:ascii="宋体" w:hAnsi="宋体"/>
          <w:color w:val="000000"/>
          <w:sz w:val="24"/>
        </w:rPr>
        <w:t>2</w:t>
      </w:r>
      <w:r>
        <w:rPr>
          <w:rFonts w:ascii="宋体" w:hAnsi="宋体"/>
          <w:color w:val="000000"/>
          <w:sz w:val="24"/>
        </w:rPr>
        <w:t>.2买方在货物抵达交货地点之日起七日内完成初步验收，这种验收只是</w:t>
      </w:r>
      <w:r>
        <w:rPr>
          <w:rFonts w:hint="eastAsia" w:ascii="宋体" w:hAnsi="宋体"/>
          <w:color w:val="000000"/>
          <w:sz w:val="24"/>
        </w:rPr>
        <w:t>数量上的和外观感觉上的，最终验收依据国家标准。</w:t>
      </w:r>
    </w:p>
    <w:p>
      <w:pPr>
        <w:spacing w:line="460" w:lineRule="exact"/>
        <w:rPr>
          <w:rFonts w:ascii="宋体" w:hAnsi="宋体"/>
          <w:color w:val="000000"/>
          <w:sz w:val="24"/>
        </w:rPr>
      </w:pPr>
      <w:r>
        <w:rPr>
          <w:rFonts w:ascii="宋体" w:hAnsi="宋体"/>
          <w:color w:val="000000"/>
          <w:sz w:val="24"/>
        </w:rPr>
        <w:t xml:space="preserve">    1</w:t>
      </w:r>
      <w:r>
        <w:rPr>
          <w:rFonts w:hint="eastAsia" w:ascii="宋体" w:hAnsi="宋体"/>
          <w:color w:val="000000"/>
          <w:sz w:val="24"/>
        </w:rPr>
        <w:t>2</w:t>
      </w:r>
      <w:r>
        <w:rPr>
          <w:rFonts w:ascii="宋体" w:hAnsi="宋体"/>
          <w:color w:val="000000"/>
          <w:sz w:val="24"/>
        </w:rPr>
        <w:t>.3货物抵达交货地点后，买卖双方共同派员参加验收，如卖方在接</w:t>
      </w:r>
      <w:r>
        <w:rPr>
          <w:rFonts w:hint="eastAsia" w:ascii="宋体" w:hAnsi="宋体"/>
          <w:color w:val="000000"/>
          <w:sz w:val="24"/>
        </w:rPr>
        <w:t>到买方通知之日起三日内无法派员抵达现场，则视为同意买方自行验收的结果。</w:t>
      </w:r>
      <w:r>
        <w:rPr>
          <w:rFonts w:ascii="宋体" w:hAnsi="宋体"/>
          <w:color w:val="000000"/>
          <w:sz w:val="24"/>
        </w:rPr>
        <w:t xml:space="preserve">    </w:t>
      </w:r>
    </w:p>
    <w:p>
      <w:pPr>
        <w:spacing w:line="460" w:lineRule="exact"/>
        <w:rPr>
          <w:rFonts w:ascii="宋体" w:hAnsi="宋体"/>
          <w:color w:val="000000"/>
          <w:sz w:val="24"/>
        </w:rPr>
      </w:pPr>
      <w:r>
        <w:rPr>
          <w:rFonts w:ascii="宋体" w:hAnsi="宋体"/>
          <w:color w:val="000000"/>
          <w:sz w:val="24"/>
        </w:rPr>
        <w:t xml:space="preserve">    1</w:t>
      </w:r>
      <w:r>
        <w:rPr>
          <w:rFonts w:hint="eastAsia" w:ascii="宋体" w:hAnsi="宋体"/>
          <w:color w:val="000000"/>
          <w:sz w:val="24"/>
        </w:rPr>
        <w:t>2</w:t>
      </w:r>
      <w:r>
        <w:rPr>
          <w:rFonts w:ascii="宋体" w:hAnsi="宋体"/>
          <w:color w:val="000000"/>
          <w:sz w:val="24"/>
        </w:rPr>
        <w:t>.4上述检验和验收不能代替质量保证期内对货物制造性能质量的考</w:t>
      </w:r>
      <w:r>
        <w:rPr>
          <w:rFonts w:hint="eastAsia" w:ascii="宋体" w:hAnsi="宋体"/>
          <w:color w:val="000000"/>
          <w:sz w:val="24"/>
        </w:rPr>
        <w:t>核。</w:t>
      </w:r>
    </w:p>
    <w:p>
      <w:pPr>
        <w:spacing w:line="460" w:lineRule="exact"/>
        <w:rPr>
          <w:rFonts w:ascii="宋体" w:hAnsi="宋体"/>
          <w:color w:val="000000"/>
          <w:sz w:val="24"/>
        </w:rPr>
      </w:pPr>
      <w:r>
        <w:rPr>
          <w:rFonts w:ascii="宋体" w:hAnsi="宋体"/>
          <w:color w:val="000000"/>
          <w:sz w:val="24"/>
        </w:rPr>
        <w:t xml:space="preserve">    1</w:t>
      </w:r>
      <w:r>
        <w:rPr>
          <w:rFonts w:hint="eastAsia" w:ascii="宋体" w:hAnsi="宋体"/>
          <w:color w:val="000000"/>
          <w:sz w:val="24"/>
        </w:rPr>
        <w:t>3</w:t>
      </w:r>
      <w:r>
        <w:rPr>
          <w:rFonts w:ascii="宋体" w:hAnsi="宋体"/>
          <w:color w:val="000000"/>
          <w:sz w:val="24"/>
        </w:rPr>
        <w:t>．索赔</w:t>
      </w:r>
    </w:p>
    <w:p>
      <w:pPr>
        <w:spacing w:line="460" w:lineRule="exact"/>
        <w:rPr>
          <w:rFonts w:ascii="宋体" w:hAnsi="宋体"/>
          <w:color w:val="000000"/>
          <w:sz w:val="24"/>
        </w:rPr>
      </w:pPr>
      <w:r>
        <w:rPr>
          <w:rFonts w:ascii="宋体" w:hAnsi="宋体"/>
          <w:color w:val="000000"/>
          <w:sz w:val="24"/>
        </w:rPr>
        <w:t xml:space="preserve">    1</w:t>
      </w:r>
      <w:r>
        <w:rPr>
          <w:rFonts w:hint="eastAsia" w:ascii="宋体" w:hAnsi="宋体"/>
          <w:color w:val="000000"/>
          <w:sz w:val="24"/>
        </w:rPr>
        <w:t>3</w:t>
      </w:r>
      <w:r>
        <w:rPr>
          <w:rFonts w:ascii="宋体" w:hAnsi="宋体"/>
          <w:color w:val="000000"/>
          <w:sz w:val="24"/>
        </w:rPr>
        <w:t>.1卖方对货物与合同要求不符负有责任，买方在规定质</w:t>
      </w:r>
      <w:r>
        <w:rPr>
          <w:rFonts w:hint="eastAsia" w:ascii="宋体" w:hAnsi="宋体"/>
          <w:color w:val="000000"/>
          <w:sz w:val="24"/>
        </w:rPr>
        <w:t>量保证期内和检验、安装、调试与验收期限内提出索赔，卖方应按买方提出的下述一种或多种方法解决索赔事宜。</w:t>
      </w:r>
    </w:p>
    <w:p>
      <w:pPr>
        <w:spacing w:line="460" w:lineRule="exact"/>
        <w:rPr>
          <w:rFonts w:ascii="宋体" w:hAnsi="宋体"/>
          <w:color w:val="000000"/>
          <w:sz w:val="24"/>
          <w:highlight w:val="cyan"/>
        </w:rPr>
      </w:pPr>
      <w:r>
        <w:rPr>
          <w:rFonts w:ascii="宋体" w:hAnsi="宋体"/>
          <w:color w:val="000000"/>
          <w:sz w:val="24"/>
        </w:rPr>
        <w:t xml:space="preserve">    1</w:t>
      </w:r>
      <w:r>
        <w:rPr>
          <w:rFonts w:hint="eastAsia" w:ascii="宋体" w:hAnsi="宋体"/>
          <w:color w:val="000000"/>
          <w:sz w:val="24"/>
        </w:rPr>
        <w:t>3</w:t>
      </w:r>
      <w:r>
        <w:rPr>
          <w:rFonts w:ascii="宋体" w:hAnsi="宋体"/>
          <w:color w:val="000000"/>
          <w:sz w:val="24"/>
        </w:rPr>
        <w:t>.1.1卖方由于产品质量问题同意买方拒收货物并把被拒收货物的金</w:t>
      </w:r>
      <w:r>
        <w:rPr>
          <w:rFonts w:hint="eastAsia" w:ascii="宋体" w:hAnsi="宋体"/>
          <w:color w:val="000000"/>
          <w:sz w:val="24"/>
        </w:rPr>
        <w:t>额以合同规定的同类货币付给买方，卖方负担一切损失和费用，包括本息、运输和保险费、检验费、仓储费和装卸费以及保管和保护被拒绝货物所需要的其它必要费用。</w:t>
      </w:r>
    </w:p>
    <w:p>
      <w:pPr>
        <w:spacing w:line="460" w:lineRule="exact"/>
        <w:rPr>
          <w:rFonts w:ascii="宋体" w:hAnsi="宋体"/>
          <w:color w:val="000000"/>
          <w:sz w:val="24"/>
        </w:rPr>
      </w:pPr>
      <w:r>
        <w:rPr>
          <w:rFonts w:ascii="宋体" w:hAnsi="宋体"/>
          <w:color w:val="000000"/>
          <w:sz w:val="24"/>
        </w:rPr>
        <w:t xml:space="preserve">    1</w:t>
      </w:r>
      <w:r>
        <w:rPr>
          <w:rFonts w:hint="eastAsia" w:ascii="宋体" w:hAnsi="宋体"/>
          <w:color w:val="000000"/>
          <w:sz w:val="24"/>
        </w:rPr>
        <w:t>3</w:t>
      </w:r>
      <w:r>
        <w:rPr>
          <w:rFonts w:ascii="宋体" w:hAnsi="宋体"/>
          <w:color w:val="000000"/>
          <w:sz w:val="24"/>
        </w:rPr>
        <w:t>.1.2根据货物的低劣和受损程度以及买方遭受损失的金额，经双方</w:t>
      </w:r>
      <w:r>
        <w:rPr>
          <w:rFonts w:hint="eastAsia" w:ascii="宋体" w:hAnsi="宋体"/>
          <w:color w:val="000000"/>
          <w:sz w:val="24"/>
        </w:rPr>
        <w:t>同意降低货物价格。</w:t>
      </w:r>
      <w:r>
        <w:rPr>
          <w:rFonts w:ascii="宋体" w:hAnsi="宋体"/>
          <w:color w:val="000000"/>
          <w:sz w:val="24"/>
        </w:rPr>
        <w:t xml:space="preserve">    </w:t>
      </w:r>
    </w:p>
    <w:p>
      <w:pPr>
        <w:spacing w:line="460" w:lineRule="exact"/>
        <w:rPr>
          <w:rFonts w:ascii="宋体" w:hAnsi="宋体"/>
          <w:color w:val="000000"/>
          <w:sz w:val="24"/>
        </w:rPr>
      </w:pPr>
      <w:r>
        <w:rPr>
          <w:rFonts w:ascii="宋体" w:hAnsi="宋体"/>
          <w:color w:val="000000"/>
          <w:sz w:val="24"/>
        </w:rPr>
        <w:t xml:space="preserve">    13.1.3更换有缺陷的零件、部件和设备或修理缺陷部分，以达</w:t>
      </w:r>
      <w:r>
        <w:rPr>
          <w:rFonts w:hint="eastAsia" w:ascii="宋体" w:hAnsi="宋体"/>
          <w:color w:val="000000"/>
          <w:sz w:val="24"/>
        </w:rPr>
        <w:t>到合同规定的规格、质量和性能，卖方承担一切费用和风险并负担买方遭受的一切直接损失费用。同时卖方相应延长更换货物的质量保证期。</w:t>
      </w:r>
    </w:p>
    <w:p>
      <w:pPr>
        <w:spacing w:line="460" w:lineRule="exact"/>
        <w:rPr>
          <w:rFonts w:ascii="宋体" w:hAnsi="宋体"/>
          <w:color w:val="000000"/>
          <w:sz w:val="24"/>
        </w:rPr>
      </w:pPr>
      <w:r>
        <w:rPr>
          <w:rFonts w:ascii="宋体" w:hAnsi="宋体"/>
          <w:color w:val="000000"/>
          <w:sz w:val="24"/>
        </w:rPr>
        <w:t xml:space="preserve">    1</w:t>
      </w:r>
      <w:r>
        <w:rPr>
          <w:rFonts w:hint="eastAsia" w:ascii="宋体" w:hAnsi="宋体"/>
          <w:color w:val="000000"/>
          <w:sz w:val="24"/>
        </w:rPr>
        <w:t>3.</w:t>
      </w:r>
      <w:r>
        <w:rPr>
          <w:rFonts w:ascii="宋体" w:hAnsi="宋体"/>
          <w:color w:val="000000"/>
          <w:sz w:val="24"/>
        </w:rPr>
        <w:t>2如果买方提出索赔通知后10天内卖方未能予以答复，该索赔应视</w:t>
      </w:r>
      <w:r>
        <w:rPr>
          <w:rFonts w:hint="eastAsia" w:ascii="宋体" w:hAnsi="宋体"/>
          <w:color w:val="000000"/>
          <w:sz w:val="24"/>
        </w:rPr>
        <w:t>为被卖方接受。若卖方在买方提出索赔通知的</w:t>
      </w:r>
      <w:r>
        <w:rPr>
          <w:rFonts w:ascii="宋体" w:hAnsi="宋体"/>
          <w:color w:val="000000"/>
          <w:sz w:val="24"/>
        </w:rPr>
        <w:t>10天内或买方同意的更长时</w:t>
      </w:r>
      <w:r>
        <w:rPr>
          <w:rFonts w:hint="eastAsia" w:ascii="宋体" w:hAnsi="宋体"/>
          <w:color w:val="000000"/>
          <w:sz w:val="24"/>
        </w:rPr>
        <w:t>间内，未能按买方同意的上述任何一种方式处理索赔事宜，卖方向买方赔偿合同总金额的</w:t>
      </w:r>
      <w:r>
        <w:rPr>
          <w:rFonts w:ascii="宋体" w:hAnsi="宋体"/>
          <w:color w:val="000000"/>
          <w:sz w:val="24"/>
        </w:rPr>
        <w:t>10％的罚金。</w:t>
      </w:r>
    </w:p>
    <w:p>
      <w:pPr>
        <w:spacing w:line="460" w:lineRule="exact"/>
        <w:rPr>
          <w:rFonts w:ascii="宋体" w:hAnsi="宋体"/>
          <w:color w:val="000000"/>
          <w:sz w:val="24"/>
        </w:rPr>
      </w:pPr>
      <w:r>
        <w:rPr>
          <w:rFonts w:ascii="宋体" w:hAnsi="宋体"/>
          <w:color w:val="000000"/>
          <w:sz w:val="24"/>
        </w:rPr>
        <w:t xml:space="preserve">    1</w:t>
      </w:r>
      <w:r>
        <w:rPr>
          <w:rFonts w:hint="eastAsia" w:ascii="宋体" w:hAnsi="宋体"/>
          <w:color w:val="000000"/>
          <w:sz w:val="24"/>
        </w:rPr>
        <w:t>4</w:t>
      </w:r>
      <w:r>
        <w:rPr>
          <w:rFonts w:ascii="宋体" w:hAnsi="宋体"/>
          <w:color w:val="000000"/>
          <w:sz w:val="24"/>
        </w:rPr>
        <w:t>．延期交货与核定损失额</w:t>
      </w:r>
    </w:p>
    <w:p>
      <w:pPr>
        <w:spacing w:line="460" w:lineRule="exact"/>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.1如果卖方未能按合同规定的时间按期交货(本合同15款规定的不</w:t>
      </w:r>
      <w:r>
        <w:rPr>
          <w:rFonts w:hint="eastAsia" w:ascii="宋体" w:hAnsi="宋体"/>
          <w:color w:val="000000"/>
          <w:sz w:val="24"/>
        </w:rPr>
        <w:t>可抗力因素除外</w:t>
      </w:r>
      <w:r>
        <w:rPr>
          <w:rFonts w:ascii="宋体" w:hAnsi="宋体"/>
          <w:color w:val="000000"/>
          <w:sz w:val="24"/>
        </w:rPr>
        <w:t>)，在卖方同意支付核定损失的条件下，征得买方同意可延</w:t>
      </w:r>
      <w:r>
        <w:rPr>
          <w:rFonts w:hint="eastAsia" w:ascii="宋体" w:hAnsi="宋体"/>
          <w:color w:val="000000"/>
          <w:sz w:val="24"/>
        </w:rPr>
        <w:t>长交货期。核定损失额的支付将从货款中扣除。核定损失额比率为每迟交2</w:t>
      </w:r>
      <w:r>
        <w:rPr>
          <w:rFonts w:ascii="宋体" w:hAnsi="宋体"/>
          <w:color w:val="000000"/>
          <w:sz w:val="24"/>
        </w:rPr>
        <w:t>天，按迟交货物金额的</w:t>
      </w:r>
      <w:r>
        <w:rPr>
          <w:rFonts w:hint="eastAsia" w:ascii="宋体" w:hAnsi="宋体"/>
          <w:color w:val="000000"/>
          <w:sz w:val="24"/>
        </w:rPr>
        <w:t>1.</w:t>
      </w:r>
      <w:r>
        <w:rPr>
          <w:rFonts w:ascii="宋体" w:hAnsi="宋体"/>
          <w:color w:val="000000"/>
          <w:sz w:val="24"/>
        </w:rPr>
        <w:t>5％计，不满</w:t>
      </w:r>
      <w:r>
        <w:rPr>
          <w:rFonts w:hint="eastAsia" w:ascii="宋体" w:hAnsi="宋体"/>
          <w:color w:val="000000"/>
          <w:sz w:val="24"/>
        </w:rPr>
        <w:t>2</w:t>
      </w:r>
      <w:r>
        <w:rPr>
          <w:rFonts w:ascii="宋体" w:hAnsi="宋体"/>
          <w:color w:val="000000"/>
          <w:sz w:val="24"/>
        </w:rPr>
        <w:t>天按</w:t>
      </w:r>
      <w:r>
        <w:rPr>
          <w:rFonts w:hint="eastAsia" w:ascii="宋体" w:hAnsi="宋体"/>
          <w:color w:val="000000"/>
          <w:sz w:val="24"/>
        </w:rPr>
        <w:t>2</w:t>
      </w:r>
      <w:r>
        <w:rPr>
          <w:rFonts w:ascii="宋体" w:hAnsi="宋体"/>
          <w:color w:val="000000"/>
          <w:sz w:val="24"/>
        </w:rPr>
        <w:t>天计。如果卖方在买方同</w:t>
      </w:r>
      <w:r>
        <w:rPr>
          <w:rFonts w:hint="eastAsia" w:ascii="宋体" w:hAnsi="宋体"/>
          <w:color w:val="000000"/>
          <w:sz w:val="24"/>
        </w:rPr>
        <w:t>意延长的时间内仍不能交货，买方有权因卖方违约撤销合同，而卖方除赔偿买方经济损失外，仍需要接受上述迟交核定损失额。</w:t>
      </w:r>
    </w:p>
    <w:p>
      <w:pPr>
        <w:spacing w:line="46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  1</w:t>
      </w:r>
      <w:r>
        <w:rPr>
          <w:rFonts w:hint="eastAsia" w:ascii="宋体" w:hAnsi="宋体"/>
          <w:color w:val="000000"/>
          <w:sz w:val="24"/>
        </w:rPr>
        <w:t>5</w:t>
      </w:r>
      <w:r>
        <w:rPr>
          <w:rFonts w:ascii="宋体" w:hAnsi="宋体"/>
          <w:color w:val="000000"/>
          <w:sz w:val="24"/>
        </w:rPr>
        <w:t>．不可抗力</w:t>
      </w:r>
    </w:p>
    <w:p>
      <w:pPr>
        <w:spacing w:line="460" w:lineRule="exact"/>
        <w:rPr>
          <w:rFonts w:ascii="宋体" w:hAnsi="宋体"/>
          <w:color w:val="000000"/>
          <w:sz w:val="24"/>
        </w:rPr>
      </w:pPr>
      <w:r>
        <w:rPr>
          <w:rFonts w:ascii="宋体" w:hAnsi="宋体"/>
          <w:color w:val="000000"/>
          <w:sz w:val="24"/>
        </w:rPr>
        <w:t xml:space="preserve">    1</w:t>
      </w:r>
      <w:r>
        <w:rPr>
          <w:rFonts w:hint="eastAsia" w:ascii="宋体" w:hAnsi="宋体"/>
          <w:color w:val="000000"/>
          <w:sz w:val="24"/>
        </w:rPr>
        <w:t>5</w:t>
      </w:r>
      <w:r>
        <w:rPr>
          <w:rFonts w:ascii="宋体" w:hAnsi="宋体"/>
          <w:color w:val="000000"/>
          <w:sz w:val="24"/>
        </w:rPr>
        <w:t>.1签约双方任何一方由于受诸如战争、严重火灾、洪水、台风、地</w:t>
      </w:r>
      <w:r>
        <w:rPr>
          <w:rFonts w:hint="eastAsia" w:ascii="宋体" w:hAnsi="宋体"/>
          <w:color w:val="000000"/>
          <w:sz w:val="24"/>
        </w:rPr>
        <w:t>震等不可抗力的影响不能履行合同时，履行合同的期限应予以延长，延长期限应相应于事故所影响的时间。不可抗力事故系指买卖双方在缔结合同时所不能预见的，并且它的发生及其后果是无法克服的。</w:t>
      </w:r>
    </w:p>
    <w:p>
      <w:pPr>
        <w:spacing w:line="460" w:lineRule="exact"/>
        <w:rPr>
          <w:rFonts w:ascii="宋体" w:hAnsi="宋体"/>
          <w:color w:val="000000"/>
          <w:sz w:val="24"/>
        </w:rPr>
      </w:pPr>
      <w:r>
        <w:rPr>
          <w:rFonts w:ascii="宋体" w:hAnsi="宋体"/>
          <w:color w:val="000000"/>
          <w:sz w:val="24"/>
        </w:rPr>
        <w:t xml:space="preserve">    1</w:t>
      </w:r>
      <w:r>
        <w:rPr>
          <w:rFonts w:hint="eastAsia" w:ascii="宋体" w:hAnsi="宋体"/>
          <w:color w:val="000000"/>
          <w:sz w:val="24"/>
        </w:rPr>
        <w:t>5</w:t>
      </w:r>
      <w:r>
        <w:rPr>
          <w:rFonts w:ascii="宋体" w:hAnsi="宋体"/>
          <w:color w:val="000000"/>
          <w:sz w:val="24"/>
        </w:rPr>
        <w:t>.2受阻一方应在不可抗力事故发生后尽快用电报、传真或电传通知</w:t>
      </w:r>
      <w:r>
        <w:rPr>
          <w:rFonts w:hint="eastAsia" w:ascii="宋体" w:hAnsi="宋体"/>
          <w:color w:val="000000"/>
          <w:sz w:val="24"/>
        </w:rPr>
        <w:t>对方，并于事故发生后5</w:t>
      </w:r>
      <w:r>
        <w:rPr>
          <w:rFonts w:ascii="宋体" w:hAnsi="宋体"/>
          <w:color w:val="000000"/>
          <w:sz w:val="24"/>
        </w:rPr>
        <w:t>天内将有关当局出具的证明文件用航空挂号信寄</w:t>
      </w:r>
      <w:r>
        <w:rPr>
          <w:rFonts w:hint="eastAsia" w:ascii="宋体" w:hAnsi="宋体"/>
          <w:color w:val="000000"/>
          <w:sz w:val="24"/>
        </w:rPr>
        <w:t>给对方审阅确认，一旦不可抗力事故的影响持续30</w:t>
      </w:r>
      <w:r>
        <w:rPr>
          <w:rFonts w:ascii="宋体" w:hAnsi="宋体"/>
          <w:color w:val="000000"/>
          <w:sz w:val="24"/>
        </w:rPr>
        <w:t>天以上，双方通过友</w:t>
      </w:r>
      <w:r>
        <w:rPr>
          <w:rFonts w:hint="eastAsia" w:ascii="宋体" w:hAnsi="宋体"/>
          <w:color w:val="000000"/>
          <w:sz w:val="24"/>
        </w:rPr>
        <w:t>好协商在合理的时间达成进一步履行合同的协议。</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1</w:t>
      </w:r>
      <w:r>
        <w:rPr>
          <w:rFonts w:hint="eastAsia" w:ascii="宋体" w:hAnsi="宋体"/>
          <w:color w:val="000000"/>
          <w:sz w:val="24"/>
        </w:rPr>
        <w:t>6</w:t>
      </w:r>
      <w:r>
        <w:rPr>
          <w:rFonts w:ascii="宋体" w:hAnsi="宋体"/>
          <w:color w:val="000000"/>
          <w:sz w:val="24"/>
        </w:rPr>
        <w:t>．合同纠纷的解决</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1</w:t>
      </w:r>
      <w:r>
        <w:rPr>
          <w:rFonts w:hint="eastAsia" w:ascii="宋体" w:hAnsi="宋体"/>
          <w:color w:val="000000"/>
          <w:sz w:val="24"/>
        </w:rPr>
        <w:t>6</w:t>
      </w:r>
      <w:r>
        <w:rPr>
          <w:rFonts w:ascii="宋体" w:hAnsi="宋体"/>
          <w:color w:val="000000"/>
          <w:sz w:val="24"/>
        </w:rPr>
        <w:t>.1在执行本合同中发生的或与本合同有关争议纠纷双方应</w:t>
      </w:r>
      <w:r>
        <w:rPr>
          <w:rFonts w:hint="eastAsia" w:ascii="宋体" w:hAnsi="宋体"/>
          <w:color w:val="000000"/>
          <w:sz w:val="24"/>
        </w:rPr>
        <w:t>通过协商解决，经协商不能达成协议时，在合同签约地进行仲裁，依照合同法解决。</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1</w:t>
      </w:r>
      <w:r>
        <w:rPr>
          <w:rFonts w:hint="eastAsia" w:ascii="宋体" w:hAnsi="宋体"/>
          <w:color w:val="000000"/>
          <w:sz w:val="24"/>
        </w:rPr>
        <w:t>7</w:t>
      </w:r>
      <w:r>
        <w:rPr>
          <w:rFonts w:ascii="宋体" w:hAnsi="宋体"/>
          <w:color w:val="000000"/>
          <w:sz w:val="24"/>
        </w:rPr>
        <w:t>．违约终止合同</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1</w:t>
      </w:r>
      <w:r>
        <w:rPr>
          <w:rFonts w:hint="eastAsia" w:ascii="宋体" w:hAnsi="宋体"/>
          <w:color w:val="000000"/>
          <w:sz w:val="24"/>
        </w:rPr>
        <w:t>7</w:t>
      </w:r>
      <w:r>
        <w:rPr>
          <w:rFonts w:ascii="宋体" w:hAnsi="宋体"/>
          <w:color w:val="000000"/>
          <w:sz w:val="24"/>
        </w:rPr>
        <w:t>.1如卖方违约，买方可向卖方发出书面违约通知，终止全部或部分</w:t>
      </w:r>
      <w:r>
        <w:rPr>
          <w:rFonts w:hint="eastAsia" w:ascii="宋体" w:hAnsi="宋体"/>
          <w:color w:val="000000"/>
          <w:sz w:val="24"/>
        </w:rPr>
        <w:t>合同。</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17.1.1</w:t>
      </w:r>
      <w:r>
        <w:rPr>
          <w:rFonts w:ascii="宋体" w:hAnsi="宋体"/>
          <w:color w:val="000000"/>
          <w:sz w:val="24"/>
        </w:rPr>
        <w:t>如果卖方未能在合同规定的期限内或买方准许延期的期限内交付部</w:t>
      </w:r>
      <w:r>
        <w:rPr>
          <w:rFonts w:hint="eastAsia" w:ascii="宋体" w:hAnsi="宋体"/>
          <w:color w:val="000000"/>
          <w:sz w:val="24"/>
        </w:rPr>
        <w:t>分或全部货物。</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17.1.2</w:t>
      </w:r>
      <w:r>
        <w:rPr>
          <w:rFonts w:ascii="宋体" w:hAnsi="宋体"/>
          <w:color w:val="000000"/>
          <w:sz w:val="24"/>
        </w:rPr>
        <w:t>卖方未能履行合同项下的规定义务，在上述任何一种情况下，卖方</w:t>
      </w:r>
      <w:r>
        <w:rPr>
          <w:rFonts w:hint="eastAsia" w:ascii="宋体" w:hAnsi="宋体"/>
          <w:color w:val="000000"/>
          <w:sz w:val="24"/>
        </w:rPr>
        <w:t>收到买方发出违约通知后</w:t>
      </w:r>
      <w:r>
        <w:rPr>
          <w:rFonts w:ascii="宋体" w:hAnsi="宋体"/>
          <w:color w:val="000000"/>
          <w:sz w:val="24"/>
        </w:rPr>
        <w:t>5天内仍未纠正其过失。</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1</w:t>
      </w:r>
      <w:r>
        <w:rPr>
          <w:rFonts w:hint="eastAsia" w:ascii="宋体" w:hAnsi="宋体"/>
          <w:color w:val="000000"/>
          <w:sz w:val="24"/>
        </w:rPr>
        <w:t>7</w:t>
      </w:r>
      <w:r>
        <w:rPr>
          <w:rFonts w:ascii="宋体" w:hAnsi="宋体"/>
          <w:color w:val="000000"/>
          <w:sz w:val="24"/>
        </w:rPr>
        <w:t>.2一旦买方根据17.1款终止部分或全部合同，买方可以按其认为适</w:t>
      </w:r>
      <w:r>
        <w:rPr>
          <w:rFonts w:hint="eastAsia" w:ascii="宋体" w:hAnsi="宋体"/>
          <w:color w:val="000000"/>
          <w:sz w:val="24"/>
        </w:rPr>
        <w:t>当的条件和方式采购类似未交付部分的货物。卖方应承担买方采购类似货物的额外费用。对于合同中未终止的部分，卖方应继续履行。</w:t>
      </w:r>
    </w:p>
    <w:p>
      <w:pPr>
        <w:spacing w:line="460" w:lineRule="exact"/>
        <w:rPr>
          <w:rFonts w:ascii="宋体" w:hAnsi="宋体"/>
          <w:color w:val="000000"/>
          <w:sz w:val="24"/>
        </w:rPr>
      </w:pPr>
      <w:r>
        <w:rPr>
          <w:rFonts w:ascii="宋体" w:hAnsi="宋体"/>
          <w:color w:val="000000"/>
          <w:sz w:val="24"/>
        </w:rPr>
        <w:t xml:space="preserve">    1</w:t>
      </w:r>
      <w:r>
        <w:rPr>
          <w:rFonts w:hint="eastAsia" w:ascii="宋体" w:hAnsi="宋体"/>
          <w:color w:val="000000"/>
          <w:sz w:val="24"/>
        </w:rPr>
        <w:t>8</w:t>
      </w:r>
      <w:r>
        <w:rPr>
          <w:rFonts w:ascii="宋体" w:hAnsi="宋体"/>
          <w:color w:val="000000"/>
          <w:sz w:val="24"/>
        </w:rPr>
        <w:t>．变更指示</w:t>
      </w:r>
    </w:p>
    <w:p>
      <w:pPr>
        <w:spacing w:line="460" w:lineRule="exact"/>
        <w:rPr>
          <w:rFonts w:ascii="宋体" w:hAnsi="宋体"/>
          <w:color w:val="000000"/>
          <w:sz w:val="24"/>
        </w:rPr>
      </w:pPr>
      <w:r>
        <w:rPr>
          <w:rFonts w:ascii="宋体" w:hAnsi="宋体"/>
          <w:color w:val="000000"/>
          <w:sz w:val="24"/>
        </w:rPr>
        <w:t xml:space="preserve">    1</w:t>
      </w:r>
      <w:r>
        <w:rPr>
          <w:rFonts w:hint="eastAsia" w:ascii="宋体" w:hAnsi="宋体"/>
          <w:color w:val="000000"/>
          <w:sz w:val="24"/>
        </w:rPr>
        <w:t>8</w:t>
      </w:r>
      <w:r>
        <w:rPr>
          <w:rFonts w:ascii="宋体" w:hAnsi="宋体"/>
          <w:color w:val="000000"/>
          <w:sz w:val="24"/>
        </w:rPr>
        <w:t>.1买方在合同生效后半个月内可以向卖方发出书面指示，在合同总</w:t>
      </w:r>
      <w:r>
        <w:rPr>
          <w:rFonts w:hint="eastAsia" w:ascii="宋体" w:hAnsi="宋体"/>
          <w:color w:val="000000"/>
          <w:sz w:val="24"/>
        </w:rPr>
        <w:t>体范围内对如下一点或几点提出变更。</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18.1.1</w:t>
      </w:r>
      <w:r>
        <w:rPr>
          <w:rFonts w:ascii="宋体" w:hAnsi="宋体"/>
          <w:color w:val="000000"/>
          <w:sz w:val="24"/>
        </w:rPr>
        <w:t>合同项下需为买方特殊制造的货物的图纸、设计或规格；</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18.1.2</w:t>
      </w:r>
      <w:r>
        <w:rPr>
          <w:rFonts w:ascii="宋体" w:hAnsi="宋体"/>
          <w:color w:val="000000"/>
          <w:sz w:val="24"/>
        </w:rPr>
        <w:t>装运方式或包装方式；</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18.1.3</w:t>
      </w:r>
      <w:r>
        <w:rPr>
          <w:rFonts w:ascii="宋体" w:hAnsi="宋体"/>
          <w:color w:val="000000"/>
          <w:sz w:val="24"/>
        </w:rPr>
        <w:t>交货地点；</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18.1.4</w:t>
      </w:r>
      <w:r>
        <w:rPr>
          <w:rFonts w:ascii="宋体" w:hAnsi="宋体"/>
          <w:color w:val="000000"/>
          <w:sz w:val="24"/>
        </w:rPr>
        <w:t>卖方须提供的服务。</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1</w:t>
      </w:r>
      <w:r>
        <w:rPr>
          <w:rFonts w:hint="eastAsia" w:ascii="宋体" w:hAnsi="宋体"/>
          <w:color w:val="000000"/>
          <w:sz w:val="24"/>
        </w:rPr>
        <w:t>8</w:t>
      </w:r>
      <w:r>
        <w:rPr>
          <w:rFonts w:ascii="宋体" w:hAnsi="宋体"/>
          <w:color w:val="000000"/>
          <w:sz w:val="24"/>
        </w:rPr>
        <w:t>.2若上述变更导致和卖方履行合同项下任何部分义务的费用或所需</w:t>
      </w:r>
      <w:r>
        <w:rPr>
          <w:rFonts w:hint="eastAsia" w:ascii="宋体" w:hAnsi="宋体"/>
          <w:color w:val="000000"/>
          <w:sz w:val="24"/>
        </w:rPr>
        <w:t>时间的增减，应对合同价格或交货进度进行合理的调整，同时应相应地修改合同。卖方必须在接到变更指示后</w:t>
      </w:r>
      <w:r>
        <w:rPr>
          <w:rFonts w:ascii="宋体" w:hAnsi="宋体"/>
          <w:color w:val="000000"/>
          <w:sz w:val="24"/>
        </w:rPr>
        <w:t>3天内根据本款提出调整的要求。</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19</w:t>
      </w:r>
      <w:r>
        <w:rPr>
          <w:rFonts w:ascii="宋体" w:hAnsi="宋体"/>
          <w:color w:val="000000"/>
          <w:sz w:val="24"/>
        </w:rPr>
        <w:t>．合同修改</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19</w:t>
      </w:r>
      <w:r>
        <w:rPr>
          <w:rFonts w:ascii="宋体" w:hAnsi="宋体"/>
          <w:color w:val="000000"/>
          <w:sz w:val="24"/>
        </w:rPr>
        <w:t>.1合同条款作出任何改动，均须由买、卖双方签署书面合同修改书。</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20</w:t>
      </w:r>
      <w:r>
        <w:rPr>
          <w:rFonts w:ascii="宋体" w:hAnsi="宋体"/>
          <w:color w:val="000000"/>
          <w:sz w:val="24"/>
        </w:rPr>
        <w:t>．转让与分包</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2</w:t>
      </w:r>
      <w:r>
        <w:rPr>
          <w:rFonts w:hint="eastAsia" w:ascii="宋体" w:hAnsi="宋体"/>
          <w:color w:val="000000"/>
          <w:sz w:val="24"/>
        </w:rPr>
        <w:t>0.</w:t>
      </w:r>
      <w:r>
        <w:rPr>
          <w:rFonts w:ascii="宋体" w:hAnsi="宋体"/>
          <w:color w:val="000000"/>
          <w:sz w:val="24"/>
        </w:rPr>
        <w:t>1除买方事先书面同意外，卖方不得部分转让或全部转让其应履行</w:t>
      </w:r>
      <w:r>
        <w:rPr>
          <w:rFonts w:hint="eastAsia" w:ascii="宋体" w:hAnsi="宋体"/>
          <w:color w:val="000000"/>
          <w:sz w:val="24"/>
        </w:rPr>
        <w:t>的合同项下的义务。</w:t>
      </w:r>
      <w:r>
        <w:rPr>
          <w:rFonts w:ascii="宋体" w:hAnsi="宋体"/>
          <w:color w:val="000000"/>
          <w:sz w:val="24"/>
        </w:rPr>
        <w:t xml:space="preserve">    </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2</w:t>
      </w:r>
      <w:r>
        <w:rPr>
          <w:rFonts w:hint="eastAsia" w:ascii="宋体" w:hAnsi="宋体"/>
          <w:color w:val="000000"/>
          <w:sz w:val="24"/>
        </w:rPr>
        <w:t>1</w:t>
      </w:r>
      <w:r>
        <w:rPr>
          <w:rFonts w:ascii="宋体" w:hAnsi="宋体"/>
          <w:color w:val="000000"/>
          <w:sz w:val="24"/>
        </w:rPr>
        <w:t>．适用法律</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2</w:t>
      </w:r>
      <w:r>
        <w:rPr>
          <w:rFonts w:hint="eastAsia" w:ascii="宋体" w:hAnsi="宋体"/>
          <w:color w:val="000000"/>
          <w:sz w:val="24"/>
        </w:rPr>
        <w:t>1</w:t>
      </w:r>
      <w:r>
        <w:rPr>
          <w:rFonts w:ascii="宋体" w:hAnsi="宋体"/>
          <w:color w:val="000000"/>
          <w:sz w:val="24"/>
        </w:rPr>
        <w:t>.1本合同应按《中华人民共和国合同法》解释。</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 xml:space="preserve"> 2</w:t>
      </w:r>
      <w:r>
        <w:rPr>
          <w:rFonts w:hint="eastAsia" w:ascii="宋体" w:hAnsi="宋体"/>
          <w:color w:val="000000"/>
          <w:sz w:val="24"/>
        </w:rPr>
        <w:t>2</w:t>
      </w:r>
      <w:r>
        <w:rPr>
          <w:rFonts w:ascii="宋体" w:hAnsi="宋体"/>
          <w:color w:val="000000"/>
          <w:sz w:val="24"/>
        </w:rPr>
        <w:t>．计量单位</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 xml:space="preserve"> 2</w:t>
      </w:r>
      <w:r>
        <w:rPr>
          <w:rFonts w:hint="eastAsia" w:ascii="宋体" w:hAnsi="宋体"/>
          <w:color w:val="000000"/>
          <w:sz w:val="24"/>
        </w:rPr>
        <w:t>2</w:t>
      </w:r>
      <w:r>
        <w:rPr>
          <w:rFonts w:ascii="宋体" w:hAnsi="宋体"/>
          <w:color w:val="000000"/>
          <w:sz w:val="24"/>
        </w:rPr>
        <w:t>.1除技术规格中另有规定外，计量单位均使用法定计量单位。</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2</w:t>
      </w:r>
      <w:r>
        <w:rPr>
          <w:rFonts w:hint="eastAsia" w:ascii="宋体" w:hAnsi="宋体"/>
          <w:color w:val="000000"/>
          <w:sz w:val="24"/>
        </w:rPr>
        <w:t>3</w:t>
      </w:r>
      <w:r>
        <w:rPr>
          <w:rFonts w:ascii="宋体" w:hAnsi="宋体"/>
          <w:color w:val="000000"/>
          <w:sz w:val="24"/>
        </w:rPr>
        <w:t>．通知</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 xml:space="preserve"> 2</w:t>
      </w:r>
      <w:r>
        <w:rPr>
          <w:rFonts w:hint="eastAsia" w:ascii="宋体" w:hAnsi="宋体"/>
          <w:color w:val="000000"/>
          <w:sz w:val="24"/>
        </w:rPr>
        <w:t>3</w:t>
      </w:r>
      <w:r>
        <w:rPr>
          <w:rFonts w:ascii="宋体" w:hAnsi="宋体"/>
          <w:color w:val="000000"/>
          <w:sz w:val="24"/>
        </w:rPr>
        <w:t>.1本合同任何一方给另一方</w:t>
      </w:r>
      <w:r>
        <w:rPr>
          <w:rFonts w:hint="eastAsia" w:ascii="宋体" w:hAnsi="宋体"/>
          <w:color w:val="000000"/>
          <w:sz w:val="24"/>
        </w:rPr>
        <w:t>的通知都应以信函或电传、电报、传真的形式发送，而另一方应以相应形式确认并发送到对方明确地址。</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2</w:t>
      </w:r>
      <w:r>
        <w:rPr>
          <w:rFonts w:hint="eastAsia" w:ascii="宋体" w:hAnsi="宋体"/>
          <w:color w:val="000000"/>
          <w:sz w:val="24"/>
        </w:rPr>
        <w:t>4</w:t>
      </w:r>
      <w:r>
        <w:rPr>
          <w:rFonts w:ascii="宋体" w:hAnsi="宋体"/>
          <w:color w:val="000000"/>
          <w:sz w:val="24"/>
        </w:rPr>
        <w:t xml:space="preserve">．合同文件及资料的使用。    </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2</w:t>
      </w:r>
      <w:r>
        <w:rPr>
          <w:rFonts w:hint="eastAsia" w:ascii="宋体" w:hAnsi="宋体"/>
          <w:color w:val="000000"/>
          <w:sz w:val="24"/>
        </w:rPr>
        <w:t>4</w:t>
      </w:r>
      <w:r>
        <w:rPr>
          <w:rFonts w:ascii="宋体" w:hAnsi="宋体"/>
          <w:color w:val="000000"/>
          <w:sz w:val="24"/>
        </w:rPr>
        <w:t>.1除了卖方执行合同所雇人员外，在未经买方同意的情况下，卖方</w:t>
      </w:r>
      <w:r>
        <w:rPr>
          <w:rFonts w:hint="eastAsia" w:ascii="宋体" w:hAnsi="宋体"/>
          <w:color w:val="000000"/>
          <w:sz w:val="24"/>
        </w:rPr>
        <w:t>不得将合同、合同中规定、规格、计划、图纸、样本或买方为上述内容向卖方提供的资料透露给任何人。卖方须在对外保密的前提下，对其雇用人员提供有关情况，所提供情况仅限于执行合同必不可少的范围内。</w:t>
      </w:r>
    </w:p>
    <w:p>
      <w:pPr>
        <w:spacing w:line="460" w:lineRule="exact"/>
        <w:ind w:left="480" w:hanging="480" w:hangingChars="200"/>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2</w:t>
      </w:r>
      <w:r>
        <w:rPr>
          <w:rFonts w:hint="eastAsia" w:ascii="宋体" w:hAnsi="宋体"/>
          <w:color w:val="000000"/>
          <w:sz w:val="24"/>
        </w:rPr>
        <w:t>4</w:t>
      </w:r>
      <w:r>
        <w:rPr>
          <w:rFonts w:ascii="宋体" w:hAnsi="宋体"/>
          <w:color w:val="000000"/>
          <w:sz w:val="24"/>
        </w:rPr>
        <w:t>.2除非执行合同需要，在事先未得到买方书面同意的情况下，卖方</w:t>
      </w:r>
      <w:r>
        <w:rPr>
          <w:rFonts w:hint="eastAsia" w:ascii="宋体" w:hAnsi="宋体"/>
          <w:color w:val="000000"/>
          <w:sz w:val="24"/>
        </w:rPr>
        <w:t>不得使用第</w:t>
      </w:r>
    </w:p>
    <w:p>
      <w:pPr>
        <w:spacing w:line="460" w:lineRule="exact"/>
        <w:ind w:left="480" w:hanging="480" w:hangingChars="200"/>
        <w:rPr>
          <w:rFonts w:ascii="宋体" w:hAnsi="宋体"/>
          <w:color w:val="000000"/>
          <w:sz w:val="24"/>
        </w:rPr>
      </w:pPr>
      <w:r>
        <w:rPr>
          <w:rFonts w:ascii="宋体" w:hAnsi="宋体"/>
          <w:color w:val="000000"/>
          <w:sz w:val="24"/>
        </w:rPr>
        <w:t>2</w:t>
      </w:r>
      <w:r>
        <w:rPr>
          <w:rFonts w:hint="eastAsia" w:ascii="宋体" w:hAnsi="宋体"/>
          <w:color w:val="000000"/>
          <w:sz w:val="24"/>
        </w:rPr>
        <w:t>4.</w:t>
      </w:r>
      <w:r>
        <w:rPr>
          <w:rFonts w:ascii="宋体" w:hAnsi="宋体"/>
          <w:color w:val="000000"/>
          <w:sz w:val="24"/>
        </w:rPr>
        <w:t>1款所列的任何文件和资料。</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2</w:t>
      </w:r>
      <w:r>
        <w:rPr>
          <w:rFonts w:hint="eastAsia" w:ascii="宋体" w:hAnsi="宋体"/>
          <w:color w:val="000000"/>
          <w:sz w:val="24"/>
        </w:rPr>
        <w:t>4</w:t>
      </w:r>
      <w:r>
        <w:rPr>
          <w:rFonts w:ascii="宋体" w:hAnsi="宋体"/>
          <w:color w:val="000000"/>
          <w:sz w:val="24"/>
        </w:rPr>
        <w:t>.3除合同本身以外25.1款列明的所有资料始终为买方财产，若买方</w:t>
      </w:r>
      <w:r>
        <w:rPr>
          <w:rFonts w:hint="eastAsia" w:ascii="宋体" w:hAnsi="宋体"/>
          <w:color w:val="000000"/>
          <w:sz w:val="24"/>
        </w:rPr>
        <w:t>要求，卖方应于其合同义务履行完毕后将这些资料</w:t>
      </w:r>
      <w:r>
        <w:rPr>
          <w:rFonts w:ascii="宋体" w:hAnsi="宋体"/>
          <w:color w:val="000000"/>
          <w:sz w:val="24"/>
        </w:rPr>
        <w:t>(包括所有副本)退还</w:t>
      </w:r>
      <w:r>
        <w:rPr>
          <w:rFonts w:hint="eastAsia" w:ascii="宋体" w:hAnsi="宋体"/>
          <w:color w:val="000000"/>
          <w:sz w:val="24"/>
        </w:rPr>
        <w:t>买方。</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2</w:t>
      </w:r>
      <w:r>
        <w:rPr>
          <w:rFonts w:hint="eastAsia" w:ascii="宋体" w:hAnsi="宋体"/>
          <w:color w:val="000000"/>
          <w:sz w:val="24"/>
        </w:rPr>
        <w:t>5</w:t>
      </w:r>
      <w:r>
        <w:rPr>
          <w:rFonts w:ascii="宋体" w:hAnsi="宋体"/>
          <w:color w:val="000000"/>
          <w:sz w:val="24"/>
        </w:rPr>
        <w:t>．合同生效及其他</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2</w:t>
      </w:r>
      <w:r>
        <w:rPr>
          <w:rFonts w:hint="eastAsia" w:ascii="宋体" w:hAnsi="宋体"/>
          <w:color w:val="000000"/>
          <w:sz w:val="24"/>
        </w:rPr>
        <w:t>5</w:t>
      </w:r>
      <w:r>
        <w:rPr>
          <w:rFonts w:ascii="宋体" w:hAnsi="宋体"/>
          <w:color w:val="000000"/>
          <w:sz w:val="24"/>
        </w:rPr>
        <w:t>.1本合同经双方签字盖</w:t>
      </w:r>
      <w:r>
        <w:rPr>
          <w:rFonts w:hint="eastAsia" w:ascii="宋体" w:hAnsi="宋体"/>
          <w:color w:val="000000"/>
          <w:sz w:val="24"/>
        </w:rPr>
        <w:t>章后即开始生效。</w:t>
      </w:r>
    </w:p>
    <w:p>
      <w:pPr>
        <w:spacing w:line="46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w:t>
      </w:r>
      <w:r>
        <w:rPr>
          <w:rFonts w:ascii="宋体" w:hAnsi="宋体"/>
          <w:color w:val="000000"/>
          <w:sz w:val="24"/>
        </w:rPr>
        <w:t>2</w:t>
      </w:r>
      <w:r>
        <w:rPr>
          <w:rFonts w:hint="eastAsia" w:ascii="宋体" w:hAnsi="宋体"/>
          <w:color w:val="000000"/>
          <w:sz w:val="24"/>
        </w:rPr>
        <w:t>5</w:t>
      </w:r>
      <w:r>
        <w:rPr>
          <w:rFonts w:ascii="宋体" w:hAnsi="宋体"/>
          <w:color w:val="000000"/>
          <w:sz w:val="24"/>
        </w:rPr>
        <w:t>.2卖方须按技术规格中的规定，向买方提供与合同项下货物有关的</w:t>
      </w:r>
      <w:r>
        <w:rPr>
          <w:rFonts w:hint="eastAsia" w:ascii="宋体" w:hAnsi="宋体"/>
          <w:color w:val="000000"/>
          <w:sz w:val="24"/>
        </w:rPr>
        <w:t>技术服务、培训及其他相关服务。</w:t>
      </w: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rPr>
          <w:rFonts w:ascii="宋体" w:hAnsi="宋体"/>
          <w:b/>
          <w:bCs/>
          <w:color w:val="000000"/>
          <w:sz w:val="24"/>
        </w:rPr>
      </w:pPr>
    </w:p>
    <w:p>
      <w:pPr>
        <w:spacing w:line="460" w:lineRule="exact"/>
        <w:rPr>
          <w:rFonts w:ascii="宋体" w:hAnsi="宋体"/>
          <w:b/>
          <w:bCs/>
          <w:color w:val="000000"/>
          <w:sz w:val="24"/>
        </w:rPr>
      </w:pPr>
    </w:p>
    <w:p>
      <w:pPr>
        <w:spacing w:line="460" w:lineRule="exact"/>
        <w:rPr>
          <w:rFonts w:ascii="宋体" w:hAnsi="宋体"/>
          <w:b/>
          <w:bCs/>
          <w:color w:val="000000"/>
          <w:sz w:val="24"/>
        </w:rPr>
      </w:pPr>
    </w:p>
    <w:p>
      <w:pPr>
        <w:spacing w:line="460" w:lineRule="exact"/>
        <w:rPr>
          <w:rFonts w:ascii="宋体" w:hAnsi="宋体"/>
          <w:b/>
          <w:bCs/>
          <w:color w:val="000000"/>
          <w:sz w:val="24"/>
        </w:rPr>
      </w:pPr>
    </w:p>
    <w:p>
      <w:pPr>
        <w:spacing w:line="460" w:lineRule="exact"/>
        <w:jc w:val="center"/>
        <w:rPr>
          <w:rFonts w:ascii="宋体" w:hAnsi="宋体"/>
          <w:b/>
          <w:bCs/>
          <w:color w:val="000000"/>
          <w:sz w:val="24"/>
        </w:rPr>
      </w:pPr>
      <w:r>
        <w:rPr>
          <w:rFonts w:ascii="宋体" w:hAnsi="宋体"/>
          <w:b/>
          <w:bCs/>
          <w:color w:val="000000"/>
          <w:sz w:val="24"/>
        </w:rPr>
        <w:t>第六章</w:t>
      </w:r>
      <w:r>
        <w:rPr>
          <w:rFonts w:hint="eastAsia" w:ascii="宋体" w:hAnsi="宋体"/>
          <w:b/>
          <w:bCs/>
          <w:color w:val="000000"/>
          <w:sz w:val="24"/>
        </w:rPr>
        <w:t>磋商响应文件</w:t>
      </w:r>
      <w:r>
        <w:rPr>
          <w:rFonts w:ascii="宋体" w:hAnsi="宋体"/>
          <w:b/>
          <w:bCs/>
          <w:color w:val="000000"/>
          <w:sz w:val="24"/>
        </w:rPr>
        <w:t>格式</w:t>
      </w:r>
    </w:p>
    <w:p>
      <w:pPr>
        <w:spacing w:line="460" w:lineRule="exact"/>
        <w:ind w:firstLine="480"/>
        <w:rPr>
          <w:rFonts w:ascii="宋体" w:hAnsi="宋体"/>
          <w:color w:val="000000"/>
          <w:sz w:val="24"/>
        </w:rPr>
      </w:pPr>
      <w:r>
        <w:rPr>
          <w:rFonts w:ascii="宋体" w:hAnsi="宋体"/>
          <w:color w:val="000000"/>
          <w:sz w:val="24"/>
        </w:rPr>
        <w:t>本章提供了部分要求的</w:t>
      </w:r>
      <w:r>
        <w:rPr>
          <w:rFonts w:hint="eastAsia" w:ascii="宋体" w:hAnsi="宋体"/>
          <w:color w:val="000000"/>
          <w:sz w:val="24"/>
        </w:rPr>
        <w:t>投标文件</w:t>
      </w:r>
      <w:r>
        <w:rPr>
          <w:rFonts w:ascii="宋体" w:hAnsi="宋体"/>
          <w:color w:val="000000"/>
          <w:sz w:val="24"/>
        </w:rPr>
        <w:t>格式，投标人应照此填制</w:t>
      </w:r>
      <w:r>
        <w:rPr>
          <w:rFonts w:hint="eastAsia" w:ascii="宋体" w:hAnsi="宋体"/>
          <w:color w:val="000000"/>
          <w:sz w:val="24"/>
        </w:rPr>
        <w:t>。</w:t>
      </w:r>
      <w:r>
        <w:rPr>
          <w:rFonts w:hint="eastAsia" w:ascii="宋体" w:hAnsi="宋体"/>
          <w:color w:val="C00000"/>
          <w:sz w:val="24"/>
        </w:rPr>
        <w:t>提供的格式没有按要求编制取消投标资格</w:t>
      </w:r>
      <w:r>
        <w:rPr>
          <w:rFonts w:ascii="宋体" w:hAnsi="宋体"/>
          <w:color w:val="000000"/>
          <w:sz w:val="24"/>
        </w:rPr>
        <w:t>。没有提供</w:t>
      </w:r>
      <w:r>
        <w:rPr>
          <w:rFonts w:hint="eastAsia" w:ascii="宋体" w:hAnsi="宋体"/>
          <w:color w:val="000000"/>
          <w:sz w:val="24"/>
        </w:rPr>
        <w:t>格式但又必须在投标文件中提供的，由投标人自拟。</w:t>
      </w: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ind w:firstLine="480"/>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pStyle w:val="2"/>
        <w:widowControl w:val="0"/>
        <w:numPr>
          <w:ilvl w:val="0"/>
          <w:numId w:val="0"/>
        </w:numPr>
        <w:adjustRightInd/>
        <w:snapToGrid/>
        <w:spacing w:after="0"/>
        <w:jc w:val="center"/>
        <w:rPr>
          <w:rFonts w:ascii="宋体" w:hAnsi="宋体"/>
          <w:color w:val="000000"/>
          <w:sz w:val="24"/>
        </w:rPr>
      </w:pPr>
    </w:p>
    <w:p>
      <w:pPr>
        <w:pStyle w:val="2"/>
        <w:widowControl w:val="0"/>
        <w:numPr>
          <w:ilvl w:val="0"/>
          <w:numId w:val="0"/>
        </w:numPr>
        <w:adjustRightInd/>
        <w:snapToGrid/>
        <w:spacing w:after="0"/>
        <w:jc w:val="center"/>
        <w:rPr>
          <w:rFonts w:ascii="宋体" w:hAnsi="宋体"/>
          <w:color w:val="000000"/>
          <w:sz w:val="24"/>
        </w:rPr>
      </w:pPr>
    </w:p>
    <w:p>
      <w:pPr>
        <w:pStyle w:val="2"/>
        <w:widowControl w:val="0"/>
        <w:numPr>
          <w:ilvl w:val="0"/>
          <w:numId w:val="0"/>
        </w:numPr>
        <w:adjustRightInd/>
        <w:snapToGrid/>
        <w:spacing w:after="0"/>
        <w:jc w:val="center"/>
        <w:rPr>
          <w:rFonts w:ascii="宋体" w:hAnsi="宋体"/>
          <w:color w:val="000000"/>
          <w:sz w:val="24"/>
        </w:rPr>
      </w:pPr>
    </w:p>
    <w:p>
      <w:pPr>
        <w:pStyle w:val="2"/>
        <w:widowControl w:val="0"/>
        <w:numPr>
          <w:ilvl w:val="0"/>
          <w:numId w:val="0"/>
        </w:numPr>
        <w:adjustRightInd/>
        <w:snapToGrid/>
        <w:spacing w:after="0"/>
        <w:jc w:val="center"/>
        <w:rPr>
          <w:rFonts w:ascii="宋体" w:hAnsi="宋体"/>
          <w:color w:val="000000"/>
          <w:sz w:val="24"/>
        </w:rPr>
      </w:pPr>
    </w:p>
    <w:p>
      <w:pPr>
        <w:pStyle w:val="2"/>
        <w:widowControl w:val="0"/>
        <w:numPr>
          <w:ilvl w:val="0"/>
          <w:numId w:val="0"/>
        </w:numPr>
        <w:adjustRightInd/>
        <w:snapToGrid/>
        <w:spacing w:after="0"/>
        <w:jc w:val="center"/>
        <w:rPr>
          <w:rFonts w:ascii="宋体" w:hAnsi="宋体"/>
          <w:color w:val="000000"/>
          <w:sz w:val="24"/>
        </w:rPr>
      </w:pPr>
    </w:p>
    <w:p>
      <w:pPr>
        <w:spacing w:line="460" w:lineRule="exact"/>
        <w:rPr>
          <w:rFonts w:ascii="宋体" w:hAnsi="宋体"/>
          <w:color w:val="000000"/>
          <w:sz w:val="24"/>
        </w:rPr>
      </w:pPr>
    </w:p>
    <w:p>
      <w:pPr>
        <w:spacing w:line="460" w:lineRule="exact"/>
        <w:jc w:val="center"/>
        <w:outlineLvl w:val="0"/>
        <w:rPr>
          <w:rFonts w:ascii="宋体" w:hAnsi="宋体"/>
          <w:b/>
          <w:bCs/>
          <w:color w:val="000000"/>
          <w:sz w:val="24"/>
        </w:rPr>
      </w:pPr>
      <w:r>
        <w:rPr>
          <w:rFonts w:hint="eastAsia" w:ascii="宋体" w:hAnsi="宋体"/>
          <w:b/>
          <w:bCs/>
          <w:color w:val="000000"/>
          <w:sz w:val="24"/>
        </w:rPr>
        <w:t>一、投标书</w:t>
      </w:r>
    </w:p>
    <w:p>
      <w:pPr>
        <w:spacing w:line="460" w:lineRule="exact"/>
        <w:rPr>
          <w:rFonts w:ascii="宋体" w:hAnsi="宋体"/>
          <w:color w:val="000000"/>
          <w:sz w:val="24"/>
        </w:rPr>
      </w:pPr>
      <w:r>
        <w:rPr>
          <w:rFonts w:hint="eastAsia" w:ascii="宋体" w:hAnsi="宋体"/>
          <w:color w:val="000000"/>
          <w:sz w:val="24"/>
          <w:lang w:eastAsia="zh-CN"/>
        </w:rPr>
        <w:t>乌鲁木齐市水磨沟区城市管理局（乌鲁木齐市水磨沟区城市管理行政执法局）</w:t>
      </w:r>
      <w:r>
        <w:rPr>
          <w:rFonts w:hint="eastAsia" w:ascii="宋体" w:hAnsi="宋体"/>
          <w:color w:val="000000"/>
          <w:sz w:val="24"/>
        </w:rPr>
        <w:t>：</w:t>
      </w:r>
    </w:p>
    <w:p>
      <w:pPr>
        <w:spacing w:line="460" w:lineRule="exact"/>
        <w:ind w:left="460" w:leftChars="100" w:hanging="240" w:hangingChars="100"/>
        <w:rPr>
          <w:rFonts w:ascii="宋体" w:hAnsi="宋体"/>
          <w:color w:val="000000"/>
          <w:sz w:val="24"/>
        </w:rPr>
      </w:pPr>
      <w:r>
        <w:rPr>
          <w:rFonts w:ascii="宋体" w:hAnsi="宋体"/>
          <w:color w:val="000000"/>
          <w:sz w:val="24"/>
        </w:rPr>
        <w:t xml:space="preserve"> 我们收到你们</w:t>
      </w:r>
      <w:r>
        <w:rPr>
          <w:rFonts w:hint="eastAsia" w:ascii="宋体" w:hAnsi="宋体"/>
          <w:color w:val="000000"/>
          <w:sz w:val="24"/>
          <w:u w:val="single"/>
        </w:rPr>
        <w:t>　　　　　　　　　　　</w:t>
      </w:r>
      <w:r>
        <w:rPr>
          <w:rFonts w:hint="eastAsia" w:ascii="宋体" w:hAnsi="宋体"/>
          <w:color w:val="000000"/>
          <w:sz w:val="24"/>
        </w:rPr>
        <w:t>招标文件，经认真研究，我们决定参加投标。</w:t>
      </w:r>
      <w:r>
        <w:rPr>
          <w:rFonts w:ascii="宋体" w:hAnsi="宋体"/>
          <w:color w:val="000000"/>
          <w:sz w:val="24"/>
        </w:rPr>
        <w:t>1．按照招标文件中的一切要求，</w:t>
      </w:r>
      <w:r>
        <w:rPr>
          <w:rFonts w:hint="eastAsia" w:ascii="宋体" w:hAnsi="宋体"/>
          <w:color w:val="000000"/>
          <w:sz w:val="24"/>
        </w:rPr>
        <w:t>投标抱价</w:t>
      </w:r>
      <w:r>
        <w:rPr>
          <w:rFonts w:ascii="宋体" w:hAnsi="宋体"/>
          <w:color w:val="000000"/>
          <w:sz w:val="24"/>
        </w:rPr>
        <w:t>明细见投标</w:t>
      </w:r>
      <w:r>
        <w:rPr>
          <w:rFonts w:hint="eastAsia" w:ascii="宋体" w:hAnsi="宋体"/>
          <w:color w:val="000000"/>
          <w:sz w:val="24"/>
        </w:rPr>
        <w:t>报价表。</w:t>
      </w:r>
    </w:p>
    <w:p>
      <w:pPr>
        <w:spacing w:line="460" w:lineRule="exact"/>
        <w:rPr>
          <w:rFonts w:ascii="宋体" w:hAnsi="宋体"/>
          <w:color w:val="000000"/>
          <w:sz w:val="24"/>
        </w:rPr>
      </w:pPr>
      <w:r>
        <w:rPr>
          <w:rFonts w:ascii="宋体" w:hAnsi="宋体"/>
          <w:color w:val="000000"/>
          <w:sz w:val="24"/>
        </w:rPr>
        <w:t xml:space="preserve">    2．如果我们的投标书被接受，我们将履行招标文件中规定的每一项要求，</w:t>
      </w:r>
      <w:r>
        <w:rPr>
          <w:rFonts w:hint="eastAsia" w:ascii="宋体" w:hAnsi="宋体"/>
          <w:color w:val="000000"/>
          <w:sz w:val="24"/>
        </w:rPr>
        <w:t>按期、按质、按量完成交货。</w:t>
      </w:r>
    </w:p>
    <w:p>
      <w:pPr>
        <w:spacing w:line="460" w:lineRule="exact"/>
        <w:rPr>
          <w:rFonts w:ascii="宋体" w:hAnsi="宋体"/>
          <w:color w:val="000000"/>
          <w:sz w:val="24"/>
        </w:rPr>
      </w:pPr>
      <w:r>
        <w:rPr>
          <w:rFonts w:ascii="宋体" w:hAnsi="宋体"/>
          <w:color w:val="000000"/>
          <w:sz w:val="24"/>
        </w:rPr>
        <w:t xml:space="preserve">    3．我们同意按招标文件的规定，本投标书的有效期为开标后</w:t>
      </w:r>
      <w:r>
        <w:rPr>
          <w:rFonts w:hint="eastAsia" w:ascii="宋体" w:hAnsi="宋体"/>
          <w:color w:val="000000"/>
          <w:sz w:val="24"/>
          <w:u w:val="single"/>
        </w:rPr>
        <w:t>　60　</w:t>
      </w:r>
      <w:r>
        <w:rPr>
          <w:rFonts w:ascii="宋体" w:hAnsi="宋体"/>
          <w:color w:val="000000"/>
          <w:sz w:val="24"/>
        </w:rPr>
        <w:t>天。</w:t>
      </w:r>
    </w:p>
    <w:p>
      <w:pPr>
        <w:spacing w:line="460" w:lineRule="exact"/>
        <w:rPr>
          <w:rFonts w:ascii="宋体" w:hAnsi="宋体"/>
          <w:color w:val="000000"/>
          <w:sz w:val="24"/>
        </w:rPr>
      </w:pPr>
      <w:r>
        <w:rPr>
          <w:rFonts w:ascii="宋体" w:hAnsi="宋体"/>
          <w:color w:val="000000"/>
          <w:sz w:val="24"/>
        </w:rPr>
        <w:t xml:space="preserve">    4．我们愿意提供招标人在招标文件中要求的所有资料。</w:t>
      </w:r>
    </w:p>
    <w:p>
      <w:pPr>
        <w:spacing w:line="460" w:lineRule="exact"/>
        <w:ind w:firstLine="465"/>
        <w:rPr>
          <w:rFonts w:ascii="宋体" w:hAnsi="宋体"/>
          <w:color w:val="000000"/>
          <w:sz w:val="24"/>
        </w:rPr>
      </w:pPr>
      <w:r>
        <w:rPr>
          <w:rFonts w:ascii="宋体" w:hAnsi="宋体"/>
          <w:color w:val="000000"/>
          <w:sz w:val="24"/>
        </w:rPr>
        <w:t>5．我们认为招标人有选择或拒绝任何投标者中标的权力。我们理解，最</w:t>
      </w:r>
      <w:r>
        <w:rPr>
          <w:rFonts w:hint="eastAsia" w:ascii="宋体" w:hAnsi="宋体"/>
          <w:color w:val="000000"/>
          <w:sz w:val="24"/>
        </w:rPr>
        <w:t>低报价不是中标的唯一条件。</w:t>
      </w:r>
    </w:p>
    <w:p>
      <w:pPr>
        <w:spacing w:line="460" w:lineRule="exact"/>
        <w:ind w:firstLine="360" w:firstLineChars="150"/>
        <w:rPr>
          <w:rFonts w:ascii="宋体" w:hAnsi="宋体"/>
          <w:color w:val="000000"/>
          <w:sz w:val="24"/>
        </w:rPr>
      </w:pPr>
      <w:r>
        <w:rPr>
          <w:rFonts w:ascii="宋体" w:hAnsi="宋体"/>
          <w:color w:val="000000"/>
          <w:sz w:val="24"/>
        </w:rPr>
        <w:t xml:space="preserve"> 6．我们愿按合同法履行自己的全部责任。</w:t>
      </w:r>
    </w:p>
    <w:p>
      <w:pPr>
        <w:spacing w:line="460" w:lineRule="exact"/>
        <w:rPr>
          <w:rFonts w:ascii="宋体" w:hAnsi="宋体"/>
          <w:color w:val="000000"/>
          <w:sz w:val="24"/>
        </w:rPr>
      </w:pPr>
      <w:r>
        <w:rPr>
          <w:rFonts w:ascii="宋体" w:hAnsi="宋体"/>
          <w:color w:val="000000"/>
          <w:sz w:val="24"/>
        </w:rPr>
        <w:t xml:space="preserve">    7．我们愿意遵守国家有关规定和招标文件中规定的收费标准，承付中标</w:t>
      </w:r>
      <w:r>
        <w:rPr>
          <w:rFonts w:hint="eastAsia" w:ascii="宋体" w:hAnsi="宋体"/>
          <w:color w:val="000000"/>
          <w:sz w:val="24"/>
        </w:rPr>
        <w:t>服务费。</w:t>
      </w:r>
      <w:r>
        <w:rPr>
          <w:rFonts w:ascii="宋体" w:hAnsi="宋体"/>
          <w:color w:val="000000"/>
          <w:sz w:val="24"/>
        </w:rPr>
        <w:t xml:space="preserve">    </w:t>
      </w:r>
    </w:p>
    <w:p>
      <w:pPr>
        <w:spacing w:line="460" w:lineRule="exact"/>
        <w:ind w:firstLine="480" w:firstLineChars="200"/>
        <w:rPr>
          <w:rFonts w:ascii="宋体" w:hAnsi="宋体"/>
          <w:color w:val="000000"/>
          <w:sz w:val="24"/>
        </w:rPr>
      </w:pPr>
      <w:r>
        <w:rPr>
          <w:rFonts w:ascii="宋体" w:hAnsi="宋体"/>
          <w:color w:val="000000"/>
          <w:sz w:val="24"/>
        </w:rPr>
        <w:t>8．该项投标在开标后的全过程中保持有效，不作任何更改和变动。</w:t>
      </w:r>
    </w:p>
    <w:p>
      <w:pPr>
        <w:spacing w:line="460" w:lineRule="exact"/>
        <w:ind w:firstLine="480" w:firstLineChars="200"/>
        <w:rPr>
          <w:rFonts w:ascii="宋体" w:hAnsi="宋体"/>
          <w:color w:val="000000"/>
          <w:sz w:val="24"/>
        </w:rPr>
      </w:pPr>
      <w:r>
        <w:rPr>
          <w:rFonts w:ascii="宋体" w:hAnsi="宋体"/>
          <w:color w:val="000000"/>
          <w:sz w:val="24"/>
        </w:rPr>
        <w:t>9．我们同意按招标文件规定，交纳</w:t>
      </w:r>
      <w:r>
        <w:rPr>
          <w:rFonts w:hint="eastAsia" w:ascii="宋体" w:hAnsi="宋体"/>
          <w:color w:val="000000"/>
          <w:sz w:val="24"/>
          <w:u w:val="single"/>
        </w:rPr>
        <w:t>　　　　　　</w:t>
      </w:r>
      <w:r>
        <w:rPr>
          <w:rFonts w:ascii="宋体" w:hAnsi="宋体"/>
          <w:color w:val="000000"/>
          <w:sz w:val="24"/>
        </w:rPr>
        <w:t>元的投标保证金</w:t>
      </w:r>
      <w:r>
        <w:rPr>
          <w:rFonts w:hint="eastAsia" w:ascii="宋体" w:hAnsi="宋体"/>
          <w:color w:val="000000"/>
          <w:sz w:val="24"/>
        </w:rPr>
        <w:t>。</w:t>
      </w:r>
    </w:p>
    <w:p>
      <w:pPr>
        <w:spacing w:line="460" w:lineRule="exact"/>
        <w:rPr>
          <w:rFonts w:ascii="宋体" w:hAnsi="宋体"/>
          <w:color w:val="000000"/>
          <w:sz w:val="24"/>
        </w:rPr>
      </w:pPr>
      <w:r>
        <w:rPr>
          <w:rFonts w:ascii="宋体" w:hAnsi="宋体"/>
          <w:color w:val="000000"/>
          <w:sz w:val="24"/>
        </w:rPr>
        <w:t xml:space="preserve">    lO．其它说明</w:t>
      </w:r>
    </w:p>
    <w:p>
      <w:pPr>
        <w:spacing w:after="0" w:line="460" w:lineRule="exact"/>
        <w:rPr>
          <w:rFonts w:ascii="宋体" w:hAnsi="宋体"/>
          <w:color w:val="000000"/>
          <w:sz w:val="24"/>
        </w:rPr>
      </w:pPr>
      <w:r>
        <w:rPr>
          <w:rFonts w:hint="eastAsia" w:ascii="宋体" w:hAnsi="宋体"/>
          <w:color w:val="000000"/>
          <w:sz w:val="24"/>
        </w:rPr>
        <w:t>投标人</w:t>
      </w:r>
      <w:r>
        <w:rPr>
          <w:rFonts w:ascii="宋体" w:hAnsi="宋体"/>
          <w:color w:val="000000"/>
          <w:sz w:val="24"/>
        </w:rPr>
        <w:t>(盖章)：</w:t>
      </w:r>
    </w:p>
    <w:p>
      <w:pPr>
        <w:spacing w:after="0" w:line="460" w:lineRule="exact"/>
        <w:rPr>
          <w:rFonts w:ascii="宋体" w:hAnsi="宋体"/>
          <w:color w:val="000000"/>
          <w:sz w:val="24"/>
        </w:rPr>
      </w:pPr>
      <w:r>
        <w:rPr>
          <w:rFonts w:hint="eastAsia" w:ascii="宋体" w:hAnsi="宋体"/>
          <w:color w:val="000000"/>
          <w:sz w:val="24"/>
        </w:rPr>
        <w:t>地</w:t>
      </w:r>
      <w:r>
        <w:rPr>
          <w:rFonts w:ascii="宋体" w:hAnsi="宋体"/>
          <w:color w:val="000000"/>
          <w:sz w:val="24"/>
        </w:rPr>
        <w:t xml:space="preserve">  址：</w:t>
      </w:r>
    </w:p>
    <w:p>
      <w:pPr>
        <w:spacing w:after="0" w:line="460" w:lineRule="exact"/>
        <w:rPr>
          <w:rFonts w:ascii="宋体" w:hAnsi="宋体"/>
          <w:color w:val="000000"/>
          <w:sz w:val="24"/>
        </w:rPr>
      </w:pPr>
      <w:r>
        <w:rPr>
          <w:rFonts w:hint="eastAsia" w:ascii="宋体" w:hAnsi="宋体"/>
          <w:color w:val="000000"/>
          <w:sz w:val="24"/>
        </w:rPr>
        <w:t>法定代表人</w:t>
      </w:r>
      <w:r>
        <w:rPr>
          <w:rFonts w:ascii="宋体" w:hAnsi="宋体"/>
          <w:color w:val="000000"/>
          <w:sz w:val="24"/>
        </w:rPr>
        <w:t>(签字、盖章)：</w:t>
      </w:r>
    </w:p>
    <w:p>
      <w:pPr>
        <w:spacing w:after="0" w:line="460" w:lineRule="exact"/>
        <w:rPr>
          <w:rFonts w:ascii="宋体" w:hAnsi="宋体"/>
          <w:color w:val="000000"/>
          <w:sz w:val="24"/>
        </w:rPr>
      </w:pPr>
      <w:r>
        <w:rPr>
          <w:rFonts w:hint="eastAsia" w:ascii="宋体" w:hAnsi="宋体"/>
          <w:color w:val="000000"/>
          <w:sz w:val="24"/>
        </w:rPr>
        <w:t>电</w:t>
      </w:r>
      <w:r>
        <w:rPr>
          <w:rFonts w:ascii="宋体" w:hAnsi="宋体"/>
          <w:color w:val="000000"/>
          <w:sz w:val="24"/>
        </w:rPr>
        <w:t xml:space="preserve">  话：</w:t>
      </w:r>
    </w:p>
    <w:p>
      <w:pPr>
        <w:spacing w:after="0" w:line="460" w:lineRule="exact"/>
        <w:rPr>
          <w:rFonts w:ascii="宋体" w:hAnsi="宋体"/>
          <w:color w:val="000000"/>
          <w:sz w:val="24"/>
        </w:rPr>
      </w:pPr>
      <w:r>
        <w:rPr>
          <w:rFonts w:hint="eastAsia" w:ascii="宋体" w:hAnsi="宋体"/>
          <w:color w:val="000000"/>
          <w:sz w:val="24"/>
        </w:rPr>
        <w:t>传</w:t>
      </w:r>
      <w:r>
        <w:rPr>
          <w:rFonts w:ascii="宋体" w:hAnsi="宋体"/>
          <w:color w:val="000000"/>
          <w:sz w:val="24"/>
        </w:rPr>
        <w:t xml:space="preserve">  真：</w:t>
      </w:r>
    </w:p>
    <w:p>
      <w:pPr>
        <w:spacing w:after="0" w:line="460" w:lineRule="exact"/>
        <w:rPr>
          <w:rFonts w:ascii="宋体" w:hAnsi="宋体"/>
          <w:color w:val="000000"/>
          <w:sz w:val="24"/>
        </w:rPr>
      </w:pPr>
      <w:r>
        <w:rPr>
          <w:rFonts w:hint="eastAsia" w:ascii="宋体" w:hAnsi="宋体"/>
          <w:color w:val="000000"/>
          <w:sz w:val="24"/>
        </w:rPr>
        <w:t>邮政编码：</w:t>
      </w:r>
    </w:p>
    <w:p>
      <w:pPr>
        <w:spacing w:after="0" w:line="460" w:lineRule="exact"/>
        <w:rPr>
          <w:rFonts w:ascii="宋体" w:hAnsi="宋体"/>
          <w:color w:val="000000"/>
          <w:sz w:val="24"/>
        </w:rPr>
      </w:pPr>
      <w:r>
        <w:rPr>
          <w:rFonts w:hint="eastAsia" w:ascii="宋体" w:hAnsi="宋体"/>
          <w:color w:val="000000"/>
          <w:sz w:val="24"/>
        </w:rPr>
        <w:t>开户行名称：</w:t>
      </w:r>
    </w:p>
    <w:p>
      <w:pPr>
        <w:spacing w:after="0" w:line="460" w:lineRule="exact"/>
        <w:rPr>
          <w:rFonts w:ascii="宋体" w:hAnsi="宋体"/>
          <w:color w:val="000000"/>
          <w:sz w:val="24"/>
        </w:rPr>
      </w:pPr>
      <w:r>
        <w:rPr>
          <w:rFonts w:hint="eastAsia" w:ascii="宋体" w:hAnsi="宋体"/>
          <w:color w:val="000000"/>
          <w:sz w:val="24"/>
        </w:rPr>
        <w:t>帐</w:t>
      </w:r>
      <w:r>
        <w:rPr>
          <w:rFonts w:ascii="宋体" w:hAnsi="宋体"/>
          <w:color w:val="000000"/>
          <w:sz w:val="24"/>
        </w:rPr>
        <w:t xml:space="preserve">  号：</w:t>
      </w:r>
      <w:r>
        <w:rPr>
          <w:rFonts w:hint="eastAsia" w:ascii="宋体" w:hAnsi="宋体"/>
          <w:color w:val="000000"/>
          <w:sz w:val="24"/>
        </w:rPr>
        <w:t xml:space="preserve">                                      </w:t>
      </w:r>
    </w:p>
    <w:p>
      <w:pPr>
        <w:spacing w:line="460" w:lineRule="exact"/>
        <w:rPr>
          <w:rFonts w:ascii="宋体" w:hAnsi="宋体"/>
          <w:color w:val="000000"/>
          <w:sz w:val="24"/>
        </w:rPr>
      </w:pPr>
    </w:p>
    <w:p>
      <w:pPr>
        <w:spacing w:line="460" w:lineRule="exact"/>
        <w:jc w:val="center"/>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年  月 </w:t>
      </w:r>
      <w:r>
        <w:rPr>
          <w:rFonts w:hint="eastAsia" w:ascii="宋体" w:hAnsi="宋体"/>
          <w:color w:val="000000"/>
          <w:sz w:val="24"/>
        </w:rPr>
        <w:t>　</w:t>
      </w:r>
      <w:r>
        <w:rPr>
          <w:rFonts w:ascii="宋体" w:hAnsi="宋体"/>
          <w:color w:val="000000"/>
          <w:sz w:val="24"/>
        </w:rPr>
        <w:t>日</w:t>
      </w:r>
    </w:p>
    <w:p>
      <w:pPr>
        <w:spacing w:line="460" w:lineRule="exact"/>
        <w:jc w:val="center"/>
        <w:outlineLvl w:val="0"/>
        <w:rPr>
          <w:rFonts w:ascii="宋体" w:hAnsi="宋体"/>
          <w:b/>
          <w:bCs/>
          <w:color w:val="000000"/>
          <w:sz w:val="24"/>
        </w:rPr>
      </w:pPr>
      <w:r>
        <w:rPr>
          <w:rFonts w:ascii="宋体" w:hAnsi="宋体"/>
          <w:b/>
          <w:bCs/>
          <w:color w:val="000000"/>
          <w:sz w:val="24"/>
        </w:rPr>
        <w:t>二、开  标  一  览  表</w:t>
      </w:r>
      <w:r>
        <w:rPr>
          <w:rFonts w:hint="eastAsia" w:ascii="宋体" w:hAnsi="宋体"/>
          <w:b/>
          <w:bCs/>
          <w:color w:val="000000"/>
          <w:sz w:val="24"/>
        </w:rPr>
        <w:t>(1)</w:t>
      </w:r>
    </w:p>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235" w:type="dxa"/>
            <w:vAlign w:val="center"/>
          </w:tcPr>
          <w:p>
            <w:pPr>
              <w:rPr>
                <w:sz w:val="24"/>
              </w:rPr>
            </w:pPr>
            <w:r>
              <w:rPr>
                <w:rFonts w:hint="eastAsia"/>
                <w:sz w:val="24"/>
              </w:rPr>
              <w:t>投标项目名称</w:t>
            </w:r>
          </w:p>
        </w:tc>
        <w:tc>
          <w:tcPr>
            <w:tcW w:w="6095" w:type="dxa"/>
            <w:vAlign w:val="center"/>
          </w:tcPr>
          <w:p>
            <w:pPr>
              <w:rPr>
                <w:rFonts w:hint="eastAsia" w:eastAsia="微软雅黑"/>
                <w:sz w:val="24"/>
                <w:lang w:eastAsia="zh-CN"/>
              </w:rPr>
            </w:pPr>
            <w:r>
              <w:rPr>
                <w:rFonts w:hint="eastAsia" w:ascii="宋体" w:hAnsi="宋体"/>
                <w:color w:val="000000"/>
                <w:sz w:val="24"/>
                <w:lang w:eastAsia="zh-CN"/>
              </w:rPr>
              <w:t>乌鲁木齐市水磨沟区城市管理局（乌鲁木齐市水磨沟区城市管理行政执法局）12月防疫物资采购项目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235" w:type="dxa"/>
            <w:vAlign w:val="center"/>
          </w:tcPr>
          <w:p>
            <w:pPr>
              <w:rPr>
                <w:sz w:val="24"/>
              </w:rPr>
            </w:pPr>
            <w:r>
              <w:rPr>
                <w:rFonts w:hint="eastAsia"/>
                <w:sz w:val="24"/>
              </w:rPr>
              <w:t>投标单位名称</w:t>
            </w:r>
          </w:p>
        </w:tc>
        <w:tc>
          <w:tcPr>
            <w:tcW w:w="6095"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30" w:type="dxa"/>
            <w:gridSpan w:val="2"/>
            <w:vAlign w:val="center"/>
          </w:tcPr>
          <w:p>
            <w:pPr>
              <w:jc w:val="center"/>
              <w:rPr>
                <w:b/>
                <w:sz w:val="24"/>
              </w:rPr>
            </w:pPr>
            <w:r>
              <w:rPr>
                <w:rFonts w:hint="eastAsia"/>
                <w:b/>
                <w:sz w:val="24"/>
              </w:rPr>
              <w:t>投标报价（单位：人民币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30" w:type="dxa"/>
            <w:gridSpan w:val="2"/>
            <w:vAlign w:val="center"/>
          </w:tcPr>
          <w:p>
            <w:pPr>
              <w:rPr>
                <w:sz w:val="24"/>
              </w:rPr>
            </w:pPr>
            <w:r>
              <w:rPr>
                <w:rFonts w:hint="eastAsia"/>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30" w:type="dxa"/>
            <w:gridSpan w:val="2"/>
            <w:vAlign w:val="center"/>
          </w:tcPr>
          <w:p>
            <w:pPr>
              <w:rPr>
                <w:sz w:val="24"/>
              </w:rPr>
            </w:pPr>
            <w:r>
              <w:rPr>
                <w:rFonts w:hint="eastAsia"/>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2235" w:type="dxa"/>
            <w:vAlign w:val="center"/>
          </w:tcPr>
          <w:p>
            <w:pPr>
              <w:rPr>
                <w:sz w:val="28"/>
                <w:szCs w:val="28"/>
              </w:rPr>
            </w:pPr>
            <w:r>
              <w:rPr>
                <w:rFonts w:hint="eastAsia" w:ascii="宋体" w:hAnsi="宋体"/>
                <w:color w:val="000000"/>
                <w:sz w:val="24"/>
              </w:rPr>
              <w:t>报价附加说明</w:t>
            </w:r>
          </w:p>
        </w:tc>
        <w:tc>
          <w:tcPr>
            <w:tcW w:w="6095" w:type="dxa"/>
            <w:vAlign w:val="center"/>
          </w:tcPr>
          <w:p>
            <w:pPr>
              <w:rPr>
                <w:rFonts w:ascii="宋体" w:hAnsi="宋体"/>
                <w:sz w:val="28"/>
                <w:szCs w:val="28"/>
              </w:rPr>
            </w:pPr>
            <w:r>
              <w:rPr>
                <w:rFonts w:hint="eastAsia" w:ascii="宋体" w:hAnsi="宋体"/>
                <w:color w:val="000000"/>
                <w:sz w:val="24"/>
              </w:rPr>
              <w:t>本报价为最终报价，报价包括设备材料/税金/安装调试/包装费/运杂费/保险费/技术咨询/技术培训/现场服务费等.</w:t>
            </w:r>
          </w:p>
        </w:tc>
      </w:tr>
    </w:tbl>
    <w:p>
      <w:pPr>
        <w:spacing w:line="460" w:lineRule="exact"/>
        <w:rPr>
          <w:rFonts w:ascii="宋体" w:hAnsi="宋体"/>
          <w:color w:val="000000"/>
          <w:sz w:val="24"/>
        </w:rPr>
      </w:pPr>
      <w:r>
        <w:rPr>
          <w:rFonts w:hint="eastAsia" w:ascii="宋体" w:hAnsi="宋体"/>
          <w:color w:val="000000"/>
          <w:sz w:val="24"/>
        </w:rPr>
        <w:t>供货期：按招标方要求供货</w:t>
      </w: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r>
        <w:rPr>
          <w:rFonts w:hint="eastAsia" w:ascii="宋体" w:hAnsi="宋体"/>
          <w:color w:val="000000"/>
          <w:sz w:val="24"/>
        </w:rPr>
        <w:t>法定代表人</w:t>
      </w:r>
      <w:r>
        <w:rPr>
          <w:rFonts w:ascii="宋体" w:hAnsi="宋体"/>
          <w:color w:val="000000"/>
          <w:sz w:val="24"/>
        </w:rPr>
        <w:t>(或其投标授权代表)：(签字或盖章)</w:t>
      </w:r>
    </w:p>
    <w:p>
      <w:pPr>
        <w:rPr>
          <w:rFonts w:ascii="宋体" w:hAnsi="宋体"/>
          <w:color w:val="000000"/>
          <w:sz w:val="24"/>
        </w:rPr>
      </w:pPr>
      <w:r>
        <w:rPr>
          <w:rFonts w:hint="eastAsia" w:ascii="宋体" w:hAnsi="宋体"/>
          <w:color w:val="000000"/>
          <w:sz w:val="24"/>
        </w:rPr>
        <w:t xml:space="preserve"> </w:t>
      </w: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r>
        <w:rPr>
          <w:rFonts w:hint="eastAsia" w:ascii="宋体" w:hAnsi="宋体"/>
          <w:color w:val="000000"/>
          <w:sz w:val="24"/>
        </w:rPr>
        <w:t>投标人：</w:t>
      </w:r>
      <w:r>
        <w:rPr>
          <w:rFonts w:ascii="宋体" w:hAnsi="宋体"/>
          <w:color w:val="000000"/>
          <w:sz w:val="24"/>
        </w:rPr>
        <w:t>(公章)</w:t>
      </w:r>
      <w:r>
        <w:rPr>
          <w:rFonts w:hint="eastAsia" w:ascii="宋体" w:hAnsi="宋体"/>
          <w:color w:val="000000"/>
          <w:sz w:val="24"/>
        </w:rPr>
        <w:t xml:space="preserve">                                  填写日期：</w:t>
      </w:r>
      <w:r>
        <w:rPr>
          <w:rFonts w:ascii="宋体" w:hAnsi="宋体"/>
          <w:color w:val="000000"/>
          <w:sz w:val="24"/>
        </w:rPr>
        <w:t xml:space="preserve">    年  月  日</w:t>
      </w: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r>
        <w:rPr>
          <w:rFonts w:hint="eastAsia" w:ascii="宋体" w:hAnsi="宋体"/>
          <w:color w:val="000000"/>
          <w:sz w:val="24"/>
        </w:rPr>
        <w:t xml:space="preserve"> </w:t>
      </w:r>
    </w:p>
    <w:p>
      <w:pPr>
        <w:pStyle w:val="34"/>
        <w:jc w:val="both"/>
        <w:sectPr>
          <w:pgSz w:w="11906" w:h="16838"/>
          <w:pgMar w:top="1077" w:right="1077" w:bottom="1021" w:left="1021" w:header="0" w:footer="0" w:gutter="0"/>
          <w:cols w:space="720" w:num="1"/>
          <w:titlePg/>
          <w:docGrid w:type="lines" w:linePitch="312" w:charSpace="0"/>
        </w:sectPr>
      </w:pPr>
    </w:p>
    <w:p>
      <w:pPr>
        <w:pStyle w:val="34"/>
        <w:outlineLvl w:val="0"/>
      </w:pPr>
      <w:r>
        <w:rPr>
          <w:rFonts w:hint="eastAsia"/>
        </w:rPr>
        <w:t>三、投标货物报价表</w:t>
      </w:r>
    </w:p>
    <w:p>
      <w:pPr>
        <w:ind w:left="752" w:leftChars="342" w:firstLine="240" w:firstLineChars="100"/>
        <w:rPr>
          <w:sz w:val="24"/>
          <w:szCs w:val="21"/>
          <w:u w:val="single"/>
        </w:rPr>
      </w:pPr>
      <w:r>
        <w:rPr>
          <w:rFonts w:hint="eastAsia"/>
          <w:sz w:val="24"/>
          <w:szCs w:val="21"/>
        </w:rPr>
        <w:t>投标人名称：</w:t>
      </w:r>
      <w:r>
        <w:rPr>
          <w:rFonts w:hint="eastAsia"/>
          <w:sz w:val="24"/>
          <w:szCs w:val="21"/>
          <w:u w:val="single"/>
        </w:rPr>
        <w:t xml:space="preserve">                  </w:t>
      </w:r>
      <w:r>
        <w:rPr>
          <w:rFonts w:hint="eastAsia"/>
          <w:sz w:val="24"/>
          <w:szCs w:val="21"/>
        </w:rPr>
        <w:t xml:space="preserve">                                           招标编号：</w:t>
      </w:r>
      <w:r>
        <w:rPr>
          <w:rFonts w:hint="eastAsia"/>
          <w:sz w:val="24"/>
          <w:szCs w:val="21"/>
          <w:u w:val="single"/>
        </w:rPr>
        <w:t xml:space="preserve">                    </w:t>
      </w:r>
    </w:p>
    <w:tbl>
      <w:tblPr>
        <w:tblStyle w:val="15"/>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04"/>
        <w:gridCol w:w="1843"/>
        <w:gridCol w:w="1093"/>
        <w:gridCol w:w="1742"/>
        <w:gridCol w:w="1701"/>
        <w:gridCol w:w="198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1" w:hRule="atLeast"/>
        </w:trPr>
        <w:tc>
          <w:tcPr>
            <w:tcW w:w="828" w:type="dxa"/>
            <w:vAlign w:val="center"/>
          </w:tcPr>
          <w:p>
            <w:pPr>
              <w:jc w:val="center"/>
              <w:rPr>
                <w:sz w:val="28"/>
                <w:szCs w:val="21"/>
              </w:rPr>
            </w:pPr>
            <w:r>
              <w:rPr>
                <w:rFonts w:hint="eastAsia"/>
                <w:sz w:val="28"/>
                <w:szCs w:val="21"/>
              </w:rPr>
              <w:t>序号</w:t>
            </w:r>
          </w:p>
        </w:tc>
        <w:tc>
          <w:tcPr>
            <w:tcW w:w="2104" w:type="dxa"/>
            <w:vAlign w:val="center"/>
          </w:tcPr>
          <w:p>
            <w:pPr>
              <w:jc w:val="center"/>
              <w:rPr>
                <w:sz w:val="28"/>
                <w:szCs w:val="21"/>
              </w:rPr>
            </w:pPr>
            <w:r>
              <w:rPr>
                <w:rFonts w:hint="eastAsia"/>
                <w:sz w:val="28"/>
                <w:szCs w:val="21"/>
              </w:rPr>
              <w:t>货物名称</w:t>
            </w:r>
          </w:p>
        </w:tc>
        <w:tc>
          <w:tcPr>
            <w:tcW w:w="1843" w:type="dxa"/>
            <w:vAlign w:val="center"/>
          </w:tcPr>
          <w:p>
            <w:pPr>
              <w:jc w:val="center"/>
              <w:rPr>
                <w:sz w:val="28"/>
                <w:szCs w:val="21"/>
              </w:rPr>
            </w:pPr>
            <w:r>
              <w:rPr>
                <w:rFonts w:hint="eastAsia"/>
                <w:sz w:val="28"/>
                <w:szCs w:val="21"/>
              </w:rPr>
              <w:t>型号</w:t>
            </w:r>
          </w:p>
        </w:tc>
        <w:tc>
          <w:tcPr>
            <w:tcW w:w="1093" w:type="dxa"/>
            <w:vAlign w:val="center"/>
          </w:tcPr>
          <w:p>
            <w:pPr>
              <w:jc w:val="center"/>
              <w:rPr>
                <w:sz w:val="28"/>
                <w:szCs w:val="21"/>
              </w:rPr>
            </w:pPr>
            <w:r>
              <w:rPr>
                <w:rFonts w:hint="eastAsia"/>
                <w:sz w:val="28"/>
                <w:szCs w:val="21"/>
              </w:rPr>
              <w:t>数量</w:t>
            </w:r>
          </w:p>
        </w:tc>
        <w:tc>
          <w:tcPr>
            <w:tcW w:w="1742" w:type="dxa"/>
            <w:vAlign w:val="center"/>
          </w:tcPr>
          <w:p>
            <w:pPr>
              <w:jc w:val="center"/>
              <w:rPr>
                <w:sz w:val="28"/>
                <w:szCs w:val="21"/>
              </w:rPr>
            </w:pPr>
            <w:r>
              <w:rPr>
                <w:rFonts w:hint="eastAsia"/>
                <w:sz w:val="24"/>
                <w:szCs w:val="21"/>
              </w:rPr>
              <w:t>单   价（元）</w:t>
            </w:r>
          </w:p>
        </w:tc>
        <w:tc>
          <w:tcPr>
            <w:tcW w:w="1701" w:type="dxa"/>
            <w:vAlign w:val="center"/>
          </w:tcPr>
          <w:p>
            <w:pPr>
              <w:jc w:val="center"/>
              <w:rPr>
                <w:sz w:val="24"/>
                <w:szCs w:val="21"/>
              </w:rPr>
            </w:pPr>
            <w:r>
              <w:rPr>
                <w:rFonts w:hint="eastAsia"/>
                <w:sz w:val="24"/>
                <w:szCs w:val="21"/>
              </w:rPr>
              <w:t>合   价（元）</w:t>
            </w:r>
          </w:p>
        </w:tc>
        <w:tc>
          <w:tcPr>
            <w:tcW w:w="1984" w:type="dxa"/>
            <w:vAlign w:val="center"/>
          </w:tcPr>
          <w:p>
            <w:pPr>
              <w:ind w:left="-112" w:leftChars="-51" w:right="-112" w:rightChars="-51"/>
              <w:jc w:val="center"/>
              <w:rPr>
                <w:sz w:val="28"/>
                <w:szCs w:val="21"/>
              </w:rPr>
            </w:pPr>
            <w:r>
              <w:rPr>
                <w:rFonts w:hint="eastAsia"/>
                <w:sz w:val="24"/>
                <w:szCs w:val="21"/>
              </w:rPr>
              <w:t>产地品牌</w:t>
            </w:r>
          </w:p>
        </w:tc>
        <w:tc>
          <w:tcPr>
            <w:tcW w:w="1843" w:type="dxa"/>
            <w:vAlign w:val="center"/>
          </w:tcPr>
          <w:p>
            <w:pPr>
              <w:jc w:val="center"/>
              <w:rPr>
                <w:sz w:val="28"/>
                <w:szCs w:val="21"/>
              </w:rPr>
            </w:pPr>
            <w:r>
              <w:rPr>
                <w:rFonts w:hint="eastAsia"/>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8" w:type="dxa"/>
            <w:vAlign w:val="center"/>
          </w:tcPr>
          <w:p>
            <w:pPr>
              <w:widowControl w:val="0"/>
              <w:numPr>
                <w:ilvl w:val="0"/>
                <w:numId w:val="7"/>
              </w:numPr>
              <w:adjustRightInd/>
              <w:snapToGrid/>
              <w:spacing w:after="0"/>
              <w:jc w:val="center"/>
              <w:rPr>
                <w:szCs w:val="21"/>
                <w:u w:val="single"/>
              </w:rPr>
            </w:pPr>
          </w:p>
        </w:tc>
        <w:tc>
          <w:tcPr>
            <w:tcW w:w="2104" w:type="dxa"/>
          </w:tcPr>
          <w:p>
            <w:pPr>
              <w:rPr>
                <w:szCs w:val="21"/>
                <w:u w:val="single"/>
              </w:rPr>
            </w:pPr>
          </w:p>
        </w:tc>
        <w:tc>
          <w:tcPr>
            <w:tcW w:w="1843" w:type="dxa"/>
          </w:tcPr>
          <w:p>
            <w:pPr>
              <w:rPr>
                <w:szCs w:val="21"/>
                <w:u w:val="single"/>
              </w:rPr>
            </w:pPr>
          </w:p>
        </w:tc>
        <w:tc>
          <w:tcPr>
            <w:tcW w:w="1093" w:type="dxa"/>
          </w:tcPr>
          <w:p>
            <w:pPr>
              <w:rPr>
                <w:szCs w:val="21"/>
                <w:u w:val="single"/>
              </w:rPr>
            </w:pPr>
          </w:p>
        </w:tc>
        <w:tc>
          <w:tcPr>
            <w:tcW w:w="1742" w:type="dxa"/>
          </w:tcPr>
          <w:p>
            <w:pPr>
              <w:rPr>
                <w:szCs w:val="21"/>
                <w:u w:val="single"/>
              </w:rPr>
            </w:pPr>
          </w:p>
        </w:tc>
        <w:tc>
          <w:tcPr>
            <w:tcW w:w="1701" w:type="dxa"/>
          </w:tcPr>
          <w:p>
            <w:pPr>
              <w:rPr>
                <w:szCs w:val="21"/>
                <w:u w:val="single"/>
              </w:rPr>
            </w:pPr>
          </w:p>
        </w:tc>
        <w:tc>
          <w:tcPr>
            <w:tcW w:w="1984" w:type="dxa"/>
          </w:tcPr>
          <w:p>
            <w:pPr>
              <w:rPr>
                <w:szCs w:val="21"/>
                <w:u w:val="single"/>
              </w:rPr>
            </w:pPr>
          </w:p>
        </w:tc>
        <w:tc>
          <w:tcPr>
            <w:tcW w:w="1843" w:type="dxa"/>
          </w:tcPr>
          <w:p>
            <w:pP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28" w:type="dxa"/>
            <w:vAlign w:val="center"/>
          </w:tcPr>
          <w:p>
            <w:pPr>
              <w:widowControl w:val="0"/>
              <w:numPr>
                <w:ilvl w:val="0"/>
                <w:numId w:val="7"/>
              </w:numPr>
              <w:adjustRightInd/>
              <w:snapToGrid/>
              <w:spacing w:after="0"/>
              <w:jc w:val="center"/>
              <w:rPr>
                <w:szCs w:val="21"/>
                <w:u w:val="single"/>
              </w:rPr>
            </w:pPr>
          </w:p>
        </w:tc>
        <w:tc>
          <w:tcPr>
            <w:tcW w:w="2104" w:type="dxa"/>
          </w:tcPr>
          <w:p>
            <w:pPr>
              <w:rPr>
                <w:szCs w:val="21"/>
                <w:u w:val="single"/>
              </w:rPr>
            </w:pPr>
          </w:p>
        </w:tc>
        <w:tc>
          <w:tcPr>
            <w:tcW w:w="1843" w:type="dxa"/>
          </w:tcPr>
          <w:p>
            <w:pPr>
              <w:rPr>
                <w:szCs w:val="21"/>
                <w:u w:val="single"/>
              </w:rPr>
            </w:pPr>
          </w:p>
        </w:tc>
        <w:tc>
          <w:tcPr>
            <w:tcW w:w="1093" w:type="dxa"/>
          </w:tcPr>
          <w:p>
            <w:pPr>
              <w:rPr>
                <w:szCs w:val="21"/>
                <w:u w:val="single"/>
              </w:rPr>
            </w:pPr>
          </w:p>
        </w:tc>
        <w:tc>
          <w:tcPr>
            <w:tcW w:w="1742" w:type="dxa"/>
          </w:tcPr>
          <w:p>
            <w:pPr>
              <w:rPr>
                <w:szCs w:val="21"/>
                <w:u w:val="single"/>
              </w:rPr>
            </w:pPr>
          </w:p>
        </w:tc>
        <w:tc>
          <w:tcPr>
            <w:tcW w:w="1701" w:type="dxa"/>
          </w:tcPr>
          <w:p>
            <w:pPr>
              <w:rPr>
                <w:szCs w:val="21"/>
                <w:u w:val="single"/>
              </w:rPr>
            </w:pPr>
          </w:p>
        </w:tc>
        <w:tc>
          <w:tcPr>
            <w:tcW w:w="1984" w:type="dxa"/>
          </w:tcPr>
          <w:p>
            <w:pPr>
              <w:rPr>
                <w:szCs w:val="21"/>
                <w:u w:val="single"/>
              </w:rPr>
            </w:pPr>
          </w:p>
        </w:tc>
        <w:tc>
          <w:tcPr>
            <w:tcW w:w="1843" w:type="dxa"/>
          </w:tcPr>
          <w:p>
            <w:pP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28" w:type="dxa"/>
            <w:vAlign w:val="center"/>
          </w:tcPr>
          <w:p>
            <w:pPr>
              <w:widowControl w:val="0"/>
              <w:numPr>
                <w:ilvl w:val="0"/>
                <w:numId w:val="7"/>
              </w:numPr>
              <w:adjustRightInd/>
              <w:snapToGrid/>
              <w:spacing w:after="0"/>
              <w:jc w:val="center"/>
              <w:rPr>
                <w:szCs w:val="21"/>
                <w:u w:val="single"/>
              </w:rPr>
            </w:pPr>
          </w:p>
        </w:tc>
        <w:tc>
          <w:tcPr>
            <w:tcW w:w="2104" w:type="dxa"/>
          </w:tcPr>
          <w:p>
            <w:pPr>
              <w:rPr>
                <w:szCs w:val="21"/>
                <w:u w:val="single"/>
              </w:rPr>
            </w:pPr>
          </w:p>
        </w:tc>
        <w:tc>
          <w:tcPr>
            <w:tcW w:w="1843" w:type="dxa"/>
          </w:tcPr>
          <w:p>
            <w:pPr>
              <w:rPr>
                <w:szCs w:val="21"/>
                <w:u w:val="single"/>
              </w:rPr>
            </w:pPr>
          </w:p>
        </w:tc>
        <w:tc>
          <w:tcPr>
            <w:tcW w:w="1093" w:type="dxa"/>
          </w:tcPr>
          <w:p>
            <w:pPr>
              <w:rPr>
                <w:szCs w:val="21"/>
                <w:u w:val="single"/>
              </w:rPr>
            </w:pPr>
          </w:p>
        </w:tc>
        <w:tc>
          <w:tcPr>
            <w:tcW w:w="1742" w:type="dxa"/>
          </w:tcPr>
          <w:p>
            <w:pPr>
              <w:rPr>
                <w:szCs w:val="21"/>
                <w:u w:val="single"/>
              </w:rPr>
            </w:pPr>
          </w:p>
        </w:tc>
        <w:tc>
          <w:tcPr>
            <w:tcW w:w="1701" w:type="dxa"/>
          </w:tcPr>
          <w:p>
            <w:pPr>
              <w:rPr>
                <w:szCs w:val="21"/>
                <w:u w:val="single"/>
              </w:rPr>
            </w:pPr>
          </w:p>
        </w:tc>
        <w:tc>
          <w:tcPr>
            <w:tcW w:w="1984" w:type="dxa"/>
          </w:tcPr>
          <w:p>
            <w:pPr>
              <w:rPr>
                <w:szCs w:val="21"/>
                <w:u w:val="single"/>
              </w:rPr>
            </w:pPr>
          </w:p>
        </w:tc>
        <w:tc>
          <w:tcPr>
            <w:tcW w:w="1843" w:type="dxa"/>
          </w:tcPr>
          <w:p>
            <w:pP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28" w:type="dxa"/>
            <w:vAlign w:val="center"/>
          </w:tcPr>
          <w:p>
            <w:pPr>
              <w:widowControl w:val="0"/>
              <w:numPr>
                <w:ilvl w:val="0"/>
                <w:numId w:val="7"/>
              </w:numPr>
              <w:adjustRightInd/>
              <w:snapToGrid/>
              <w:spacing w:after="0"/>
              <w:jc w:val="center"/>
              <w:rPr>
                <w:szCs w:val="21"/>
                <w:u w:val="single"/>
              </w:rPr>
            </w:pPr>
          </w:p>
        </w:tc>
        <w:tc>
          <w:tcPr>
            <w:tcW w:w="2104" w:type="dxa"/>
          </w:tcPr>
          <w:p>
            <w:pPr>
              <w:rPr>
                <w:szCs w:val="21"/>
                <w:u w:val="single"/>
              </w:rPr>
            </w:pPr>
          </w:p>
        </w:tc>
        <w:tc>
          <w:tcPr>
            <w:tcW w:w="1843" w:type="dxa"/>
          </w:tcPr>
          <w:p>
            <w:pPr>
              <w:rPr>
                <w:szCs w:val="21"/>
                <w:u w:val="single"/>
              </w:rPr>
            </w:pPr>
          </w:p>
        </w:tc>
        <w:tc>
          <w:tcPr>
            <w:tcW w:w="1093" w:type="dxa"/>
          </w:tcPr>
          <w:p>
            <w:pPr>
              <w:rPr>
                <w:szCs w:val="21"/>
                <w:u w:val="single"/>
              </w:rPr>
            </w:pPr>
          </w:p>
        </w:tc>
        <w:tc>
          <w:tcPr>
            <w:tcW w:w="1742" w:type="dxa"/>
          </w:tcPr>
          <w:p>
            <w:pPr>
              <w:rPr>
                <w:szCs w:val="21"/>
                <w:u w:val="single"/>
              </w:rPr>
            </w:pPr>
          </w:p>
        </w:tc>
        <w:tc>
          <w:tcPr>
            <w:tcW w:w="1701" w:type="dxa"/>
          </w:tcPr>
          <w:p>
            <w:pPr>
              <w:rPr>
                <w:szCs w:val="21"/>
                <w:u w:val="single"/>
              </w:rPr>
            </w:pPr>
          </w:p>
        </w:tc>
        <w:tc>
          <w:tcPr>
            <w:tcW w:w="1984" w:type="dxa"/>
          </w:tcPr>
          <w:p>
            <w:pPr>
              <w:rPr>
                <w:szCs w:val="21"/>
                <w:u w:val="single"/>
              </w:rPr>
            </w:pPr>
          </w:p>
        </w:tc>
        <w:tc>
          <w:tcPr>
            <w:tcW w:w="1843" w:type="dxa"/>
          </w:tcPr>
          <w:p>
            <w:pP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vAlign w:val="center"/>
          </w:tcPr>
          <w:p>
            <w:pPr>
              <w:ind w:left="360"/>
              <w:jc w:val="center"/>
              <w:rPr>
                <w:szCs w:val="21"/>
                <w:u w:val="single"/>
              </w:rPr>
            </w:pPr>
          </w:p>
        </w:tc>
        <w:tc>
          <w:tcPr>
            <w:tcW w:w="2104" w:type="dxa"/>
            <w:vAlign w:val="center"/>
          </w:tcPr>
          <w:p>
            <w:pPr>
              <w:ind w:firstLine="440" w:firstLineChars="200"/>
              <w:rPr>
                <w:szCs w:val="21"/>
              </w:rPr>
            </w:pPr>
            <w:r>
              <w:rPr>
                <w:rFonts w:hint="eastAsia"/>
                <w:szCs w:val="21"/>
              </w:rPr>
              <w:t>合计</w:t>
            </w:r>
          </w:p>
        </w:tc>
        <w:tc>
          <w:tcPr>
            <w:tcW w:w="1843" w:type="dxa"/>
          </w:tcPr>
          <w:p>
            <w:pPr>
              <w:rPr>
                <w:szCs w:val="21"/>
                <w:u w:val="single"/>
              </w:rPr>
            </w:pPr>
          </w:p>
        </w:tc>
        <w:tc>
          <w:tcPr>
            <w:tcW w:w="1093" w:type="dxa"/>
          </w:tcPr>
          <w:p>
            <w:pPr>
              <w:rPr>
                <w:szCs w:val="21"/>
                <w:u w:val="single"/>
              </w:rPr>
            </w:pPr>
          </w:p>
        </w:tc>
        <w:tc>
          <w:tcPr>
            <w:tcW w:w="1742" w:type="dxa"/>
          </w:tcPr>
          <w:p>
            <w:pPr>
              <w:rPr>
                <w:szCs w:val="21"/>
                <w:u w:val="single"/>
              </w:rPr>
            </w:pPr>
          </w:p>
        </w:tc>
        <w:tc>
          <w:tcPr>
            <w:tcW w:w="1701" w:type="dxa"/>
          </w:tcPr>
          <w:p>
            <w:pPr>
              <w:rPr>
                <w:szCs w:val="21"/>
                <w:u w:val="single"/>
              </w:rPr>
            </w:pPr>
          </w:p>
        </w:tc>
        <w:tc>
          <w:tcPr>
            <w:tcW w:w="1984" w:type="dxa"/>
          </w:tcPr>
          <w:p>
            <w:pPr>
              <w:rPr>
                <w:szCs w:val="21"/>
                <w:u w:val="single"/>
              </w:rPr>
            </w:pPr>
          </w:p>
        </w:tc>
        <w:tc>
          <w:tcPr>
            <w:tcW w:w="1843" w:type="dxa"/>
          </w:tcPr>
          <w:p>
            <w:pP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vAlign w:val="center"/>
          </w:tcPr>
          <w:p>
            <w:pPr>
              <w:ind w:left="360"/>
              <w:jc w:val="center"/>
              <w:rPr>
                <w:szCs w:val="21"/>
                <w:u w:val="single"/>
              </w:rPr>
            </w:pPr>
          </w:p>
        </w:tc>
        <w:tc>
          <w:tcPr>
            <w:tcW w:w="2104" w:type="dxa"/>
            <w:vAlign w:val="center"/>
          </w:tcPr>
          <w:p>
            <w:pPr>
              <w:ind w:firstLine="110" w:firstLineChars="50"/>
              <w:rPr>
                <w:szCs w:val="21"/>
              </w:rPr>
            </w:pPr>
            <w:r>
              <w:rPr>
                <w:rFonts w:hint="eastAsia"/>
                <w:szCs w:val="21"/>
              </w:rPr>
              <w:t>安装、调试费</w:t>
            </w:r>
          </w:p>
        </w:tc>
        <w:tc>
          <w:tcPr>
            <w:tcW w:w="1843" w:type="dxa"/>
          </w:tcPr>
          <w:p>
            <w:pPr>
              <w:rPr>
                <w:szCs w:val="21"/>
                <w:u w:val="single"/>
              </w:rPr>
            </w:pPr>
          </w:p>
        </w:tc>
        <w:tc>
          <w:tcPr>
            <w:tcW w:w="1093" w:type="dxa"/>
          </w:tcPr>
          <w:p>
            <w:pPr>
              <w:rPr>
                <w:szCs w:val="21"/>
                <w:u w:val="single"/>
              </w:rPr>
            </w:pPr>
          </w:p>
        </w:tc>
        <w:tc>
          <w:tcPr>
            <w:tcW w:w="1742" w:type="dxa"/>
          </w:tcPr>
          <w:p>
            <w:pPr>
              <w:rPr>
                <w:szCs w:val="21"/>
                <w:u w:val="single"/>
              </w:rPr>
            </w:pPr>
          </w:p>
        </w:tc>
        <w:tc>
          <w:tcPr>
            <w:tcW w:w="1701" w:type="dxa"/>
          </w:tcPr>
          <w:p>
            <w:pPr>
              <w:rPr>
                <w:szCs w:val="21"/>
                <w:u w:val="single"/>
              </w:rPr>
            </w:pPr>
          </w:p>
        </w:tc>
        <w:tc>
          <w:tcPr>
            <w:tcW w:w="1984" w:type="dxa"/>
          </w:tcPr>
          <w:p>
            <w:pPr>
              <w:rPr>
                <w:szCs w:val="21"/>
                <w:u w:val="single"/>
              </w:rPr>
            </w:pPr>
          </w:p>
        </w:tc>
        <w:tc>
          <w:tcPr>
            <w:tcW w:w="1843" w:type="dxa"/>
          </w:tcPr>
          <w:p>
            <w:pP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vAlign w:val="center"/>
          </w:tcPr>
          <w:p>
            <w:pPr>
              <w:ind w:left="360"/>
              <w:jc w:val="center"/>
              <w:rPr>
                <w:szCs w:val="21"/>
                <w:u w:val="single"/>
              </w:rPr>
            </w:pPr>
          </w:p>
        </w:tc>
        <w:tc>
          <w:tcPr>
            <w:tcW w:w="2104" w:type="dxa"/>
            <w:vAlign w:val="center"/>
          </w:tcPr>
          <w:p>
            <w:pPr>
              <w:rPr>
                <w:szCs w:val="21"/>
              </w:rPr>
            </w:pPr>
            <w:r>
              <w:rPr>
                <w:rFonts w:hint="eastAsia"/>
                <w:szCs w:val="21"/>
              </w:rPr>
              <w:t>税金</w:t>
            </w:r>
          </w:p>
        </w:tc>
        <w:tc>
          <w:tcPr>
            <w:tcW w:w="1843" w:type="dxa"/>
          </w:tcPr>
          <w:p>
            <w:pPr>
              <w:rPr>
                <w:szCs w:val="21"/>
                <w:u w:val="single"/>
              </w:rPr>
            </w:pPr>
          </w:p>
        </w:tc>
        <w:tc>
          <w:tcPr>
            <w:tcW w:w="1093" w:type="dxa"/>
          </w:tcPr>
          <w:p>
            <w:pPr>
              <w:rPr>
                <w:szCs w:val="21"/>
                <w:u w:val="single"/>
              </w:rPr>
            </w:pPr>
          </w:p>
        </w:tc>
        <w:tc>
          <w:tcPr>
            <w:tcW w:w="1742" w:type="dxa"/>
          </w:tcPr>
          <w:p>
            <w:pPr>
              <w:rPr>
                <w:szCs w:val="21"/>
                <w:u w:val="single"/>
              </w:rPr>
            </w:pPr>
          </w:p>
        </w:tc>
        <w:tc>
          <w:tcPr>
            <w:tcW w:w="1701" w:type="dxa"/>
          </w:tcPr>
          <w:p>
            <w:pPr>
              <w:rPr>
                <w:szCs w:val="21"/>
                <w:u w:val="single"/>
              </w:rPr>
            </w:pPr>
          </w:p>
        </w:tc>
        <w:tc>
          <w:tcPr>
            <w:tcW w:w="1984" w:type="dxa"/>
          </w:tcPr>
          <w:p>
            <w:pPr>
              <w:rPr>
                <w:szCs w:val="21"/>
                <w:u w:val="single"/>
              </w:rPr>
            </w:pPr>
          </w:p>
        </w:tc>
        <w:tc>
          <w:tcPr>
            <w:tcW w:w="1843" w:type="dxa"/>
          </w:tcPr>
          <w:p>
            <w:pP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vAlign w:val="center"/>
          </w:tcPr>
          <w:p>
            <w:pPr>
              <w:ind w:left="360"/>
              <w:jc w:val="center"/>
              <w:rPr>
                <w:szCs w:val="21"/>
                <w:u w:val="single"/>
              </w:rPr>
            </w:pPr>
          </w:p>
        </w:tc>
        <w:tc>
          <w:tcPr>
            <w:tcW w:w="2104" w:type="dxa"/>
            <w:vAlign w:val="center"/>
          </w:tcPr>
          <w:p>
            <w:pPr>
              <w:rPr>
                <w:szCs w:val="21"/>
              </w:rPr>
            </w:pPr>
            <w:r>
              <w:rPr>
                <w:rFonts w:hint="eastAsia"/>
                <w:szCs w:val="21"/>
              </w:rPr>
              <w:t>总计</w:t>
            </w:r>
          </w:p>
        </w:tc>
        <w:tc>
          <w:tcPr>
            <w:tcW w:w="1843" w:type="dxa"/>
          </w:tcPr>
          <w:p>
            <w:pPr>
              <w:rPr>
                <w:szCs w:val="21"/>
                <w:u w:val="single"/>
              </w:rPr>
            </w:pPr>
          </w:p>
        </w:tc>
        <w:tc>
          <w:tcPr>
            <w:tcW w:w="1093" w:type="dxa"/>
          </w:tcPr>
          <w:p>
            <w:pPr>
              <w:rPr>
                <w:szCs w:val="21"/>
                <w:u w:val="single"/>
              </w:rPr>
            </w:pPr>
          </w:p>
        </w:tc>
        <w:tc>
          <w:tcPr>
            <w:tcW w:w="1742" w:type="dxa"/>
          </w:tcPr>
          <w:p>
            <w:pPr>
              <w:rPr>
                <w:szCs w:val="21"/>
                <w:u w:val="single"/>
              </w:rPr>
            </w:pPr>
          </w:p>
        </w:tc>
        <w:tc>
          <w:tcPr>
            <w:tcW w:w="1701" w:type="dxa"/>
          </w:tcPr>
          <w:p>
            <w:pPr>
              <w:rPr>
                <w:szCs w:val="21"/>
                <w:u w:val="single"/>
              </w:rPr>
            </w:pPr>
          </w:p>
        </w:tc>
        <w:tc>
          <w:tcPr>
            <w:tcW w:w="1984" w:type="dxa"/>
          </w:tcPr>
          <w:p>
            <w:pPr>
              <w:rPr>
                <w:szCs w:val="21"/>
                <w:u w:val="single"/>
              </w:rPr>
            </w:pPr>
          </w:p>
        </w:tc>
        <w:tc>
          <w:tcPr>
            <w:tcW w:w="1843" w:type="dxa"/>
          </w:tcPr>
          <w:p>
            <w:pP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138" w:type="dxa"/>
            <w:gridSpan w:val="8"/>
            <w:vAlign w:val="center"/>
          </w:tcPr>
          <w:p>
            <w:pPr>
              <w:rPr>
                <w:szCs w:val="21"/>
                <w:u w:val="single"/>
              </w:rPr>
            </w:pPr>
            <w:r>
              <w:rPr>
                <w:rFonts w:hint="eastAsia" w:ascii="宋体" w:hAnsi="宋体"/>
                <w:color w:val="000000"/>
                <w:sz w:val="24"/>
              </w:rPr>
              <w:t>报价附加说明：报价包括设备材料/税金/安装调试/包装费/运杂费/保险费/技术咨询/技术培训/现场服务费等.</w:t>
            </w:r>
          </w:p>
        </w:tc>
      </w:tr>
    </w:tbl>
    <w:p>
      <w:pPr>
        <w:spacing w:after="0"/>
        <w:ind w:left="941" w:leftChars="428"/>
        <w:rPr>
          <w:sz w:val="24"/>
          <w:szCs w:val="21"/>
        </w:rPr>
      </w:pPr>
      <w:r>
        <w:rPr>
          <w:rFonts w:hint="eastAsia"/>
          <w:sz w:val="24"/>
          <w:szCs w:val="21"/>
        </w:rPr>
        <w:t xml:space="preserve">投标人代表签字：                     </w:t>
      </w:r>
    </w:p>
    <w:p>
      <w:pPr>
        <w:spacing w:after="0"/>
        <w:ind w:left="941" w:leftChars="428"/>
        <w:rPr>
          <w:sz w:val="21"/>
          <w:szCs w:val="21"/>
        </w:rPr>
      </w:pPr>
      <w:r>
        <w:rPr>
          <w:rFonts w:hint="eastAsia"/>
          <w:sz w:val="21"/>
          <w:szCs w:val="21"/>
        </w:rPr>
        <w:t>注：1．如果按单价计算的结果与总价不一致，以单价为准修正总价。</w:t>
      </w:r>
    </w:p>
    <w:p>
      <w:pPr>
        <w:spacing w:after="0"/>
        <w:ind w:left="941" w:leftChars="428" w:firstLine="420" w:firstLineChars="200"/>
        <w:rPr>
          <w:sz w:val="21"/>
          <w:szCs w:val="21"/>
        </w:rPr>
      </w:pPr>
      <w:r>
        <w:rPr>
          <w:rFonts w:hint="eastAsia"/>
          <w:sz w:val="21"/>
          <w:szCs w:val="21"/>
        </w:rPr>
        <w:t>2．如果不提供详细分项报价将视为没有实质性响应招标文件。</w:t>
      </w:r>
    </w:p>
    <w:p>
      <w:pPr>
        <w:spacing w:after="0"/>
        <w:ind w:left="941" w:leftChars="428" w:firstLine="420" w:firstLineChars="200"/>
        <w:rPr>
          <w:rFonts w:ascii="宋体" w:hAnsi="宋体"/>
          <w:b/>
          <w:bCs/>
          <w:color w:val="000000"/>
          <w:sz w:val="24"/>
        </w:rPr>
        <w:sectPr>
          <w:pgSz w:w="16838" w:h="11906" w:orient="landscape"/>
          <w:pgMar w:top="1418" w:right="1418" w:bottom="1418" w:left="1418" w:header="0" w:footer="0" w:gutter="0"/>
          <w:cols w:space="720" w:num="1"/>
          <w:docGrid w:type="linesAndChars" w:linePitch="312" w:charSpace="0"/>
        </w:sectPr>
      </w:pPr>
      <w:r>
        <w:rPr>
          <w:rFonts w:hint="eastAsia"/>
          <w:sz w:val="21"/>
          <w:szCs w:val="21"/>
        </w:rPr>
        <w:t>3．各项货物详细技术性能应另页描述。</w:t>
      </w:r>
    </w:p>
    <w:p>
      <w:pPr>
        <w:spacing w:line="460" w:lineRule="exact"/>
        <w:rPr>
          <w:rFonts w:ascii="宋体" w:hAnsi="宋体"/>
          <w:b/>
          <w:bCs/>
          <w:color w:val="000000"/>
          <w:sz w:val="24"/>
        </w:rPr>
      </w:pPr>
    </w:p>
    <w:p>
      <w:pPr>
        <w:spacing w:line="460" w:lineRule="exact"/>
        <w:jc w:val="center"/>
        <w:outlineLvl w:val="0"/>
        <w:rPr>
          <w:sz w:val="24"/>
        </w:rPr>
      </w:pPr>
      <w:r>
        <w:rPr>
          <w:rFonts w:hint="eastAsia" w:ascii="宋体" w:hAnsi="宋体"/>
          <w:b/>
          <w:bCs/>
          <w:color w:val="000000"/>
          <w:sz w:val="24"/>
        </w:rPr>
        <w:t>四、法定代表人授权委托书</w:t>
      </w:r>
    </w:p>
    <w:p>
      <w:pPr>
        <w:spacing w:line="460" w:lineRule="exact"/>
        <w:ind w:firstLine="480" w:firstLineChars="200"/>
        <w:rPr>
          <w:rFonts w:ascii="宋体" w:hAnsi="宋体"/>
          <w:color w:val="000000"/>
          <w:sz w:val="24"/>
        </w:rPr>
      </w:pPr>
      <w:r>
        <w:rPr>
          <w:rFonts w:hint="eastAsia" w:ascii="宋体" w:hAnsi="宋体"/>
          <w:color w:val="000000"/>
          <w:sz w:val="24"/>
          <w:lang w:eastAsia="zh-CN"/>
        </w:rPr>
        <w:t>乌鲁木齐市水磨沟区城市管理局（乌鲁木齐市水磨沟区城市管理行政执法局）</w:t>
      </w:r>
      <w:r>
        <w:rPr>
          <w:rFonts w:hint="eastAsia" w:ascii="宋体" w:hAnsi="宋体"/>
          <w:color w:val="000000"/>
          <w:sz w:val="24"/>
        </w:rPr>
        <w:t>:</w:t>
      </w:r>
    </w:p>
    <w:p>
      <w:pPr>
        <w:spacing w:line="460" w:lineRule="exact"/>
        <w:ind w:firstLine="480" w:firstLineChars="200"/>
        <w:rPr>
          <w:rFonts w:ascii="宋体" w:hAnsi="宋体"/>
          <w:color w:val="000000"/>
          <w:sz w:val="24"/>
        </w:rPr>
      </w:pPr>
      <w:r>
        <w:rPr>
          <w:rFonts w:hint="eastAsia" w:ascii="宋体" w:hAnsi="宋体"/>
          <w:color w:val="000000"/>
          <w:sz w:val="24"/>
          <w:u w:val="single"/>
        </w:rPr>
        <w:t>　　　　　　　</w:t>
      </w:r>
      <w:r>
        <w:rPr>
          <w:rFonts w:ascii="宋体" w:hAnsi="宋体"/>
          <w:color w:val="000000"/>
          <w:sz w:val="24"/>
        </w:rPr>
        <w:t>(本人即授权人姓名)系</w:t>
      </w:r>
      <w:r>
        <w:rPr>
          <w:rFonts w:hint="eastAsia" w:ascii="宋体" w:hAnsi="宋体"/>
          <w:color w:val="000000"/>
          <w:sz w:val="24"/>
          <w:u w:val="single"/>
        </w:rPr>
        <w:t>　　　　　　　</w:t>
      </w:r>
      <w:r>
        <w:rPr>
          <w:rFonts w:hint="eastAsia" w:ascii="宋体" w:hAnsi="宋体"/>
          <w:color w:val="000000"/>
          <w:sz w:val="24"/>
        </w:rPr>
        <w:t>（投标人名称</w:t>
      </w:r>
      <w:r>
        <w:rPr>
          <w:rFonts w:ascii="宋体" w:hAnsi="宋体"/>
          <w:color w:val="000000"/>
          <w:sz w:val="24"/>
        </w:rPr>
        <w:t>）的法定代表人，现授权委托</w:t>
      </w:r>
      <w:r>
        <w:rPr>
          <w:rFonts w:hint="eastAsia" w:ascii="宋体" w:hAnsi="宋体"/>
          <w:color w:val="000000"/>
          <w:sz w:val="24"/>
          <w:u w:val="single"/>
        </w:rPr>
        <w:t>　　　　　　　　　</w:t>
      </w:r>
      <w:r>
        <w:rPr>
          <w:rFonts w:ascii="宋体" w:hAnsi="宋体"/>
          <w:color w:val="000000"/>
          <w:sz w:val="24"/>
        </w:rPr>
        <w:t xml:space="preserve"> (被授权人所在</w:t>
      </w:r>
      <w:r>
        <w:rPr>
          <w:rFonts w:hint="eastAsia" w:ascii="宋体" w:hAnsi="宋体"/>
          <w:color w:val="000000"/>
          <w:sz w:val="24"/>
        </w:rPr>
        <w:t>单位名称、所任职务、被授权人姓名</w:t>
      </w:r>
      <w:r>
        <w:rPr>
          <w:rFonts w:ascii="宋体" w:hAnsi="宋体"/>
          <w:color w:val="000000"/>
          <w:sz w:val="24"/>
        </w:rPr>
        <w:t>)为投标人的代理人，以投标人的</w:t>
      </w:r>
      <w:r>
        <w:rPr>
          <w:rFonts w:hint="eastAsia" w:ascii="宋体" w:hAnsi="宋体"/>
          <w:color w:val="000000"/>
          <w:sz w:val="24"/>
        </w:rPr>
        <w:t>名义参加</w:t>
      </w:r>
      <w:r>
        <w:rPr>
          <w:rFonts w:hint="eastAsia" w:ascii="宋体" w:hAnsi="宋体"/>
          <w:color w:val="000000"/>
          <w:sz w:val="24"/>
          <w:u w:val="single"/>
        </w:rPr>
        <w:t>　　　　　　　</w:t>
      </w:r>
      <w:r>
        <w:rPr>
          <w:rFonts w:ascii="宋体" w:hAnsi="宋体"/>
          <w:color w:val="000000"/>
          <w:sz w:val="24"/>
        </w:rPr>
        <w:t xml:space="preserve"> (招标</w:t>
      </w:r>
      <w:r>
        <w:rPr>
          <w:rFonts w:hint="eastAsia" w:ascii="宋体" w:hAnsi="宋体"/>
          <w:color w:val="000000"/>
          <w:sz w:val="24"/>
        </w:rPr>
        <w:t>项目</w:t>
      </w:r>
      <w:r>
        <w:rPr>
          <w:rFonts w:ascii="宋体" w:hAnsi="宋体"/>
          <w:color w:val="000000"/>
          <w:sz w:val="24"/>
        </w:rPr>
        <w:t>名称)的投标活动。代理人在开</w:t>
      </w:r>
      <w:r>
        <w:rPr>
          <w:rFonts w:hint="eastAsia" w:ascii="宋体" w:hAnsi="宋体"/>
          <w:color w:val="000000"/>
          <w:sz w:val="24"/>
        </w:rPr>
        <w:t>标、评标、合同磋商过程中所签署的一切文件和处理与之有关的一切事务，本人均予以承认。但代理人无转委托权。特此声明。</w:t>
      </w:r>
    </w:p>
    <w:p>
      <w:pPr>
        <w:spacing w:line="460" w:lineRule="exact"/>
        <w:rPr>
          <w:rFonts w:ascii="宋体" w:hAnsi="宋体"/>
          <w:color w:val="000000"/>
          <w:sz w:val="24"/>
        </w:rPr>
      </w:pPr>
      <w:r>
        <w:rPr>
          <w:rFonts w:hint="eastAsia" w:ascii="宋体" w:hAnsi="宋体"/>
          <w:color w:val="000000"/>
          <w:sz w:val="24"/>
        </w:rPr>
        <w:t>附：</w:t>
      </w:r>
      <w:r>
        <w:rPr>
          <w:rFonts w:ascii="宋体" w:hAnsi="宋体"/>
          <w:color w:val="000000"/>
          <w:sz w:val="24"/>
        </w:rPr>
        <w:t xml:space="preserve">  代理人签名：</w:t>
      </w:r>
    </w:p>
    <w:p>
      <w:pPr>
        <w:spacing w:line="460" w:lineRule="exact"/>
        <w:rPr>
          <w:rFonts w:ascii="宋体" w:hAnsi="宋体"/>
          <w:color w:val="000000"/>
          <w:sz w:val="24"/>
        </w:rPr>
      </w:pPr>
      <w:r>
        <w:rPr>
          <w:rFonts w:hint="eastAsia" w:ascii="宋体" w:hAnsi="宋体"/>
          <w:color w:val="000000"/>
          <w:sz w:val="24"/>
        </w:rPr>
        <w:t>代理人性别：</w:t>
      </w:r>
      <w:r>
        <w:rPr>
          <w:rFonts w:ascii="宋体" w:hAnsi="宋体"/>
          <w:color w:val="000000"/>
          <w:sz w:val="24"/>
        </w:rPr>
        <w:t xml:space="preserve">    年龄：    身份证号码：</w:t>
      </w:r>
    </w:p>
    <w:p>
      <w:pPr>
        <w:spacing w:line="460" w:lineRule="exact"/>
        <w:rPr>
          <w:rFonts w:ascii="宋体" w:hAnsi="宋体"/>
          <w:color w:val="000000"/>
          <w:sz w:val="24"/>
        </w:rPr>
      </w:pPr>
      <w:r>
        <w:rPr>
          <w:rFonts w:hint="eastAsia" w:ascii="宋体" w:hAnsi="宋体"/>
          <w:color w:val="000000"/>
          <w:sz w:val="24"/>
        </w:rPr>
        <w:t>投标人：</w:t>
      </w:r>
      <w:r>
        <w:rPr>
          <w:rFonts w:ascii="宋体" w:hAnsi="宋体"/>
          <w:color w:val="000000"/>
          <w:sz w:val="24"/>
        </w:rPr>
        <w:t>(盖章)</w:t>
      </w:r>
    </w:p>
    <w:p>
      <w:pPr>
        <w:spacing w:line="460" w:lineRule="exact"/>
        <w:rPr>
          <w:rFonts w:ascii="宋体" w:hAnsi="宋体"/>
          <w:color w:val="000000"/>
          <w:sz w:val="24"/>
        </w:rPr>
      </w:pPr>
      <w:r>
        <w:rPr>
          <w:rFonts w:hint="eastAsia" w:ascii="宋体" w:hAnsi="宋体"/>
          <w:color w:val="000000"/>
          <w:sz w:val="24"/>
        </w:rPr>
        <w:t>授权人</w:t>
      </w:r>
      <w:r>
        <w:rPr>
          <w:rFonts w:ascii="宋体" w:hAnsi="宋体"/>
          <w:color w:val="000000"/>
          <w:sz w:val="24"/>
        </w:rPr>
        <w:t>(法定代表人)：  (签字</w:t>
      </w:r>
      <w:r>
        <w:rPr>
          <w:rFonts w:hint="eastAsia" w:ascii="宋体" w:hAnsi="宋体"/>
          <w:color w:val="000000"/>
          <w:sz w:val="24"/>
        </w:rPr>
        <w:t>或</w:t>
      </w:r>
      <w:r>
        <w:rPr>
          <w:rFonts w:ascii="宋体" w:hAnsi="宋体"/>
          <w:color w:val="000000"/>
          <w:sz w:val="24"/>
        </w:rPr>
        <w:t>盖章)</w:t>
      </w:r>
    </w:p>
    <w:p>
      <w:pPr>
        <w:spacing w:line="420" w:lineRule="exact"/>
        <w:ind w:firstLine="482"/>
        <w:rPr>
          <w:rFonts w:ascii="宋体"/>
          <w:sz w:val="24"/>
        </w:rPr>
      </w:pPr>
      <w:r>
        <w:rPr>
          <w:rFonts w:hint="eastAsia" w:ascii="宋体" w:hAnsi="宋体"/>
          <w:sz w:val="24"/>
        </w:rPr>
        <w:t>附：委托代理人的身份证复印件（加盖单位公章）</w:t>
      </w:r>
    </w:p>
    <w:tbl>
      <w:tblPr>
        <w:tblStyle w:val="15"/>
        <w:tblW w:w="0" w:type="auto"/>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4114" w:type="dxa"/>
            <w:vAlign w:val="center"/>
          </w:tcPr>
          <w:p>
            <w:pPr>
              <w:spacing w:line="420" w:lineRule="exact"/>
              <w:jc w:val="center"/>
              <w:rPr>
                <w:rFonts w:ascii="宋体"/>
                <w:sz w:val="24"/>
              </w:rPr>
            </w:pPr>
            <w:r>
              <w:rPr>
                <w:rFonts w:hint="eastAsia" w:ascii="宋体" w:hAnsi="宋体"/>
                <w:sz w:val="24"/>
              </w:rPr>
              <w:t>（身份证正面）</w:t>
            </w:r>
          </w:p>
        </w:tc>
        <w:tc>
          <w:tcPr>
            <w:tcW w:w="4115" w:type="dxa"/>
            <w:vAlign w:val="center"/>
          </w:tcPr>
          <w:p>
            <w:pPr>
              <w:spacing w:line="420" w:lineRule="exact"/>
              <w:jc w:val="center"/>
              <w:rPr>
                <w:rFonts w:ascii="宋体"/>
                <w:sz w:val="24"/>
              </w:rPr>
            </w:pPr>
            <w:r>
              <w:rPr>
                <w:rFonts w:hint="eastAsia" w:ascii="宋体" w:hAnsi="宋体"/>
                <w:sz w:val="24"/>
              </w:rPr>
              <w:t>（身份证背面）</w:t>
            </w:r>
          </w:p>
        </w:tc>
      </w:tr>
    </w:tbl>
    <w:p>
      <w:pPr>
        <w:spacing w:line="460" w:lineRule="exact"/>
        <w:rPr>
          <w:rFonts w:ascii="宋体" w:hAnsi="宋体"/>
          <w:color w:val="000000"/>
          <w:sz w:val="24"/>
        </w:rPr>
      </w:pPr>
    </w:p>
    <w:p>
      <w:pPr>
        <w:spacing w:line="360" w:lineRule="exact"/>
        <w:ind w:left="440" w:hanging="440" w:hangingChars="200"/>
        <w:rPr>
          <w:rFonts w:ascii="宋体"/>
          <w:szCs w:val="21"/>
        </w:rPr>
      </w:pPr>
      <w:r>
        <w:rPr>
          <w:rFonts w:hint="eastAsia" w:ascii="宋体" w:hAnsi="宋体"/>
          <w:szCs w:val="21"/>
        </w:rPr>
        <w:t>注：</w:t>
      </w:r>
      <w:r>
        <w:rPr>
          <w:rFonts w:ascii="宋体" w:hAnsi="宋体"/>
          <w:szCs w:val="21"/>
        </w:rPr>
        <w:t>1.</w:t>
      </w:r>
      <w:r>
        <w:rPr>
          <w:rFonts w:hint="eastAsia" w:ascii="宋体" w:hAnsi="宋体"/>
          <w:szCs w:val="21"/>
        </w:rPr>
        <w:t>法定代表人签字或盖章必须是亲笔签名或相关主管行政部门备案的法定代表人印章。不得使用其他印章或是电子版签名。</w:t>
      </w:r>
    </w:p>
    <w:p>
      <w:pPr>
        <w:tabs>
          <w:tab w:val="left" w:pos="9135"/>
        </w:tabs>
        <w:spacing w:line="320" w:lineRule="exact"/>
        <w:ind w:firstLine="440" w:firstLineChars="200"/>
        <w:rPr>
          <w:rFonts w:ascii="宋体"/>
          <w:szCs w:val="21"/>
        </w:rPr>
      </w:pPr>
      <w:r>
        <w:rPr>
          <w:rFonts w:ascii="宋体" w:hAnsi="宋体"/>
          <w:szCs w:val="21"/>
        </w:rPr>
        <w:t>2</w:t>
      </w:r>
      <w:r>
        <w:rPr>
          <w:rFonts w:hint="eastAsia" w:ascii="宋体" w:hAnsi="宋体"/>
          <w:szCs w:val="21"/>
        </w:rPr>
        <w:t>、本授权书原件一式两份，一份密封封装在投标文件正本中，一份现场查验。</w:t>
      </w:r>
    </w:p>
    <w:p>
      <w:pPr>
        <w:ind w:firstLine="440" w:firstLineChars="200"/>
        <w:rPr>
          <w:rFonts w:ascii="宋体"/>
          <w:sz w:val="30"/>
        </w:rPr>
      </w:pPr>
      <w:r>
        <w:rPr>
          <w:rFonts w:ascii="宋体" w:hAnsi="宋体"/>
          <w:szCs w:val="21"/>
        </w:rPr>
        <w:t>3</w:t>
      </w:r>
      <w:r>
        <w:rPr>
          <w:rFonts w:hint="eastAsia" w:ascii="宋体" w:hAnsi="宋体"/>
          <w:szCs w:val="21"/>
        </w:rPr>
        <w:t>、投标人的委托代理人作为公司的代表前来参加投标的投标人，须提供此项证明文件。</w:t>
      </w:r>
    </w:p>
    <w:p>
      <w:pPr>
        <w:pStyle w:val="37"/>
        <w:spacing w:line="340" w:lineRule="exact"/>
        <w:ind w:left="-189" w:leftChars="-86"/>
        <w:jc w:val="center"/>
        <w:rPr>
          <w:rFonts w:ascii="宋体"/>
          <w:b/>
          <w:color w:val="auto"/>
          <w:kern w:val="2"/>
          <w:sz w:val="21"/>
          <w:szCs w:val="21"/>
        </w:rPr>
      </w:pPr>
    </w:p>
    <w:p>
      <w:pPr>
        <w:spacing w:line="460" w:lineRule="exact"/>
        <w:ind w:firstLine="6480" w:firstLineChars="2700"/>
        <w:jc w:val="right"/>
        <w:rPr>
          <w:rFonts w:ascii="宋体" w:hAnsi="宋体"/>
          <w:color w:val="000000"/>
          <w:sz w:val="24"/>
        </w:rPr>
      </w:pPr>
      <w:r>
        <w:rPr>
          <w:rFonts w:hint="eastAsia" w:ascii="宋体" w:hAnsi="宋体"/>
          <w:color w:val="000000"/>
          <w:sz w:val="24"/>
        </w:rPr>
        <w:t xml:space="preserve">                                          年  </w:t>
      </w:r>
      <w:r>
        <w:rPr>
          <w:rFonts w:ascii="宋体" w:hAnsi="宋体"/>
          <w:color w:val="000000"/>
          <w:sz w:val="24"/>
        </w:rPr>
        <w:t xml:space="preserve">  月    日</w:t>
      </w:r>
    </w:p>
    <w:p>
      <w:pPr>
        <w:spacing w:line="460" w:lineRule="exact"/>
        <w:rPr>
          <w:rFonts w:ascii="宋体" w:hAnsi="宋体"/>
          <w:color w:val="000000"/>
          <w:sz w:val="24"/>
        </w:rPr>
      </w:pPr>
    </w:p>
    <w:p>
      <w:pPr>
        <w:spacing w:line="460" w:lineRule="exact"/>
        <w:jc w:val="center"/>
        <w:outlineLvl w:val="0"/>
        <w:rPr>
          <w:rFonts w:ascii="宋体" w:hAnsi="宋体"/>
          <w:b/>
          <w:bCs/>
          <w:color w:val="000000"/>
          <w:sz w:val="24"/>
        </w:rPr>
      </w:pPr>
      <w:r>
        <w:rPr>
          <w:rFonts w:hint="eastAsia" w:ascii="宋体" w:hAnsi="宋体"/>
          <w:b/>
          <w:bCs/>
          <w:color w:val="000000"/>
          <w:sz w:val="24"/>
        </w:rPr>
        <w:t>五</w:t>
      </w:r>
      <w:r>
        <w:rPr>
          <w:rFonts w:ascii="宋体" w:hAnsi="宋体"/>
          <w:b/>
          <w:bCs/>
          <w:color w:val="000000"/>
          <w:sz w:val="24"/>
        </w:rPr>
        <w:t>、货物性能说明及资料</w:t>
      </w:r>
    </w:p>
    <w:p>
      <w:pPr>
        <w:spacing w:line="460" w:lineRule="exact"/>
        <w:rPr>
          <w:rFonts w:ascii="宋体" w:hAnsi="宋体"/>
          <w:color w:val="000000"/>
          <w:sz w:val="24"/>
        </w:rPr>
      </w:pPr>
      <w:r>
        <w:rPr>
          <w:rFonts w:hint="eastAsia" w:ascii="宋体" w:hAnsi="宋体"/>
          <w:color w:val="000000"/>
          <w:sz w:val="24"/>
        </w:rPr>
        <w:t>附件：投标货物技术偏离表</w:t>
      </w: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r>
        <w:rPr>
          <w:rFonts w:hint="eastAsia" w:ascii="宋体" w:hAnsi="宋体"/>
          <w:color w:val="000000"/>
          <w:sz w:val="24"/>
        </w:rPr>
        <w:t>备注：投标货物技术偏离表格式见招标文件附件</w:t>
      </w:r>
    </w:p>
    <w:p>
      <w:pPr>
        <w:spacing w:line="460" w:lineRule="exact"/>
        <w:rPr>
          <w:rFonts w:ascii="宋体" w:hAnsi="宋体"/>
          <w:color w:val="000000"/>
          <w:sz w:val="24"/>
        </w:rPr>
      </w:pPr>
    </w:p>
    <w:p>
      <w:pPr>
        <w:spacing w:line="460" w:lineRule="exact"/>
        <w:jc w:val="center"/>
        <w:outlineLvl w:val="0"/>
        <w:rPr>
          <w:rFonts w:ascii="宋体" w:hAnsi="宋体"/>
          <w:b/>
          <w:bCs/>
          <w:color w:val="000000"/>
          <w:sz w:val="24"/>
        </w:rPr>
      </w:pPr>
      <w:r>
        <w:rPr>
          <w:rFonts w:hint="eastAsia" w:ascii="宋体" w:hAnsi="宋体"/>
          <w:b/>
          <w:bCs/>
          <w:color w:val="000000"/>
          <w:sz w:val="24"/>
        </w:rPr>
        <w:t>六、质量保证体系说明及资料</w:t>
      </w: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jc w:val="center"/>
        <w:outlineLvl w:val="0"/>
        <w:rPr>
          <w:rFonts w:ascii="宋体" w:hAnsi="宋体"/>
          <w:b/>
          <w:bCs/>
          <w:color w:val="000000"/>
          <w:sz w:val="24"/>
        </w:rPr>
      </w:pPr>
      <w:r>
        <w:rPr>
          <w:rFonts w:hint="eastAsia" w:ascii="宋体" w:hAnsi="宋体"/>
          <w:b/>
          <w:bCs/>
          <w:color w:val="000000"/>
          <w:sz w:val="24"/>
        </w:rPr>
        <w:t>七、技术服务措施及承诺</w:t>
      </w: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numPr>
          <w:ilvl w:val="0"/>
          <w:numId w:val="8"/>
        </w:numPr>
        <w:spacing w:line="460" w:lineRule="exact"/>
        <w:jc w:val="center"/>
        <w:outlineLvl w:val="0"/>
        <w:rPr>
          <w:rFonts w:ascii="宋体" w:hAnsi="宋体"/>
          <w:b/>
          <w:color w:val="000000"/>
          <w:sz w:val="24"/>
        </w:rPr>
      </w:pPr>
      <w:r>
        <w:rPr>
          <w:rFonts w:hint="eastAsia" w:ascii="宋体" w:hAnsi="宋体"/>
          <w:b/>
          <w:color w:val="000000"/>
          <w:sz w:val="24"/>
        </w:rPr>
        <w:t>近三年类似业绩表</w:t>
      </w:r>
    </w:p>
    <w:p>
      <w:pPr>
        <w:spacing w:line="460" w:lineRule="exact"/>
        <w:jc w:val="both"/>
        <w:outlineLvl w:val="0"/>
        <w:rPr>
          <w:rFonts w:ascii="宋体" w:hAnsi="宋体"/>
          <w:b/>
          <w:color w:val="000000"/>
          <w:sz w:val="24"/>
        </w:rPr>
      </w:pPr>
      <w:r>
        <w:rPr>
          <w:rFonts w:hint="eastAsia" w:ascii="宋体" w:hAnsi="宋体"/>
          <w:b/>
          <w:color w:val="000000"/>
          <w:sz w:val="24"/>
        </w:rPr>
        <w:t xml:space="preserve">                                （格式自拟）</w:t>
      </w: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pStyle w:val="2"/>
        <w:numPr>
          <w:ilvl w:val="0"/>
          <w:numId w:val="0"/>
        </w:numPr>
        <w:rPr>
          <w:rFonts w:ascii="宋体" w:hAnsi="宋体"/>
          <w:b/>
          <w:bCs/>
          <w:color w:val="000000"/>
          <w:sz w:val="24"/>
        </w:rPr>
      </w:pPr>
    </w:p>
    <w:p>
      <w:pPr>
        <w:pStyle w:val="2"/>
        <w:numPr>
          <w:ilvl w:val="0"/>
          <w:numId w:val="0"/>
        </w:numPr>
        <w:rPr>
          <w:rFonts w:ascii="宋体" w:hAnsi="宋体"/>
          <w:b/>
          <w:bCs/>
          <w:color w:val="000000"/>
          <w:sz w:val="24"/>
        </w:rPr>
      </w:pPr>
    </w:p>
    <w:p>
      <w:pPr>
        <w:pStyle w:val="2"/>
        <w:numPr>
          <w:ilvl w:val="0"/>
          <w:numId w:val="0"/>
        </w:numPr>
        <w:rPr>
          <w:rFonts w:ascii="宋体" w:hAnsi="宋体"/>
          <w:b/>
          <w:bCs/>
          <w:color w:val="000000"/>
          <w:sz w:val="24"/>
        </w:rPr>
      </w:pPr>
    </w:p>
    <w:p>
      <w:pPr>
        <w:pStyle w:val="2"/>
        <w:numPr>
          <w:ilvl w:val="0"/>
          <w:numId w:val="0"/>
        </w:numPr>
        <w:rPr>
          <w:rFonts w:ascii="宋体" w:hAnsi="宋体"/>
          <w:b/>
          <w:bCs/>
          <w:color w:val="000000"/>
          <w:sz w:val="24"/>
        </w:rPr>
      </w:pPr>
    </w:p>
    <w:p>
      <w:pPr>
        <w:pStyle w:val="2"/>
        <w:numPr>
          <w:ilvl w:val="0"/>
          <w:numId w:val="0"/>
        </w:numP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both"/>
        <w:rPr>
          <w:rFonts w:ascii="宋体" w:hAnsi="宋体"/>
          <w:b/>
          <w:bCs/>
          <w:color w:val="000000"/>
          <w:sz w:val="24"/>
        </w:rPr>
      </w:pPr>
    </w:p>
    <w:p>
      <w:pPr>
        <w:spacing w:line="460" w:lineRule="exact"/>
        <w:jc w:val="center"/>
        <w:rPr>
          <w:rFonts w:ascii="宋体" w:hAnsi="宋体"/>
          <w:b/>
          <w:bCs/>
          <w:color w:val="000000"/>
          <w:sz w:val="24"/>
        </w:rPr>
      </w:pPr>
    </w:p>
    <w:p>
      <w:pPr>
        <w:spacing w:line="460" w:lineRule="exact"/>
        <w:jc w:val="center"/>
        <w:rPr>
          <w:rFonts w:ascii="宋体" w:hAnsi="宋体"/>
          <w:b/>
          <w:bCs/>
          <w:color w:val="000000"/>
          <w:sz w:val="24"/>
        </w:rPr>
      </w:pPr>
      <w:r>
        <w:rPr>
          <w:rFonts w:ascii="宋体" w:hAnsi="宋体"/>
          <w:b/>
          <w:bCs/>
          <w:color w:val="000000"/>
          <w:sz w:val="24"/>
        </w:rPr>
        <w:t>附件二：投标货物技术偏离表及说明</w:t>
      </w:r>
    </w:p>
    <w:p>
      <w:pPr>
        <w:spacing w:line="460" w:lineRule="exact"/>
        <w:outlineLvl w:val="0"/>
        <w:rPr>
          <w:rFonts w:ascii="宋体" w:hAnsi="宋体"/>
          <w:color w:val="000000"/>
          <w:sz w:val="24"/>
        </w:rPr>
      </w:pPr>
      <w:r>
        <w:rPr>
          <w:rFonts w:hint="eastAsia" w:ascii="宋体" w:hAnsi="宋体"/>
          <w:color w:val="000000"/>
          <w:sz w:val="24"/>
        </w:rPr>
        <w:t>一、技术偏离表</w:t>
      </w:r>
    </w:p>
    <w:tbl>
      <w:tblPr>
        <w:tblStyle w:val="15"/>
        <w:tblW w:w="0" w:type="auto"/>
        <w:tblInd w:w="15" w:type="dxa"/>
        <w:tblLayout w:type="fixed"/>
        <w:tblCellMar>
          <w:top w:w="0" w:type="dxa"/>
          <w:left w:w="0" w:type="dxa"/>
          <w:bottom w:w="0" w:type="dxa"/>
          <w:right w:w="0" w:type="dxa"/>
        </w:tblCellMar>
      </w:tblPr>
      <w:tblGrid>
        <w:gridCol w:w="926"/>
        <w:gridCol w:w="1786"/>
        <w:gridCol w:w="1891"/>
        <w:gridCol w:w="1469"/>
        <w:gridCol w:w="1382"/>
        <w:gridCol w:w="1670"/>
      </w:tblGrid>
      <w:tr>
        <w:tblPrEx>
          <w:tblCellMar>
            <w:top w:w="0" w:type="dxa"/>
            <w:left w:w="0" w:type="dxa"/>
            <w:bottom w:w="0" w:type="dxa"/>
            <w:right w:w="0" w:type="dxa"/>
          </w:tblCellMar>
        </w:tblPrEx>
        <w:trPr>
          <w:trHeight w:val="782" w:hRule="atLeast"/>
        </w:trPr>
        <w:tc>
          <w:tcPr>
            <w:tcW w:w="926" w:type="dxa"/>
            <w:tcBorders>
              <w:top w:val="single" w:color="auto" w:sz="12" w:space="0"/>
              <w:left w:val="single" w:color="auto" w:sz="12" w:space="0"/>
              <w:bottom w:val="single" w:color="auto" w:sz="8" w:space="0"/>
              <w:right w:val="single" w:color="auto" w:sz="8" w:space="0"/>
            </w:tcBorders>
          </w:tcPr>
          <w:p>
            <w:pPr>
              <w:autoSpaceDE w:val="0"/>
              <w:autoSpaceDN w:val="0"/>
              <w:spacing w:line="360" w:lineRule="exact"/>
              <w:jc w:val="center"/>
              <w:rPr>
                <w:rFonts w:ascii="宋体" w:hAnsi="宋体"/>
                <w:color w:val="000000"/>
                <w:sz w:val="24"/>
                <w:szCs w:val="18"/>
              </w:rPr>
            </w:pPr>
            <w:r>
              <w:rPr>
                <w:rFonts w:hint="eastAsia" w:ascii="宋体" w:hAnsi="宋体"/>
                <w:color w:val="000000"/>
                <w:sz w:val="24"/>
                <w:szCs w:val="18"/>
              </w:rPr>
              <w:t>序号</w:t>
            </w:r>
          </w:p>
        </w:tc>
        <w:tc>
          <w:tcPr>
            <w:tcW w:w="1786" w:type="dxa"/>
            <w:tcBorders>
              <w:top w:val="single" w:color="auto" w:sz="12" w:space="0"/>
              <w:left w:val="single" w:color="auto" w:sz="8" w:space="0"/>
              <w:bottom w:val="single" w:color="auto" w:sz="8" w:space="0"/>
              <w:right w:val="single" w:color="auto" w:sz="8" w:space="0"/>
            </w:tcBorders>
          </w:tcPr>
          <w:p>
            <w:pPr>
              <w:autoSpaceDE w:val="0"/>
              <w:autoSpaceDN w:val="0"/>
              <w:spacing w:line="360" w:lineRule="exact"/>
              <w:jc w:val="center"/>
              <w:rPr>
                <w:rFonts w:ascii="宋体" w:hAnsi="宋体"/>
                <w:color w:val="000000"/>
                <w:sz w:val="24"/>
                <w:szCs w:val="18"/>
              </w:rPr>
            </w:pPr>
            <w:r>
              <w:rPr>
                <w:rFonts w:hint="eastAsia" w:ascii="宋体" w:hAnsi="宋体"/>
                <w:color w:val="000000"/>
                <w:sz w:val="24"/>
                <w:szCs w:val="18"/>
              </w:rPr>
              <w:t>招标文件</w:t>
            </w:r>
          </w:p>
          <w:p>
            <w:pPr>
              <w:autoSpaceDE w:val="0"/>
              <w:autoSpaceDN w:val="0"/>
              <w:spacing w:line="360" w:lineRule="exact"/>
              <w:jc w:val="center"/>
              <w:rPr>
                <w:rFonts w:ascii="宋体" w:hAnsi="宋体"/>
                <w:color w:val="000000"/>
                <w:sz w:val="24"/>
                <w:szCs w:val="18"/>
              </w:rPr>
            </w:pPr>
            <w:r>
              <w:rPr>
                <w:rFonts w:hint="eastAsia" w:ascii="宋体" w:hAnsi="宋体"/>
                <w:color w:val="000000"/>
                <w:sz w:val="24"/>
                <w:szCs w:val="18"/>
              </w:rPr>
              <w:t>条款序号</w:t>
            </w:r>
          </w:p>
        </w:tc>
        <w:tc>
          <w:tcPr>
            <w:tcW w:w="1891" w:type="dxa"/>
            <w:tcBorders>
              <w:top w:val="single" w:color="auto" w:sz="12" w:space="0"/>
              <w:left w:val="single" w:color="auto" w:sz="8" w:space="0"/>
              <w:bottom w:val="single" w:color="auto" w:sz="8" w:space="0"/>
              <w:right w:val="single" w:color="auto" w:sz="8" w:space="0"/>
            </w:tcBorders>
          </w:tcPr>
          <w:p>
            <w:pPr>
              <w:autoSpaceDE w:val="0"/>
              <w:autoSpaceDN w:val="0"/>
              <w:spacing w:line="360" w:lineRule="exact"/>
              <w:jc w:val="center"/>
              <w:rPr>
                <w:rFonts w:ascii="宋体" w:hAnsi="宋体"/>
                <w:color w:val="000000"/>
                <w:sz w:val="24"/>
                <w:szCs w:val="18"/>
              </w:rPr>
            </w:pPr>
            <w:r>
              <w:rPr>
                <w:rFonts w:hint="eastAsia" w:ascii="宋体" w:hAnsi="宋体"/>
                <w:color w:val="000000"/>
                <w:sz w:val="24"/>
                <w:szCs w:val="18"/>
              </w:rPr>
              <w:t>货物名称</w:t>
            </w:r>
          </w:p>
        </w:tc>
        <w:tc>
          <w:tcPr>
            <w:tcW w:w="1469" w:type="dxa"/>
            <w:tcBorders>
              <w:top w:val="single" w:color="auto" w:sz="12" w:space="0"/>
              <w:left w:val="single" w:color="auto" w:sz="8" w:space="0"/>
              <w:bottom w:val="single" w:color="auto" w:sz="8" w:space="0"/>
              <w:right w:val="single" w:color="auto" w:sz="8" w:space="0"/>
            </w:tcBorders>
          </w:tcPr>
          <w:p>
            <w:pPr>
              <w:autoSpaceDE w:val="0"/>
              <w:autoSpaceDN w:val="0"/>
              <w:spacing w:line="360" w:lineRule="exact"/>
              <w:jc w:val="center"/>
              <w:rPr>
                <w:rFonts w:ascii="宋体" w:hAnsi="宋体"/>
                <w:color w:val="000000"/>
                <w:sz w:val="24"/>
                <w:szCs w:val="18"/>
              </w:rPr>
            </w:pPr>
            <w:r>
              <w:rPr>
                <w:rFonts w:hint="eastAsia" w:ascii="宋体" w:hAnsi="宋体"/>
                <w:color w:val="000000"/>
                <w:sz w:val="24"/>
                <w:szCs w:val="18"/>
              </w:rPr>
              <w:t>招标技</w:t>
            </w:r>
          </w:p>
          <w:p>
            <w:pPr>
              <w:autoSpaceDE w:val="0"/>
              <w:autoSpaceDN w:val="0"/>
              <w:spacing w:line="360" w:lineRule="exact"/>
              <w:jc w:val="center"/>
              <w:rPr>
                <w:rFonts w:ascii="宋体" w:hAnsi="宋体"/>
                <w:color w:val="000000"/>
                <w:sz w:val="24"/>
                <w:szCs w:val="18"/>
              </w:rPr>
            </w:pPr>
            <w:r>
              <w:rPr>
                <w:rFonts w:hint="eastAsia" w:ascii="宋体" w:hAnsi="宋体"/>
                <w:color w:val="000000"/>
                <w:sz w:val="24"/>
                <w:szCs w:val="18"/>
              </w:rPr>
              <w:t>术要求</w:t>
            </w:r>
          </w:p>
        </w:tc>
        <w:tc>
          <w:tcPr>
            <w:tcW w:w="1382" w:type="dxa"/>
            <w:tcBorders>
              <w:top w:val="single" w:color="auto" w:sz="12" w:space="0"/>
              <w:left w:val="single" w:color="auto" w:sz="8" w:space="0"/>
              <w:bottom w:val="single" w:color="auto" w:sz="8" w:space="0"/>
              <w:right w:val="single" w:color="auto" w:sz="8" w:space="0"/>
            </w:tcBorders>
          </w:tcPr>
          <w:p>
            <w:pPr>
              <w:autoSpaceDE w:val="0"/>
              <w:autoSpaceDN w:val="0"/>
              <w:spacing w:line="360" w:lineRule="exact"/>
              <w:jc w:val="center"/>
              <w:rPr>
                <w:rFonts w:ascii="宋体" w:hAnsi="宋体"/>
                <w:color w:val="000000"/>
                <w:sz w:val="24"/>
                <w:szCs w:val="18"/>
              </w:rPr>
            </w:pPr>
            <w:r>
              <w:rPr>
                <w:rFonts w:hint="eastAsia" w:ascii="宋体" w:hAnsi="宋体"/>
                <w:color w:val="000000"/>
                <w:sz w:val="24"/>
                <w:szCs w:val="18"/>
              </w:rPr>
              <w:t>投标情况</w:t>
            </w:r>
          </w:p>
        </w:tc>
        <w:tc>
          <w:tcPr>
            <w:tcW w:w="1670" w:type="dxa"/>
            <w:tcBorders>
              <w:top w:val="single" w:color="auto" w:sz="12" w:space="0"/>
              <w:left w:val="single" w:color="auto" w:sz="8" w:space="0"/>
              <w:bottom w:val="single" w:color="auto" w:sz="8" w:space="0"/>
              <w:right w:val="single" w:color="auto" w:sz="12" w:space="0"/>
            </w:tcBorders>
          </w:tcPr>
          <w:p>
            <w:pPr>
              <w:autoSpaceDE w:val="0"/>
              <w:autoSpaceDN w:val="0"/>
              <w:spacing w:line="360" w:lineRule="exact"/>
              <w:jc w:val="center"/>
              <w:rPr>
                <w:rFonts w:ascii="宋体" w:hAnsi="宋体"/>
                <w:color w:val="000000"/>
                <w:sz w:val="24"/>
                <w:szCs w:val="18"/>
              </w:rPr>
            </w:pPr>
            <w:r>
              <w:rPr>
                <w:rFonts w:hint="eastAsia" w:ascii="宋体" w:hAnsi="宋体"/>
                <w:color w:val="000000"/>
                <w:sz w:val="24"/>
                <w:szCs w:val="18"/>
              </w:rPr>
              <w:t>变更</w:t>
            </w:r>
          </w:p>
          <w:p>
            <w:pPr>
              <w:autoSpaceDE w:val="0"/>
              <w:autoSpaceDN w:val="0"/>
              <w:spacing w:line="360" w:lineRule="exact"/>
              <w:jc w:val="center"/>
              <w:rPr>
                <w:rFonts w:ascii="宋体" w:hAnsi="宋体"/>
                <w:color w:val="000000"/>
                <w:sz w:val="24"/>
                <w:szCs w:val="18"/>
              </w:rPr>
            </w:pPr>
            <w:r>
              <w:rPr>
                <w:rFonts w:hint="eastAsia" w:ascii="宋体" w:hAnsi="宋体"/>
                <w:color w:val="000000"/>
                <w:sz w:val="24"/>
                <w:szCs w:val="18"/>
              </w:rPr>
              <w:t>理由</w:t>
            </w:r>
          </w:p>
        </w:tc>
      </w:tr>
      <w:tr>
        <w:tblPrEx>
          <w:tblCellMar>
            <w:top w:w="0" w:type="dxa"/>
            <w:left w:w="0" w:type="dxa"/>
            <w:bottom w:w="0" w:type="dxa"/>
            <w:right w:w="0" w:type="dxa"/>
          </w:tblCellMar>
        </w:tblPrEx>
        <w:trPr>
          <w:trHeight w:val="489" w:hRule="atLeast"/>
        </w:trPr>
        <w:tc>
          <w:tcPr>
            <w:tcW w:w="926" w:type="dxa"/>
            <w:tcBorders>
              <w:top w:val="single" w:color="auto" w:sz="8" w:space="0"/>
              <w:left w:val="single" w:color="auto" w:sz="12" w:space="0"/>
              <w:bottom w:val="single" w:color="auto" w:sz="8" w:space="0"/>
              <w:right w:val="single" w:color="auto" w:sz="8" w:space="0"/>
            </w:tcBorders>
          </w:tcPr>
          <w:p>
            <w:pPr>
              <w:autoSpaceDE w:val="0"/>
              <w:autoSpaceDN w:val="0"/>
              <w:spacing w:line="460" w:lineRule="exact"/>
              <w:rPr>
                <w:rFonts w:ascii="宋体" w:hAnsi="宋体"/>
                <w:sz w:val="24"/>
              </w:rPr>
            </w:pPr>
          </w:p>
        </w:tc>
        <w:tc>
          <w:tcPr>
            <w:tcW w:w="1786" w:type="dxa"/>
            <w:tcBorders>
              <w:top w:val="single" w:color="auto" w:sz="8" w:space="0"/>
              <w:left w:val="single" w:color="auto" w:sz="8" w:space="0"/>
              <w:bottom w:val="single" w:color="auto" w:sz="8" w:space="0"/>
              <w:right w:val="single" w:color="auto" w:sz="8" w:space="0"/>
            </w:tcBorders>
          </w:tcPr>
          <w:p>
            <w:pPr>
              <w:autoSpaceDE w:val="0"/>
              <w:autoSpaceDN w:val="0"/>
              <w:spacing w:line="460" w:lineRule="exact"/>
              <w:rPr>
                <w:rFonts w:ascii="宋体" w:hAnsi="宋体"/>
                <w:sz w:val="24"/>
              </w:rPr>
            </w:pPr>
          </w:p>
        </w:tc>
        <w:tc>
          <w:tcPr>
            <w:tcW w:w="1891" w:type="dxa"/>
            <w:tcBorders>
              <w:top w:val="single" w:color="auto" w:sz="8" w:space="0"/>
              <w:left w:val="single" w:color="auto" w:sz="8" w:space="0"/>
              <w:bottom w:val="single" w:color="auto" w:sz="8" w:space="0"/>
              <w:right w:val="single" w:color="auto" w:sz="8" w:space="0"/>
            </w:tcBorders>
          </w:tcPr>
          <w:p>
            <w:pPr>
              <w:autoSpaceDE w:val="0"/>
              <w:autoSpaceDN w:val="0"/>
              <w:spacing w:line="460" w:lineRule="exact"/>
              <w:rPr>
                <w:rFonts w:ascii="宋体" w:hAnsi="宋体"/>
                <w:sz w:val="24"/>
              </w:rPr>
            </w:pPr>
          </w:p>
        </w:tc>
        <w:tc>
          <w:tcPr>
            <w:tcW w:w="1469" w:type="dxa"/>
            <w:tcBorders>
              <w:top w:val="single" w:color="auto" w:sz="8" w:space="0"/>
              <w:left w:val="single" w:color="auto" w:sz="8" w:space="0"/>
              <w:bottom w:val="single" w:color="auto" w:sz="8" w:space="0"/>
              <w:right w:val="single" w:color="auto" w:sz="8" w:space="0"/>
            </w:tcBorders>
          </w:tcPr>
          <w:p>
            <w:pPr>
              <w:autoSpaceDE w:val="0"/>
              <w:autoSpaceDN w:val="0"/>
              <w:spacing w:line="460" w:lineRule="exact"/>
              <w:rPr>
                <w:rFonts w:ascii="宋体" w:hAnsi="宋体"/>
                <w:sz w:val="24"/>
              </w:rPr>
            </w:pPr>
          </w:p>
        </w:tc>
        <w:tc>
          <w:tcPr>
            <w:tcW w:w="1382" w:type="dxa"/>
            <w:tcBorders>
              <w:top w:val="single" w:color="auto" w:sz="8" w:space="0"/>
              <w:left w:val="single" w:color="auto" w:sz="8" w:space="0"/>
              <w:bottom w:val="single" w:color="auto" w:sz="8" w:space="0"/>
              <w:right w:val="single" w:color="auto" w:sz="8" w:space="0"/>
            </w:tcBorders>
          </w:tcPr>
          <w:p>
            <w:pPr>
              <w:autoSpaceDE w:val="0"/>
              <w:autoSpaceDN w:val="0"/>
              <w:spacing w:line="460" w:lineRule="exact"/>
              <w:rPr>
                <w:rFonts w:ascii="宋体" w:hAnsi="宋体"/>
                <w:sz w:val="24"/>
              </w:rPr>
            </w:pPr>
          </w:p>
        </w:tc>
        <w:tc>
          <w:tcPr>
            <w:tcW w:w="1670" w:type="dxa"/>
            <w:tcBorders>
              <w:top w:val="single" w:color="auto" w:sz="8" w:space="0"/>
              <w:left w:val="single" w:color="auto" w:sz="8" w:space="0"/>
              <w:bottom w:val="single" w:color="auto" w:sz="8" w:space="0"/>
              <w:right w:val="single" w:color="auto" w:sz="12" w:space="0"/>
            </w:tcBorders>
          </w:tcPr>
          <w:p>
            <w:pPr>
              <w:autoSpaceDE w:val="0"/>
              <w:autoSpaceDN w:val="0"/>
              <w:spacing w:line="460" w:lineRule="exact"/>
              <w:rPr>
                <w:rFonts w:ascii="宋体" w:hAnsi="宋体"/>
                <w:sz w:val="24"/>
              </w:rPr>
            </w:pPr>
          </w:p>
        </w:tc>
      </w:tr>
      <w:tr>
        <w:tblPrEx>
          <w:tblCellMar>
            <w:top w:w="0" w:type="dxa"/>
            <w:left w:w="0" w:type="dxa"/>
            <w:bottom w:w="0" w:type="dxa"/>
            <w:right w:w="0" w:type="dxa"/>
          </w:tblCellMar>
        </w:tblPrEx>
        <w:trPr>
          <w:trHeight w:val="489" w:hRule="atLeast"/>
        </w:trPr>
        <w:tc>
          <w:tcPr>
            <w:tcW w:w="926" w:type="dxa"/>
            <w:tcBorders>
              <w:top w:val="single" w:color="auto" w:sz="8" w:space="0"/>
              <w:left w:val="single" w:color="auto" w:sz="12" w:space="0"/>
              <w:bottom w:val="single" w:color="auto" w:sz="8" w:space="0"/>
              <w:right w:val="single" w:color="auto" w:sz="8" w:space="0"/>
            </w:tcBorders>
          </w:tcPr>
          <w:p>
            <w:pPr>
              <w:autoSpaceDE w:val="0"/>
              <w:autoSpaceDN w:val="0"/>
              <w:spacing w:line="460" w:lineRule="exact"/>
              <w:rPr>
                <w:rFonts w:ascii="宋体" w:hAnsi="宋体"/>
                <w:sz w:val="24"/>
              </w:rPr>
            </w:pPr>
          </w:p>
        </w:tc>
        <w:tc>
          <w:tcPr>
            <w:tcW w:w="1786" w:type="dxa"/>
            <w:tcBorders>
              <w:top w:val="single" w:color="auto" w:sz="8" w:space="0"/>
              <w:left w:val="single" w:color="auto" w:sz="8" w:space="0"/>
              <w:bottom w:val="single" w:color="auto" w:sz="8" w:space="0"/>
              <w:right w:val="single" w:color="auto" w:sz="8" w:space="0"/>
            </w:tcBorders>
          </w:tcPr>
          <w:p>
            <w:pPr>
              <w:autoSpaceDE w:val="0"/>
              <w:autoSpaceDN w:val="0"/>
              <w:spacing w:line="460" w:lineRule="exact"/>
              <w:rPr>
                <w:rFonts w:ascii="宋体" w:hAnsi="宋体"/>
                <w:sz w:val="24"/>
              </w:rPr>
            </w:pPr>
          </w:p>
        </w:tc>
        <w:tc>
          <w:tcPr>
            <w:tcW w:w="1891" w:type="dxa"/>
            <w:tcBorders>
              <w:top w:val="single" w:color="auto" w:sz="8" w:space="0"/>
              <w:left w:val="single" w:color="auto" w:sz="8" w:space="0"/>
              <w:bottom w:val="single" w:color="auto" w:sz="8" w:space="0"/>
              <w:right w:val="single" w:color="auto" w:sz="8" w:space="0"/>
            </w:tcBorders>
          </w:tcPr>
          <w:p>
            <w:pPr>
              <w:autoSpaceDE w:val="0"/>
              <w:autoSpaceDN w:val="0"/>
              <w:spacing w:line="460" w:lineRule="exact"/>
              <w:rPr>
                <w:rFonts w:ascii="宋体" w:hAnsi="宋体"/>
                <w:sz w:val="24"/>
              </w:rPr>
            </w:pPr>
          </w:p>
        </w:tc>
        <w:tc>
          <w:tcPr>
            <w:tcW w:w="1469" w:type="dxa"/>
            <w:tcBorders>
              <w:top w:val="single" w:color="auto" w:sz="8" w:space="0"/>
              <w:left w:val="single" w:color="auto" w:sz="8" w:space="0"/>
              <w:bottom w:val="single" w:color="auto" w:sz="8" w:space="0"/>
              <w:right w:val="single" w:color="auto" w:sz="8" w:space="0"/>
            </w:tcBorders>
          </w:tcPr>
          <w:p>
            <w:pPr>
              <w:autoSpaceDE w:val="0"/>
              <w:autoSpaceDN w:val="0"/>
              <w:spacing w:line="460" w:lineRule="exact"/>
              <w:rPr>
                <w:rFonts w:ascii="宋体" w:hAnsi="宋体"/>
                <w:sz w:val="24"/>
              </w:rPr>
            </w:pPr>
          </w:p>
        </w:tc>
        <w:tc>
          <w:tcPr>
            <w:tcW w:w="1382" w:type="dxa"/>
            <w:tcBorders>
              <w:top w:val="single" w:color="auto" w:sz="8" w:space="0"/>
              <w:left w:val="single" w:color="auto" w:sz="8" w:space="0"/>
              <w:bottom w:val="single" w:color="auto" w:sz="8" w:space="0"/>
              <w:right w:val="single" w:color="auto" w:sz="8" w:space="0"/>
            </w:tcBorders>
          </w:tcPr>
          <w:p>
            <w:pPr>
              <w:autoSpaceDE w:val="0"/>
              <w:autoSpaceDN w:val="0"/>
              <w:spacing w:line="460" w:lineRule="exact"/>
              <w:rPr>
                <w:rFonts w:ascii="宋体" w:hAnsi="宋体"/>
                <w:sz w:val="24"/>
              </w:rPr>
            </w:pPr>
          </w:p>
        </w:tc>
        <w:tc>
          <w:tcPr>
            <w:tcW w:w="1670" w:type="dxa"/>
            <w:tcBorders>
              <w:top w:val="single" w:color="auto" w:sz="8" w:space="0"/>
              <w:left w:val="single" w:color="auto" w:sz="8" w:space="0"/>
              <w:bottom w:val="single" w:color="auto" w:sz="8" w:space="0"/>
              <w:right w:val="single" w:color="auto" w:sz="12" w:space="0"/>
            </w:tcBorders>
          </w:tcPr>
          <w:p>
            <w:pPr>
              <w:autoSpaceDE w:val="0"/>
              <w:autoSpaceDN w:val="0"/>
              <w:spacing w:line="460" w:lineRule="exact"/>
              <w:rPr>
                <w:rFonts w:ascii="宋体" w:hAnsi="宋体"/>
                <w:sz w:val="24"/>
              </w:rPr>
            </w:pPr>
          </w:p>
        </w:tc>
      </w:tr>
      <w:tr>
        <w:tblPrEx>
          <w:tblCellMar>
            <w:top w:w="0" w:type="dxa"/>
            <w:left w:w="0" w:type="dxa"/>
            <w:bottom w:w="0" w:type="dxa"/>
            <w:right w:w="0" w:type="dxa"/>
          </w:tblCellMar>
        </w:tblPrEx>
        <w:trPr>
          <w:trHeight w:val="489" w:hRule="atLeast"/>
        </w:trPr>
        <w:tc>
          <w:tcPr>
            <w:tcW w:w="926" w:type="dxa"/>
            <w:tcBorders>
              <w:top w:val="single" w:color="auto" w:sz="8" w:space="0"/>
              <w:left w:val="single" w:color="auto" w:sz="12" w:space="0"/>
              <w:bottom w:val="single" w:color="auto" w:sz="8" w:space="0"/>
              <w:right w:val="single" w:color="auto" w:sz="8" w:space="0"/>
            </w:tcBorders>
          </w:tcPr>
          <w:p>
            <w:pPr>
              <w:autoSpaceDE w:val="0"/>
              <w:autoSpaceDN w:val="0"/>
              <w:spacing w:line="460" w:lineRule="exact"/>
              <w:rPr>
                <w:rFonts w:ascii="宋体" w:hAnsi="宋体"/>
                <w:sz w:val="24"/>
              </w:rPr>
            </w:pPr>
          </w:p>
        </w:tc>
        <w:tc>
          <w:tcPr>
            <w:tcW w:w="1786" w:type="dxa"/>
            <w:tcBorders>
              <w:top w:val="single" w:color="auto" w:sz="8" w:space="0"/>
              <w:left w:val="single" w:color="auto" w:sz="8" w:space="0"/>
              <w:bottom w:val="single" w:color="auto" w:sz="8" w:space="0"/>
              <w:right w:val="single" w:color="auto" w:sz="8" w:space="0"/>
            </w:tcBorders>
          </w:tcPr>
          <w:p>
            <w:pPr>
              <w:autoSpaceDE w:val="0"/>
              <w:autoSpaceDN w:val="0"/>
              <w:spacing w:line="460" w:lineRule="exact"/>
              <w:rPr>
                <w:rFonts w:ascii="宋体" w:hAnsi="宋体"/>
                <w:sz w:val="24"/>
              </w:rPr>
            </w:pPr>
          </w:p>
        </w:tc>
        <w:tc>
          <w:tcPr>
            <w:tcW w:w="1891" w:type="dxa"/>
            <w:tcBorders>
              <w:top w:val="single" w:color="auto" w:sz="8" w:space="0"/>
              <w:left w:val="single" w:color="auto" w:sz="8" w:space="0"/>
              <w:bottom w:val="single" w:color="auto" w:sz="8" w:space="0"/>
              <w:right w:val="single" w:color="auto" w:sz="8" w:space="0"/>
            </w:tcBorders>
          </w:tcPr>
          <w:p>
            <w:pPr>
              <w:autoSpaceDE w:val="0"/>
              <w:autoSpaceDN w:val="0"/>
              <w:spacing w:line="460" w:lineRule="exact"/>
              <w:rPr>
                <w:rFonts w:ascii="宋体" w:hAnsi="宋体"/>
                <w:sz w:val="24"/>
              </w:rPr>
            </w:pPr>
          </w:p>
        </w:tc>
        <w:tc>
          <w:tcPr>
            <w:tcW w:w="1469" w:type="dxa"/>
            <w:tcBorders>
              <w:top w:val="single" w:color="auto" w:sz="8" w:space="0"/>
              <w:left w:val="single" w:color="auto" w:sz="8" w:space="0"/>
              <w:bottom w:val="single" w:color="auto" w:sz="8" w:space="0"/>
              <w:right w:val="single" w:color="auto" w:sz="8" w:space="0"/>
            </w:tcBorders>
          </w:tcPr>
          <w:p>
            <w:pPr>
              <w:autoSpaceDE w:val="0"/>
              <w:autoSpaceDN w:val="0"/>
              <w:spacing w:line="460" w:lineRule="exact"/>
              <w:rPr>
                <w:rFonts w:ascii="宋体" w:hAnsi="宋体"/>
                <w:sz w:val="24"/>
              </w:rPr>
            </w:pPr>
          </w:p>
        </w:tc>
        <w:tc>
          <w:tcPr>
            <w:tcW w:w="1382" w:type="dxa"/>
            <w:tcBorders>
              <w:top w:val="single" w:color="auto" w:sz="8" w:space="0"/>
              <w:left w:val="single" w:color="auto" w:sz="8" w:space="0"/>
              <w:bottom w:val="single" w:color="auto" w:sz="8" w:space="0"/>
              <w:right w:val="single" w:color="auto" w:sz="8" w:space="0"/>
            </w:tcBorders>
          </w:tcPr>
          <w:p>
            <w:pPr>
              <w:autoSpaceDE w:val="0"/>
              <w:autoSpaceDN w:val="0"/>
              <w:spacing w:line="460" w:lineRule="exact"/>
              <w:rPr>
                <w:rFonts w:ascii="宋体" w:hAnsi="宋体"/>
                <w:sz w:val="24"/>
              </w:rPr>
            </w:pPr>
          </w:p>
        </w:tc>
        <w:tc>
          <w:tcPr>
            <w:tcW w:w="1670" w:type="dxa"/>
            <w:tcBorders>
              <w:top w:val="single" w:color="auto" w:sz="8" w:space="0"/>
              <w:left w:val="single" w:color="auto" w:sz="8" w:space="0"/>
              <w:bottom w:val="single" w:color="auto" w:sz="8" w:space="0"/>
              <w:right w:val="single" w:color="auto" w:sz="12" w:space="0"/>
            </w:tcBorders>
          </w:tcPr>
          <w:p>
            <w:pPr>
              <w:autoSpaceDE w:val="0"/>
              <w:autoSpaceDN w:val="0"/>
              <w:spacing w:line="460" w:lineRule="exact"/>
              <w:rPr>
                <w:rFonts w:ascii="宋体" w:hAnsi="宋体"/>
                <w:sz w:val="24"/>
              </w:rPr>
            </w:pPr>
          </w:p>
        </w:tc>
      </w:tr>
      <w:tr>
        <w:tblPrEx>
          <w:tblCellMar>
            <w:top w:w="0" w:type="dxa"/>
            <w:left w:w="0" w:type="dxa"/>
            <w:bottom w:w="0" w:type="dxa"/>
            <w:right w:w="0" w:type="dxa"/>
          </w:tblCellMar>
        </w:tblPrEx>
        <w:trPr>
          <w:trHeight w:val="489" w:hRule="atLeast"/>
        </w:trPr>
        <w:tc>
          <w:tcPr>
            <w:tcW w:w="926" w:type="dxa"/>
            <w:tcBorders>
              <w:top w:val="single" w:color="auto" w:sz="8" w:space="0"/>
              <w:left w:val="single" w:color="auto" w:sz="12" w:space="0"/>
              <w:bottom w:val="single" w:color="auto" w:sz="8" w:space="0"/>
              <w:right w:val="single" w:color="auto" w:sz="8" w:space="0"/>
            </w:tcBorders>
          </w:tcPr>
          <w:p>
            <w:pPr>
              <w:autoSpaceDE w:val="0"/>
              <w:autoSpaceDN w:val="0"/>
              <w:spacing w:line="460" w:lineRule="exact"/>
              <w:rPr>
                <w:rFonts w:ascii="宋体" w:hAnsi="宋体"/>
                <w:sz w:val="24"/>
              </w:rPr>
            </w:pPr>
          </w:p>
        </w:tc>
        <w:tc>
          <w:tcPr>
            <w:tcW w:w="1786" w:type="dxa"/>
            <w:tcBorders>
              <w:top w:val="single" w:color="auto" w:sz="8" w:space="0"/>
              <w:left w:val="single" w:color="auto" w:sz="8" w:space="0"/>
              <w:bottom w:val="single" w:color="auto" w:sz="8" w:space="0"/>
              <w:right w:val="single" w:color="auto" w:sz="8" w:space="0"/>
            </w:tcBorders>
          </w:tcPr>
          <w:p>
            <w:pPr>
              <w:autoSpaceDE w:val="0"/>
              <w:autoSpaceDN w:val="0"/>
              <w:spacing w:line="460" w:lineRule="exact"/>
              <w:rPr>
                <w:rFonts w:ascii="宋体" w:hAnsi="宋体"/>
                <w:sz w:val="24"/>
              </w:rPr>
            </w:pPr>
          </w:p>
        </w:tc>
        <w:tc>
          <w:tcPr>
            <w:tcW w:w="1891" w:type="dxa"/>
            <w:tcBorders>
              <w:top w:val="single" w:color="auto" w:sz="8" w:space="0"/>
              <w:left w:val="single" w:color="auto" w:sz="8" w:space="0"/>
              <w:bottom w:val="single" w:color="auto" w:sz="8" w:space="0"/>
              <w:right w:val="single" w:color="auto" w:sz="8" w:space="0"/>
            </w:tcBorders>
          </w:tcPr>
          <w:p>
            <w:pPr>
              <w:autoSpaceDE w:val="0"/>
              <w:autoSpaceDN w:val="0"/>
              <w:spacing w:line="460" w:lineRule="exact"/>
              <w:rPr>
                <w:rFonts w:ascii="宋体" w:hAnsi="宋体"/>
                <w:sz w:val="24"/>
              </w:rPr>
            </w:pPr>
          </w:p>
        </w:tc>
        <w:tc>
          <w:tcPr>
            <w:tcW w:w="1469" w:type="dxa"/>
            <w:tcBorders>
              <w:top w:val="single" w:color="auto" w:sz="8" w:space="0"/>
              <w:left w:val="single" w:color="auto" w:sz="8" w:space="0"/>
              <w:bottom w:val="single" w:color="auto" w:sz="8" w:space="0"/>
              <w:right w:val="single" w:color="auto" w:sz="8" w:space="0"/>
            </w:tcBorders>
          </w:tcPr>
          <w:p>
            <w:pPr>
              <w:autoSpaceDE w:val="0"/>
              <w:autoSpaceDN w:val="0"/>
              <w:spacing w:line="460" w:lineRule="exact"/>
              <w:rPr>
                <w:rFonts w:ascii="宋体" w:hAnsi="宋体"/>
                <w:sz w:val="24"/>
              </w:rPr>
            </w:pPr>
          </w:p>
        </w:tc>
        <w:tc>
          <w:tcPr>
            <w:tcW w:w="1382" w:type="dxa"/>
            <w:tcBorders>
              <w:top w:val="single" w:color="auto" w:sz="8" w:space="0"/>
              <w:left w:val="single" w:color="auto" w:sz="8" w:space="0"/>
              <w:bottom w:val="single" w:color="auto" w:sz="8" w:space="0"/>
              <w:right w:val="single" w:color="auto" w:sz="8" w:space="0"/>
            </w:tcBorders>
          </w:tcPr>
          <w:p>
            <w:pPr>
              <w:autoSpaceDE w:val="0"/>
              <w:autoSpaceDN w:val="0"/>
              <w:spacing w:line="460" w:lineRule="exact"/>
              <w:rPr>
                <w:rFonts w:ascii="宋体" w:hAnsi="宋体"/>
                <w:sz w:val="24"/>
              </w:rPr>
            </w:pPr>
          </w:p>
        </w:tc>
        <w:tc>
          <w:tcPr>
            <w:tcW w:w="1670" w:type="dxa"/>
            <w:tcBorders>
              <w:top w:val="single" w:color="auto" w:sz="8" w:space="0"/>
              <w:left w:val="single" w:color="auto" w:sz="8" w:space="0"/>
              <w:bottom w:val="single" w:color="auto" w:sz="8" w:space="0"/>
              <w:right w:val="single" w:color="auto" w:sz="12" w:space="0"/>
            </w:tcBorders>
          </w:tcPr>
          <w:p>
            <w:pPr>
              <w:autoSpaceDE w:val="0"/>
              <w:autoSpaceDN w:val="0"/>
              <w:spacing w:line="460" w:lineRule="exact"/>
              <w:rPr>
                <w:rFonts w:ascii="宋体" w:hAnsi="宋体"/>
                <w:sz w:val="24"/>
              </w:rPr>
            </w:pPr>
          </w:p>
        </w:tc>
      </w:tr>
      <w:tr>
        <w:tblPrEx>
          <w:tblCellMar>
            <w:top w:w="0" w:type="dxa"/>
            <w:left w:w="0" w:type="dxa"/>
            <w:bottom w:w="0" w:type="dxa"/>
            <w:right w:w="0" w:type="dxa"/>
          </w:tblCellMar>
        </w:tblPrEx>
        <w:trPr>
          <w:trHeight w:val="494" w:hRule="atLeast"/>
        </w:trPr>
        <w:tc>
          <w:tcPr>
            <w:tcW w:w="926" w:type="dxa"/>
            <w:tcBorders>
              <w:top w:val="single" w:color="auto" w:sz="8" w:space="0"/>
              <w:left w:val="single" w:color="auto" w:sz="12" w:space="0"/>
              <w:bottom w:val="single" w:color="auto" w:sz="8" w:space="0"/>
              <w:right w:val="single" w:color="auto" w:sz="8" w:space="0"/>
            </w:tcBorders>
          </w:tcPr>
          <w:p>
            <w:pPr>
              <w:autoSpaceDE w:val="0"/>
              <w:autoSpaceDN w:val="0"/>
              <w:spacing w:line="460" w:lineRule="exact"/>
              <w:rPr>
                <w:rFonts w:ascii="宋体" w:hAnsi="宋体"/>
                <w:sz w:val="24"/>
              </w:rPr>
            </w:pPr>
          </w:p>
        </w:tc>
        <w:tc>
          <w:tcPr>
            <w:tcW w:w="1786" w:type="dxa"/>
            <w:tcBorders>
              <w:top w:val="single" w:color="auto" w:sz="8" w:space="0"/>
              <w:left w:val="single" w:color="auto" w:sz="8" w:space="0"/>
              <w:bottom w:val="single" w:color="auto" w:sz="8" w:space="0"/>
              <w:right w:val="single" w:color="auto" w:sz="8" w:space="0"/>
            </w:tcBorders>
          </w:tcPr>
          <w:p>
            <w:pPr>
              <w:autoSpaceDE w:val="0"/>
              <w:autoSpaceDN w:val="0"/>
              <w:spacing w:line="460" w:lineRule="exact"/>
              <w:rPr>
                <w:rFonts w:ascii="宋体" w:hAnsi="宋体"/>
                <w:sz w:val="24"/>
              </w:rPr>
            </w:pPr>
          </w:p>
        </w:tc>
        <w:tc>
          <w:tcPr>
            <w:tcW w:w="1891" w:type="dxa"/>
            <w:tcBorders>
              <w:top w:val="single" w:color="auto" w:sz="8" w:space="0"/>
              <w:left w:val="single" w:color="auto" w:sz="8" w:space="0"/>
              <w:bottom w:val="single" w:color="auto" w:sz="8" w:space="0"/>
              <w:right w:val="single" w:color="auto" w:sz="8" w:space="0"/>
            </w:tcBorders>
          </w:tcPr>
          <w:p>
            <w:pPr>
              <w:autoSpaceDE w:val="0"/>
              <w:autoSpaceDN w:val="0"/>
              <w:spacing w:line="460" w:lineRule="exact"/>
              <w:rPr>
                <w:rFonts w:ascii="宋体" w:hAnsi="宋体"/>
                <w:sz w:val="24"/>
              </w:rPr>
            </w:pPr>
          </w:p>
        </w:tc>
        <w:tc>
          <w:tcPr>
            <w:tcW w:w="1469" w:type="dxa"/>
            <w:tcBorders>
              <w:top w:val="single" w:color="auto" w:sz="8" w:space="0"/>
              <w:left w:val="single" w:color="auto" w:sz="8" w:space="0"/>
              <w:bottom w:val="single" w:color="auto" w:sz="8" w:space="0"/>
              <w:right w:val="single" w:color="auto" w:sz="8" w:space="0"/>
            </w:tcBorders>
          </w:tcPr>
          <w:p>
            <w:pPr>
              <w:autoSpaceDE w:val="0"/>
              <w:autoSpaceDN w:val="0"/>
              <w:spacing w:line="460" w:lineRule="exact"/>
              <w:rPr>
                <w:rFonts w:ascii="宋体" w:hAnsi="宋体"/>
                <w:sz w:val="24"/>
              </w:rPr>
            </w:pPr>
          </w:p>
        </w:tc>
        <w:tc>
          <w:tcPr>
            <w:tcW w:w="1382" w:type="dxa"/>
            <w:tcBorders>
              <w:top w:val="single" w:color="auto" w:sz="8" w:space="0"/>
              <w:left w:val="single" w:color="auto" w:sz="8" w:space="0"/>
              <w:bottom w:val="single" w:color="auto" w:sz="8" w:space="0"/>
              <w:right w:val="single" w:color="auto" w:sz="8" w:space="0"/>
            </w:tcBorders>
          </w:tcPr>
          <w:p>
            <w:pPr>
              <w:autoSpaceDE w:val="0"/>
              <w:autoSpaceDN w:val="0"/>
              <w:spacing w:line="460" w:lineRule="exact"/>
              <w:rPr>
                <w:rFonts w:ascii="宋体" w:hAnsi="宋体"/>
                <w:sz w:val="24"/>
              </w:rPr>
            </w:pPr>
          </w:p>
        </w:tc>
        <w:tc>
          <w:tcPr>
            <w:tcW w:w="1670" w:type="dxa"/>
            <w:tcBorders>
              <w:top w:val="single" w:color="auto" w:sz="8" w:space="0"/>
              <w:left w:val="single" w:color="auto" w:sz="8" w:space="0"/>
              <w:bottom w:val="single" w:color="auto" w:sz="8" w:space="0"/>
              <w:right w:val="single" w:color="auto" w:sz="12" w:space="0"/>
            </w:tcBorders>
          </w:tcPr>
          <w:p>
            <w:pPr>
              <w:autoSpaceDE w:val="0"/>
              <w:autoSpaceDN w:val="0"/>
              <w:spacing w:line="460" w:lineRule="exact"/>
              <w:rPr>
                <w:rFonts w:ascii="宋体" w:hAnsi="宋体"/>
                <w:sz w:val="24"/>
              </w:rPr>
            </w:pPr>
          </w:p>
        </w:tc>
      </w:tr>
      <w:tr>
        <w:tblPrEx>
          <w:tblCellMar>
            <w:top w:w="0" w:type="dxa"/>
            <w:left w:w="0" w:type="dxa"/>
            <w:bottom w:w="0" w:type="dxa"/>
            <w:right w:w="0" w:type="dxa"/>
          </w:tblCellMar>
        </w:tblPrEx>
        <w:trPr>
          <w:trHeight w:val="489" w:hRule="atLeast"/>
        </w:trPr>
        <w:tc>
          <w:tcPr>
            <w:tcW w:w="926" w:type="dxa"/>
            <w:tcBorders>
              <w:top w:val="single" w:color="auto" w:sz="8" w:space="0"/>
              <w:left w:val="single" w:color="auto" w:sz="12" w:space="0"/>
              <w:bottom w:val="single" w:color="auto" w:sz="8" w:space="0"/>
              <w:right w:val="single" w:color="auto" w:sz="8" w:space="0"/>
            </w:tcBorders>
          </w:tcPr>
          <w:p>
            <w:pPr>
              <w:autoSpaceDE w:val="0"/>
              <w:autoSpaceDN w:val="0"/>
              <w:spacing w:line="460" w:lineRule="exact"/>
              <w:rPr>
                <w:rFonts w:ascii="宋体" w:hAnsi="宋体"/>
                <w:sz w:val="24"/>
              </w:rPr>
            </w:pPr>
          </w:p>
        </w:tc>
        <w:tc>
          <w:tcPr>
            <w:tcW w:w="1786" w:type="dxa"/>
            <w:tcBorders>
              <w:top w:val="single" w:color="auto" w:sz="8" w:space="0"/>
              <w:left w:val="single" w:color="auto" w:sz="8" w:space="0"/>
              <w:bottom w:val="single" w:color="auto" w:sz="8" w:space="0"/>
              <w:right w:val="single" w:color="auto" w:sz="8" w:space="0"/>
            </w:tcBorders>
          </w:tcPr>
          <w:p>
            <w:pPr>
              <w:autoSpaceDE w:val="0"/>
              <w:autoSpaceDN w:val="0"/>
              <w:spacing w:line="460" w:lineRule="exact"/>
              <w:rPr>
                <w:rFonts w:ascii="宋体" w:hAnsi="宋体"/>
                <w:sz w:val="24"/>
              </w:rPr>
            </w:pPr>
          </w:p>
        </w:tc>
        <w:tc>
          <w:tcPr>
            <w:tcW w:w="1891" w:type="dxa"/>
            <w:tcBorders>
              <w:top w:val="single" w:color="auto" w:sz="8" w:space="0"/>
              <w:left w:val="single" w:color="auto" w:sz="8" w:space="0"/>
              <w:bottom w:val="single" w:color="auto" w:sz="8" w:space="0"/>
              <w:right w:val="single" w:color="auto" w:sz="8" w:space="0"/>
            </w:tcBorders>
          </w:tcPr>
          <w:p>
            <w:pPr>
              <w:autoSpaceDE w:val="0"/>
              <w:autoSpaceDN w:val="0"/>
              <w:spacing w:line="460" w:lineRule="exact"/>
              <w:rPr>
                <w:rFonts w:ascii="宋体" w:hAnsi="宋体"/>
                <w:sz w:val="24"/>
              </w:rPr>
            </w:pPr>
          </w:p>
        </w:tc>
        <w:tc>
          <w:tcPr>
            <w:tcW w:w="1469" w:type="dxa"/>
            <w:tcBorders>
              <w:top w:val="single" w:color="auto" w:sz="8" w:space="0"/>
              <w:left w:val="single" w:color="auto" w:sz="8" w:space="0"/>
              <w:bottom w:val="single" w:color="auto" w:sz="8" w:space="0"/>
              <w:right w:val="single" w:color="auto" w:sz="8" w:space="0"/>
            </w:tcBorders>
          </w:tcPr>
          <w:p>
            <w:pPr>
              <w:autoSpaceDE w:val="0"/>
              <w:autoSpaceDN w:val="0"/>
              <w:spacing w:line="460" w:lineRule="exact"/>
              <w:rPr>
                <w:rFonts w:ascii="宋体" w:hAnsi="宋体"/>
                <w:sz w:val="24"/>
              </w:rPr>
            </w:pPr>
          </w:p>
        </w:tc>
        <w:tc>
          <w:tcPr>
            <w:tcW w:w="1382" w:type="dxa"/>
            <w:tcBorders>
              <w:top w:val="single" w:color="auto" w:sz="8" w:space="0"/>
              <w:left w:val="single" w:color="auto" w:sz="8" w:space="0"/>
              <w:bottom w:val="single" w:color="auto" w:sz="8" w:space="0"/>
              <w:right w:val="single" w:color="auto" w:sz="8" w:space="0"/>
            </w:tcBorders>
          </w:tcPr>
          <w:p>
            <w:pPr>
              <w:autoSpaceDE w:val="0"/>
              <w:autoSpaceDN w:val="0"/>
              <w:spacing w:line="460" w:lineRule="exact"/>
              <w:rPr>
                <w:rFonts w:ascii="宋体" w:hAnsi="宋体"/>
                <w:sz w:val="24"/>
              </w:rPr>
            </w:pPr>
          </w:p>
        </w:tc>
        <w:tc>
          <w:tcPr>
            <w:tcW w:w="1670" w:type="dxa"/>
            <w:tcBorders>
              <w:top w:val="single" w:color="auto" w:sz="8" w:space="0"/>
              <w:left w:val="single" w:color="auto" w:sz="8" w:space="0"/>
              <w:bottom w:val="single" w:color="auto" w:sz="8" w:space="0"/>
              <w:right w:val="single" w:color="auto" w:sz="12" w:space="0"/>
            </w:tcBorders>
          </w:tcPr>
          <w:p>
            <w:pPr>
              <w:autoSpaceDE w:val="0"/>
              <w:autoSpaceDN w:val="0"/>
              <w:spacing w:line="460" w:lineRule="exact"/>
              <w:rPr>
                <w:rFonts w:ascii="宋体" w:hAnsi="宋体"/>
                <w:sz w:val="24"/>
              </w:rPr>
            </w:pPr>
          </w:p>
        </w:tc>
      </w:tr>
      <w:tr>
        <w:tblPrEx>
          <w:tblCellMar>
            <w:top w:w="0" w:type="dxa"/>
            <w:left w:w="0" w:type="dxa"/>
            <w:bottom w:w="0" w:type="dxa"/>
            <w:right w:w="0" w:type="dxa"/>
          </w:tblCellMar>
        </w:tblPrEx>
        <w:trPr>
          <w:trHeight w:val="484" w:hRule="atLeast"/>
        </w:trPr>
        <w:tc>
          <w:tcPr>
            <w:tcW w:w="926" w:type="dxa"/>
            <w:tcBorders>
              <w:top w:val="single" w:color="auto" w:sz="8" w:space="0"/>
              <w:left w:val="single" w:color="auto" w:sz="12" w:space="0"/>
              <w:bottom w:val="single" w:color="auto" w:sz="12" w:space="0"/>
              <w:right w:val="single" w:color="auto" w:sz="8" w:space="0"/>
            </w:tcBorders>
          </w:tcPr>
          <w:p>
            <w:pPr>
              <w:autoSpaceDE w:val="0"/>
              <w:autoSpaceDN w:val="0"/>
              <w:spacing w:line="460" w:lineRule="exact"/>
              <w:rPr>
                <w:rFonts w:ascii="宋体" w:hAnsi="宋体"/>
                <w:sz w:val="24"/>
              </w:rPr>
            </w:pPr>
          </w:p>
        </w:tc>
        <w:tc>
          <w:tcPr>
            <w:tcW w:w="1786" w:type="dxa"/>
            <w:tcBorders>
              <w:top w:val="single" w:color="auto" w:sz="8" w:space="0"/>
              <w:left w:val="single" w:color="auto" w:sz="8" w:space="0"/>
              <w:bottom w:val="single" w:color="auto" w:sz="12" w:space="0"/>
              <w:right w:val="single" w:color="auto" w:sz="8" w:space="0"/>
            </w:tcBorders>
          </w:tcPr>
          <w:p>
            <w:pPr>
              <w:autoSpaceDE w:val="0"/>
              <w:autoSpaceDN w:val="0"/>
              <w:spacing w:line="460" w:lineRule="exact"/>
              <w:rPr>
                <w:rFonts w:ascii="宋体" w:hAnsi="宋体"/>
                <w:sz w:val="24"/>
              </w:rPr>
            </w:pPr>
          </w:p>
        </w:tc>
        <w:tc>
          <w:tcPr>
            <w:tcW w:w="1891" w:type="dxa"/>
            <w:tcBorders>
              <w:top w:val="single" w:color="auto" w:sz="8" w:space="0"/>
              <w:left w:val="single" w:color="auto" w:sz="8" w:space="0"/>
              <w:bottom w:val="single" w:color="auto" w:sz="12" w:space="0"/>
              <w:right w:val="single" w:color="auto" w:sz="8" w:space="0"/>
            </w:tcBorders>
          </w:tcPr>
          <w:p>
            <w:pPr>
              <w:autoSpaceDE w:val="0"/>
              <w:autoSpaceDN w:val="0"/>
              <w:spacing w:line="460" w:lineRule="exact"/>
              <w:rPr>
                <w:rFonts w:ascii="宋体" w:hAnsi="宋体"/>
                <w:sz w:val="24"/>
              </w:rPr>
            </w:pPr>
          </w:p>
        </w:tc>
        <w:tc>
          <w:tcPr>
            <w:tcW w:w="1469" w:type="dxa"/>
            <w:tcBorders>
              <w:top w:val="single" w:color="auto" w:sz="8" w:space="0"/>
              <w:left w:val="single" w:color="auto" w:sz="8" w:space="0"/>
              <w:bottom w:val="single" w:color="auto" w:sz="12" w:space="0"/>
              <w:right w:val="single" w:color="auto" w:sz="8" w:space="0"/>
            </w:tcBorders>
          </w:tcPr>
          <w:p>
            <w:pPr>
              <w:autoSpaceDE w:val="0"/>
              <w:autoSpaceDN w:val="0"/>
              <w:spacing w:line="460" w:lineRule="exact"/>
              <w:rPr>
                <w:rFonts w:ascii="宋体" w:hAnsi="宋体"/>
                <w:sz w:val="24"/>
              </w:rPr>
            </w:pPr>
          </w:p>
        </w:tc>
        <w:tc>
          <w:tcPr>
            <w:tcW w:w="1382" w:type="dxa"/>
            <w:tcBorders>
              <w:top w:val="single" w:color="auto" w:sz="8" w:space="0"/>
              <w:left w:val="single" w:color="auto" w:sz="8" w:space="0"/>
              <w:bottom w:val="single" w:color="auto" w:sz="12" w:space="0"/>
              <w:right w:val="single" w:color="auto" w:sz="8" w:space="0"/>
            </w:tcBorders>
          </w:tcPr>
          <w:p>
            <w:pPr>
              <w:autoSpaceDE w:val="0"/>
              <w:autoSpaceDN w:val="0"/>
              <w:spacing w:line="460" w:lineRule="exact"/>
              <w:rPr>
                <w:rFonts w:ascii="宋体" w:hAnsi="宋体"/>
                <w:sz w:val="24"/>
              </w:rPr>
            </w:pPr>
          </w:p>
        </w:tc>
        <w:tc>
          <w:tcPr>
            <w:tcW w:w="1670" w:type="dxa"/>
            <w:tcBorders>
              <w:top w:val="single" w:color="auto" w:sz="8" w:space="0"/>
              <w:left w:val="single" w:color="auto" w:sz="8" w:space="0"/>
              <w:bottom w:val="single" w:color="auto" w:sz="12" w:space="0"/>
              <w:right w:val="single" w:color="auto" w:sz="12" w:space="0"/>
            </w:tcBorders>
          </w:tcPr>
          <w:p>
            <w:pPr>
              <w:autoSpaceDE w:val="0"/>
              <w:autoSpaceDN w:val="0"/>
              <w:spacing w:line="460" w:lineRule="exact"/>
              <w:rPr>
                <w:rFonts w:ascii="宋体" w:hAnsi="宋体"/>
                <w:sz w:val="24"/>
              </w:rPr>
            </w:pPr>
          </w:p>
        </w:tc>
      </w:tr>
    </w:tbl>
    <w:p>
      <w:pPr>
        <w:autoSpaceDE w:val="0"/>
        <w:autoSpaceDN w:val="0"/>
        <w:spacing w:line="460" w:lineRule="exact"/>
        <w:rPr>
          <w:rFonts w:ascii="宋体" w:hAnsi="宋体"/>
          <w:sz w:val="24"/>
        </w:rPr>
      </w:pPr>
    </w:p>
    <w:p>
      <w:pPr>
        <w:autoSpaceDE w:val="0"/>
        <w:autoSpaceDN w:val="0"/>
        <w:spacing w:line="460" w:lineRule="exact"/>
        <w:rPr>
          <w:rFonts w:ascii="宋体" w:hAnsi="宋体"/>
          <w:sz w:val="24"/>
        </w:rPr>
      </w:pPr>
    </w:p>
    <w:p>
      <w:pPr>
        <w:autoSpaceDE w:val="0"/>
        <w:autoSpaceDN w:val="0"/>
        <w:spacing w:line="460" w:lineRule="exact"/>
        <w:rPr>
          <w:rFonts w:ascii="宋体" w:hAnsi="宋体"/>
          <w:sz w:val="24"/>
        </w:rPr>
      </w:pPr>
    </w:p>
    <w:p>
      <w:pPr>
        <w:autoSpaceDE w:val="0"/>
        <w:autoSpaceDN w:val="0"/>
        <w:spacing w:line="460" w:lineRule="exact"/>
        <w:rPr>
          <w:rFonts w:ascii="宋体" w:hAnsi="宋体"/>
          <w:sz w:val="24"/>
        </w:rPr>
      </w:pPr>
    </w:p>
    <w:p>
      <w:pPr>
        <w:autoSpaceDE w:val="0"/>
        <w:autoSpaceDN w:val="0"/>
        <w:spacing w:line="460" w:lineRule="exact"/>
        <w:rPr>
          <w:rFonts w:ascii="宋体" w:hAnsi="宋体"/>
          <w:sz w:val="24"/>
        </w:rPr>
      </w:pPr>
    </w:p>
    <w:p>
      <w:pPr>
        <w:autoSpaceDE w:val="0"/>
        <w:autoSpaceDN w:val="0"/>
        <w:spacing w:line="460" w:lineRule="exact"/>
        <w:rPr>
          <w:rFonts w:ascii="宋体" w:hAnsi="宋体"/>
          <w:sz w:val="24"/>
        </w:rPr>
      </w:pPr>
    </w:p>
    <w:p>
      <w:pPr>
        <w:autoSpaceDE w:val="0"/>
        <w:autoSpaceDN w:val="0"/>
        <w:spacing w:line="460" w:lineRule="exact"/>
        <w:rPr>
          <w:rFonts w:ascii="宋体" w:hAnsi="宋体"/>
          <w:sz w:val="24"/>
        </w:rPr>
      </w:pPr>
    </w:p>
    <w:p>
      <w:pPr>
        <w:pStyle w:val="2"/>
        <w:numPr>
          <w:ilvl w:val="0"/>
          <w:numId w:val="0"/>
        </w:numPr>
        <w:ind w:left="900"/>
        <w:jc w:val="left"/>
      </w:pPr>
    </w:p>
    <w:p>
      <w:pPr>
        <w:pStyle w:val="2"/>
        <w:numPr>
          <w:ilvl w:val="0"/>
          <w:numId w:val="0"/>
        </w:numPr>
        <w:ind w:left="900"/>
        <w:jc w:val="left"/>
      </w:pPr>
    </w:p>
    <w:p>
      <w:pPr>
        <w:autoSpaceDE w:val="0"/>
        <w:autoSpaceDN w:val="0"/>
        <w:spacing w:line="460" w:lineRule="exact"/>
        <w:rPr>
          <w:rFonts w:ascii="宋体" w:hAnsi="宋体"/>
          <w:sz w:val="24"/>
        </w:rPr>
      </w:pPr>
    </w:p>
    <w:p>
      <w:pPr>
        <w:autoSpaceDE w:val="0"/>
        <w:autoSpaceDN w:val="0"/>
        <w:spacing w:line="460" w:lineRule="exact"/>
        <w:rPr>
          <w:rFonts w:ascii="宋体" w:hAnsi="宋体"/>
          <w:sz w:val="24"/>
        </w:rPr>
      </w:pPr>
    </w:p>
    <w:p>
      <w:pPr>
        <w:spacing w:line="460" w:lineRule="exact"/>
        <w:outlineLvl w:val="0"/>
        <w:rPr>
          <w:rFonts w:ascii="宋体" w:hAnsi="宋体"/>
          <w:color w:val="000000"/>
          <w:sz w:val="24"/>
        </w:rPr>
      </w:pPr>
      <w:r>
        <w:rPr>
          <w:rFonts w:hint="eastAsia" w:ascii="宋体" w:hAnsi="宋体"/>
          <w:color w:val="000000"/>
          <w:sz w:val="24"/>
        </w:rPr>
        <w:t>二、技术偏离说明：</w:t>
      </w: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r>
        <w:rPr>
          <w:rFonts w:hint="eastAsia" w:ascii="宋体" w:hAnsi="宋体"/>
          <w:color w:val="000000"/>
          <w:sz w:val="24"/>
        </w:rPr>
        <w:t>投标人：</w:t>
      </w:r>
      <w:r>
        <w:rPr>
          <w:rFonts w:ascii="宋体" w:hAnsi="宋体"/>
          <w:color w:val="000000"/>
          <w:sz w:val="24"/>
        </w:rPr>
        <w:t>(盖章)</w:t>
      </w:r>
    </w:p>
    <w:p>
      <w:pPr>
        <w:spacing w:line="460" w:lineRule="exact"/>
        <w:rPr>
          <w:rFonts w:ascii="宋体" w:hAnsi="宋体"/>
          <w:color w:val="000000"/>
          <w:sz w:val="24"/>
        </w:rPr>
      </w:pPr>
    </w:p>
    <w:p>
      <w:pPr>
        <w:spacing w:line="460" w:lineRule="exact"/>
        <w:rPr>
          <w:rFonts w:ascii="宋体" w:hAnsi="宋体"/>
          <w:color w:val="000000"/>
          <w:sz w:val="24"/>
        </w:rPr>
      </w:pPr>
    </w:p>
    <w:p>
      <w:pPr>
        <w:spacing w:line="460" w:lineRule="exact"/>
        <w:rPr>
          <w:rFonts w:ascii="宋体" w:hAnsi="宋体"/>
          <w:color w:val="000000"/>
          <w:sz w:val="24"/>
        </w:rPr>
      </w:pPr>
      <w:r>
        <w:rPr>
          <w:rFonts w:hint="eastAsia" w:ascii="宋体" w:hAnsi="宋体"/>
          <w:color w:val="000000"/>
          <w:sz w:val="24"/>
        </w:rPr>
        <w:t>法定代表人或投标授权代表：</w:t>
      </w:r>
      <w:r>
        <w:rPr>
          <w:rFonts w:ascii="宋体" w:hAnsi="宋体"/>
          <w:color w:val="000000"/>
          <w:sz w:val="24"/>
        </w:rPr>
        <w:t xml:space="preserve">  (签字</w:t>
      </w:r>
      <w:r>
        <w:rPr>
          <w:rFonts w:hint="eastAsia" w:ascii="宋体" w:hAnsi="宋体"/>
          <w:color w:val="000000"/>
          <w:sz w:val="24"/>
        </w:rPr>
        <w:t>、</w:t>
      </w:r>
      <w:r>
        <w:rPr>
          <w:rFonts w:ascii="宋体" w:hAnsi="宋体"/>
          <w:color w:val="000000"/>
          <w:sz w:val="24"/>
        </w:rPr>
        <w:t>盖章)</w:t>
      </w:r>
    </w:p>
    <w:p>
      <w:pPr>
        <w:spacing w:line="460" w:lineRule="exact"/>
        <w:ind w:firstLine="6960" w:firstLineChars="2900"/>
        <w:rPr>
          <w:rFonts w:ascii="宋体" w:hAnsi="宋体"/>
          <w:color w:val="000000"/>
          <w:sz w:val="24"/>
        </w:rPr>
      </w:pPr>
      <w:r>
        <w:rPr>
          <w:rFonts w:hint="eastAsia" w:ascii="宋体" w:hAnsi="宋体"/>
          <w:color w:val="000000"/>
          <w:sz w:val="24"/>
        </w:rPr>
        <w:t>年</w:t>
      </w:r>
      <w:r>
        <w:rPr>
          <w:rFonts w:ascii="宋体" w:hAnsi="宋体"/>
          <w:color w:val="000000"/>
          <w:sz w:val="24"/>
        </w:rPr>
        <w:t xml:space="preserve">    月    日</w:t>
      </w:r>
    </w:p>
    <w:p>
      <w:pPr>
        <w:spacing w:line="220" w:lineRule="atLeast"/>
      </w:pP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altName w:val="微软雅黑"/>
    <w:panose1 w:val="00000000000000000000"/>
    <w:charset w:val="86"/>
    <w:family w:val="auto"/>
    <w:pitch w:val="default"/>
    <w:sig w:usb0="00000000" w:usb1="00000000" w:usb2="00000010" w:usb3="00000000" w:csb0="00040000" w:csb1="00000000"/>
  </w:font>
  <w:font w:name="幼圆">
    <w:altName w:val="微软雅黑"/>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roman"/>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文本框 13" o:spid="_x0000_s5121"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B7XTPQAAAAAwEAAA8AAAAAAAAAAQAgAAAAIgAAAGRycy9kb3du&#10;cmV2LnhtbFBLAQIUABQAAAAIAIdO4kDoSSoizgEAAJgDAAAOAAAAAAAAAAEAIAAAAB8BAABkcnMv&#10;ZTJvRG9jLnhtbFBLBQYAAAAABgAGAFkBAABfBQAAAAA=&#10;">
          <v:path/>
          <v:fill on="f" focussize="0,0"/>
          <v:stroke on="f" joinstyle="miter"/>
          <v:imagedata o:title=""/>
          <o:lock v:ext="edit"/>
          <v:textbox inset="0mm,0mm,0mm,0mm" style="mso-fit-shape-to-text:t;">
            <w:txbxContent>
              <w:p>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21"/>
                  </w:rPr>
                  <w:t>35</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文本框 14" o:spid="_x0000_s1026"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6s1RdAAAAADAQAADwAAAAAAAAABACAAAAAiAAAAZHJzL2Rvd25y&#10;ZXYueG1sUEsBAhQAFAAAAAgAh07iQIQdae7NAQAAlwMAAA4AAAAAAAAAAQAgAAAAHwEAAGRycy9l&#10;Mm9Eb2MueG1sUEsFBgAAAAAGAAYAWQEAAF4FAAAAAA==&#10;">
          <v:path/>
          <v:fill on="f" focussize="0,0"/>
          <v:stroke on="f" joinstyle="miter"/>
          <v:imagedata o:title=""/>
          <o:lock v:ext="edit"/>
          <v:textbox inset="0mm,0mm,0mm,0mm" style="mso-fit-shape-to-text:t;">
            <w:txbxContent>
              <w:p>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21"/>
                  </w:rPr>
                  <w:t>28</w:t>
                </w:r>
                <w:r>
                  <w:rPr>
                    <w:rFonts w:hint="eastAsia"/>
                    <w:sz w:val="1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3"/>
      <w:numFmt w:val="japaneseCounting"/>
      <w:lvlText w:val="第%1章"/>
      <w:lvlJc w:val="left"/>
      <w:pPr>
        <w:tabs>
          <w:tab w:val="left" w:pos="960"/>
        </w:tabs>
        <w:ind w:left="960" w:hanging="9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8"/>
    <w:multiLevelType w:val="multilevel"/>
    <w:tmpl w:val="0000000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4BE2E70"/>
    <w:multiLevelType w:val="multilevel"/>
    <w:tmpl w:val="04BE2E7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A627D08"/>
    <w:multiLevelType w:val="multilevel"/>
    <w:tmpl w:val="0A627D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DDB4A17"/>
    <w:multiLevelType w:val="multilevel"/>
    <w:tmpl w:val="0DDB4A1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4E409BB"/>
    <w:multiLevelType w:val="multilevel"/>
    <w:tmpl w:val="24E409BB"/>
    <w:lvl w:ilvl="0" w:tentative="0">
      <w:start w:val="1"/>
      <w:numFmt w:val="decimal"/>
      <w:pStyle w:val="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97B2055"/>
    <w:multiLevelType w:val="multilevel"/>
    <w:tmpl w:val="297B205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B46DD0D"/>
    <w:multiLevelType w:val="singleLevel"/>
    <w:tmpl w:val="7B46DD0D"/>
    <w:lvl w:ilvl="0" w:tentative="0">
      <w:start w:val="8"/>
      <w:numFmt w:val="chineseCounting"/>
      <w:suff w:val="nothing"/>
      <w:lvlText w:val="%1、"/>
      <w:lvlJc w:val="left"/>
      <w:rPr>
        <w:rFonts w:hint="eastAsia"/>
      </w:rPr>
    </w:lvl>
  </w:abstractNum>
  <w:num w:numId="1">
    <w:abstractNumId w:val="5"/>
  </w:num>
  <w:num w:numId="2">
    <w:abstractNumId w:val="0"/>
  </w:num>
  <w:num w:numId="3">
    <w:abstractNumId w:val="2"/>
  </w:num>
  <w:num w:numId="4">
    <w:abstractNumId w:val="3"/>
  </w:num>
  <w:num w:numId="5">
    <w:abstractNumId w:val="6"/>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rawingGridVerticalSpacing w:val="156"/>
  <w:displayHorizontalDrawingGridEvery w:val="2"/>
  <w:displayVerticalDrawingGridEvery w:val="2"/>
  <w:characterSpacingControl w:val="doNotCompress"/>
  <w:hdrShapeDefaults>
    <o:shapelayout v:ext="edit">
      <o:idmap v:ext="edit" data="1,5"/>
    </o:shapelayout>
  </w:hdrShapeDefaults>
  <w:footnotePr>
    <w:footnote w:id="0"/>
    <w:footnote w:id="1"/>
  </w:footnotePr>
  <w:compat>
    <w:useFELayout/>
    <w:compatSetting w:name="compatibilityMode" w:uri="http://schemas.microsoft.com/office/word" w:val="12"/>
  </w:compat>
  <w:rsids>
    <w:rsidRoot w:val="00D31D50"/>
    <w:rsid w:val="00003562"/>
    <w:rsid w:val="000459FB"/>
    <w:rsid w:val="000B3581"/>
    <w:rsid w:val="000D7B23"/>
    <w:rsid w:val="000F2FA8"/>
    <w:rsid w:val="001730FA"/>
    <w:rsid w:val="001C7647"/>
    <w:rsid w:val="001D31AB"/>
    <w:rsid w:val="002723CB"/>
    <w:rsid w:val="00282398"/>
    <w:rsid w:val="0028255D"/>
    <w:rsid w:val="002C3FAE"/>
    <w:rsid w:val="002F556C"/>
    <w:rsid w:val="00302C4E"/>
    <w:rsid w:val="00307AC6"/>
    <w:rsid w:val="00323B43"/>
    <w:rsid w:val="003A092E"/>
    <w:rsid w:val="003C3A23"/>
    <w:rsid w:val="003C7C8D"/>
    <w:rsid w:val="003D37D8"/>
    <w:rsid w:val="00426133"/>
    <w:rsid w:val="004358AB"/>
    <w:rsid w:val="00444601"/>
    <w:rsid w:val="0047015B"/>
    <w:rsid w:val="004913C6"/>
    <w:rsid w:val="004B6CF5"/>
    <w:rsid w:val="004C5681"/>
    <w:rsid w:val="00510F4B"/>
    <w:rsid w:val="005F383E"/>
    <w:rsid w:val="00615A36"/>
    <w:rsid w:val="00644AE2"/>
    <w:rsid w:val="006844F1"/>
    <w:rsid w:val="00690A6D"/>
    <w:rsid w:val="00695B92"/>
    <w:rsid w:val="006979D0"/>
    <w:rsid w:val="006A67F1"/>
    <w:rsid w:val="006E4F9E"/>
    <w:rsid w:val="006F44D1"/>
    <w:rsid w:val="00783DA8"/>
    <w:rsid w:val="007901A2"/>
    <w:rsid w:val="007B1382"/>
    <w:rsid w:val="007C003B"/>
    <w:rsid w:val="007D5C63"/>
    <w:rsid w:val="007E2CB7"/>
    <w:rsid w:val="007E521F"/>
    <w:rsid w:val="007F2C75"/>
    <w:rsid w:val="00855A22"/>
    <w:rsid w:val="008B7726"/>
    <w:rsid w:val="008E03D8"/>
    <w:rsid w:val="00905332"/>
    <w:rsid w:val="009053BD"/>
    <w:rsid w:val="00951D48"/>
    <w:rsid w:val="00976E9C"/>
    <w:rsid w:val="009A6B2C"/>
    <w:rsid w:val="00A04000"/>
    <w:rsid w:val="00AC34F6"/>
    <w:rsid w:val="00AF1EE8"/>
    <w:rsid w:val="00B60245"/>
    <w:rsid w:val="00B64065"/>
    <w:rsid w:val="00B86E9D"/>
    <w:rsid w:val="00C05B53"/>
    <w:rsid w:val="00C2076C"/>
    <w:rsid w:val="00C2158D"/>
    <w:rsid w:val="00C21C5C"/>
    <w:rsid w:val="00C85591"/>
    <w:rsid w:val="00D31D50"/>
    <w:rsid w:val="00D926C1"/>
    <w:rsid w:val="00D95F32"/>
    <w:rsid w:val="00DC27EF"/>
    <w:rsid w:val="00EB16FE"/>
    <w:rsid w:val="00F92362"/>
    <w:rsid w:val="03505B4C"/>
    <w:rsid w:val="0582647A"/>
    <w:rsid w:val="0618528B"/>
    <w:rsid w:val="082D6A06"/>
    <w:rsid w:val="094A066C"/>
    <w:rsid w:val="0D0162E4"/>
    <w:rsid w:val="0EF27B6A"/>
    <w:rsid w:val="1CE013CF"/>
    <w:rsid w:val="27315D1D"/>
    <w:rsid w:val="29951F1B"/>
    <w:rsid w:val="355E5B1F"/>
    <w:rsid w:val="3BE33DF3"/>
    <w:rsid w:val="3C564B40"/>
    <w:rsid w:val="446D6685"/>
    <w:rsid w:val="5347749E"/>
    <w:rsid w:val="553A1CE0"/>
    <w:rsid w:val="61F476C5"/>
    <w:rsid w:val="66BC4780"/>
    <w:rsid w:val="66C431E7"/>
    <w:rsid w:val="68E950B0"/>
    <w:rsid w:val="695C5C3D"/>
    <w:rsid w:val="6B7E062B"/>
    <w:rsid w:val="6F1805E7"/>
    <w:rsid w:val="71126C94"/>
    <w:rsid w:val="7329737E"/>
    <w:rsid w:val="782407AC"/>
    <w:rsid w:val="788D316F"/>
    <w:rsid w:val="79F21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1"/>
    <w:basedOn w:val="1"/>
    <w:next w:val="1"/>
    <w:link w:val="22"/>
    <w:qFormat/>
    <w:uiPriority w:val="0"/>
    <w:pPr>
      <w:keepNext/>
      <w:keepLines/>
      <w:widowControl w:val="0"/>
      <w:adjustRightInd/>
      <w:snapToGrid/>
      <w:spacing w:before="340" w:after="330" w:line="578" w:lineRule="auto"/>
      <w:jc w:val="both"/>
      <w:outlineLvl w:val="0"/>
    </w:pPr>
    <w:rPr>
      <w:rFonts w:ascii="Times New Roman" w:hAnsi="Times New Roman" w:eastAsia="宋体" w:cs="Times New Roman"/>
      <w:b/>
      <w:bCs/>
      <w:kern w:val="44"/>
      <w:sz w:val="44"/>
      <w:szCs w:val="44"/>
    </w:rPr>
  </w:style>
  <w:style w:type="paragraph" w:styleId="5">
    <w:name w:val="heading 2"/>
    <w:basedOn w:val="1"/>
    <w:next w:val="1"/>
    <w:link w:val="23"/>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表名称"/>
    <w:basedOn w:val="3"/>
    <w:qFormat/>
    <w:uiPriority w:val="0"/>
    <w:pPr>
      <w:numPr>
        <w:ilvl w:val="0"/>
        <w:numId w:val="1"/>
      </w:numPr>
      <w:ind w:firstLine="0"/>
      <w:jc w:val="center"/>
    </w:pPr>
  </w:style>
  <w:style w:type="paragraph" w:styleId="3">
    <w:name w:val="Normal Indent"/>
    <w:basedOn w:val="1"/>
    <w:link w:val="25"/>
    <w:qFormat/>
    <w:uiPriority w:val="99"/>
    <w:pPr>
      <w:widowControl w:val="0"/>
      <w:adjustRightInd/>
      <w:snapToGrid/>
      <w:spacing w:after="0"/>
      <w:ind w:firstLine="420"/>
      <w:jc w:val="both"/>
    </w:pPr>
    <w:rPr>
      <w:rFonts w:asciiTheme="minorHAnsi" w:hAnsiTheme="minorHAnsi"/>
      <w:kern w:val="2"/>
      <w:sz w:val="21"/>
    </w:rPr>
  </w:style>
  <w:style w:type="paragraph" w:styleId="6">
    <w:name w:val="Document Map"/>
    <w:basedOn w:val="1"/>
    <w:link w:val="31"/>
    <w:qFormat/>
    <w:uiPriority w:val="0"/>
    <w:pPr>
      <w:widowControl w:val="0"/>
      <w:adjustRightInd/>
      <w:snapToGrid/>
      <w:spacing w:after="0"/>
      <w:jc w:val="both"/>
    </w:pPr>
    <w:rPr>
      <w:rFonts w:ascii="宋体" w:hAnsiTheme="minorHAnsi"/>
      <w:kern w:val="2"/>
      <w:sz w:val="18"/>
      <w:szCs w:val="18"/>
    </w:rPr>
  </w:style>
  <w:style w:type="paragraph" w:styleId="7">
    <w:name w:val="Body Text"/>
    <w:basedOn w:val="1"/>
    <w:link w:val="33"/>
    <w:qFormat/>
    <w:uiPriority w:val="0"/>
    <w:pPr>
      <w:widowControl w:val="0"/>
      <w:adjustRightInd/>
      <w:snapToGrid/>
      <w:spacing w:after="0"/>
      <w:jc w:val="both"/>
    </w:pPr>
    <w:rPr>
      <w:rFonts w:ascii="Times New Roman" w:hAnsi="Times New Roman" w:eastAsia="宋体" w:cs="Times New Roman"/>
      <w:kern w:val="2"/>
      <w:sz w:val="25"/>
      <w:szCs w:val="24"/>
    </w:rPr>
  </w:style>
  <w:style w:type="paragraph" w:styleId="8">
    <w:name w:val="Body Text Indent"/>
    <w:basedOn w:val="1"/>
    <w:link w:val="29"/>
    <w:qFormat/>
    <w:uiPriority w:val="0"/>
    <w:pPr>
      <w:widowControl w:val="0"/>
      <w:adjustRightInd/>
      <w:snapToGrid/>
      <w:spacing w:after="0"/>
      <w:ind w:left="420" w:leftChars="200" w:firstLine="280" w:firstLineChars="100"/>
      <w:jc w:val="both"/>
    </w:pPr>
    <w:rPr>
      <w:rFonts w:ascii="Times New Roman" w:hAnsi="Times New Roman" w:eastAsia="宋体" w:cs="Times New Roman"/>
      <w:kern w:val="2"/>
      <w:sz w:val="28"/>
      <w:szCs w:val="24"/>
    </w:rPr>
  </w:style>
  <w:style w:type="paragraph" w:styleId="9">
    <w:name w:val="Plain Text"/>
    <w:basedOn w:val="1"/>
    <w:link w:val="32"/>
    <w:qFormat/>
    <w:uiPriority w:val="0"/>
    <w:pPr>
      <w:widowControl w:val="0"/>
      <w:adjustRightInd/>
      <w:snapToGrid/>
      <w:spacing w:after="0"/>
      <w:jc w:val="both"/>
    </w:pPr>
    <w:rPr>
      <w:rFonts w:hint="eastAsia" w:ascii="宋体" w:hAnsi="Courier New" w:eastAsia="宋体" w:cs="Times New Roman"/>
      <w:kern w:val="2"/>
      <w:sz w:val="11"/>
      <w:szCs w:val="20"/>
    </w:rPr>
  </w:style>
  <w:style w:type="paragraph" w:styleId="10">
    <w:name w:val="Date"/>
    <w:basedOn w:val="1"/>
    <w:next w:val="1"/>
    <w:link w:val="30"/>
    <w:qFormat/>
    <w:uiPriority w:val="0"/>
    <w:pPr>
      <w:widowControl w:val="0"/>
      <w:adjustRightInd/>
      <w:snapToGrid/>
      <w:spacing w:after="0"/>
      <w:ind w:left="100" w:leftChars="2500"/>
      <w:jc w:val="both"/>
    </w:pPr>
    <w:rPr>
      <w:rFonts w:ascii="宋体" w:hAnsi="宋体" w:eastAsia="宋体" w:cs="Times New Roman"/>
      <w:color w:val="000000"/>
      <w:kern w:val="2"/>
      <w:sz w:val="24"/>
      <w:szCs w:val="24"/>
    </w:rPr>
  </w:style>
  <w:style w:type="paragraph" w:styleId="11">
    <w:name w:val="Body Text Indent 2"/>
    <w:basedOn w:val="1"/>
    <w:link w:val="36"/>
    <w:qFormat/>
    <w:uiPriority w:val="0"/>
    <w:pPr>
      <w:widowControl w:val="0"/>
      <w:adjustRightInd/>
      <w:snapToGrid/>
      <w:spacing w:after="120" w:line="480" w:lineRule="auto"/>
      <w:ind w:left="420" w:leftChars="200"/>
      <w:jc w:val="both"/>
    </w:pPr>
    <w:rPr>
      <w:rFonts w:asciiTheme="minorHAnsi" w:hAnsiTheme="minorHAnsi"/>
      <w:kern w:val="2"/>
      <w:sz w:val="21"/>
      <w:szCs w:val="24"/>
    </w:rPr>
  </w:style>
  <w:style w:type="paragraph" w:styleId="12">
    <w:name w:val="footer"/>
    <w:basedOn w:val="1"/>
    <w:link w:val="21"/>
    <w:unhideWhenUsed/>
    <w:qFormat/>
    <w:uiPriority w:val="0"/>
    <w:pPr>
      <w:tabs>
        <w:tab w:val="center" w:pos="4153"/>
        <w:tab w:val="right" w:pos="8306"/>
      </w:tabs>
    </w:pPr>
    <w:rPr>
      <w:sz w:val="18"/>
      <w:szCs w:val="18"/>
    </w:rPr>
  </w:style>
  <w:style w:type="paragraph" w:styleId="13">
    <w:name w:val="header"/>
    <w:basedOn w:val="1"/>
    <w:link w:val="20"/>
    <w:unhideWhenUsed/>
    <w:qFormat/>
    <w:uiPriority w:val="0"/>
    <w:pPr>
      <w:pBdr>
        <w:bottom w:val="single" w:color="auto" w:sz="6" w:space="1"/>
      </w:pBdr>
      <w:tabs>
        <w:tab w:val="center" w:pos="4153"/>
        <w:tab w:val="right" w:pos="8306"/>
      </w:tabs>
      <w:jc w:val="center"/>
    </w:pPr>
    <w:rPr>
      <w:sz w:val="18"/>
      <w:szCs w:val="18"/>
    </w:rPr>
  </w:style>
  <w:style w:type="paragraph" w:styleId="14">
    <w:name w:val="Normal (Web)"/>
    <w:basedOn w:val="1"/>
    <w:link w:val="27"/>
    <w:qFormat/>
    <w:uiPriority w:val="99"/>
    <w:pPr>
      <w:widowControl w:val="0"/>
      <w:adjustRightInd/>
      <w:snapToGrid/>
      <w:spacing w:after="0"/>
      <w:jc w:val="both"/>
    </w:pPr>
    <w:rPr>
      <w:rFonts w:ascii="Calibri" w:hAnsi="Calibri"/>
      <w:snapToGrid w:val="0"/>
      <w:kern w:val="2"/>
      <w:sz w:val="24"/>
      <w:szCs w:val="36"/>
    </w:rPr>
  </w:style>
  <w:style w:type="table" w:styleId="16">
    <w:name w:val="Table Grid"/>
    <w:basedOn w:val="15"/>
    <w:qFormat/>
    <w:uiPriority w:val="0"/>
    <w:pPr>
      <w:widowControl w:val="0"/>
      <w:jc w:val="both"/>
    </w:pPr>
    <w:rPr>
      <w:rFonts w:ascii="Times New Roman" w:hAnsi="Times New Roman" w:eastAsia="楷体_GB2312"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page number"/>
    <w:basedOn w:val="17"/>
    <w:qFormat/>
    <w:uiPriority w:val="0"/>
  </w:style>
  <w:style w:type="character" w:customStyle="1" w:styleId="20">
    <w:name w:val="页眉 Char"/>
    <w:basedOn w:val="17"/>
    <w:link w:val="13"/>
    <w:semiHidden/>
    <w:qFormat/>
    <w:uiPriority w:val="99"/>
    <w:rPr>
      <w:rFonts w:ascii="Tahoma" w:hAnsi="Tahoma"/>
      <w:sz w:val="18"/>
      <w:szCs w:val="18"/>
    </w:rPr>
  </w:style>
  <w:style w:type="character" w:customStyle="1" w:styleId="21">
    <w:name w:val="页脚 Char"/>
    <w:basedOn w:val="17"/>
    <w:link w:val="12"/>
    <w:semiHidden/>
    <w:qFormat/>
    <w:uiPriority w:val="99"/>
    <w:rPr>
      <w:rFonts w:ascii="Tahoma" w:hAnsi="Tahoma"/>
      <w:sz w:val="18"/>
      <w:szCs w:val="18"/>
    </w:rPr>
  </w:style>
  <w:style w:type="character" w:customStyle="1" w:styleId="22">
    <w:name w:val="标题 1 Char"/>
    <w:basedOn w:val="17"/>
    <w:link w:val="4"/>
    <w:qFormat/>
    <w:uiPriority w:val="0"/>
    <w:rPr>
      <w:rFonts w:ascii="Times New Roman" w:hAnsi="Times New Roman" w:eastAsia="宋体" w:cs="Times New Roman"/>
      <w:b/>
      <w:bCs/>
      <w:kern w:val="44"/>
      <w:sz w:val="44"/>
      <w:szCs w:val="44"/>
    </w:rPr>
  </w:style>
  <w:style w:type="character" w:customStyle="1" w:styleId="23">
    <w:name w:val="标题 2 Char"/>
    <w:basedOn w:val="17"/>
    <w:link w:val="5"/>
    <w:qFormat/>
    <w:uiPriority w:val="0"/>
    <w:rPr>
      <w:rFonts w:ascii="Arial" w:hAnsi="Arial" w:eastAsia="黑体" w:cs="Times New Roman"/>
      <w:b/>
      <w:bCs/>
      <w:kern w:val="2"/>
      <w:sz w:val="32"/>
      <w:szCs w:val="32"/>
    </w:rPr>
  </w:style>
  <w:style w:type="character" w:customStyle="1" w:styleId="24">
    <w:name w:val="文档结构图 Char"/>
    <w:basedOn w:val="17"/>
    <w:link w:val="6"/>
    <w:qFormat/>
    <w:uiPriority w:val="0"/>
    <w:rPr>
      <w:rFonts w:ascii="宋体"/>
      <w:kern w:val="2"/>
      <w:sz w:val="18"/>
      <w:szCs w:val="18"/>
    </w:rPr>
  </w:style>
  <w:style w:type="character" w:customStyle="1" w:styleId="25">
    <w:name w:val="正文缩进 Char"/>
    <w:link w:val="3"/>
    <w:qFormat/>
    <w:locked/>
    <w:uiPriority w:val="99"/>
    <w:rPr>
      <w:kern w:val="2"/>
      <w:sz w:val="21"/>
    </w:rPr>
  </w:style>
  <w:style w:type="character" w:customStyle="1" w:styleId="26">
    <w:name w:val="正文文本缩进 2 Char"/>
    <w:basedOn w:val="17"/>
    <w:link w:val="11"/>
    <w:qFormat/>
    <w:uiPriority w:val="0"/>
    <w:rPr>
      <w:kern w:val="2"/>
      <w:sz w:val="21"/>
      <w:szCs w:val="24"/>
    </w:rPr>
  </w:style>
  <w:style w:type="character" w:customStyle="1" w:styleId="27">
    <w:name w:val="普通(网站) Char"/>
    <w:link w:val="14"/>
    <w:qFormat/>
    <w:uiPriority w:val="99"/>
    <w:rPr>
      <w:rFonts w:ascii="Calibri" w:hAnsi="Calibri"/>
      <w:snapToGrid w:val="0"/>
      <w:kern w:val="2"/>
      <w:sz w:val="24"/>
      <w:szCs w:val="36"/>
    </w:rPr>
  </w:style>
  <w:style w:type="paragraph" w:styleId="28">
    <w:name w:val="List Paragraph"/>
    <w:basedOn w:val="1"/>
    <w:qFormat/>
    <w:uiPriority w:val="34"/>
    <w:pPr>
      <w:widowControl w:val="0"/>
      <w:adjustRightInd/>
      <w:snapToGrid/>
      <w:spacing w:after="0"/>
      <w:ind w:firstLine="420" w:firstLineChars="200"/>
      <w:jc w:val="both"/>
    </w:pPr>
    <w:rPr>
      <w:rFonts w:ascii="Calibri" w:hAnsi="Calibri" w:eastAsia="宋体" w:cs="Times New Roman"/>
      <w:kern w:val="2"/>
      <w:sz w:val="21"/>
    </w:rPr>
  </w:style>
  <w:style w:type="character" w:customStyle="1" w:styleId="29">
    <w:name w:val="正文文本缩进 Char"/>
    <w:basedOn w:val="17"/>
    <w:link w:val="8"/>
    <w:qFormat/>
    <w:uiPriority w:val="0"/>
    <w:rPr>
      <w:rFonts w:ascii="Times New Roman" w:hAnsi="Times New Roman" w:eastAsia="宋体" w:cs="Times New Roman"/>
      <w:kern w:val="2"/>
      <w:sz w:val="28"/>
      <w:szCs w:val="24"/>
    </w:rPr>
  </w:style>
  <w:style w:type="character" w:customStyle="1" w:styleId="30">
    <w:name w:val="日期 Char"/>
    <w:basedOn w:val="17"/>
    <w:link w:val="10"/>
    <w:qFormat/>
    <w:uiPriority w:val="0"/>
    <w:rPr>
      <w:rFonts w:ascii="宋体" w:hAnsi="宋体" w:eastAsia="宋体" w:cs="Times New Roman"/>
      <w:color w:val="000000"/>
      <w:kern w:val="2"/>
      <w:sz w:val="24"/>
      <w:szCs w:val="24"/>
    </w:rPr>
  </w:style>
  <w:style w:type="character" w:customStyle="1" w:styleId="31">
    <w:name w:val="文档结构图 Char1"/>
    <w:basedOn w:val="17"/>
    <w:link w:val="6"/>
    <w:semiHidden/>
    <w:qFormat/>
    <w:uiPriority w:val="99"/>
    <w:rPr>
      <w:rFonts w:ascii="宋体" w:hAnsi="Tahoma" w:eastAsia="宋体"/>
      <w:sz w:val="18"/>
      <w:szCs w:val="18"/>
    </w:rPr>
  </w:style>
  <w:style w:type="character" w:customStyle="1" w:styleId="32">
    <w:name w:val="纯文本 Char"/>
    <w:basedOn w:val="17"/>
    <w:link w:val="9"/>
    <w:qFormat/>
    <w:uiPriority w:val="0"/>
    <w:rPr>
      <w:rFonts w:ascii="宋体" w:hAnsi="Courier New" w:eastAsia="宋体" w:cs="Times New Roman"/>
      <w:kern w:val="2"/>
      <w:sz w:val="11"/>
      <w:szCs w:val="20"/>
    </w:rPr>
  </w:style>
  <w:style w:type="character" w:customStyle="1" w:styleId="33">
    <w:name w:val="正文文本 Char"/>
    <w:basedOn w:val="17"/>
    <w:link w:val="7"/>
    <w:qFormat/>
    <w:uiPriority w:val="0"/>
    <w:rPr>
      <w:rFonts w:ascii="Times New Roman" w:hAnsi="Times New Roman" w:eastAsia="宋体" w:cs="Times New Roman"/>
      <w:kern w:val="2"/>
      <w:sz w:val="25"/>
      <w:szCs w:val="24"/>
    </w:rPr>
  </w:style>
  <w:style w:type="paragraph" w:customStyle="1" w:styleId="34">
    <w:name w:val="1"/>
    <w:basedOn w:val="1"/>
    <w:qFormat/>
    <w:uiPriority w:val="0"/>
    <w:pPr>
      <w:widowControl w:val="0"/>
      <w:adjustRightInd/>
      <w:snapToGrid/>
      <w:spacing w:after="0"/>
      <w:jc w:val="center"/>
    </w:pPr>
    <w:rPr>
      <w:rFonts w:ascii="Times New Roman" w:hAnsi="Times New Roman" w:eastAsia="宋体" w:cs="Times New Roman"/>
      <w:b/>
      <w:bCs/>
      <w:kern w:val="2"/>
      <w:sz w:val="30"/>
      <w:szCs w:val="20"/>
    </w:rPr>
  </w:style>
  <w:style w:type="paragraph" w:customStyle="1" w:styleId="35">
    <w:name w:val="Char Char"/>
    <w:basedOn w:val="4"/>
    <w:qFormat/>
    <w:uiPriority w:val="0"/>
    <w:pPr>
      <w:snapToGrid w:val="0"/>
      <w:spacing w:before="240" w:after="240" w:line="348" w:lineRule="auto"/>
    </w:pPr>
  </w:style>
  <w:style w:type="character" w:customStyle="1" w:styleId="36">
    <w:name w:val="正文文本缩进 2 Char1"/>
    <w:basedOn w:val="17"/>
    <w:link w:val="11"/>
    <w:semiHidden/>
    <w:qFormat/>
    <w:uiPriority w:val="99"/>
    <w:rPr>
      <w:rFonts w:ascii="Tahoma" w:hAnsi="Tahoma"/>
    </w:rPr>
  </w:style>
  <w:style w:type="paragraph" w:customStyle="1" w:styleId="37">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8">
    <w:name w:val="Table Paragraph"/>
    <w:basedOn w:val="1"/>
    <w:qFormat/>
    <w:uiPriority w:val="1"/>
    <w:pPr>
      <w:widowControl w:val="0"/>
      <w:adjustRightInd/>
      <w:snapToGrid/>
      <w:spacing w:after="0"/>
      <w:jc w:val="both"/>
    </w:pPr>
    <w:rPr>
      <w:rFonts w:ascii="宋体" w:hAnsi="宋体" w:eastAsia="宋体" w:cs="宋体"/>
      <w:kern w:val="2"/>
      <w:sz w:val="21"/>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5121"/>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848E4A-6188-4C9F-A06D-EB166900848C}">
  <ds:schemaRefs/>
</ds:datastoreItem>
</file>

<file path=docProps/app.xml><?xml version="1.0" encoding="utf-8"?>
<Properties xmlns="http://schemas.openxmlformats.org/officeDocument/2006/extended-properties" xmlns:vt="http://schemas.openxmlformats.org/officeDocument/2006/docPropsVTypes">
  <Template>Normal</Template>
  <Pages>48</Pages>
  <Words>2962</Words>
  <Characters>16885</Characters>
  <Lines>140</Lines>
  <Paragraphs>39</Paragraphs>
  <TotalTime>2</TotalTime>
  <ScaleCrop>false</ScaleCrop>
  <LinksUpToDate>false</LinksUpToDate>
  <CharactersWithSpaces>19808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2020-10-29T03:09:00Z</cp:lastPrinted>
  <dcterms:modified xsi:type="dcterms:W3CDTF">2021-12-29T05:00:05Z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A397930029B44AF9AC450EBF6A981214</vt:lpwstr>
  </property>
</Properties>
</file>