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val="en-US" w:eastAsia="zh-CN"/>
        </w:rPr>
        <w:t>奇台县2022年度生活垃圾填埋日常监测服务采购项目</w:t>
      </w: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sz w:val="28"/>
          <w:u w:val="none"/>
          <w:lang w:val="en-US" w:eastAsia="zh-CN"/>
        </w:rPr>
        <w:t>奇台县住房和城乡建设局</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val="en-US" w:eastAsia="zh-CN"/>
        </w:rPr>
        <w:t>奇台县2022年度生活垃圾填埋日常监测服务采购项目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val="en-US" w:eastAsia="zh-CN"/>
        </w:rPr>
        <w:t>奇台县2022年度生活垃圾填埋日常监测服务采购项目</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sz w:val="28"/>
          <w:lang w:val="en-US" w:eastAsia="zh-CN"/>
        </w:rPr>
        <w:t>奇台县住房和城乡建设局</w:t>
      </w:r>
    </w:p>
    <w:p>
      <w:pPr>
        <w:spacing w:line="400" w:lineRule="exact"/>
        <w:jc w:val="left"/>
        <w:rPr>
          <w:rFonts w:hint="eastAsia" w:asciiTheme="minorEastAsia" w:hAnsiTheme="minorEastAsia" w:eastAsiaTheme="minorEastAsia" w:cstheme="minorEastAsia"/>
          <w:sz w:val="24"/>
          <w:lang w:val="en-US" w:eastAsia="zh-CN"/>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val="en-US" w:eastAsia="zh-CN"/>
        </w:rPr>
        <w:t>生活垃圾填埋日常监测服务</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25万元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5.履约期限：自合同签订之日起1年 </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ind w:left="216" w:leftChars="28" w:hanging="154" w:hangingChars="55"/>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2.具有检验检测机构资质认定证书；</w:t>
      </w:r>
    </w:p>
    <w:p>
      <w:pPr>
        <w:ind w:left="216" w:leftChars="28" w:hanging="154" w:hangingChars="55"/>
        <w:rPr>
          <w:rFonts w:hint="eastAsia" w:cs="宋体" w:asciiTheme="minorEastAsia" w:hAnsiTheme="minorEastAsia" w:eastAsiaTheme="minorEastAsia"/>
          <w:b w:val="0"/>
          <w:bCs w:val="0"/>
          <w:kern w:val="0"/>
          <w:sz w:val="28"/>
          <w:szCs w:val="22"/>
          <w:lang w:val="en-US" w:eastAsia="zh-CN" w:bidi="ar-SA"/>
        </w:rPr>
      </w:pPr>
      <w:r>
        <w:rPr>
          <w:rFonts w:hint="eastAsia" w:cs="宋体" w:asciiTheme="minorEastAsia" w:hAnsiTheme="minorEastAsia" w:eastAsiaTheme="minorEastAsia"/>
          <w:b w:val="0"/>
          <w:bCs w:val="0"/>
          <w:kern w:val="0"/>
          <w:sz w:val="28"/>
          <w:szCs w:val="22"/>
          <w:lang w:val="en-US" w:eastAsia="zh-CN" w:bidi="ar-SA"/>
        </w:rPr>
        <w:t>3.不接受联合体投标。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1.获取招标文件时间：2021年12月30日-2021年1月6日，上午10:00-13:30，下午16:00-19:30（节假日除外）。</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2.开标时间：2021年1月10日                16时00分。</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3.响应文件递交截止时间：2021年1月10日    16时00分</w:t>
      </w:r>
      <w:r>
        <w:rPr>
          <w:rFonts w:hint="eastAsia" w:cs="宋体" w:asciiTheme="minorEastAsia" w:hAnsiTheme="minorEastAsia" w:eastAsiaTheme="minorEastAsia"/>
          <w:sz w:val="28"/>
          <w:lang w:val="en-US" w:eastAsia="zh-CN"/>
        </w:rPr>
        <w:t>。</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2"/>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具有独立法人营业执照（须有相应的经营范围）；</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法定代表人授权委托书原件及被委托人身份证复印件（法定代表人提供法定代表人身份证明及身份证复印件）；</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检验检测机构资质认定证书；</w:t>
            </w:r>
          </w:p>
          <w:p>
            <w:pPr>
              <w:widowControl w:val="0"/>
              <w:numPr>
                <w:ilvl w:val="0"/>
                <w:numId w:val="0"/>
              </w:numPr>
              <w:adjustRightInd/>
              <w:snapToGrid/>
              <w:spacing w:after="0" w:line="360" w:lineRule="auto"/>
              <w:ind w:left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供应商须提供在“信用中国网（www.creditchina.gov.cn）”被列入失信被执行人、企业经营异常名录、重大税收违法案件当事人名单（尚在处罚期内的）；“中国政府采购网（www.ccgp.gov.cn）”被列入政府采购严重违法失信行为记录名单的（尚在处罚期内的）；（提供查询结果网页截图并加盖供应商公章）；</w:t>
            </w:r>
          </w:p>
          <w:p>
            <w:pPr>
              <w:widowControl w:val="0"/>
              <w:spacing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5、本项目不接受联合体投标。 </w:t>
            </w: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供应商携带以上证件原件、A4纸单面复印件按顺序装订两份并加</w:t>
            </w:r>
            <w:bookmarkStart w:id="0" w:name="_GoBack"/>
            <w:bookmarkEnd w:id="0"/>
            <w:r>
              <w:rPr>
                <w:rFonts w:hint="eastAsia" w:cs="宋体" w:asciiTheme="minorEastAsia" w:hAnsiTheme="minorEastAsia" w:eastAsiaTheme="minorEastAsia"/>
                <w:b/>
                <w:bCs/>
                <w:sz w:val="28"/>
                <w:lang w:val="en-US" w:eastAsia="zh-CN"/>
              </w:rPr>
              <w:t>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投标保证金金额：3000</w:t>
            </w:r>
            <w:r>
              <w:rPr>
                <w:rFonts w:hint="eastAsia" w:cs="宋体" w:asciiTheme="minorEastAsia" w:hAnsiTheme="minorEastAsia" w:eastAsiaTheme="minorEastAsia"/>
                <w:sz w:val="28"/>
                <w:lang w:val="en-US" w:eastAsia="zh-CN"/>
              </w:rPr>
              <w:t>元(叁仟整)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w:t>
            </w:r>
            <w:r>
              <w:rPr>
                <w:rFonts w:hint="eastAsia" w:cs="宋体" w:asciiTheme="minorEastAsia" w:hAnsiTheme="minorEastAsia" w:eastAsiaTheme="minorEastAsia"/>
                <w:sz w:val="28"/>
                <w:u w:val="single"/>
                <w:lang w:val="en-US" w:eastAsia="zh-CN"/>
              </w:rPr>
              <w:t xml:space="preserve">奇台县2022年度生活垃圾填埋日常监测服务采购项目  </w:t>
            </w:r>
            <w:r>
              <w:rPr>
                <w:rFonts w:hint="eastAsia" w:cs="宋体" w:asciiTheme="minorEastAsia" w:hAnsiTheme="minorEastAsia" w:eastAsiaTheme="minorEastAsia"/>
                <w:sz w:val="28"/>
                <w:u w:val="none"/>
                <w:lang w:val="en-US" w:eastAsia="zh-CN"/>
              </w:rPr>
              <w:t>项目</w:t>
            </w:r>
            <w:r>
              <w:rPr>
                <w:rFonts w:hint="eastAsia" w:cs="宋体" w:asciiTheme="minorEastAsia" w:hAnsiTheme="minorEastAsia" w:eastAsiaTheme="minorEastAsia"/>
                <w:sz w:val="28"/>
                <w:lang w:val="en-US" w:eastAsia="zh-CN"/>
              </w:rPr>
              <w:t>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abstractNum w:abstractNumId="1">
    <w:nsid w:val="5288E8DB"/>
    <w:multiLevelType w:val="singleLevel"/>
    <w:tmpl w:val="5288E8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D87117B"/>
    <w:rsid w:val="23CE618D"/>
    <w:rsid w:val="27F3086C"/>
    <w:rsid w:val="27FD7918"/>
    <w:rsid w:val="29E848C9"/>
    <w:rsid w:val="2A53384F"/>
    <w:rsid w:val="2FCF1357"/>
    <w:rsid w:val="32B41968"/>
    <w:rsid w:val="362946F4"/>
    <w:rsid w:val="368C4763"/>
    <w:rsid w:val="36AC1B5F"/>
    <w:rsid w:val="39015B01"/>
    <w:rsid w:val="396001E5"/>
    <w:rsid w:val="3BCA0CAE"/>
    <w:rsid w:val="3C446C09"/>
    <w:rsid w:val="3D4C6CB4"/>
    <w:rsid w:val="41820974"/>
    <w:rsid w:val="442F1B9A"/>
    <w:rsid w:val="45EB0045"/>
    <w:rsid w:val="49014A48"/>
    <w:rsid w:val="4D475D9B"/>
    <w:rsid w:val="52466688"/>
    <w:rsid w:val="5B0646D0"/>
    <w:rsid w:val="5EBE7410"/>
    <w:rsid w:val="694D5F11"/>
    <w:rsid w:val="69AD1C43"/>
    <w:rsid w:val="728E239E"/>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9</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2021-12-30T08:06:01Z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