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b/>
          <w:bCs/>
          <w:sz w:val="44"/>
          <w:szCs w:val="44"/>
        </w:rPr>
      </w:pPr>
      <w:bookmarkStart w:id="0" w:name="_Toc306369294"/>
      <w:bookmarkStart w:id="1" w:name="_Toc293326129"/>
      <w:r>
        <w:rPr>
          <w:rFonts w:hint="eastAsia" w:ascii="宋体" w:hAnsi="宋体"/>
          <w:b/>
          <w:bCs/>
          <w:sz w:val="44"/>
          <w:szCs w:val="44"/>
        </w:rPr>
        <w:t>策勒县农</w:t>
      </w:r>
      <w:r>
        <w:rPr>
          <w:rFonts w:hint="eastAsia" w:ascii="宋体" w:hAnsi="宋体"/>
          <w:b/>
          <w:bCs/>
          <w:color w:val="auto"/>
          <w:sz w:val="44"/>
          <w:szCs w:val="44"/>
          <w:highlight w:val="none"/>
        </w:rPr>
        <w:t>用地</w:t>
      </w:r>
      <w:r>
        <w:rPr>
          <w:rFonts w:hint="eastAsia" w:ascii="宋体" w:hAnsi="宋体"/>
          <w:b/>
          <w:bCs/>
          <w:color w:val="auto"/>
          <w:sz w:val="44"/>
          <w:szCs w:val="44"/>
          <w:highlight w:val="none"/>
          <w:lang w:val="en-US" w:eastAsia="zh-CN"/>
        </w:rPr>
        <w:t>土地</w:t>
      </w:r>
      <w:r>
        <w:rPr>
          <w:rFonts w:hint="eastAsia" w:ascii="宋体" w:hAnsi="宋体"/>
          <w:b/>
          <w:bCs/>
          <w:color w:val="auto"/>
          <w:sz w:val="44"/>
          <w:szCs w:val="44"/>
          <w:highlight w:val="none"/>
        </w:rPr>
        <w:t>定级</w:t>
      </w:r>
      <w:r>
        <w:rPr>
          <w:rFonts w:hint="eastAsia" w:ascii="宋体" w:hAnsi="宋体"/>
          <w:b/>
          <w:bCs/>
          <w:sz w:val="44"/>
          <w:szCs w:val="44"/>
        </w:rPr>
        <w:t>与基准地价评估工作</w:t>
      </w:r>
    </w:p>
    <w:p>
      <w:pPr>
        <w:jc w:val="center"/>
        <w:rPr>
          <w:rFonts w:ascii="宋体" w:hAnsi="宋体" w:cs="仿宋"/>
          <w:sz w:val="24"/>
        </w:rPr>
      </w:pPr>
      <w:r>
        <w:rPr>
          <w:rFonts w:hint="eastAsia" w:ascii="宋体" w:hAnsi="宋体"/>
          <w:b/>
          <w:bCs/>
          <w:sz w:val="28"/>
          <w:szCs w:val="28"/>
        </w:rPr>
        <w:t>（项目编号：</w:t>
      </w:r>
      <w:r>
        <w:rPr>
          <w:rFonts w:hint="eastAsia" w:ascii="宋体" w:hAnsi="宋体"/>
          <w:b/>
          <w:bCs/>
          <w:sz w:val="28"/>
          <w:szCs w:val="28"/>
          <w:lang w:val="en-US" w:eastAsia="zh-CN"/>
        </w:rPr>
        <w:t>2022-CLX</w:t>
      </w:r>
      <w:r>
        <w:rPr>
          <w:rFonts w:hint="eastAsia" w:ascii="宋体" w:hAnsi="宋体"/>
          <w:b/>
          <w:bCs/>
          <w:sz w:val="28"/>
          <w:szCs w:val="28"/>
        </w:rPr>
        <w:t>-</w:t>
      </w:r>
      <w:r>
        <w:rPr>
          <w:rFonts w:hint="eastAsia" w:ascii="宋体" w:hAnsi="宋体"/>
          <w:b/>
          <w:bCs/>
          <w:sz w:val="28"/>
          <w:szCs w:val="28"/>
          <w:lang w:val="en-US" w:eastAsia="zh-CN"/>
        </w:rPr>
        <w:t>-002</w:t>
      </w:r>
      <w:r>
        <w:rPr>
          <w:rFonts w:hint="eastAsia" w:ascii="宋体" w:hAnsi="宋体"/>
          <w:b/>
          <w:bCs/>
          <w:sz w:val="28"/>
          <w:szCs w:val="28"/>
        </w:rPr>
        <w:t>号）</w:t>
      </w:r>
    </w:p>
    <w:p>
      <w:pPr>
        <w:rPr>
          <w:rFonts w:ascii="宋体" w:hAnsi="宋体" w:cs="仿宋"/>
          <w:sz w:val="24"/>
        </w:rPr>
      </w:pPr>
    </w:p>
    <w:p>
      <w:pPr>
        <w:rPr>
          <w:rFonts w:ascii="宋体" w:hAnsi="宋体" w:cs="仿宋"/>
          <w:sz w:val="24"/>
        </w:rPr>
      </w:pPr>
    </w:p>
    <w:p>
      <w:pPr>
        <w:ind w:firstLine="2249" w:firstLineChars="400"/>
        <w:rPr>
          <w:rFonts w:ascii="宋体" w:hAnsi="宋体" w:cs="仿宋"/>
          <w:b/>
          <w:bCs/>
          <w:sz w:val="56"/>
          <w:szCs w:val="56"/>
        </w:rPr>
      </w:pPr>
      <w:r>
        <w:rPr>
          <w:rFonts w:hint="eastAsia" w:ascii="宋体" w:hAnsi="宋体" w:cs="仿宋"/>
          <w:b/>
          <w:bCs/>
          <w:sz w:val="56"/>
          <w:szCs w:val="56"/>
        </w:rPr>
        <w:t>竞争性磋商文件</w:t>
      </w:r>
    </w:p>
    <w:p>
      <w:pPr>
        <w:rPr>
          <w:rFonts w:ascii="宋体" w:hAnsi="宋体" w:cs="仿宋"/>
          <w:sz w:val="24"/>
        </w:rPr>
      </w:pPr>
    </w:p>
    <w:p>
      <w:pPr>
        <w:rPr>
          <w:rFonts w:ascii="宋体" w:hAnsi="宋体" w:cs="仿宋"/>
          <w:sz w:val="24"/>
        </w:rPr>
      </w:pPr>
    </w:p>
    <w:p>
      <w:pPr>
        <w:rPr>
          <w:rFonts w:ascii="宋体" w:hAnsi="宋体" w:cs="仿宋"/>
          <w:sz w:val="24"/>
        </w:rPr>
      </w:pPr>
    </w:p>
    <w:p>
      <w:pPr>
        <w:rPr>
          <w:rFonts w:ascii="宋体" w:hAnsi="宋体" w:cs="仿宋"/>
          <w:sz w:val="24"/>
        </w:rPr>
      </w:pPr>
    </w:p>
    <w:p>
      <w:pPr>
        <w:pStyle w:val="12"/>
      </w:pPr>
    </w:p>
    <w:bookmarkEnd w:id="0"/>
    <w:bookmarkEnd w:id="1"/>
    <w:p>
      <w:pPr>
        <w:rPr>
          <w:rFonts w:ascii="宋体" w:hAnsi="宋体" w:cs="仿宋"/>
          <w:sz w:val="24"/>
        </w:rPr>
      </w:pPr>
    </w:p>
    <w:p>
      <w:pPr>
        <w:pStyle w:val="12"/>
      </w:pPr>
    </w:p>
    <w:p>
      <w:pPr>
        <w:pStyle w:val="61"/>
      </w:pPr>
    </w:p>
    <w:p>
      <w:pPr>
        <w:autoSpaceDE w:val="0"/>
        <w:autoSpaceDN w:val="0"/>
        <w:adjustRightInd w:val="0"/>
        <w:spacing w:line="560" w:lineRule="exact"/>
        <w:ind w:firstLine="562" w:firstLineChars="200"/>
        <w:rPr>
          <w:rFonts w:ascii="宋体" w:hAnsi="宋体" w:cs="宋体"/>
          <w:b/>
          <w:sz w:val="28"/>
          <w:szCs w:val="28"/>
        </w:rPr>
      </w:pPr>
      <w:r>
        <w:rPr>
          <w:rFonts w:hint="eastAsia" w:hAnsi="宋体" w:cs="宋体"/>
          <w:b/>
          <w:sz w:val="28"/>
          <w:szCs w:val="28"/>
        </w:rPr>
        <w:t>采 购</w:t>
      </w:r>
      <w:r>
        <w:rPr>
          <w:rFonts w:hint="eastAsia" w:ascii="宋体" w:hAnsi="宋体" w:cs="宋体"/>
          <w:b/>
          <w:sz w:val="28"/>
          <w:szCs w:val="28"/>
        </w:rPr>
        <w:t xml:space="preserve"> 人：策勒县自然资源局</w:t>
      </w:r>
    </w:p>
    <w:p>
      <w:pPr>
        <w:autoSpaceDE w:val="0"/>
        <w:autoSpaceDN w:val="0"/>
        <w:adjustRightInd w:val="0"/>
        <w:spacing w:line="560" w:lineRule="exact"/>
        <w:ind w:firstLine="562"/>
      </w:pPr>
      <w:r>
        <w:rPr>
          <w:rFonts w:hint="eastAsia" w:ascii="宋体" w:hAnsi="宋体" w:cs="宋体"/>
          <w:b/>
          <w:sz w:val="28"/>
          <w:szCs w:val="28"/>
        </w:rPr>
        <w:t>联 系 人：</w:t>
      </w:r>
      <w:r>
        <w:rPr>
          <w:rFonts w:hint="eastAsia" w:hAnsi="宋体" w:cs="宋体"/>
          <w:b/>
          <w:sz w:val="28"/>
          <w:szCs w:val="28"/>
        </w:rPr>
        <w:t>文星</w:t>
      </w:r>
    </w:p>
    <w:p>
      <w:pPr>
        <w:spacing w:line="560" w:lineRule="exact"/>
        <w:ind w:firstLine="562" w:firstLineChars="200"/>
        <w:rPr>
          <w:rFonts w:hAnsi="宋体" w:cs="宋体"/>
          <w:b/>
          <w:sz w:val="28"/>
          <w:szCs w:val="28"/>
        </w:rPr>
      </w:pPr>
      <w:r>
        <w:rPr>
          <w:rFonts w:hint="eastAsia" w:ascii="宋体" w:hAnsi="宋体" w:cs="宋体"/>
          <w:b/>
          <w:sz w:val="28"/>
          <w:szCs w:val="28"/>
        </w:rPr>
        <w:t>联系电话：18016991600</w:t>
      </w:r>
    </w:p>
    <w:p>
      <w:pPr>
        <w:spacing w:line="560" w:lineRule="exact"/>
        <w:ind w:firstLine="562" w:firstLineChars="200"/>
        <w:rPr>
          <w:rFonts w:hAnsi="宋体" w:cs="宋体"/>
          <w:b/>
          <w:sz w:val="28"/>
          <w:szCs w:val="28"/>
        </w:rPr>
      </w:pPr>
      <w:r>
        <w:rPr>
          <w:rFonts w:hint="eastAsia" w:ascii="宋体" w:hAnsi="宋体" w:cs="宋体"/>
          <w:b/>
          <w:sz w:val="28"/>
          <w:szCs w:val="28"/>
        </w:rPr>
        <w:t>联系地址：策勒县</w:t>
      </w:r>
      <w:r>
        <w:rPr>
          <w:rFonts w:hint="eastAsia" w:hAnsi="宋体" w:cs="宋体"/>
          <w:b/>
          <w:sz w:val="28"/>
          <w:szCs w:val="28"/>
        </w:rPr>
        <w:t>多斯鲁克南路286号</w:t>
      </w:r>
    </w:p>
    <w:p>
      <w:pPr>
        <w:rPr>
          <w:rFonts w:hAnsi="宋体" w:cs="宋体"/>
          <w:b/>
          <w:sz w:val="28"/>
          <w:szCs w:val="28"/>
        </w:rPr>
      </w:pPr>
    </w:p>
    <w:p>
      <w:pPr>
        <w:pStyle w:val="12"/>
        <w:rPr>
          <w:rFonts w:hAnsi="宋体"/>
          <w:b/>
          <w:color w:val="auto"/>
          <w:sz w:val="28"/>
          <w:szCs w:val="28"/>
        </w:rPr>
      </w:pPr>
    </w:p>
    <w:p>
      <w:pPr>
        <w:autoSpaceDE w:val="0"/>
        <w:autoSpaceDN w:val="0"/>
        <w:adjustRightInd w:val="0"/>
        <w:spacing w:line="560" w:lineRule="exact"/>
        <w:ind w:firstLine="551" w:firstLineChars="196"/>
        <w:rPr>
          <w:rFonts w:ascii="宋体" w:hAnsi="宋体" w:cs="宋体"/>
          <w:b/>
          <w:sz w:val="28"/>
          <w:szCs w:val="28"/>
        </w:rPr>
      </w:pPr>
      <w:r>
        <w:rPr>
          <w:rFonts w:hint="eastAsia" w:hAnsi="宋体" w:cs="宋体"/>
          <w:b/>
          <w:sz w:val="28"/>
          <w:szCs w:val="28"/>
        </w:rPr>
        <w:t>代理机构</w:t>
      </w:r>
      <w:r>
        <w:rPr>
          <w:rFonts w:hint="eastAsia" w:ascii="宋体" w:hAnsi="宋体" w:cs="宋体"/>
          <w:b/>
          <w:sz w:val="28"/>
          <w:szCs w:val="28"/>
        </w:rPr>
        <w:t>：新疆万盛宏基工程项目管理有限公司</w:t>
      </w:r>
    </w:p>
    <w:p>
      <w:pPr>
        <w:autoSpaceDE w:val="0"/>
        <w:autoSpaceDN w:val="0"/>
        <w:adjustRightInd w:val="0"/>
        <w:spacing w:line="560" w:lineRule="exact"/>
        <w:ind w:firstLine="551" w:firstLineChars="196"/>
        <w:rPr>
          <w:rFonts w:ascii="宋体" w:hAnsi="宋体" w:cs="宋体"/>
          <w:b/>
          <w:sz w:val="28"/>
          <w:szCs w:val="28"/>
        </w:rPr>
      </w:pPr>
      <w:r>
        <w:rPr>
          <w:rFonts w:hint="eastAsia" w:ascii="宋体" w:hAnsi="宋体" w:cs="宋体"/>
          <w:b/>
          <w:sz w:val="28"/>
          <w:szCs w:val="28"/>
        </w:rPr>
        <w:t>联 系 人：</w:t>
      </w:r>
      <w:r>
        <w:rPr>
          <w:rFonts w:hint="eastAsia" w:hAnsi="宋体" w:cs="宋体"/>
          <w:b/>
          <w:sz w:val="28"/>
          <w:szCs w:val="28"/>
        </w:rPr>
        <w:t>杨婷</w:t>
      </w:r>
    </w:p>
    <w:p>
      <w:pPr>
        <w:autoSpaceDE w:val="0"/>
        <w:autoSpaceDN w:val="0"/>
        <w:adjustRightInd w:val="0"/>
        <w:spacing w:line="560" w:lineRule="exact"/>
        <w:ind w:firstLine="551" w:firstLineChars="196"/>
        <w:rPr>
          <w:rFonts w:hAnsi="宋体" w:cs="宋体"/>
          <w:b/>
          <w:sz w:val="28"/>
          <w:szCs w:val="28"/>
        </w:rPr>
      </w:pPr>
      <w:r>
        <w:rPr>
          <w:rFonts w:hint="eastAsia" w:ascii="宋体" w:hAnsi="宋体" w:cs="宋体"/>
          <w:b/>
          <w:sz w:val="28"/>
          <w:szCs w:val="28"/>
        </w:rPr>
        <w:t>联系电话：</w:t>
      </w:r>
      <w:r>
        <w:rPr>
          <w:rFonts w:hint="eastAsia" w:hAnsi="宋体" w:cs="宋体"/>
          <w:b/>
          <w:sz w:val="28"/>
          <w:szCs w:val="28"/>
        </w:rPr>
        <w:t>15292817631</w:t>
      </w:r>
    </w:p>
    <w:p>
      <w:pPr>
        <w:autoSpaceDE w:val="0"/>
        <w:autoSpaceDN w:val="0"/>
        <w:adjustRightInd w:val="0"/>
        <w:spacing w:line="560" w:lineRule="exact"/>
        <w:ind w:firstLine="551" w:firstLineChars="196"/>
        <w:rPr>
          <w:rFonts w:ascii="宋体" w:hAnsi="宋体" w:cs="宋体"/>
          <w:bCs/>
          <w:sz w:val="28"/>
          <w:szCs w:val="28"/>
        </w:rPr>
      </w:pPr>
      <w:r>
        <w:rPr>
          <w:rFonts w:hint="eastAsia" w:ascii="宋体" w:hAnsi="宋体" w:cs="宋体"/>
          <w:b/>
          <w:sz w:val="28"/>
          <w:szCs w:val="28"/>
        </w:rPr>
        <w:t>地    址：策勒县迎宾路双子大厦银座2707</w:t>
      </w:r>
    </w:p>
    <w:p>
      <w:pPr>
        <w:pStyle w:val="2"/>
        <w:rPr>
          <w:lang w:eastAsia="zh-CN"/>
        </w:rPr>
      </w:pPr>
    </w:p>
    <w:p>
      <w:pPr>
        <w:spacing w:line="360" w:lineRule="auto"/>
        <w:ind w:firstLine="2811" w:firstLineChars="1000"/>
        <w:rPr>
          <w:rFonts w:ascii="宋体" w:hAnsi="宋体" w:cs="宋体"/>
          <w:b/>
          <w:sz w:val="28"/>
          <w:szCs w:val="28"/>
        </w:rPr>
      </w:pPr>
      <w:r>
        <w:rPr>
          <w:rFonts w:hint="eastAsia" w:ascii="宋体" w:hAnsi="宋体" w:cs="宋体"/>
          <w:b/>
          <w:sz w:val="28"/>
          <w:szCs w:val="28"/>
        </w:rPr>
        <w:t xml:space="preserve">日期：2022年1月  </w:t>
      </w:r>
    </w:p>
    <w:p>
      <w:pPr>
        <w:spacing w:line="360" w:lineRule="auto"/>
        <w:ind w:firstLine="482" w:firstLineChars="200"/>
        <w:rPr>
          <w:rFonts w:ascii="宋体" w:hAnsi="宋体" w:cs="宋体"/>
          <w:b/>
          <w:sz w:val="24"/>
        </w:rPr>
        <w:sectPr>
          <w:headerReference r:id="rId3" w:type="default"/>
          <w:footerReference r:id="rId4" w:type="default"/>
          <w:pgSz w:w="11907" w:h="16840"/>
          <w:pgMar w:top="1021" w:right="1287" w:bottom="1021" w:left="1758" w:header="851" w:footer="992" w:gutter="0"/>
          <w:pgNumType w:start="3"/>
          <w:cols w:space="720" w:num="1"/>
          <w:docGrid w:type="lines" w:linePitch="312" w:charSpace="0"/>
        </w:sectPr>
      </w:pPr>
    </w:p>
    <w:p>
      <w:pPr>
        <w:spacing w:line="360" w:lineRule="auto"/>
        <w:ind w:firstLine="482" w:firstLineChars="200"/>
        <w:rPr>
          <w:rFonts w:ascii="宋体" w:hAnsi="宋体" w:cs="宋体"/>
          <w:b/>
          <w:sz w:val="24"/>
        </w:rPr>
      </w:pPr>
      <w:r>
        <w:rPr>
          <w:rFonts w:hint="eastAsia" w:ascii="宋体" w:hAnsi="宋体" w:cs="宋体"/>
          <w:b/>
          <w:sz w:val="24"/>
        </w:rPr>
        <w:t>政府采购管理机构备案登记栏：</w:t>
      </w:r>
    </w:p>
    <w:tbl>
      <w:tblPr>
        <w:tblStyle w:val="33"/>
        <w:tblW w:w="83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9" w:hRule="atLeast"/>
          <w:jc w:val="center"/>
        </w:trPr>
        <w:tc>
          <w:tcPr>
            <w:tcW w:w="8385" w:type="dxa"/>
          </w:tcPr>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本文件已报备</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24"/>
              </w:rPr>
            </w:pPr>
          </w:p>
          <w:p>
            <w:pPr>
              <w:rPr>
                <w:rFonts w:ascii="宋体" w:hAnsi="宋体" w:cs="宋体"/>
                <w:sz w:val="28"/>
                <w:szCs w:val="28"/>
              </w:rPr>
            </w:pPr>
            <w:r>
              <w:rPr>
                <w:rFonts w:hint="eastAsia" w:ascii="宋体" w:hAnsi="宋体" w:cs="宋体"/>
                <w:sz w:val="28"/>
                <w:szCs w:val="28"/>
              </w:rPr>
              <w:t>项目名称：策勒县农用地</w:t>
            </w:r>
            <w:r>
              <w:rPr>
                <w:rFonts w:hint="eastAsia" w:ascii="宋体" w:hAnsi="宋体" w:cs="宋体"/>
                <w:sz w:val="28"/>
                <w:szCs w:val="28"/>
                <w:lang w:val="en-US" w:eastAsia="zh-CN"/>
              </w:rPr>
              <w:t>土地</w:t>
            </w:r>
            <w:r>
              <w:rPr>
                <w:rFonts w:hint="eastAsia" w:ascii="宋体" w:hAnsi="宋体" w:cs="宋体"/>
                <w:sz w:val="28"/>
                <w:szCs w:val="28"/>
              </w:rPr>
              <w:t>定级</w:t>
            </w:r>
            <w:r>
              <w:rPr>
                <w:rFonts w:hint="eastAsia" w:ascii="宋体" w:hAnsi="宋体" w:cs="宋体"/>
                <w:color w:val="auto"/>
                <w:sz w:val="28"/>
                <w:szCs w:val="28"/>
                <w:highlight w:val="none"/>
              </w:rPr>
              <w:t>与</w:t>
            </w:r>
            <w:r>
              <w:rPr>
                <w:rFonts w:hint="eastAsia" w:ascii="宋体" w:hAnsi="宋体" w:cs="宋体"/>
                <w:sz w:val="28"/>
                <w:szCs w:val="28"/>
              </w:rPr>
              <w:t>基准地价评估工作</w:t>
            </w:r>
          </w:p>
          <w:p>
            <w:pPr>
              <w:rPr>
                <w:rFonts w:ascii="宋体" w:hAnsi="宋体" w:cs="宋体"/>
                <w:sz w:val="28"/>
                <w:szCs w:val="28"/>
              </w:rPr>
            </w:pPr>
          </w:p>
          <w:p>
            <w:pPr>
              <w:ind w:firstLine="560" w:firstLineChars="200"/>
              <w:rPr>
                <w:rFonts w:ascii="宋体" w:hAnsi="宋体" w:cs="宋体"/>
                <w:sz w:val="28"/>
                <w:szCs w:val="28"/>
              </w:rPr>
            </w:pPr>
          </w:p>
          <w:p>
            <w:pPr>
              <w:ind w:firstLine="560" w:firstLineChars="200"/>
              <w:rPr>
                <w:rFonts w:ascii="宋体" w:hAnsi="宋体" w:cs="宋体"/>
                <w:sz w:val="28"/>
                <w:szCs w:val="28"/>
              </w:rPr>
            </w:pPr>
          </w:p>
          <w:p>
            <w:pPr>
              <w:rPr>
                <w:sz w:val="28"/>
                <w:szCs w:val="28"/>
              </w:rPr>
            </w:pPr>
          </w:p>
          <w:p>
            <w:pPr>
              <w:pStyle w:val="2"/>
              <w:rPr>
                <w:rFonts w:ascii="宋体" w:hAnsi="宋体" w:cs="宋体"/>
                <w:sz w:val="24"/>
                <w:szCs w:val="24"/>
                <w:lang w:eastAsia="zh-CN"/>
              </w:rPr>
            </w:pPr>
          </w:p>
          <w:p>
            <w:pPr>
              <w:rPr>
                <w:rFonts w:ascii="宋体" w:hAnsi="宋体" w:cs="宋体"/>
                <w:sz w:val="24"/>
              </w:rPr>
            </w:pPr>
          </w:p>
          <w:p>
            <w:pPr>
              <w:pStyle w:val="2"/>
              <w:rPr>
                <w:rFonts w:ascii="宋体" w:hAnsi="宋体" w:cs="宋体"/>
                <w:sz w:val="24"/>
                <w:szCs w:val="24"/>
                <w:lang w:eastAsia="zh-CN"/>
              </w:rPr>
            </w:pPr>
          </w:p>
          <w:p>
            <w:pPr>
              <w:rPr>
                <w:rFonts w:ascii="宋体" w:hAnsi="宋体" w:cs="宋体"/>
                <w:sz w:val="24"/>
              </w:rPr>
            </w:pPr>
          </w:p>
          <w:p>
            <w:pPr>
              <w:pStyle w:val="2"/>
              <w:rPr>
                <w:rFonts w:ascii="宋体" w:hAnsi="宋体" w:cs="宋体"/>
                <w:sz w:val="24"/>
                <w:szCs w:val="24"/>
                <w:lang w:eastAsia="zh-CN"/>
              </w:rPr>
            </w:pPr>
          </w:p>
          <w:p>
            <w:pPr>
              <w:rPr>
                <w:rFonts w:ascii="宋体" w:hAnsi="宋体" w:cs="宋体"/>
                <w:sz w:val="24"/>
              </w:rPr>
            </w:pPr>
          </w:p>
          <w:p>
            <w:pPr>
              <w:pStyle w:val="2"/>
              <w:rPr>
                <w:rFonts w:ascii="宋体" w:hAnsi="宋体" w:cs="宋体"/>
                <w:sz w:val="24"/>
                <w:szCs w:val="24"/>
                <w:lang w:eastAsia="zh-CN"/>
              </w:rPr>
            </w:pPr>
          </w:p>
          <w:p>
            <w:pPr>
              <w:rPr>
                <w:rFonts w:ascii="宋体" w:hAnsi="宋体" w:cs="宋体"/>
                <w:sz w:val="24"/>
              </w:rPr>
            </w:pPr>
          </w:p>
          <w:p>
            <w:pPr>
              <w:rPr>
                <w:rFonts w:ascii="宋体" w:hAnsi="宋体" w:cs="宋体"/>
                <w:sz w:val="24"/>
              </w:rPr>
            </w:pPr>
          </w:p>
        </w:tc>
      </w:tr>
    </w:tbl>
    <w:p>
      <w:pPr>
        <w:spacing w:line="360" w:lineRule="auto"/>
        <w:jc w:val="center"/>
        <w:rPr>
          <w:rFonts w:ascii="宋体" w:hAnsi="宋体" w:cs="宋体"/>
          <w:b/>
          <w:bCs/>
          <w:color w:val="000000"/>
          <w:sz w:val="24"/>
        </w:rPr>
      </w:pPr>
      <w:r>
        <w:rPr>
          <w:rFonts w:hint="eastAsia" w:ascii="宋体" w:hAnsi="宋体" w:cs="宋体"/>
          <w:b/>
          <w:bCs/>
          <w:color w:val="000000"/>
          <w:sz w:val="24"/>
        </w:rPr>
        <w:t xml:space="preserve">                                        策勒县政府采购管理办公室</w:t>
      </w:r>
    </w:p>
    <w:p>
      <w:pPr>
        <w:spacing w:line="360" w:lineRule="auto"/>
        <w:ind w:right="560" w:firstLine="3720" w:firstLineChars="1550"/>
        <w:rPr>
          <w:rFonts w:ascii="宋体" w:hAnsi="宋体" w:cs="宋体"/>
          <w:sz w:val="24"/>
        </w:rPr>
        <w:sectPr>
          <w:footerReference r:id="rId5" w:type="default"/>
          <w:pgSz w:w="11907" w:h="16840"/>
          <w:pgMar w:top="1021" w:right="1287" w:bottom="1021" w:left="1758" w:header="851" w:footer="992" w:gutter="0"/>
          <w:pgNumType w:start="1"/>
          <w:cols w:space="720" w:num="1"/>
          <w:docGrid w:type="lines" w:linePitch="312" w:charSpace="0"/>
        </w:sectPr>
      </w:pPr>
    </w:p>
    <w:p>
      <w:pPr>
        <w:ind w:firstLine="3534" w:firstLineChars="800"/>
        <w:rPr>
          <w:rFonts w:ascii="宋体" w:hAnsi="宋体"/>
          <w:b/>
          <w:bCs/>
          <w:sz w:val="44"/>
          <w:szCs w:val="44"/>
        </w:rPr>
      </w:pPr>
    </w:p>
    <w:p>
      <w:pPr>
        <w:ind w:firstLine="3534" w:firstLineChars="800"/>
        <w:rPr>
          <w:rFonts w:ascii="宋体" w:hAnsi="宋体"/>
          <w:b/>
          <w:bCs/>
          <w:sz w:val="44"/>
          <w:szCs w:val="44"/>
        </w:rPr>
      </w:pPr>
      <w:r>
        <w:rPr>
          <w:rFonts w:hint="eastAsia" w:ascii="宋体" w:hAnsi="宋体"/>
          <w:b/>
          <w:bCs/>
          <w:sz w:val="44"/>
          <w:szCs w:val="44"/>
        </w:rPr>
        <w:t>目    录</w:t>
      </w:r>
    </w:p>
    <w:p>
      <w:pPr>
        <w:jc w:val="center"/>
        <w:rPr>
          <w:rFonts w:ascii="宋体" w:hAnsi="宋体"/>
          <w:b/>
          <w:bCs/>
        </w:rPr>
      </w:pPr>
    </w:p>
    <w:p>
      <w:pPr>
        <w:jc w:val="center"/>
        <w:rPr>
          <w:rFonts w:ascii="宋体" w:hAnsi="宋体"/>
          <w:b/>
          <w:bCs/>
        </w:rPr>
      </w:pPr>
    </w:p>
    <w:p>
      <w:pPr>
        <w:jc w:val="center"/>
        <w:rPr>
          <w:rFonts w:ascii="宋体" w:hAnsi="宋体"/>
          <w:b/>
          <w:bCs/>
          <w:sz w:val="24"/>
        </w:rPr>
      </w:pPr>
    </w:p>
    <w:p>
      <w:pPr>
        <w:pStyle w:val="21"/>
        <w:tabs>
          <w:tab w:val="right" w:leader="dot" w:pos="8302"/>
        </w:tabs>
        <w:spacing w:line="480" w:lineRule="auto"/>
        <w:ind w:firstLine="400"/>
        <w:rPr>
          <w:rFonts w:ascii="宋体" w:hAnsi="宋体" w:cs="宋体"/>
          <w:sz w:val="28"/>
          <w:szCs w:val="28"/>
        </w:rPr>
      </w:pPr>
      <w:r>
        <w:fldChar w:fldCharType="begin"/>
      </w:r>
      <w:r>
        <w:instrText xml:space="preserve"> HYPERLINK \l "_Toc256000000" </w:instrText>
      </w:r>
      <w:r>
        <w:fldChar w:fldCharType="separate"/>
      </w:r>
      <w:r>
        <w:rPr>
          <w:rStyle w:val="32"/>
          <w:rFonts w:hint="eastAsia" w:ascii="宋体" w:hAnsi="宋体" w:cs="宋体"/>
          <w:color w:val="auto"/>
          <w:sz w:val="28"/>
          <w:szCs w:val="28"/>
          <w:u w:val="none"/>
        </w:rPr>
        <w:t>第一章 竞争性磋商公告</w:t>
      </w:r>
      <w:r>
        <w:rPr>
          <w:rFonts w:hint="eastAsia" w:ascii="宋体" w:hAnsi="宋体" w:cs="宋体"/>
          <w:sz w:val="28"/>
          <w:szCs w:val="28"/>
        </w:rPr>
        <w:tab/>
      </w:r>
      <w:r>
        <w:rPr>
          <w:rFonts w:hint="eastAsia" w:ascii="宋体" w:hAnsi="宋体" w:cs="宋体"/>
          <w:sz w:val="28"/>
          <w:szCs w:val="28"/>
        </w:rPr>
        <w:fldChar w:fldCharType="end"/>
      </w:r>
    </w:p>
    <w:p>
      <w:pPr>
        <w:pStyle w:val="21"/>
        <w:tabs>
          <w:tab w:val="right" w:leader="dot" w:pos="8302"/>
        </w:tabs>
        <w:spacing w:line="480" w:lineRule="auto"/>
        <w:ind w:firstLine="400"/>
        <w:rPr>
          <w:rFonts w:ascii="宋体" w:hAnsi="宋体" w:cs="宋体"/>
          <w:sz w:val="28"/>
          <w:szCs w:val="28"/>
        </w:rPr>
      </w:pPr>
      <w:r>
        <w:fldChar w:fldCharType="begin"/>
      </w:r>
      <w:r>
        <w:instrText xml:space="preserve"> HYPERLINK \l "_Toc256000006" </w:instrText>
      </w:r>
      <w:r>
        <w:fldChar w:fldCharType="separate"/>
      </w:r>
      <w:r>
        <w:rPr>
          <w:rStyle w:val="32"/>
          <w:rFonts w:hint="eastAsia" w:ascii="宋体" w:hAnsi="宋体" w:cs="宋体"/>
          <w:color w:val="auto"/>
          <w:sz w:val="28"/>
          <w:szCs w:val="28"/>
          <w:u w:val="none"/>
        </w:rPr>
        <w:t>第二章 供应商须知</w:t>
      </w:r>
      <w:r>
        <w:rPr>
          <w:rFonts w:hint="eastAsia" w:ascii="宋体" w:hAnsi="宋体" w:cs="宋体"/>
          <w:sz w:val="28"/>
          <w:szCs w:val="28"/>
        </w:rPr>
        <w:tab/>
      </w:r>
      <w:r>
        <w:rPr>
          <w:rFonts w:hint="eastAsia" w:ascii="宋体" w:hAnsi="宋体" w:cs="宋体"/>
          <w:sz w:val="28"/>
          <w:szCs w:val="28"/>
        </w:rPr>
        <w:fldChar w:fldCharType="end"/>
      </w:r>
    </w:p>
    <w:p>
      <w:pPr>
        <w:pStyle w:val="21"/>
        <w:tabs>
          <w:tab w:val="right" w:leader="dot" w:pos="8302"/>
        </w:tabs>
        <w:spacing w:line="480" w:lineRule="auto"/>
        <w:ind w:firstLine="400"/>
        <w:rPr>
          <w:rFonts w:ascii="宋体" w:hAnsi="宋体" w:cs="宋体"/>
          <w:sz w:val="28"/>
          <w:szCs w:val="28"/>
        </w:rPr>
      </w:pPr>
      <w:r>
        <w:fldChar w:fldCharType="begin"/>
      </w:r>
      <w:r>
        <w:instrText xml:space="preserve"> HYPERLINK \l "_Toc256000009" </w:instrText>
      </w:r>
      <w:r>
        <w:fldChar w:fldCharType="separate"/>
      </w:r>
      <w:r>
        <w:rPr>
          <w:rStyle w:val="32"/>
          <w:rFonts w:hint="eastAsia" w:ascii="宋体" w:hAnsi="宋体" w:cs="宋体"/>
          <w:color w:val="auto"/>
          <w:sz w:val="28"/>
          <w:szCs w:val="28"/>
          <w:u w:val="none"/>
        </w:rPr>
        <w:t>第三章 采购需求</w:t>
      </w:r>
      <w:r>
        <w:rPr>
          <w:rFonts w:hint="eastAsia" w:ascii="宋体" w:hAnsi="宋体" w:cs="宋体"/>
          <w:sz w:val="28"/>
          <w:szCs w:val="28"/>
        </w:rPr>
        <w:tab/>
      </w:r>
      <w:r>
        <w:rPr>
          <w:rFonts w:hint="eastAsia" w:ascii="宋体" w:hAnsi="宋体" w:cs="宋体"/>
          <w:sz w:val="28"/>
          <w:szCs w:val="28"/>
        </w:rPr>
        <w:fldChar w:fldCharType="end"/>
      </w:r>
    </w:p>
    <w:p>
      <w:pPr>
        <w:pStyle w:val="21"/>
        <w:tabs>
          <w:tab w:val="right" w:leader="dot" w:pos="8302"/>
        </w:tabs>
        <w:spacing w:line="480" w:lineRule="auto"/>
        <w:ind w:firstLine="400"/>
        <w:rPr>
          <w:rFonts w:ascii="宋体" w:hAnsi="宋体" w:cs="宋体"/>
          <w:sz w:val="28"/>
          <w:szCs w:val="28"/>
        </w:rPr>
      </w:pPr>
      <w:r>
        <w:fldChar w:fldCharType="begin"/>
      </w:r>
      <w:r>
        <w:instrText xml:space="preserve"> HYPERLINK \l "_Toc256000011" </w:instrText>
      </w:r>
      <w:r>
        <w:fldChar w:fldCharType="separate"/>
      </w:r>
      <w:r>
        <w:rPr>
          <w:rStyle w:val="32"/>
          <w:rFonts w:hint="eastAsia" w:ascii="宋体" w:hAnsi="宋体" w:cs="宋体"/>
          <w:color w:val="auto"/>
          <w:sz w:val="28"/>
          <w:szCs w:val="28"/>
          <w:u w:val="none"/>
        </w:rPr>
        <w:t>第四章 合同格式及合同条款</w:t>
      </w:r>
      <w:r>
        <w:rPr>
          <w:rFonts w:hint="eastAsia" w:ascii="宋体" w:hAnsi="宋体" w:cs="宋体"/>
          <w:sz w:val="28"/>
          <w:szCs w:val="28"/>
        </w:rPr>
        <w:tab/>
      </w:r>
      <w:r>
        <w:rPr>
          <w:rFonts w:hint="eastAsia" w:ascii="宋体" w:hAnsi="宋体" w:cs="宋体"/>
          <w:sz w:val="28"/>
          <w:szCs w:val="28"/>
        </w:rPr>
        <w:fldChar w:fldCharType="end"/>
      </w:r>
    </w:p>
    <w:p>
      <w:pPr>
        <w:pStyle w:val="66"/>
        <w:widowControl/>
        <w:ind w:firstLine="420" w:firstLineChars="200"/>
        <w:rPr>
          <w:rFonts w:ascii="宋体" w:hAnsi="宋体"/>
          <w:sz w:val="24"/>
        </w:rPr>
      </w:pPr>
      <w:r>
        <w:fldChar w:fldCharType="begin"/>
      </w:r>
      <w:r>
        <w:instrText xml:space="preserve"> HYPERLINK \l "_Toc256000012" </w:instrText>
      </w:r>
      <w:r>
        <w:fldChar w:fldCharType="separate"/>
      </w:r>
      <w:r>
        <w:rPr>
          <w:rStyle w:val="32"/>
          <w:rFonts w:hint="eastAsia" w:ascii="宋体" w:hAnsi="宋体" w:cs="宋体"/>
          <w:color w:val="auto"/>
          <w:sz w:val="28"/>
          <w:szCs w:val="28"/>
          <w:u w:val="none"/>
        </w:rPr>
        <w:t>第五章 响应文件格式</w:t>
      </w:r>
      <w:r>
        <w:rPr>
          <w:rStyle w:val="32"/>
          <w:rFonts w:hint="eastAsia" w:ascii="宋体" w:hAnsi="宋体" w:cs="宋体"/>
          <w:color w:val="auto"/>
          <w:sz w:val="28"/>
          <w:szCs w:val="28"/>
          <w:u w:val="none"/>
        </w:rPr>
        <w:fldChar w:fldCharType="end"/>
      </w:r>
      <w:r>
        <w:rPr>
          <w:rFonts w:ascii="Arial" w:hAnsi="Arial" w:cs="Arial"/>
          <w:sz w:val="28"/>
          <w:szCs w:val="28"/>
        </w:rPr>
        <w:t>………………………………………………</w:t>
      </w:r>
    </w:p>
    <w:p>
      <w:pPr>
        <w:pStyle w:val="2"/>
        <w:rPr>
          <w:lang w:eastAsia="zh-CN"/>
        </w:rPr>
      </w:pPr>
    </w:p>
    <w:p>
      <w:pPr>
        <w:tabs>
          <w:tab w:val="left" w:pos="2752"/>
        </w:tabs>
        <w:ind w:left="-199" w:leftChars="-95"/>
        <w:rPr>
          <w:rFonts w:ascii="宋体" w:hAnsi="宋体"/>
          <w:b/>
          <w:bCs/>
        </w:rPr>
      </w:pPr>
      <w:r>
        <w:rPr>
          <w:rFonts w:hint="eastAsia" w:ascii="宋体" w:hAnsi="宋体"/>
          <w:b/>
          <w:bCs/>
        </w:rPr>
        <w:tab/>
      </w:r>
    </w:p>
    <w:p>
      <w:pPr>
        <w:rPr>
          <w:rFonts w:ascii="宋体" w:hAnsi="宋体"/>
          <w:b/>
          <w:bCs/>
        </w:rPr>
      </w:pPr>
    </w:p>
    <w:p>
      <w:pPr>
        <w:rPr>
          <w:rFonts w:ascii="宋体" w:hAnsi="宋体"/>
        </w:rPr>
      </w:pPr>
    </w:p>
    <w:p>
      <w:pPr>
        <w:ind w:firstLine="902" w:firstLineChars="428"/>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spacing w:line="360" w:lineRule="auto"/>
        <w:rPr>
          <w:rFonts w:ascii="宋体" w:hAnsi="宋体" w:cs="宋体"/>
          <w:b/>
          <w:sz w:val="24"/>
        </w:rPr>
      </w:pPr>
    </w:p>
    <w:p>
      <w:pPr>
        <w:pStyle w:val="61"/>
      </w:pPr>
    </w:p>
    <w:p>
      <w:pPr>
        <w:ind w:firstLine="422" w:firstLineChars="200"/>
        <w:jc w:val="center"/>
        <w:rPr>
          <w:rFonts w:ascii="宋体" w:hAnsi="宋体"/>
          <w:b/>
          <w:bCs/>
        </w:rPr>
      </w:pPr>
    </w:p>
    <w:p>
      <w:pPr>
        <w:ind w:firstLine="422" w:firstLineChars="200"/>
        <w:jc w:val="center"/>
        <w:rPr>
          <w:rFonts w:ascii="宋体" w:hAnsi="宋体"/>
          <w:b/>
          <w:bCs/>
        </w:rPr>
      </w:pPr>
    </w:p>
    <w:p>
      <w:pPr>
        <w:ind w:firstLine="422" w:firstLineChars="200"/>
        <w:jc w:val="center"/>
        <w:rPr>
          <w:rFonts w:ascii="宋体" w:hAnsi="宋体"/>
          <w:b/>
          <w:bCs/>
        </w:rPr>
      </w:pPr>
    </w:p>
    <w:p>
      <w:pPr>
        <w:rPr>
          <w:rFonts w:ascii="宋体" w:hAnsi="宋体"/>
          <w:b/>
          <w:bCs/>
        </w:rPr>
      </w:pPr>
    </w:p>
    <w:p>
      <w:pPr>
        <w:spacing w:line="460" w:lineRule="exact"/>
        <w:ind w:firstLine="2209" w:firstLineChars="500"/>
        <w:outlineLvl w:val="0"/>
        <w:rPr>
          <w:rFonts w:ascii="宋体" w:hAnsi="宋体" w:cs="宋体"/>
          <w:b/>
          <w:sz w:val="44"/>
          <w:szCs w:val="44"/>
        </w:rPr>
      </w:pPr>
    </w:p>
    <w:p>
      <w:pPr>
        <w:spacing w:line="460" w:lineRule="exact"/>
        <w:ind w:firstLine="2209" w:firstLineChars="500"/>
        <w:outlineLvl w:val="0"/>
        <w:rPr>
          <w:rFonts w:ascii="宋体" w:hAnsi="宋体" w:cs="宋体"/>
          <w:b/>
          <w:sz w:val="44"/>
          <w:szCs w:val="44"/>
        </w:rPr>
      </w:pPr>
    </w:p>
    <w:p>
      <w:pPr>
        <w:spacing w:line="460" w:lineRule="exact"/>
        <w:ind w:firstLine="2209" w:firstLineChars="500"/>
        <w:outlineLvl w:val="0"/>
        <w:rPr>
          <w:rFonts w:ascii="宋体" w:hAnsi="宋体" w:cs="宋体"/>
          <w:b/>
          <w:sz w:val="44"/>
          <w:szCs w:val="44"/>
        </w:rPr>
      </w:pPr>
    </w:p>
    <w:p>
      <w:pPr>
        <w:spacing w:line="460" w:lineRule="exact"/>
        <w:ind w:firstLine="2209" w:firstLineChars="500"/>
        <w:outlineLvl w:val="0"/>
        <w:rPr>
          <w:rFonts w:ascii="宋体" w:hAnsi="宋体" w:cs="宋体"/>
          <w:b/>
          <w:sz w:val="44"/>
          <w:szCs w:val="44"/>
        </w:rPr>
      </w:pPr>
      <w:r>
        <w:rPr>
          <w:rFonts w:hint="eastAsia" w:ascii="宋体" w:hAnsi="宋体" w:cs="宋体"/>
          <w:b/>
          <w:sz w:val="44"/>
          <w:szCs w:val="44"/>
        </w:rPr>
        <w:t>第一章竞争性磋商公告</w:t>
      </w:r>
    </w:p>
    <w:p>
      <w:pPr>
        <w:spacing w:line="460" w:lineRule="exact"/>
        <w:outlineLvl w:val="0"/>
        <w:rPr>
          <w:rFonts w:ascii="宋体" w:hAnsi="宋体" w:cs="宋体"/>
          <w:b/>
          <w:sz w:val="32"/>
          <w:szCs w:val="32"/>
        </w:rPr>
      </w:pPr>
    </w:p>
    <w:p>
      <w:pPr>
        <w:spacing w:line="460" w:lineRule="exact"/>
        <w:jc w:val="center"/>
        <w:outlineLvl w:val="0"/>
        <w:rPr>
          <w:rFonts w:hint="eastAsia" w:ascii="宋体" w:hAnsi="宋体" w:eastAsia="宋体" w:cs="宋体"/>
          <w:b/>
          <w:sz w:val="32"/>
          <w:szCs w:val="32"/>
          <w:lang w:val="en-US" w:eastAsia="zh-CN"/>
        </w:rPr>
      </w:pPr>
      <w:r>
        <w:rPr>
          <w:rFonts w:hint="eastAsia" w:ascii="宋体" w:hAnsi="宋体" w:cs="宋体"/>
          <w:b/>
          <w:sz w:val="32"/>
          <w:szCs w:val="32"/>
        </w:rPr>
        <w:t>策勒县农用地</w:t>
      </w:r>
      <w:r>
        <w:rPr>
          <w:rFonts w:hint="eastAsia" w:ascii="宋体" w:hAnsi="宋体" w:cs="宋体"/>
          <w:b/>
          <w:sz w:val="32"/>
          <w:szCs w:val="32"/>
          <w:lang w:val="en-US" w:eastAsia="zh-CN"/>
        </w:rPr>
        <w:t>土地</w:t>
      </w:r>
      <w:r>
        <w:rPr>
          <w:rFonts w:hint="eastAsia" w:ascii="宋体" w:hAnsi="宋体" w:cs="宋体"/>
          <w:b/>
          <w:sz w:val="32"/>
          <w:szCs w:val="32"/>
        </w:rPr>
        <w:t>定级与基准地价评估工作</w:t>
      </w:r>
      <w:r>
        <w:rPr>
          <w:rFonts w:hint="eastAsia" w:ascii="宋体" w:hAnsi="宋体" w:cs="宋体"/>
          <w:b/>
          <w:sz w:val="32"/>
          <w:szCs w:val="32"/>
          <w:lang w:val="en-US" w:eastAsia="zh-CN"/>
        </w:rPr>
        <w:t>项目</w:t>
      </w:r>
    </w:p>
    <w:p>
      <w:pPr>
        <w:spacing w:line="460" w:lineRule="exact"/>
        <w:jc w:val="center"/>
        <w:outlineLvl w:val="0"/>
        <w:rPr>
          <w:rFonts w:ascii="华文中宋" w:hAnsi="华文中宋"/>
          <w:b/>
          <w:sz w:val="22"/>
          <w:szCs w:val="21"/>
        </w:rPr>
      </w:pPr>
      <w:r>
        <w:rPr>
          <w:rFonts w:hint="eastAsia" w:ascii="宋体" w:hAnsi="宋体" w:cs="宋体"/>
          <w:b/>
          <w:sz w:val="32"/>
          <w:szCs w:val="32"/>
        </w:rPr>
        <w:t>竞争性磋商公告</w:t>
      </w:r>
    </w:p>
    <w:tbl>
      <w:tblPr>
        <w:tblStyle w:val="34"/>
        <w:tblpPr w:leftFromText="180" w:rightFromText="180" w:vertAnchor="text" w:horzAnchor="page" w:tblpXSpec="center" w:tblpY="270"/>
        <w:tblOverlap w:val="never"/>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286" w:type="dxa"/>
          </w:tcPr>
          <w:p>
            <w:pPr>
              <w:spacing w:line="460" w:lineRule="exact"/>
              <w:rPr>
                <w:sz w:val="24"/>
              </w:rPr>
            </w:pPr>
            <w:bookmarkStart w:id="2" w:name="_Hlk24379207"/>
            <w:r>
              <w:rPr>
                <w:rFonts w:hint="eastAsia"/>
                <w:sz w:val="24"/>
              </w:rPr>
              <w:t>采购概况：</w:t>
            </w:r>
          </w:p>
          <w:p>
            <w:pPr>
              <w:spacing w:line="460" w:lineRule="exact"/>
              <w:jc w:val="left"/>
              <w:rPr>
                <w:sz w:val="28"/>
                <w:szCs w:val="28"/>
              </w:rPr>
            </w:pPr>
            <w:r>
              <w:rPr>
                <w:rFonts w:hint="eastAsia"/>
                <w:sz w:val="24"/>
                <w:u w:val="single"/>
              </w:rPr>
              <w:t>策勒县农用地</w:t>
            </w:r>
            <w:r>
              <w:rPr>
                <w:rFonts w:hint="eastAsia"/>
                <w:sz w:val="24"/>
                <w:u w:val="single"/>
                <w:lang w:val="en-US" w:eastAsia="zh-CN"/>
              </w:rPr>
              <w:t>土地</w:t>
            </w:r>
            <w:r>
              <w:rPr>
                <w:rFonts w:hint="eastAsia"/>
                <w:sz w:val="24"/>
                <w:u w:val="single"/>
              </w:rPr>
              <w:t>定级与基准地价评估工作</w:t>
            </w:r>
            <w:r>
              <w:rPr>
                <w:rFonts w:hint="eastAsia"/>
                <w:sz w:val="24"/>
              </w:rPr>
              <w:t>的潜在供应商应在</w:t>
            </w:r>
            <w:r>
              <w:rPr>
                <w:rFonts w:hint="eastAsia" w:ascii="宋体" w:hAnsi="宋体" w:cs="宋体"/>
                <w:sz w:val="24"/>
                <w:u w:val="single"/>
              </w:rPr>
              <w:t>新疆政府采购网（http://www.ccgp-xinjiang.gov.cn/）</w:t>
            </w:r>
            <w:r>
              <w:rPr>
                <w:rFonts w:hint="eastAsia" w:ascii="宋体" w:hAnsi="宋体" w:cs="宋体"/>
                <w:sz w:val="24"/>
              </w:rPr>
              <w:t>获取</w:t>
            </w:r>
            <w:r>
              <w:rPr>
                <w:rFonts w:hint="eastAsia"/>
                <w:sz w:val="24"/>
              </w:rPr>
              <w:t>下载磋商响应文件，并</w:t>
            </w:r>
            <w:r>
              <w:rPr>
                <w:rFonts w:hint="eastAsia"/>
                <w:sz w:val="24"/>
                <w:u w:val="single"/>
              </w:rPr>
              <w:t>于2022年01月2</w:t>
            </w:r>
            <w:r>
              <w:rPr>
                <w:rFonts w:hint="eastAsia"/>
                <w:sz w:val="24"/>
                <w:u w:val="single"/>
                <w:lang w:val="en-US" w:eastAsia="zh-CN"/>
              </w:rPr>
              <w:t>4</w:t>
            </w:r>
            <w:r>
              <w:rPr>
                <w:rFonts w:hint="eastAsia"/>
                <w:sz w:val="24"/>
                <w:u w:val="single"/>
              </w:rPr>
              <w:t>日上午</w:t>
            </w:r>
            <w:r>
              <w:rPr>
                <w:rFonts w:hint="eastAsia"/>
                <w:sz w:val="24"/>
                <w:highlight w:val="none"/>
                <w:u w:val="single"/>
                <w:lang w:val="en-US" w:eastAsia="zh-CN"/>
              </w:rPr>
              <w:t>10</w:t>
            </w:r>
            <w:r>
              <w:rPr>
                <w:rFonts w:hint="eastAsia"/>
                <w:sz w:val="24"/>
                <w:u w:val="single"/>
              </w:rPr>
              <w:t>点30分</w:t>
            </w:r>
            <w:r>
              <w:rPr>
                <w:rFonts w:hint="eastAsia"/>
                <w:sz w:val="24"/>
              </w:rPr>
              <w:t>（北京时间）前递交投标文件。</w:t>
            </w:r>
          </w:p>
        </w:tc>
      </w:tr>
    </w:tbl>
    <w:p>
      <w:pPr>
        <w:spacing w:line="460" w:lineRule="exact"/>
        <w:rPr>
          <w:b/>
          <w:bCs/>
          <w:sz w:val="24"/>
        </w:rPr>
      </w:pPr>
      <w:bookmarkStart w:id="3" w:name="_Toc35393621"/>
      <w:bookmarkStart w:id="4" w:name="_Toc28359002"/>
      <w:bookmarkStart w:id="5" w:name="_Toc35393790"/>
      <w:bookmarkStart w:id="6" w:name="_Toc28359079"/>
      <w:r>
        <w:rPr>
          <w:rFonts w:hint="eastAsia"/>
          <w:b/>
          <w:bCs/>
          <w:sz w:val="24"/>
        </w:rPr>
        <w:t>一、项目基本情况</w:t>
      </w:r>
      <w:bookmarkEnd w:id="3"/>
      <w:bookmarkEnd w:id="4"/>
      <w:bookmarkEnd w:id="5"/>
      <w:bookmarkEnd w:id="6"/>
    </w:p>
    <w:p>
      <w:pPr>
        <w:spacing w:line="460" w:lineRule="exact"/>
        <w:rPr>
          <w:sz w:val="24"/>
        </w:rPr>
      </w:pPr>
      <w:r>
        <w:rPr>
          <w:rFonts w:hint="eastAsia"/>
          <w:sz w:val="24"/>
        </w:rPr>
        <w:t>采购</w:t>
      </w:r>
      <w:r>
        <w:rPr>
          <w:rFonts w:hint="eastAsia"/>
          <w:sz w:val="24"/>
          <w:lang w:val="zh-CN"/>
        </w:rPr>
        <w:t>编号</w:t>
      </w:r>
      <w:r>
        <w:rPr>
          <w:rFonts w:hint="eastAsia"/>
          <w:sz w:val="24"/>
        </w:rPr>
        <w:t>：</w:t>
      </w:r>
      <w:r>
        <w:rPr>
          <w:rFonts w:hint="eastAsia"/>
          <w:sz w:val="24"/>
          <w:lang w:val="en-US" w:eastAsia="zh-CN"/>
        </w:rPr>
        <w:t>2022-CLX</w:t>
      </w:r>
      <w:r>
        <w:rPr>
          <w:rFonts w:hint="eastAsia"/>
          <w:sz w:val="24"/>
        </w:rPr>
        <w:t>-</w:t>
      </w:r>
      <w:r>
        <w:rPr>
          <w:rFonts w:hint="eastAsia"/>
          <w:sz w:val="24"/>
          <w:lang w:val="en-US" w:eastAsia="zh-CN"/>
        </w:rPr>
        <w:t>002</w:t>
      </w:r>
      <w:r>
        <w:rPr>
          <w:rFonts w:hint="eastAsia"/>
          <w:sz w:val="24"/>
        </w:rPr>
        <w:t>号</w:t>
      </w:r>
    </w:p>
    <w:p>
      <w:pPr>
        <w:spacing w:line="460" w:lineRule="exact"/>
        <w:rPr>
          <w:rFonts w:hint="eastAsia" w:eastAsia="宋体"/>
          <w:sz w:val="24"/>
          <w:lang w:val="en-US" w:eastAsia="zh-CN"/>
        </w:rPr>
      </w:pPr>
      <w:r>
        <w:rPr>
          <w:rFonts w:hint="eastAsia"/>
          <w:sz w:val="24"/>
        </w:rPr>
        <w:t>采购名称：</w:t>
      </w:r>
      <w:bookmarkEnd w:id="2"/>
      <w:r>
        <w:rPr>
          <w:rFonts w:hint="eastAsia"/>
          <w:sz w:val="24"/>
        </w:rPr>
        <w:t>策勒县农用地</w:t>
      </w:r>
      <w:r>
        <w:rPr>
          <w:rFonts w:hint="eastAsia"/>
          <w:sz w:val="24"/>
          <w:lang w:val="en-US" w:eastAsia="zh-CN"/>
        </w:rPr>
        <w:t>土地</w:t>
      </w:r>
      <w:r>
        <w:rPr>
          <w:rFonts w:hint="eastAsia"/>
          <w:sz w:val="24"/>
        </w:rPr>
        <w:t>定级与基准地价评估工作</w:t>
      </w:r>
      <w:r>
        <w:rPr>
          <w:rFonts w:hint="eastAsia"/>
          <w:sz w:val="24"/>
          <w:lang w:val="en-US" w:eastAsia="zh-CN"/>
        </w:rPr>
        <w:t>项目</w:t>
      </w:r>
    </w:p>
    <w:p>
      <w:pPr>
        <w:spacing w:line="460" w:lineRule="exact"/>
        <w:rPr>
          <w:sz w:val="24"/>
        </w:rPr>
      </w:pPr>
      <w:r>
        <w:rPr>
          <w:rFonts w:hint="eastAsia"/>
          <w:sz w:val="24"/>
        </w:rPr>
        <w:t>采购方式：竞争性磋商</w:t>
      </w:r>
    </w:p>
    <w:p>
      <w:pPr>
        <w:spacing w:line="460" w:lineRule="exact"/>
        <w:jc w:val="left"/>
        <w:rPr>
          <w:sz w:val="24"/>
        </w:rPr>
      </w:pPr>
      <w:r>
        <w:rPr>
          <w:rFonts w:hint="eastAsia"/>
          <w:sz w:val="24"/>
        </w:rPr>
        <w:t xml:space="preserve">预算金额：35万元                                                       </w:t>
      </w:r>
    </w:p>
    <w:p>
      <w:pPr>
        <w:spacing w:line="460" w:lineRule="exact"/>
        <w:jc w:val="left"/>
        <w:rPr>
          <w:sz w:val="24"/>
        </w:rPr>
      </w:pPr>
      <w:r>
        <w:rPr>
          <w:rFonts w:hint="eastAsia" w:ascii="宋体" w:hAnsi="宋体" w:cs="宋体"/>
          <w:sz w:val="24"/>
        </w:rPr>
        <w:t>最高限价</w:t>
      </w:r>
      <w:r>
        <w:rPr>
          <w:rFonts w:hint="eastAsia"/>
          <w:sz w:val="24"/>
        </w:rPr>
        <w:t>：35万元</w:t>
      </w:r>
    </w:p>
    <w:p>
      <w:pPr>
        <w:spacing w:line="480" w:lineRule="exact"/>
        <w:rPr>
          <w:sz w:val="24"/>
        </w:rPr>
      </w:pPr>
      <w:r>
        <w:rPr>
          <w:rFonts w:hint="eastAsia"/>
          <w:sz w:val="24"/>
        </w:rPr>
        <w:t>采购需求：</w:t>
      </w:r>
      <w:bookmarkStart w:id="7" w:name="_Toc35393791"/>
      <w:bookmarkStart w:id="8" w:name="_Toc28359080"/>
      <w:bookmarkStart w:id="9" w:name="_Toc35393622"/>
      <w:bookmarkStart w:id="10" w:name="_Toc28359003"/>
      <w:r>
        <w:rPr>
          <w:rFonts w:hint="eastAsia"/>
          <w:sz w:val="24"/>
        </w:rPr>
        <w:t>按照有关《规程》的要求，完成策勒县</w:t>
      </w:r>
      <w:r>
        <w:rPr>
          <w:rFonts w:hint="eastAsia"/>
          <w:color w:val="auto"/>
          <w:sz w:val="24"/>
          <w:highlight w:val="none"/>
        </w:rPr>
        <w:t>农用地定级</w:t>
      </w:r>
      <w:r>
        <w:rPr>
          <w:rFonts w:hint="eastAsia"/>
          <w:sz w:val="24"/>
        </w:rPr>
        <w:t>工作、基准地价评估工作，建立策勒县农用地基准地价修正体系；</w:t>
      </w:r>
    </w:p>
    <w:p>
      <w:pPr>
        <w:spacing w:line="480" w:lineRule="exact"/>
        <w:rPr>
          <w:color w:val="auto"/>
          <w:sz w:val="24"/>
          <w:highlight w:val="none"/>
        </w:rPr>
      </w:pPr>
      <w:r>
        <w:rPr>
          <w:rFonts w:hint="eastAsia"/>
          <w:sz w:val="24"/>
        </w:rPr>
        <w:t>服</w:t>
      </w:r>
      <w:r>
        <w:rPr>
          <w:rFonts w:hint="eastAsia"/>
          <w:color w:val="auto"/>
          <w:sz w:val="24"/>
          <w:highlight w:val="none"/>
        </w:rPr>
        <w:t>务期：</w:t>
      </w:r>
      <w:r>
        <w:rPr>
          <w:rFonts w:ascii="宋体" w:hAnsi="宋体" w:cs="宋体"/>
          <w:kern w:val="0"/>
          <w:sz w:val="24"/>
        </w:rPr>
        <w:t>具体以签订合同为主</w:t>
      </w:r>
      <w:bookmarkStart w:id="85" w:name="_GoBack"/>
      <w:bookmarkEnd w:id="85"/>
      <w:r>
        <w:rPr>
          <w:rFonts w:hint="eastAsia"/>
          <w:color w:val="auto"/>
          <w:sz w:val="24"/>
          <w:highlight w:val="none"/>
        </w:rPr>
        <w:t>。</w:t>
      </w:r>
    </w:p>
    <w:p>
      <w:pPr>
        <w:spacing w:line="460" w:lineRule="exact"/>
        <w:rPr>
          <w:color w:val="auto"/>
          <w:sz w:val="24"/>
          <w:highlight w:val="none"/>
        </w:rPr>
      </w:pPr>
      <w:r>
        <w:rPr>
          <w:rFonts w:hint="eastAsia"/>
          <w:color w:val="auto"/>
          <w:sz w:val="24"/>
          <w:highlight w:val="none"/>
        </w:rPr>
        <w:t>本项目不接受联合体投标</w:t>
      </w:r>
    </w:p>
    <w:p>
      <w:pPr>
        <w:numPr>
          <w:ilvl w:val="0"/>
          <w:numId w:val="1"/>
        </w:numPr>
        <w:spacing w:line="480" w:lineRule="exact"/>
        <w:rPr>
          <w:rFonts w:ascii="仿宋" w:hAnsi="仿宋" w:eastAsia="仿宋" w:cs="仿宋"/>
          <w:color w:val="000000"/>
          <w:sz w:val="24"/>
        </w:rPr>
      </w:pPr>
      <w:r>
        <w:rPr>
          <w:rFonts w:hint="eastAsia"/>
          <w:sz w:val="24"/>
        </w:rPr>
        <w:t>供应商的资格要求</w:t>
      </w:r>
      <w:bookmarkEnd w:id="7"/>
      <w:bookmarkEnd w:id="8"/>
      <w:bookmarkEnd w:id="9"/>
      <w:bookmarkEnd w:id="10"/>
      <w:bookmarkStart w:id="11" w:name="_Toc28359004"/>
      <w:bookmarkStart w:id="12" w:name="_Toc28359081"/>
      <w:r>
        <w:rPr>
          <w:rFonts w:hint="eastAsia"/>
          <w:sz w:val="24"/>
        </w:rPr>
        <w:t>：</w:t>
      </w:r>
    </w:p>
    <w:bookmarkEnd w:id="11"/>
    <w:bookmarkEnd w:id="12"/>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outlineLvl w:val="9"/>
        <w:rPr>
          <w:rFonts w:hint="eastAsia"/>
          <w:b w:val="0"/>
          <w:bCs w:val="0"/>
          <w:sz w:val="24"/>
        </w:rPr>
      </w:pPr>
      <w:r>
        <w:rPr>
          <w:rFonts w:hint="eastAsia"/>
          <w:b w:val="0"/>
          <w:bCs w:val="0"/>
          <w:sz w:val="24"/>
        </w:rPr>
        <w:t>满足《中华人民共和国政府采购法》第二十二条要求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Times New Roman" w:hAnsi="Times New Roman" w:cs="Times New Roman"/>
          <w:b w:val="0"/>
          <w:bCs w:val="0"/>
          <w:sz w:val="24"/>
          <w:lang w:val="en-US" w:eastAsia="zh-CN"/>
        </w:rPr>
      </w:pPr>
      <w:r>
        <w:rPr>
          <w:rFonts w:hint="eastAsia"/>
          <w:b w:val="0"/>
          <w:bCs w:val="0"/>
          <w:sz w:val="24"/>
          <w:lang w:eastAsia="zh-CN"/>
        </w:rPr>
        <w:t>（</w:t>
      </w:r>
      <w:r>
        <w:rPr>
          <w:rFonts w:hint="eastAsia"/>
          <w:b w:val="0"/>
          <w:bCs w:val="0"/>
          <w:sz w:val="24"/>
          <w:lang w:val="en-US" w:eastAsia="zh-CN"/>
        </w:rPr>
        <w:t>2</w:t>
      </w:r>
      <w:r>
        <w:rPr>
          <w:rFonts w:hint="eastAsia"/>
          <w:b w:val="0"/>
          <w:bCs w:val="0"/>
          <w:sz w:val="24"/>
          <w:lang w:eastAsia="zh-CN"/>
        </w:rPr>
        <w:t>）</w:t>
      </w:r>
      <w:r>
        <w:rPr>
          <w:rFonts w:hint="eastAsia" w:ascii="Times New Roman" w:hAnsi="Times New Roman" w:cs="Times New Roman"/>
          <w:b w:val="0"/>
          <w:bCs w:val="0"/>
          <w:sz w:val="24"/>
          <w:lang w:val="en-US" w:eastAsia="zh-CN"/>
        </w:rPr>
        <w:t>落实政府采购政策需满足的资格要求：（中小企业优惠、监狱企业、节能产品、环境标志产品等，（一）财政部、国家发展改革委《关于印发《节能产品政府采购实施意见》的通知》（财库〔2004〕185号文）；（二）《财政部发展改革委 生态环境部 市场监管总局关于调整优化节能产品 环境标志产品政府采购执行机制的通知》（财库〔2019〕9号）；（三）财政部、工业和信息化部《关于印发《政府采购促进中小企业展暂行办法》的通知》（财库〔2011〕46号文）；（四）财政部、民政部、中国残疾人联合会《关于促进残疾人就业政府采购政策的通知》（财库〔2017〕141号）；（五）财政部、司法部《关于政府采购支持监狱企业发展有关问题的通知》（财库〔2014〕68号文）</w:t>
      </w:r>
    </w:p>
    <w:p>
      <w:pPr>
        <w:spacing w:line="360" w:lineRule="auto"/>
        <w:rPr>
          <w:b w:val="0"/>
          <w:bCs w:val="0"/>
          <w:sz w:val="24"/>
        </w:rPr>
      </w:pPr>
      <w:r>
        <w:rPr>
          <w:rFonts w:hint="eastAsia"/>
          <w:b w:val="0"/>
          <w:bCs w:val="0"/>
          <w:sz w:val="24"/>
          <w:lang w:eastAsia="zh-CN"/>
        </w:rPr>
        <w:t>（</w:t>
      </w:r>
      <w:r>
        <w:rPr>
          <w:rFonts w:hint="eastAsia"/>
          <w:b w:val="0"/>
          <w:bCs w:val="0"/>
          <w:sz w:val="24"/>
          <w:lang w:val="en-US" w:eastAsia="zh-CN"/>
        </w:rPr>
        <w:t>3</w:t>
      </w:r>
      <w:r>
        <w:rPr>
          <w:rFonts w:hint="eastAsia"/>
          <w:b w:val="0"/>
          <w:bCs w:val="0"/>
          <w:sz w:val="24"/>
          <w:lang w:eastAsia="zh-CN"/>
        </w:rPr>
        <w:t>）</w:t>
      </w:r>
      <w:r>
        <w:rPr>
          <w:rFonts w:hint="eastAsia"/>
          <w:b w:val="0"/>
          <w:bCs w:val="0"/>
          <w:sz w:val="24"/>
        </w:rPr>
        <w:t>需具有独立法人资格，有独立承担民事行为责任的能力；三年内无违法违规等不良记录；具有良好的社会和商业信誉及履约能力；具有健全的财务会计制度和依法纳税及社会保障资金的良好记录；</w:t>
      </w:r>
    </w:p>
    <w:p>
      <w:pPr>
        <w:spacing w:line="360" w:lineRule="auto"/>
        <w:rPr>
          <w:b w:val="0"/>
          <w:bCs w:val="0"/>
          <w:sz w:val="24"/>
        </w:rPr>
      </w:pPr>
      <w:r>
        <w:rPr>
          <w:rFonts w:hint="eastAsia"/>
          <w:b w:val="0"/>
          <w:bCs w:val="0"/>
          <w:sz w:val="24"/>
        </w:rPr>
        <w:t>（</w:t>
      </w:r>
      <w:r>
        <w:rPr>
          <w:rFonts w:hint="eastAsia"/>
          <w:b w:val="0"/>
          <w:bCs w:val="0"/>
          <w:sz w:val="24"/>
          <w:lang w:val="en-US" w:eastAsia="zh-CN"/>
        </w:rPr>
        <w:t>4</w:t>
      </w:r>
      <w:r>
        <w:rPr>
          <w:rFonts w:hint="eastAsia"/>
          <w:b w:val="0"/>
          <w:bCs w:val="0"/>
          <w:sz w:val="24"/>
        </w:rPr>
        <w:t>）供应商应提供具有合法有效的营业执照复印件（加盖公章），经营范围包括本次招标的内容；</w:t>
      </w:r>
    </w:p>
    <w:p>
      <w:pPr>
        <w:spacing w:line="360" w:lineRule="auto"/>
        <w:rPr>
          <w:b w:val="0"/>
          <w:bCs w:val="0"/>
          <w:color w:val="auto"/>
          <w:sz w:val="24"/>
          <w:highlight w:val="none"/>
        </w:rPr>
      </w:pPr>
      <w:r>
        <w:rPr>
          <w:rFonts w:hint="eastAsia"/>
          <w:b w:val="0"/>
          <w:bCs w:val="0"/>
          <w:sz w:val="24"/>
        </w:rPr>
        <w:t>（</w:t>
      </w:r>
      <w:r>
        <w:rPr>
          <w:rFonts w:hint="eastAsia"/>
          <w:b w:val="0"/>
          <w:bCs w:val="0"/>
          <w:sz w:val="24"/>
          <w:lang w:val="en-US" w:eastAsia="zh-CN"/>
        </w:rPr>
        <w:t>5</w:t>
      </w:r>
      <w:r>
        <w:rPr>
          <w:rFonts w:hint="eastAsia"/>
          <w:b w:val="0"/>
          <w:bCs w:val="0"/>
          <w:sz w:val="24"/>
        </w:rPr>
        <w:t>）法人提供法人身份证明文件及身份证、法人委托人须提供法人代表授权书（授权书需附法人</w:t>
      </w:r>
      <w:r>
        <w:rPr>
          <w:rFonts w:hint="eastAsia"/>
          <w:b w:val="0"/>
          <w:bCs w:val="0"/>
          <w:color w:val="auto"/>
          <w:sz w:val="24"/>
          <w:highlight w:val="none"/>
        </w:rPr>
        <w:t>身份证及委托人身份证复印件）及委托人身份证；</w:t>
      </w:r>
    </w:p>
    <w:p>
      <w:pPr>
        <w:spacing w:line="360" w:lineRule="auto"/>
        <w:rPr>
          <w:b w:val="0"/>
          <w:bCs w:val="0"/>
          <w:color w:val="auto"/>
          <w:sz w:val="24"/>
          <w:highlight w:val="none"/>
        </w:rPr>
      </w:pPr>
      <w:r>
        <w:rPr>
          <w:rFonts w:hint="eastAsia"/>
          <w:b w:val="0"/>
          <w:bCs w:val="0"/>
          <w:color w:val="auto"/>
          <w:sz w:val="24"/>
          <w:highlight w:val="none"/>
        </w:rPr>
        <w:t>（</w:t>
      </w:r>
      <w:r>
        <w:rPr>
          <w:rFonts w:hint="eastAsia"/>
          <w:b w:val="0"/>
          <w:bCs w:val="0"/>
          <w:color w:val="auto"/>
          <w:sz w:val="24"/>
          <w:highlight w:val="none"/>
          <w:lang w:val="en-US" w:eastAsia="zh-CN"/>
        </w:rPr>
        <w:t>6</w:t>
      </w:r>
      <w:r>
        <w:rPr>
          <w:rFonts w:hint="eastAsia"/>
          <w:b w:val="0"/>
          <w:bCs w:val="0"/>
          <w:color w:val="auto"/>
          <w:sz w:val="24"/>
          <w:highlight w:val="none"/>
        </w:rPr>
        <w:t>）具有自治区国土资源厅发出的土地估价机构备案函；</w:t>
      </w:r>
    </w:p>
    <w:p>
      <w:pPr>
        <w:spacing w:line="360" w:lineRule="auto"/>
        <w:rPr>
          <w:rFonts w:ascii="宋体" w:hAnsi="宋体"/>
          <w:b w:val="0"/>
          <w:bCs w:val="0"/>
          <w:color w:val="auto"/>
          <w:sz w:val="24"/>
          <w:highlight w:val="none"/>
          <w:u w:val="none"/>
        </w:rPr>
      </w:pPr>
      <w:r>
        <w:rPr>
          <w:rFonts w:hint="eastAsia" w:ascii="宋体" w:hAnsi="宋体"/>
          <w:b w:val="0"/>
          <w:bCs w:val="0"/>
          <w:color w:val="auto"/>
          <w:sz w:val="24"/>
          <w:highlight w:val="none"/>
          <w:u w:val="none"/>
        </w:rPr>
        <w:t>（</w:t>
      </w:r>
      <w:r>
        <w:rPr>
          <w:rFonts w:hint="eastAsia" w:ascii="宋体" w:hAnsi="宋体"/>
          <w:b w:val="0"/>
          <w:bCs w:val="0"/>
          <w:color w:val="auto"/>
          <w:sz w:val="24"/>
          <w:highlight w:val="none"/>
          <w:u w:val="none"/>
          <w:lang w:val="en-US" w:eastAsia="zh-CN"/>
        </w:rPr>
        <w:t>7</w:t>
      </w:r>
      <w:r>
        <w:rPr>
          <w:rFonts w:hint="eastAsia" w:ascii="宋体" w:hAnsi="宋体"/>
          <w:b w:val="0"/>
          <w:bCs w:val="0"/>
          <w:color w:val="auto"/>
          <w:sz w:val="24"/>
          <w:highlight w:val="none"/>
          <w:u w:val="none"/>
        </w:rPr>
        <w:t>）提供供应商近段时间内至少近3个月的缴纳税收的完税证明或税务部门出具的纳税证明；如依法免税的，应提供相应文件证明；</w:t>
      </w:r>
    </w:p>
    <w:p>
      <w:pPr>
        <w:spacing w:line="360" w:lineRule="auto"/>
        <w:rPr>
          <w:b w:val="0"/>
          <w:bCs w:val="0"/>
          <w:sz w:val="24"/>
        </w:rPr>
      </w:pPr>
      <w:r>
        <w:rPr>
          <w:rFonts w:hint="eastAsia"/>
          <w:b w:val="0"/>
          <w:bCs w:val="0"/>
          <w:sz w:val="24"/>
        </w:rPr>
        <w:t>（</w:t>
      </w:r>
      <w:r>
        <w:rPr>
          <w:rFonts w:hint="eastAsia"/>
          <w:b w:val="0"/>
          <w:bCs w:val="0"/>
          <w:sz w:val="24"/>
          <w:lang w:val="en-US" w:eastAsia="zh-CN"/>
        </w:rPr>
        <w:t>8</w:t>
      </w:r>
      <w:r>
        <w:rPr>
          <w:rFonts w:hint="eastAsia"/>
          <w:b w:val="0"/>
          <w:bCs w:val="0"/>
          <w:sz w:val="24"/>
        </w:rPr>
        <w:t>）凡拟参加本次采购项目的供应商，如在“中国裁判文书网”网站（http://wenshu.court.gov.cn）、“信用中国”网站（www.creditchina.gov.cn）、中国政府采购网（www.ccgp.gov.cn）、“国家企业信用信息公示系统（http://www.gsxt.gov.cn）”中有行贿犯罪档案记录、被列入失信被执行人、重大税收违法案件当事人名单、政府采购严重违法失信行为记录名单的（至本公告在规定媒体发出之日止，经查询尚在处罚期内的），将拒绝其参加本次政府采购活动（开标现场查验）；</w:t>
      </w:r>
    </w:p>
    <w:p>
      <w:pPr>
        <w:spacing w:line="360" w:lineRule="auto"/>
        <w:rPr>
          <w:b w:val="0"/>
          <w:bCs w:val="0"/>
          <w:sz w:val="24"/>
        </w:rPr>
      </w:pPr>
      <w:r>
        <w:rPr>
          <w:rFonts w:hint="eastAsia"/>
          <w:b w:val="0"/>
          <w:bCs w:val="0"/>
          <w:sz w:val="24"/>
        </w:rPr>
        <w:t>（</w:t>
      </w:r>
      <w:r>
        <w:rPr>
          <w:rFonts w:hint="eastAsia"/>
          <w:b w:val="0"/>
          <w:bCs w:val="0"/>
          <w:sz w:val="24"/>
          <w:lang w:val="en-US" w:eastAsia="zh-CN"/>
        </w:rPr>
        <w:t>9</w:t>
      </w:r>
      <w:r>
        <w:rPr>
          <w:rFonts w:hint="eastAsia"/>
          <w:b w:val="0"/>
          <w:bCs w:val="0"/>
          <w:sz w:val="24"/>
        </w:rPr>
        <w:t>）与招标人存在利害关系可能影响采购公正性的法人、其他组织或者个人，不得参加投标；</w:t>
      </w:r>
    </w:p>
    <w:p>
      <w:pPr>
        <w:spacing w:line="360" w:lineRule="auto"/>
        <w:rPr>
          <w:b/>
          <w:bCs/>
          <w:sz w:val="24"/>
        </w:rPr>
      </w:pPr>
      <w:r>
        <w:rPr>
          <w:rFonts w:hint="eastAsia"/>
          <w:b w:val="0"/>
          <w:bCs w:val="0"/>
          <w:sz w:val="24"/>
        </w:rPr>
        <w:t>（</w:t>
      </w:r>
      <w:r>
        <w:rPr>
          <w:rFonts w:hint="eastAsia"/>
          <w:b w:val="0"/>
          <w:bCs w:val="0"/>
          <w:sz w:val="24"/>
          <w:lang w:val="en-US" w:eastAsia="zh-CN"/>
        </w:rPr>
        <w:t>10</w:t>
      </w:r>
      <w:r>
        <w:rPr>
          <w:rFonts w:hint="eastAsia"/>
          <w:b w:val="0"/>
          <w:bCs w:val="0"/>
          <w:sz w:val="24"/>
        </w:rPr>
        <w:t>）单位负责人为同一人或者存在控股、管理关系的不同单位，不得参加同一标段投标或者未划分标段的同一采购项目投标。违反前两款规定的，相关投标均无效。</w:t>
      </w:r>
    </w:p>
    <w:p>
      <w:pPr>
        <w:spacing w:line="360" w:lineRule="auto"/>
        <w:rPr>
          <w:b/>
          <w:bCs/>
          <w:sz w:val="24"/>
        </w:rPr>
      </w:pPr>
      <w:r>
        <w:rPr>
          <w:rFonts w:hint="eastAsia"/>
          <w:b/>
          <w:bCs/>
          <w:sz w:val="24"/>
        </w:rPr>
        <w:t>三、获取招标文件</w:t>
      </w:r>
    </w:p>
    <w:p>
      <w:pPr>
        <w:spacing w:line="460" w:lineRule="exact"/>
        <w:ind w:firstLine="480" w:firstLineChars="200"/>
        <w:rPr>
          <w:sz w:val="24"/>
        </w:rPr>
      </w:pPr>
      <w:bookmarkStart w:id="13" w:name="_Toc28359082"/>
      <w:bookmarkStart w:id="14" w:name="_Toc28359005"/>
      <w:bookmarkStart w:id="15" w:name="_Toc35393624"/>
      <w:bookmarkStart w:id="16" w:name="_Toc35393793"/>
      <w:r>
        <w:rPr>
          <w:rFonts w:hint="eastAsia"/>
          <w:sz w:val="24"/>
        </w:rPr>
        <w:t>时 间：2022年1月1</w:t>
      </w:r>
      <w:r>
        <w:rPr>
          <w:rFonts w:hint="eastAsia"/>
          <w:sz w:val="24"/>
          <w:lang w:val="en-US" w:eastAsia="zh-CN"/>
        </w:rPr>
        <w:t>2</w:t>
      </w:r>
      <w:r>
        <w:rPr>
          <w:rFonts w:hint="eastAsia"/>
          <w:sz w:val="24"/>
        </w:rPr>
        <w:t>日至2022年01月2</w:t>
      </w:r>
      <w:r>
        <w:rPr>
          <w:rFonts w:hint="eastAsia"/>
          <w:sz w:val="24"/>
          <w:lang w:val="en-US" w:eastAsia="zh-CN"/>
        </w:rPr>
        <w:t>3</w:t>
      </w:r>
      <w:r>
        <w:rPr>
          <w:rFonts w:hint="eastAsia"/>
          <w:sz w:val="24"/>
        </w:rPr>
        <w:t>日，每天上午00:00至12:00，下午12:00至23:59（北京时间，法定节假日除外）</w:t>
      </w:r>
    </w:p>
    <w:p>
      <w:pPr>
        <w:spacing w:line="460" w:lineRule="exact"/>
        <w:ind w:firstLine="480" w:firstLineChars="200"/>
        <w:rPr>
          <w:sz w:val="24"/>
        </w:rPr>
      </w:pPr>
      <w:r>
        <w:rPr>
          <w:rFonts w:hint="eastAsia"/>
          <w:sz w:val="24"/>
        </w:rPr>
        <w:t>地 点：新疆政府采购网下载（http://www.ccgp-xinjiang.gov.cn/)</w:t>
      </w:r>
    </w:p>
    <w:p>
      <w:pPr>
        <w:spacing w:line="460" w:lineRule="exact"/>
        <w:ind w:firstLine="480" w:firstLineChars="200"/>
        <w:rPr>
          <w:sz w:val="24"/>
        </w:rPr>
      </w:pPr>
      <w:r>
        <w:rPr>
          <w:rFonts w:hint="eastAsia"/>
          <w:sz w:val="24"/>
        </w:rPr>
        <w:t>方 式：投标企业自行登录新疆政府采购网官网（http://www.cc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  </w:t>
      </w:r>
    </w:p>
    <w:p>
      <w:pPr>
        <w:spacing w:line="460" w:lineRule="exact"/>
        <w:ind w:firstLine="480" w:firstLineChars="200"/>
        <w:rPr>
          <w:sz w:val="24"/>
        </w:rPr>
      </w:pPr>
      <w:r>
        <w:rPr>
          <w:rFonts w:hint="eastAsia"/>
          <w:sz w:val="24"/>
        </w:rPr>
        <w:t>售 价（元）：0</w:t>
      </w:r>
    </w:p>
    <w:p>
      <w:pPr>
        <w:spacing w:line="460" w:lineRule="exact"/>
        <w:rPr>
          <w:b/>
          <w:bCs/>
          <w:sz w:val="24"/>
        </w:rPr>
      </w:pPr>
      <w:r>
        <w:rPr>
          <w:rFonts w:hint="eastAsia"/>
          <w:b/>
          <w:bCs/>
          <w:sz w:val="24"/>
        </w:rPr>
        <w:t>四、提交响应文件</w:t>
      </w:r>
      <w:bookmarkEnd w:id="13"/>
      <w:bookmarkEnd w:id="14"/>
      <w:r>
        <w:rPr>
          <w:rFonts w:hint="eastAsia"/>
          <w:b/>
          <w:bCs/>
          <w:sz w:val="24"/>
        </w:rPr>
        <w:t>截止时间、开标时间和地点</w:t>
      </w:r>
      <w:bookmarkEnd w:id="15"/>
      <w:bookmarkEnd w:id="16"/>
    </w:p>
    <w:p>
      <w:pPr>
        <w:spacing w:line="460" w:lineRule="exact"/>
        <w:ind w:firstLine="480" w:firstLineChars="200"/>
        <w:rPr>
          <w:sz w:val="24"/>
        </w:rPr>
      </w:pPr>
      <w:r>
        <w:rPr>
          <w:rFonts w:hint="eastAsia"/>
          <w:sz w:val="24"/>
        </w:rPr>
        <w:t>时 间：2022年01月</w:t>
      </w:r>
      <w:r>
        <w:rPr>
          <w:rFonts w:hint="eastAsia"/>
          <w:color w:val="auto"/>
          <w:sz w:val="24"/>
        </w:rPr>
        <w:t>2</w:t>
      </w:r>
      <w:r>
        <w:rPr>
          <w:rFonts w:hint="eastAsia"/>
          <w:color w:val="auto"/>
          <w:sz w:val="24"/>
          <w:lang w:val="en-US" w:eastAsia="zh-CN"/>
        </w:rPr>
        <w:t>4</w:t>
      </w:r>
      <w:r>
        <w:rPr>
          <w:rFonts w:hint="eastAsia"/>
          <w:color w:val="auto"/>
          <w:sz w:val="24"/>
        </w:rPr>
        <w:t>日10点30分（</w:t>
      </w:r>
      <w:r>
        <w:rPr>
          <w:rFonts w:hint="eastAsia"/>
          <w:sz w:val="24"/>
        </w:rPr>
        <w:t>北京时间）</w:t>
      </w:r>
    </w:p>
    <w:p>
      <w:pPr>
        <w:spacing w:line="460" w:lineRule="exact"/>
        <w:ind w:firstLine="480" w:firstLineChars="200"/>
        <w:rPr>
          <w:sz w:val="24"/>
        </w:rPr>
      </w:pPr>
      <w:r>
        <w:rPr>
          <w:rFonts w:hint="eastAsia"/>
          <w:sz w:val="24"/>
        </w:rPr>
        <w:t>地 点：策勒县石榴花社区经五路21号（策勒县石榴花夜市以北，策勒县第四小学以南665县道东侧）</w:t>
      </w:r>
    </w:p>
    <w:p>
      <w:pPr>
        <w:spacing w:line="460" w:lineRule="exact"/>
        <w:rPr>
          <w:b/>
          <w:bCs/>
          <w:sz w:val="24"/>
        </w:rPr>
      </w:pPr>
      <w:bookmarkStart w:id="17" w:name="_Toc28359007"/>
      <w:bookmarkStart w:id="18" w:name="_Toc35393794"/>
      <w:bookmarkStart w:id="19" w:name="_Toc35393625"/>
      <w:bookmarkStart w:id="20" w:name="_Toc28359084"/>
      <w:r>
        <w:rPr>
          <w:rFonts w:hint="eastAsia"/>
          <w:b/>
          <w:bCs/>
          <w:sz w:val="24"/>
        </w:rPr>
        <w:t>五、公告期限</w:t>
      </w:r>
      <w:bookmarkEnd w:id="17"/>
      <w:bookmarkEnd w:id="18"/>
      <w:bookmarkEnd w:id="19"/>
      <w:bookmarkEnd w:id="20"/>
    </w:p>
    <w:p>
      <w:pPr>
        <w:spacing w:line="460" w:lineRule="exact"/>
        <w:ind w:firstLine="480" w:firstLineChars="200"/>
        <w:rPr>
          <w:sz w:val="24"/>
        </w:rPr>
      </w:pPr>
      <w:r>
        <w:rPr>
          <w:rFonts w:hint="eastAsia"/>
          <w:sz w:val="24"/>
        </w:rPr>
        <w:t>自本公告发布之日起</w:t>
      </w:r>
      <w:r>
        <w:rPr>
          <w:rFonts w:hint="eastAsia"/>
          <w:sz w:val="24"/>
          <w:lang w:val="en-US" w:eastAsia="zh-CN"/>
        </w:rPr>
        <w:t>3</w:t>
      </w:r>
      <w:r>
        <w:rPr>
          <w:rFonts w:hint="eastAsia"/>
          <w:sz w:val="24"/>
        </w:rPr>
        <w:t>个工作日。</w:t>
      </w:r>
    </w:p>
    <w:p>
      <w:pPr>
        <w:numPr>
          <w:ilvl w:val="0"/>
          <w:numId w:val="3"/>
        </w:numPr>
        <w:spacing w:line="420" w:lineRule="exact"/>
        <w:rPr>
          <w:sz w:val="24"/>
        </w:rPr>
      </w:pPr>
      <w:bookmarkStart w:id="21" w:name="_Toc35393626"/>
      <w:bookmarkStart w:id="22" w:name="_Toc35393795"/>
      <w:r>
        <w:rPr>
          <w:rFonts w:hint="eastAsia"/>
          <w:b/>
          <w:bCs/>
          <w:sz w:val="24"/>
        </w:rPr>
        <w:t>其他补充事宜</w:t>
      </w:r>
      <w:bookmarkEnd w:id="21"/>
      <w:bookmarkEnd w:id="22"/>
      <w:bookmarkStart w:id="23" w:name="_Toc28359085"/>
      <w:bookmarkStart w:id="24" w:name="_Toc35393796"/>
      <w:bookmarkStart w:id="25" w:name="_Toc28359008"/>
      <w:bookmarkStart w:id="26" w:name="_Toc35393627"/>
      <w:r>
        <w:rPr>
          <w:rFonts w:hint="eastAsia"/>
          <w:sz w:val="24"/>
        </w:rPr>
        <w:br w:type="textWrapping"/>
      </w:r>
      <w:r>
        <w:rPr>
          <w:rFonts w:hint="eastAsia"/>
          <w:sz w:val="24"/>
        </w:rPr>
        <w:t xml:space="preserve">    本项目公告期限为</w:t>
      </w:r>
      <w:r>
        <w:rPr>
          <w:rFonts w:hint="eastAsia"/>
          <w:sz w:val="24"/>
          <w:lang w:eastAsia="zh-CN"/>
        </w:rPr>
        <w:t>三</w:t>
      </w:r>
      <w:r>
        <w:rPr>
          <w:rFonts w:hint="eastAsia"/>
          <w:sz w:val="24"/>
        </w:rPr>
        <w:t>个工作日，供应单位认为磋商响应文件使自己的权益受到损害的，可以自收到磋商响应文件之日（发售截止日之后收到磋商响应文件的，以发售截止日为准）或者磋商响应文件公告期限届满之日起7个工作日内，以书面形式向采购人和采购代理机构提出质疑。分散采购限额标准以上的项目，质疑供应单位对采购人、采购代理机构的答复不满意或者采购人、采购代理机构未在规定的时间内作出答复的，可以在答复期满后十五个工作日内向同级政府采购监督管理部门投诉。</w:t>
      </w:r>
    </w:p>
    <w:p>
      <w:pPr>
        <w:pStyle w:val="6"/>
        <w:numPr>
          <w:ilvl w:val="0"/>
          <w:numId w:val="3"/>
        </w:numPr>
        <w:rPr>
          <w:b/>
          <w:bCs/>
          <w:kern w:val="2"/>
        </w:rPr>
      </w:pPr>
      <w:r>
        <w:rPr>
          <w:rFonts w:hint="eastAsia"/>
          <w:b/>
          <w:bCs/>
          <w:kern w:val="2"/>
        </w:rPr>
        <w:t>投标保证金</w:t>
      </w:r>
    </w:p>
    <w:tbl>
      <w:tblPr>
        <w:tblStyle w:val="33"/>
        <w:tblW w:w="9609" w:type="dxa"/>
        <w:jc w:val="center"/>
        <w:tblInd w:w="0" w:type="dxa"/>
        <w:tblLayout w:type="fixed"/>
        <w:tblCellMar>
          <w:top w:w="15" w:type="dxa"/>
          <w:left w:w="15" w:type="dxa"/>
          <w:bottom w:w="15" w:type="dxa"/>
          <w:right w:w="15" w:type="dxa"/>
        </w:tblCellMar>
      </w:tblPr>
      <w:tblGrid>
        <w:gridCol w:w="525"/>
        <w:gridCol w:w="977"/>
        <w:gridCol w:w="1250"/>
        <w:gridCol w:w="624"/>
        <w:gridCol w:w="937"/>
        <w:gridCol w:w="1766"/>
        <w:gridCol w:w="3530"/>
      </w:tblGrid>
      <w:tr>
        <w:tblPrEx>
          <w:tblLayout w:type="fixed"/>
          <w:tblCellMar>
            <w:top w:w="15" w:type="dxa"/>
            <w:left w:w="15" w:type="dxa"/>
            <w:bottom w:w="15" w:type="dxa"/>
            <w:right w:w="15" w:type="dxa"/>
          </w:tblCellMar>
        </w:tblPrEx>
        <w:trPr>
          <w:trHeight w:val="381" w:hRule="atLeast"/>
          <w:jc w:val="center"/>
        </w:trPr>
        <w:tc>
          <w:tcPr>
            <w:tcW w:w="525" w:type="dxa"/>
            <w:tcBorders>
              <w:top w:val="single" w:color="auto" w:sz="4" w:space="0"/>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jc w:val="center"/>
            </w:pPr>
            <w:r>
              <w:rPr>
                <w:rFonts w:hint="eastAsia"/>
                <w:color w:val="000000"/>
                <w:sz w:val="19"/>
                <w:szCs w:val="19"/>
              </w:rPr>
              <w:t>序号</w:t>
            </w:r>
          </w:p>
        </w:tc>
        <w:tc>
          <w:tcPr>
            <w:tcW w:w="977" w:type="dxa"/>
            <w:tcBorders>
              <w:top w:val="single" w:color="auto" w:sz="4" w:space="0"/>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jc w:val="center"/>
            </w:pPr>
            <w:r>
              <w:rPr>
                <w:rFonts w:hint="eastAsia"/>
                <w:color w:val="000000"/>
                <w:sz w:val="19"/>
                <w:szCs w:val="19"/>
              </w:rPr>
              <w:t>标项名称</w:t>
            </w:r>
          </w:p>
        </w:tc>
        <w:tc>
          <w:tcPr>
            <w:tcW w:w="1250" w:type="dxa"/>
            <w:tcBorders>
              <w:top w:val="single" w:color="auto" w:sz="4" w:space="0"/>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jc w:val="center"/>
            </w:pPr>
            <w:r>
              <w:rPr>
                <w:rFonts w:hint="eastAsia"/>
                <w:color w:val="000000"/>
                <w:sz w:val="19"/>
                <w:szCs w:val="19"/>
              </w:rPr>
              <w:t>投标保证金金额</w:t>
            </w:r>
          </w:p>
        </w:tc>
        <w:tc>
          <w:tcPr>
            <w:tcW w:w="624" w:type="dxa"/>
            <w:tcBorders>
              <w:top w:val="single" w:color="auto" w:sz="4" w:space="0"/>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jc w:val="center"/>
            </w:pPr>
            <w:r>
              <w:rPr>
                <w:rFonts w:hint="eastAsia"/>
                <w:color w:val="000000"/>
                <w:sz w:val="19"/>
                <w:szCs w:val="19"/>
              </w:rPr>
              <w:t>开户银行</w:t>
            </w:r>
          </w:p>
        </w:tc>
        <w:tc>
          <w:tcPr>
            <w:tcW w:w="937" w:type="dxa"/>
            <w:tcBorders>
              <w:top w:val="single" w:color="auto" w:sz="4" w:space="0"/>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jc w:val="center"/>
            </w:pPr>
            <w:r>
              <w:rPr>
                <w:rFonts w:hint="eastAsia"/>
                <w:color w:val="000000"/>
                <w:sz w:val="19"/>
                <w:szCs w:val="19"/>
              </w:rPr>
              <w:t>收款账号</w:t>
            </w:r>
          </w:p>
        </w:tc>
        <w:tc>
          <w:tcPr>
            <w:tcW w:w="1766" w:type="dxa"/>
            <w:tcBorders>
              <w:top w:val="single" w:color="auto" w:sz="4" w:space="0"/>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jc w:val="center"/>
            </w:pPr>
            <w:r>
              <w:rPr>
                <w:rFonts w:hint="eastAsia"/>
                <w:color w:val="000000"/>
                <w:sz w:val="19"/>
                <w:szCs w:val="19"/>
              </w:rPr>
              <w:t>交付方式</w:t>
            </w:r>
          </w:p>
        </w:tc>
        <w:tc>
          <w:tcPr>
            <w:tcW w:w="3530" w:type="dxa"/>
            <w:tcBorders>
              <w:top w:val="single" w:color="auto" w:sz="4" w:space="0"/>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jc w:val="center"/>
            </w:pPr>
            <w:r>
              <w:rPr>
                <w:rFonts w:hint="eastAsia"/>
                <w:color w:val="000000"/>
                <w:sz w:val="19"/>
                <w:szCs w:val="19"/>
              </w:rPr>
              <w:t>备注</w:t>
            </w:r>
          </w:p>
        </w:tc>
      </w:tr>
      <w:tr>
        <w:tblPrEx>
          <w:tblLayout w:type="fixed"/>
          <w:tblCellMar>
            <w:top w:w="15" w:type="dxa"/>
            <w:left w:w="15" w:type="dxa"/>
            <w:bottom w:w="15" w:type="dxa"/>
            <w:right w:w="15" w:type="dxa"/>
          </w:tblCellMar>
        </w:tblPrEx>
        <w:trPr>
          <w:trHeight w:val="90" w:hRule="atLeast"/>
          <w:jc w:val="center"/>
        </w:trPr>
        <w:tc>
          <w:tcPr>
            <w:tcW w:w="525" w:type="dxa"/>
            <w:tcBorders>
              <w:top w:val="nil"/>
              <w:left w:val="single" w:color="auto" w:sz="4" w:space="0"/>
              <w:bottom w:val="single" w:color="auto" w:sz="4" w:space="0"/>
              <w:right w:val="single" w:color="auto" w:sz="4" w:space="0"/>
            </w:tcBorders>
            <w:tcMar>
              <w:top w:w="48" w:type="dxa"/>
              <w:left w:w="96" w:type="dxa"/>
              <w:bottom w:w="48" w:type="dxa"/>
              <w:right w:w="96" w:type="dxa"/>
            </w:tcMar>
            <w:vAlign w:val="center"/>
          </w:tcPr>
          <w:p>
            <w:pPr>
              <w:widowControl/>
              <w:jc w:val="left"/>
              <w:rPr>
                <w:rFonts w:ascii="宋体" w:hAnsi="宋体" w:cs="宋体"/>
                <w:color w:val="000000"/>
                <w:sz w:val="19"/>
                <w:szCs w:val="19"/>
              </w:rPr>
            </w:pPr>
            <w:r>
              <w:rPr>
                <w:rFonts w:hint="eastAsia" w:ascii="宋体" w:hAnsi="宋体" w:cs="宋体"/>
                <w:color w:val="000000"/>
                <w:sz w:val="19"/>
                <w:szCs w:val="19"/>
              </w:rPr>
              <w:t>1</w:t>
            </w:r>
          </w:p>
        </w:tc>
        <w:tc>
          <w:tcPr>
            <w:tcW w:w="977" w:type="dxa"/>
            <w:tcBorders>
              <w:top w:val="nil"/>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pPr>
            <w:r>
              <w:rPr>
                <w:rFonts w:hint="eastAsia"/>
                <w:color w:val="000000"/>
                <w:sz w:val="19"/>
                <w:szCs w:val="19"/>
              </w:rPr>
              <w:t>策勒县农用地</w:t>
            </w:r>
            <w:r>
              <w:rPr>
                <w:rFonts w:hint="eastAsia"/>
                <w:color w:val="000000"/>
                <w:sz w:val="19"/>
                <w:szCs w:val="19"/>
                <w:lang w:val="en-US" w:eastAsia="zh-CN"/>
              </w:rPr>
              <w:t>土地</w:t>
            </w:r>
            <w:r>
              <w:rPr>
                <w:rFonts w:hint="eastAsia"/>
                <w:color w:val="000000"/>
                <w:sz w:val="19"/>
                <w:szCs w:val="19"/>
              </w:rPr>
              <w:t>定级与基准地价评估工作</w:t>
            </w:r>
            <w:r>
              <w:rPr>
                <w:rFonts w:hint="eastAsia"/>
                <w:color w:val="000000"/>
                <w:sz w:val="19"/>
                <w:szCs w:val="19"/>
                <w:lang w:val="en-US" w:eastAsia="zh-CN"/>
              </w:rPr>
              <w:t>项目</w:t>
            </w:r>
          </w:p>
        </w:tc>
        <w:tc>
          <w:tcPr>
            <w:tcW w:w="1250" w:type="dxa"/>
            <w:tcBorders>
              <w:top w:val="nil"/>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jc w:val="center"/>
            </w:pPr>
            <w:r>
              <w:rPr>
                <w:rFonts w:hint="eastAsia"/>
                <w:color w:val="000000"/>
                <w:sz w:val="19"/>
                <w:szCs w:val="19"/>
              </w:rPr>
              <w:t>7000元</w:t>
            </w:r>
          </w:p>
        </w:tc>
        <w:tc>
          <w:tcPr>
            <w:tcW w:w="624" w:type="dxa"/>
            <w:tcBorders>
              <w:top w:val="nil"/>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pPr>
            <w:r>
              <w:rPr>
                <w:rFonts w:hint="eastAsia"/>
                <w:color w:val="000000"/>
                <w:sz w:val="19"/>
                <w:szCs w:val="19"/>
              </w:rPr>
              <w:t>策勒县农村信用合作社联合社</w:t>
            </w:r>
          </w:p>
        </w:tc>
        <w:tc>
          <w:tcPr>
            <w:tcW w:w="937" w:type="dxa"/>
            <w:tcBorders>
              <w:top w:val="nil"/>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jc w:val="center"/>
            </w:pPr>
            <w:r>
              <w:rPr>
                <w:rFonts w:hint="eastAsia"/>
                <w:color w:val="000000"/>
                <w:sz w:val="19"/>
                <w:szCs w:val="19"/>
              </w:rPr>
              <w:t>881010012010102633101</w:t>
            </w:r>
          </w:p>
        </w:tc>
        <w:tc>
          <w:tcPr>
            <w:tcW w:w="1766" w:type="dxa"/>
            <w:tcBorders>
              <w:top w:val="nil"/>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pPr>
            <w:r>
              <w:rPr>
                <w:rFonts w:hint="eastAsia"/>
                <w:color w:val="000000"/>
                <w:sz w:val="19"/>
                <w:szCs w:val="19"/>
              </w:rPr>
              <w:t>必须以供应商的名义缴纳投标保证金,汇款时必须在备注栏写明所投采购项目名称、用途。在投标截止时间前将投标保证金以银行电汇、银行转账、银行保函的方式到策勒县公共资源交易中心，须公对公账户，不接受个人打款，以个人名义打款将视为无效。</w:t>
            </w:r>
          </w:p>
        </w:tc>
        <w:tc>
          <w:tcPr>
            <w:tcW w:w="3530" w:type="dxa"/>
            <w:tcBorders>
              <w:top w:val="nil"/>
              <w:left w:val="single" w:color="auto" w:sz="4" w:space="0"/>
              <w:bottom w:val="single" w:color="auto" w:sz="4" w:space="0"/>
              <w:right w:val="single" w:color="auto" w:sz="4" w:space="0"/>
            </w:tcBorders>
            <w:tcMar>
              <w:top w:w="48" w:type="dxa"/>
              <w:left w:w="96" w:type="dxa"/>
              <w:bottom w:w="48" w:type="dxa"/>
              <w:right w:w="96" w:type="dxa"/>
            </w:tcMar>
            <w:vAlign w:val="center"/>
          </w:tcPr>
          <w:p>
            <w:pPr>
              <w:pStyle w:val="27"/>
              <w:spacing w:before="0" w:beforeAutospacing="0" w:after="0" w:afterAutospacing="0" w:line="336" w:lineRule="atLeast"/>
            </w:pPr>
            <w:r>
              <w:rPr>
                <w:rFonts w:hint="eastAsia"/>
                <w:color w:val="000000"/>
                <w:sz w:val="19"/>
                <w:szCs w:val="19"/>
              </w:rPr>
              <w:t>使用转账汇款缴纳投标保证金时，必须以供应商的名义缴纳投标保证金,供应商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投标保证金不按要求缴纳作废标处理）</w:t>
            </w:r>
          </w:p>
        </w:tc>
      </w:tr>
    </w:tbl>
    <w:p>
      <w:pPr>
        <w:ind w:firstLine="240" w:firstLineChars="100"/>
      </w:pPr>
      <w:r>
        <w:rPr>
          <w:rFonts w:hint="eastAsia" w:ascii="宋体" w:hAnsi="宋体" w:cs="宋体"/>
          <w:bCs/>
          <w:color w:val="000000"/>
          <w:sz w:val="24"/>
          <w:shd w:val="clear" w:color="auto" w:fill="FFFFFF"/>
        </w:rPr>
        <w:t>投标保证金缴纳截止时间：2022年01月</w:t>
      </w:r>
      <w:r>
        <w:rPr>
          <w:rFonts w:hint="eastAsia" w:cs="宋体"/>
          <w:bCs/>
          <w:color w:val="000000"/>
          <w:sz w:val="24"/>
          <w:shd w:val="clear" w:color="auto" w:fill="FFFFFF"/>
        </w:rPr>
        <w:t>2</w:t>
      </w:r>
      <w:r>
        <w:rPr>
          <w:rFonts w:hint="eastAsia" w:cs="宋体"/>
          <w:bCs/>
          <w:color w:val="000000"/>
          <w:sz w:val="24"/>
          <w:shd w:val="clear" w:color="auto" w:fill="FFFFFF"/>
          <w:lang w:val="en-US" w:eastAsia="zh-CN"/>
        </w:rPr>
        <w:t>4</w:t>
      </w:r>
      <w:r>
        <w:rPr>
          <w:rFonts w:hint="eastAsia" w:ascii="宋体" w:hAnsi="宋体" w:cs="宋体"/>
          <w:bCs/>
          <w:color w:val="000000"/>
          <w:sz w:val="24"/>
          <w:shd w:val="clear" w:color="auto" w:fill="FFFFFF"/>
        </w:rPr>
        <w:t>日10点00分（北京时间）</w:t>
      </w:r>
    </w:p>
    <w:p>
      <w:pPr>
        <w:spacing w:line="460" w:lineRule="exact"/>
        <w:rPr>
          <w:b/>
          <w:bCs/>
          <w:sz w:val="24"/>
        </w:rPr>
      </w:pPr>
      <w:r>
        <w:rPr>
          <w:rFonts w:hint="eastAsia"/>
          <w:b/>
          <w:bCs/>
          <w:sz w:val="24"/>
        </w:rPr>
        <w:t>八、对本次招标提出询问，请按以下方式联系。</w:t>
      </w:r>
      <w:bookmarkEnd w:id="23"/>
      <w:bookmarkEnd w:id="24"/>
      <w:bookmarkEnd w:id="25"/>
      <w:bookmarkEnd w:id="26"/>
    </w:p>
    <w:p>
      <w:pPr>
        <w:spacing w:line="460" w:lineRule="exact"/>
        <w:rPr>
          <w:sz w:val="24"/>
        </w:rPr>
      </w:pPr>
      <w:r>
        <w:rPr>
          <w:rFonts w:hint="eastAsia"/>
          <w:sz w:val="24"/>
        </w:rPr>
        <w:t>1、采购人信息</w:t>
      </w:r>
    </w:p>
    <w:p>
      <w:pPr>
        <w:spacing w:line="460" w:lineRule="exact"/>
        <w:rPr>
          <w:sz w:val="24"/>
        </w:rPr>
      </w:pPr>
      <w:r>
        <w:rPr>
          <w:rFonts w:hint="eastAsia"/>
          <w:sz w:val="24"/>
        </w:rPr>
        <w:t xml:space="preserve">名      称：策勒县自然资源局                                      </w:t>
      </w:r>
    </w:p>
    <w:p>
      <w:pPr>
        <w:spacing w:line="460" w:lineRule="exact"/>
        <w:rPr>
          <w:sz w:val="24"/>
        </w:rPr>
      </w:pPr>
      <w:r>
        <w:rPr>
          <w:rFonts w:hint="eastAsia"/>
          <w:sz w:val="24"/>
        </w:rPr>
        <w:t>联  系  人：文星</w:t>
      </w:r>
    </w:p>
    <w:p>
      <w:pPr>
        <w:spacing w:line="460" w:lineRule="exact"/>
        <w:rPr>
          <w:sz w:val="24"/>
        </w:rPr>
      </w:pPr>
      <w:r>
        <w:rPr>
          <w:rFonts w:hint="eastAsia"/>
          <w:sz w:val="24"/>
        </w:rPr>
        <w:t>联 系方 式</w:t>
      </w:r>
      <w:bookmarkStart w:id="27" w:name="_Toc28359086"/>
      <w:bookmarkStart w:id="28" w:name="_Toc28359009"/>
      <w:r>
        <w:rPr>
          <w:rFonts w:hint="eastAsia"/>
          <w:sz w:val="24"/>
        </w:rPr>
        <w:t>：18016991600</w:t>
      </w:r>
    </w:p>
    <w:p>
      <w:pPr>
        <w:tabs>
          <w:tab w:val="left" w:pos="6017"/>
        </w:tabs>
        <w:spacing w:line="460" w:lineRule="exact"/>
        <w:rPr>
          <w:sz w:val="24"/>
        </w:rPr>
      </w:pPr>
      <w:r>
        <w:rPr>
          <w:rFonts w:hint="eastAsia"/>
          <w:sz w:val="24"/>
        </w:rPr>
        <w:t>2、采购代理机构信息</w:t>
      </w:r>
      <w:bookmarkEnd w:id="27"/>
      <w:bookmarkEnd w:id="28"/>
      <w:r>
        <w:rPr>
          <w:rFonts w:hint="eastAsia"/>
          <w:sz w:val="24"/>
        </w:rPr>
        <w:tab/>
      </w:r>
    </w:p>
    <w:p>
      <w:pPr>
        <w:spacing w:line="460" w:lineRule="exact"/>
        <w:rPr>
          <w:sz w:val="24"/>
        </w:rPr>
      </w:pPr>
      <w:r>
        <w:rPr>
          <w:rFonts w:hint="eastAsia"/>
          <w:sz w:val="24"/>
        </w:rPr>
        <w:t>名      称：新疆万盛宏基工程项目管理有限公司</w:t>
      </w:r>
    </w:p>
    <w:p>
      <w:pPr>
        <w:spacing w:line="460" w:lineRule="exact"/>
        <w:rPr>
          <w:sz w:val="24"/>
        </w:rPr>
      </w:pPr>
      <w:r>
        <w:rPr>
          <w:rFonts w:hint="eastAsia"/>
          <w:sz w:val="24"/>
        </w:rPr>
        <w:t>地      址：策勒县迎宾路双子大厦银座2707</w:t>
      </w:r>
    </w:p>
    <w:p>
      <w:pPr>
        <w:spacing w:line="460" w:lineRule="exact"/>
        <w:rPr>
          <w:sz w:val="24"/>
        </w:rPr>
      </w:pPr>
      <w:r>
        <w:rPr>
          <w:rFonts w:hint="eastAsia"/>
          <w:sz w:val="24"/>
        </w:rPr>
        <w:t>项目联系人：杨婷</w:t>
      </w:r>
    </w:p>
    <w:p>
      <w:pPr>
        <w:spacing w:line="460" w:lineRule="exact"/>
      </w:pPr>
      <w:r>
        <w:rPr>
          <w:rFonts w:hint="eastAsia"/>
          <w:sz w:val="24"/>
        </w:rPr>
        <w:t>联 系 方式：15292817631</w:t>
      </w:r>
    </w:p>
    <w:p>
      <w:pPr>
        <w:spacing w:line="460" w:lineRule="exact"/>
        <w:rPr>
          <w:sz w:val="24"/>
        </w:rPr>
      </w:pPr>
      <w:r>
        <w:rPr>
          <w:rFonts w:hint="eastAsia"/>
          <w:sz w:val="24"/>
        </w:rPr>
        <w:t>3、监督单位：策勒县财政局</w:t>
      </w:r>
    </w:p>
    <w:p>
      <w:pPr>
        <w:spacing w:line="460" w:lineRule="exact"/>
        <w:rPr>
          <w:sz w:val="24"/>
        </w:rPr>
      </w:pPr>
      <w:r>
        <w:rPr>
          <w:rFonts w:hint="eastAsia"/>
          <w:sz w:val="24"/>
        </w:rPr>
        <w:t>联   系  人：阿米娜；</w:t>
      </w:r>
    </w:p>
    <w:p>
      <w:pPr>
        <w:spacing w:line="460" w:lineRule="exact"/>
        <w:rPr>
          <w:sz w:val="24"/>
        </w:rPr>
      </w:pPr>
      <w:r>
        <w:rPr>
          <w:rFonts w:hint="eastAsia"/>
          <w:sz w:val="24"/>
        </w:rPr>
        <w:t>联 系 方 式：18999653758</w:t>
      </w:r>
    </w:p>
    <w:p>
      <w:pPr>
        <w:pStyle w:val="6"/>
      </w:pPr>
    </w:p>
    <w:p>
      <w:pPr>
        <w:jc w:val="center"/>
        <w:rPr>
          <w:rFonts w:ascii="宋体" w:hAnsi="宋体"/>
          <w:bCs/>
          <w:sz w:val="44"/>
          <w:szCs w:val="44"/>
        </w:rPr>
      </w:pPr>
      <w:r>
        <w:rPr>
          <w:rFonts w:hint="eastAsia" w:ascii="黑体" w:hAnsi="黑体" w:eastAsia="黑体" w:cs="宋体"/>
          <w:b/>
          <w:color w:val="FF0000"/>
          <w:sz w:val="28"/>
          <w:szCs w:val="18"/>
        </w:rPr>
        <w:br w:type="page"/>
      </w:r>
      <w:r>
        <w:rPr>
          <w:rFonts w:hint="eastAsia" w:ascii="宋体" w:hAnsi="宋体" w:cs="宋体"/>
          <w:b/>
          <w:sz w:val="44"/>
          <w:szCs w:val="44"/>
        </w:rPr>
        <w:t>第二章供应商须知前附表</w:t>
      </w:r>
    </w:p>
    <w:tbl>
      <w:tblPr>
        <w:tblStyle w:val="33"/>
        <w:tblW w:w="9465"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89"/>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序号</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名称</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采购名称</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sz w:val="24"/>
              </w:rPr>
              <w:t>策勒县农用地</w:t>
            </w:r>
            <w:r>
              <w:rPr>
                <w:rFonts w:hint="eastAsia"/>
                <w:sz w:val="24"/>
                <w:lang w:val="en-US" w:eastAsia="zh-CN"/>
              </w:rPr>
              <w:t>土地</w:t>
            </w:r>
            <w:r>
              <w:rPr>
                <w:rFonts w:hint="eastAsia"/>
                <w:sz w:val="24"/>
              </w:rPr>
              <w:t>定级与基准地价评估工作</w:t>
            </w:r>
            <w:r>
              <w:rPr>
                <w:rFonts w:hint="eastAsia"/>
                <w:sz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816"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489" w:type="dxa"/>
            <w:tcBorders>
              <w:top w:val="single" w:color="auto" w:sz="4" w:space="0"/>
              <w:left w:val="single" w:color="auto" w:sz="4" w:space="0"/>
              <w:right w:val="single" w:color="auto" w:sz="4" w:space="0"/>
            </w:tcBorders>
            <w:vAlign w:val="center"/>
          </w:tcPr>
          <w:p>
            <w:pPr>
              <w:spacing w:line="276" w:lineRule="auto"/>
              <w:jc w:val="center"/>
              <w:rPr>
                <w:rFonts w:hint="default" w:ascii="宋体" w:hAnsi="宋体" w:cs="宋体"/>
                <w:sz w:val="24"/>
                <w:lang w:val="en-US"/>
              </w:rPr>
            </w:pP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default"/>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816" w:type="dxa"/>
            <w:tcBorders>
              <w:top w:val="single" w:color="auto" w:sz="4" w:space="0"/>
              <w:left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2</w:t>
            </w:r>
          </w:p>
        </w:tc>
        <w:tc>
          <w:tcPr>
            <w:tcW w:w="1489" w:type="dxa"/>
            <w:tcBorders>
              <w:top w:val="single" w:color="auto" w:sz="4" w:space="0"/>
              <w:left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采购需求</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vertAlign w:val="subscript"/>
              </w:rPr>
            </w:pPr>
            <w:r>
              <w:rPr>
                <w:rFonts w:hint="eastAsia"/>
                <w:sz w:val="24"/>
              </w:rPr>
              <w:t>按照有关《规程》的要求，完成策勒县</w:t>
            </w:r>
            <w:r>
              <w:rPr>
                <w:rFonts w:hint="eastAsia"/>
                <w:color w:val="auto"/>
                <w:sz w:val="24"/>
                <w:highlight w:val="none"/>
              </w:rPr>
              <w:t>农用地定级工作</w:t>
            </w:r>
            <w:r>
              <w:rPr>
                <w:rFonts w:hint="eastAsia"/>
                <w:sz w:val="24"/>
              </w:rPr>
              <w:t>、地基准地价评估工作，建立策勒县农用地基准地价修正体系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ind w:firstLine="240" w:firstLineChars="100"/>
              <w:rPr>
                <w:rFonts w:ascii="宋体" w:hAnsi="宋体" w:cs="宋体"/>
                <w:sz w:val="24"/>
              </w:rPr>
            </w:pPr>
            <w:r>
              <w:rPr>
                <w:rFonts w:hint="eastAsia" w:ascii="宋体" w:hAnsi="宋体" w:cs="宋体"/>
                <w:sz w:val="24"/>
              </w:rPr>
              <w:t>3</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u w:val="single"/>
              </w:rPr>
            </w:pPr>
            <w:r>
              <w:rPr>
                <w:rFonts w:hint="eastAsia" w:ascii="宋体" w:hAnsi="宋体" w:cs="宋体"/>
                <w:sz w:val="24"/>
              </w:rPr>
              <w:t>采购单位</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名     称： 策勒县自然资源局</w:t>
            </w:r>
          </w:p>
          <w:p>
            <w:pPr>
              <w:spacing w:line="276" w:lineRule="auto"/>
              <w:rPr>
                <w:rFonts w:ascii="宋体" w:hAnsi="宋体" w:cs="宋体"/>
                <w:sz w:val="24"/>
              </w:rPr>
            </w:pPr>
            <w:r>
              <w:rPr>
                <w:rFonts w:hint="eastAsia" w:ascii="宋体" w:hAnsi="宋体" w:cs="宋体"/>
                <w:sz w:val="24"/>
              </w:rPr>
              <w:t>联  系 人： 文星</w:t>
            </w:r>
          </w:p>
          <w:p>
            <w:pPr>
              <w:spacing w:line="276" w:lineRule="auto"/>
              <w:rPr>
                <w:rFonts w:ascii="宋体" w:hAnsi="宋体" w:cs="宋体"/>
                <w:sz w:val="24"/>
              </w:rPr>
            </w:pPr>
            <w:r>
              <w:rPr>
                <w:rFonts w:hint="eastAsia" w:ascii="宋体" w:hAnsi="宋体" w:cs="宋体"/>
                <w:sz w:val="24"/>
              </w:rPr>
              <w:t>电     话： 18016991600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4</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ind w:left="240" w:hanging="240" w:hangingChars="100"/>
              <w:rPr>
                <w:rFonts w:ascii="宋体" w:hAnsi="宋体" w:cs="宋体"/>
                <w:sz w:val="24"/>
              </w:rPr>
            </w:pPr>
            <w:r>
              <w:rPr>
                <w:rFonts w:hint="eastAsia" w:ascii="宋体" w:hAnsi="宋体" w:cs="宋体"/>
                <w:sz w:val="24"/>
              </w:rPr>
              <w:t>采购代理机构</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名     称： 新疆万盛宏基工程项目管理有限公司</w:t>
            </w:r>
          </w:p>
          <w:p>
            <w:pPr>
              <w:spacing w:line="276" w:lineRule="auto"/>
              <w:rPr>
                <w:rFonts w:ascii="宋体" w:hAnsi="宋体" w:cs="宋体"/>
                <w:sz w:val="24"/>
              </w:rPr>
            </w:pPr>
            <w:r>
              <w:rPr>
                <w:rFonts w:hint="eastAsia" w:ascii="宋体" w:hAnsi="宋体" w:cs="宋体"/>
                <w:sz w:val="24"/>
              </w:rPr>
              <w:t>地     址： 策勒县迎宾路双子大厦银座2707</w:t>
            </w:r>
          </w:p>
          <w:p>
            <w:pPr>
              <w:spacing w:line="276" w:lineRule="auto"/>
              <w:rPr>
                <w:rFonts w:ascii="宋体" w:hAnsi="宋体" w:cs="宋体"/>
                <w:sz w:val="24"/>
              </w:rPr>
            </w:pPr>
            <w:r>
              <w:rPr>
                <w:rFonts w:hint="eastAsia" w:ascii="宋体" w:hAnsi="宋体" w:cs="宋体"/>
                <w:sz w:val="24"/>
              </w:rPr>
              <w:t>联  系 人： 杨婷</w:t>
            </w:r>
          </w:p>
          <w:p>
            <w:pPr>
              <w:spacing w:line="276" w:lineRule="auto"/>
              <w:rPr>
                <w:rFonts w:ascii="宋体" w:hAnsi="宋体" w:cs="宋体"/>
                <w:sz w:val="24"/>
              </w:rPr>
            </w:pPr>
            <w:r>
              <w:rPr>
                <w:rFonts w:hint="eastAsia" w:ascii="宋体" w:hAnsi="宋体" w:cs="宋体"/>
                <w:sz w:val="24"/>
              </w:rPr>
              <w:t>电     话： 15292817631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ind w:firstLine="240" w:firstLineChars="100"/>
              <w:rPr>
                <w:rFonts w:ascii="宋体" w:hAnsi="宋体" w:cs="宋体"/>
                <w:sz w:val="24"/>
                <w:u w:val="single"/>
              </w:rPr>
            </w:pPr>
            <w:r>
              <w:rPr>
                <w:rFonts w:hint="eastAsia" w:ascii="宋体" w:hAnsi="宋体" w:cs="宋体"/>
                <w:sz w:val="24"/>
              </w:rPr>
              <w:t>5</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ind w:left="240" w:hanging="240" w:hangingChars="100"/>
              <w:rPr>
                <w:rFonts w:ascii="宋体" w:hAnsi="宋体" w:cs="宋体"/>
                <w:color w:val="auto"/>
                <w:sz w:val="24"/>
              </w:rPr>
            </w:pPr>
            <w:r>
              <w:rPr>
                <w:rFonts w:hint="eastAsia" w:ascii="宋体" w:hAnsi="宋体" w:cs="宋体"/>
                <w:color w:val="auto"/>
                <w:sz w:val="24"/>
                <w:lang w:val="zh-CN"/>
              </w:rPr>
              <w:t>预算最高限价</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 w:val="24"/>
              </w:rPr>
            </w:pPr>
            <w:r>
              <w:rPr>
                <w:rFonts w:hint="eastAsia" w:ascii="宋体" w:hAnsi="宋体" w:cs="宋体"/>
                <w:color w:val="auto"/>
                <w:sz w:val="24"/>
              </w:rPr>
              <w:t>35万元（此采购预算为最高限价、如超过预算价的报价为无效报价)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6</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招标方式</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7</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资金来源</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县财政资金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8</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资金到位情况</w:t>
            </w:r>
          </w:p>
        </w:tc>
        <w:tc>
          <w:tcPr>
            <w:tcW w:w="7160" w:type="dxa"/>
            <w:tcBorders>
              <w:top w:val="single" w:color="auto" w:sz="4" w:space="0"/>
              <w:left w:val="single" w:color="auto" w:sz="4" w:space="0"/>
              <w:bottom w:val="single" w:color="auto" w:sz="4" w:space="0"/>
              <w:right w:val="single" w:color="auto" w:sz="4" w:space="0"/>
            </w:tcBorders>
            <w:vAlign w:val="center"/>
          </w:tcPr>
          <w:p>
            <w:pPr>
              <w:tabs>
                <w:tab w:val="left" w:pos="5190"/>
              </w:tabs>
              <w:spacing w:line="276" w:lineRule="auto"/>
              <w:jc w:val="left"/>
              <w:rPr>
                <w:rFonts w:ascii="宋体" w:hAnsi="宋体" w:cs="宋体"/>
                <w:sz w:val="24"/>
              </w:rPr>
            </w:pPr>
            <w:r>
              <w:rPr>
                <w:rFonts w:hint="eastAsia" w:ascii="宋体" w:hAnsi="宋体" w:cs="宋体"/>
                <w:sz w:val="24"/>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9</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kern w:val="0"/>
                <w:sz w:val="24"/>
              </w:rPr>
              <w:t>是否接受联合体投标</w:t>
            </w:r>
          </w:p>
        </w:tc>
        <w:tc>
          <w:tcPr>
            <w:tcW w:w="7160" w:type="dxa"/>
            <w:tcBorders>
              <w:top w:val="single" w:color="auto" w:sz="4" w:space="0"/>
              <w:left w:val="single" w:color="auto" w:sz="4" w:space="0"/>
              <w:bottom w:val="single" w:color="auto" w:sz="4" w:space="0"/>
              <w:right w:val="single" w:color="auto" w:sz="4" w:space="0"/>
            </w:tcBorders>
            <w:vAlign w:val="center"/>
          </w:tcPr>
          <w:p>
            <w:pPr>
              <w:tabs>
                <w:tab w:val="left" w:pos="5190"/>
              </w:tabs>
              <w:spacing w:line="276" w:lineRule="auto"/>
              <w:ind w:firstLine="240" w:firstLineChars="100"/>
              <w:rPr>
                <w:rFonts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79"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10</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 w:val="24"/>
              </w:rPr>
            </w:pPr>
            <w:r>
              <w:rPr>
                <w:rFonts w:hint="eastAsia" w:ascii="宋体" w:hAnsi="宋体" w:cs="宋体"/>
                <w:sz w:val="24"/>
              </w:rPr>
              <w:t>供应商资格条件</w:t>
            </w:r>
          </w:p>
        </w:tc>
        <w:tc>
          <w:tcPr>
            <w:tcW w:w="71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b/>
                <w:bCs/>
                <w:sz w:val="18"/>
                <w:szCs w:val="18"/>
              </w:rPr>
            </w:pPr>
            <w:r>
              <w:rPr>
                <w:rFonts w:hint="eastAsia"/>
                <w:b/>
                <w:bCs/>
                <w:sz w:val="18"/>
                <w:szCs w:val="18"/>
                <w:lang w:eastAsia="zh-CN"/>
              </w:rPr>
              <w:t>（</w:t>
            </w:r>
            <w:r>
              <w:rPr>
                <w:rFonts w:hint="eastAsia"/>
                <w:b/>
                <w:bCs/>
                <w:sz w:val="18"/>
                <w:szCs w:val="18"/>
                <w:lang w:val="en-US" w:eastAsia="zh-CN"/>
              </w:rPr>
              <w:t>1</w:t>
            </w:r>
            <w:r>
              <w:rPr>
                <w:rFonts w:hint="eastAsia"/>
                <w:b/>
                <w:bCs/>
                <w:sz w:val="18"/>
                <w:szCs w:val="18"/>
                <w:lang w:eastAsia="zh-CN"/>
              </w:rPr>
              <w:t>）</w:t>
            </w:r>
            <w:r>
              <w:rPr>
                <w:rFonts w:hint="eastAsia"/>
                <w:b/>
                <w:bCs/>
                <w:sz w:val="18"/>
                <w:szCs w:val="18"/>
              </w:rPr>
              <w:t>满足《中华人民共和国政府采购法》第二十二条要求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Times New Roman" w:hAnsi="Times New Roman" w:cs="Times New Roman"/>
                <w:b/>
                <w:bCs/>
                <w:sz w:val="18"/>
                <w:szCs w:val="18"/>
                <w:lang w:val="en-US" w:eastAsia="zh-CN"/>
              </w:rPr>
            </w:pPr>
            <w:r>
              <w:rPr>
                <w:rFonts w:hint="eastAsia"/>
                <w:b/>
                <w:bCs/>
                <w:sz w:val="18"/>
                <w:szCs w:val="18"/>
                <w:lang w:eastAsia="zh-CN"/>
              </w:rPr>
              <w:t>（</w:t>
            </w:r>
            <w:r>
              <w:rPr>
                <w:rFonts w:hint="eastAsia"/>
                <w:b/>
                <w:bCs/>
                <w:sz w:val="18"/>
                <w:szCs w:val="18"/>
                <w:lang w:val="en-US" w:eastAsia="zh-CN"/>
              </w:rPr>
              <w:t>2</w:t>
            </w:r>
            <w:r>
              <w:rPr>
                <w:rFonts w:hint="eastAsia"/>
                <w:b/>
                <w:bCs/>
                <w:sz w:val="18"/>
                <w:szCs w:val="18"/>
                <w:lang w:eastAsia="zh-CN"/>
              </w:rPr>
              <w:t>）</w:t>
            </w:r>
            <w:r>
              <w:rPr>
                <w:rFonts w:hint="eastAsia" w:ascii="Times New Roman" w:hAnsi="Times New Roman" w:cs="Times New Roman"/>
                <w:b/>
                <w:bCs/>
                <w:sz w:val="18"/>
                <w:szCs w:val="18"/>
                <w:lang w:val="en-US" w:eastAsia="zh-CN"/>
              </w:rPr>
              <w:t>落实政府采购政策需满足的资格要求：（中小企业优惠、监狱企业、节能产品、环境标志产品等，（一）财政部、国家发展改革委《关于印发《节能产品政府采购实施意见》的通知》（财库〔2004〕185号文）；（二）《财政部发展改革委 生态环境部 市场监管总局关于调整优化节能产品 环境标志产品政府采购执行机制的通知》（财库〔2019〕9号）；（三）财政部、工业和信息化部《关于印发《政府采购促进中小企业展暂行办法》的通知》（财库〔2011〕46号文）；（四）财政部、民政部、中国残疾人联合会《关于促进残疾人就业政府采购政策的通知》（财库〔2017〕141号）；（五）财政部、司法部《关于政府采购支持监狱企业发展有关问题的通知》（财库〔2014〕68号文）</w:t>
            </w:r>
          </w:p>
          <w:p>
            <w:pPr>
              <w:spacing w:line="360" w:lineRule="auto"/>
              <w:rPr>
                <w:b/>
                <w:bCs/>
                <w:sz w:val="18"/>
                <w:szCs w:val="18"/>
              </w:rPr>
            </w:pPr>
            <w:r>
              <w:rPr>
                <w:rFonts w:hint="eastAsia"/>
                <w:b/>
                <w:bCs/>
                <w:sz w:val="18"/>
                <w:szCs w:val="18"/>
                <w:lang w:eastAsia="zh-CN"/>
              </w:rPr>
              <w:t>（</w:t>
            </w:r>
            <w:r>
              <w:rPr>
                <w:rFonts w:hint="eastAsia"/>
                <w:b/>
                <w:bCs/>
                <w:sz w:val="18"/>
                <w:szCs w:val="18"/>
                <w:lang w:val="en-US" w:eastAsia="zh-CN"/>
              </w:rPr>
              <w:t>3</w:t>
            </w:r>
            <w:r>
              <w:rPr>
                <w:rFonts w:hint="eastAsia"/>
                <w:b/>
                <w:bCs/>
                <w:sz w:val="18"/>
                <w:szCs w:val="18"/>
                <w:lang w:eastAsia="zh-CN"/>
              </w:rPr>
              <w:t>）</w:t>
            </w:r>
            <w:r>
              <w:rPr>
                <w:rFonts w:hint="eastAsia"/>
                <w:b/>
                <w:bCs/>
                <w:sz w:val="18"/>
                <w:szCs w:val="18"/>
              </w:rPr>
              <w:t>需具有独立法人资格，有独立承担民事行为责任的能力；三年内无违法违规等不良记录；具有良好的社会和商业信誉及履约能力；具有健全的财务会计制度和依法纳税及社会保障资金的良好记录；</w:t>
            </w:r>
          </w:p>
          <w:p>
            <w:pPr>
              <w:spacing w:line="360" w:lineRule="auto"/>
              <w:rPr>
                <w:b/>
                <w:bCs/>
                <w:sz w:val="18"/>
                <w:szCs w:val="18"/>
              </w:rPr>
            </w:pPr>
            <w:r>
              <w:rPr>
                <w:rFonts w:hint="eastAsia"/>
                <w:b/>
                <w:bCs/>
                <w:sz w:val="18"/>
                <w:szCs w:val="18"/>
              </w:rPr>
              <w:t>（</w:t>
            </w:r>
            <w:r>
              <w:rPr>
                <w:rFonts w:hint="eastAsia"/>
                <w:b/>
                <w:bCs/>
                <w:sz w:val="18"/>
                <w:szCs w:val="18"/>
                <w:lang w:val="en-US" w:eastAsia="zh-CN"/>
              </w:rPr>
              <w:t>4</w:t>
            </w:r>
            <w:r>
              <w:rPr>
                <w:rFonts w:hint="eastAsia"/>
                <w:b/>
                <w:bCs/>
                <w:sz w:val="18"/>
                <w:szCs w:val="18"/>
              </w:rPr>
              <w:t>）供应商应提供具有合法有效的营业执照复印件（加盖公章），经营范围包括本次招标的内容；</w:t>
            </w:r>
          </w:p>
          <w:p>
            <w:pPr>
              <w:spacing w:line="360" w:lineRule="auto"/>
              <w:rPr>
                <w:b/>
                <w:bCs/>
                <w:color w:val="auto"/>
                <w:sz w:val="18"/>
                <w:szCs w:val="18"/>
                <w:highlight w:val="none"/>
              </w:rPr>
            </w:pPr>
            <w:r>
              <w:rPr>
                <w:rFonts w:hint="eastAsia"/>
                <w:b/>
                <w:bCs/>
                <w:sz w:val="18"/>
                <w:szCs w:val="18"/>
              </w:rPr>
              <w:t>（</w:t>
            </w:r>
            <w:r>
              <w:rPr>
                <w:rFonts w:hint="eastAsia"/>
                <w:b/>
                <w:bCs/>
                <w:sz w:val="18"/>
                <w:szCs w:val="18"/>
                <w:lang w:val="en-US" w:eastAsia="zh-CN"/>
              </w:rPr>
              <w:t>5</w:t>
            </w:r>
            <w:r>
              <w:rPr>
                <w:rFonts w:hint="eastAsia"/>
                <w:b/>
                <w:bCs/>
                <w:sz w:val="18"/>
                <w:szCs w:val="18"/>
              </w:rPr>
              <w:t>）法人提供法人身份证明文件及身份证、法人委托人须提供法人代表授权书（授权书需附法人</w:t>
            </w:r>
            <w:r>
              <w:rPr>
                <w:rFonts w:hint="eastAsia"/>
                <w:b/>
                <w:bCs/>
                <w:color w:val="auto"/>
                <w:sz w:val="18"/>
                <w:szCs w:val="18"/>
                <w:highlight w:val="none"/>
              </w:rPr>
              <w:t>身份证及委托人身份证复印件）及委托人身份证；</w:t>
            </w:r>
          </w:p>
          <w:p>
            <w:pPr>
              <w:spacing w:line="360" w:lineRule="auto"/>
              <w:rPr>
                <w:b/>
                <w:bCs/>
                <w:color w:val="auto"/>
                <w:sz w:val="18"/>
                <w:szCs w:val="18"/>
                <w:highlight w:val="none"/>
              </w:rPr>
            </w:pPr>
            <w:r>
              <w:rPr>
                <w:rFonts w:hint="eastAsia"/>
                <w:b/>
                <w:bCs/>
                <w:color w:val="auto"/>
                <w:sz w:val="18"/>
                <w:szCs w:val="18"/>
                <w:highlight w:val="none"/>
              </w:rPr>
              <w:t>（</w:t>
            </w:r>
            <w:r>
              <w:rPr>
                <w:rFonts w:hint="eastAsia"/>
                <w:b/>
                <w:bCs/>
                <w:color w:val="auto"/>
                <w:sz w:val="18"/>
                <w:szCs w:val="18"/>
                <w:highlight w:val="none"/>
                <w:lang w:val="en-US" w:eastAsia="zh-CN"/>
              </w:rPr>
              <w:t>6</w:t>
            </w:r>
            <w:r>
              <w:rPr>
                <w:rFonts w:hint="eastAsia"/>
                <w:b/>
                <w:bCs/>
                <w:color w:val="auto"/>
                <w:sz w:val="18"/>
                <w:szCs w:val="18"/>
                <w:highlight w:val="none"/>
              </w:rPr>
              <w:t>）具有自治区国土资源厅发出的土地估价机构备案函；</w:t>
            </w:r>
          </w:p>
          <w:p>
            <w:pPr>
              <w:spacing w:line="360" w:lineRule="auto"/>
              <w:rPr>
                <w:rFonts w:ascii="宋体" w:hAnsi="宋体"/>
                <w:b/>
                <w:bCs/>
                <w:color w:val="auto"/>
                <w:sz w:val="18"/>
                <w:szCs w:val="18"/>
                <w:highlight w:val="none"/>
                <w:u w:val="none"/>
              </w:rPr>
            </w:pPr>
            <w:r>
              <w:rPr>
                <w:rFonts w:hint="eastAsia" w:ascii="宋体" w:hAnsi="宋体"/>
                <w:b/>
                <w:bCs/>
                <w:color w:val="auto"/>
                <w:sz w:val="18"/>
                <w:szCs w:val="18"/>
                <w:highlight w:val="none"/>
                <w:u w:val="none"/>
              </w:rPr>
              <w:t>（</w:t>
            </w:r>
            <w:r>
              <w:rPr>
                <w:rFonts w:hint="eastAsia" w:ascii="宋体" w:hAnsi="宋体"/>
                <w:b/>
                <w:bCs/>
                <w:color w:val="auto"/>
                <w:sz w:val="18"/>
                <w:szCs w:val="18"/>
                <w:highlight w:val="none"/>
                <w:u w:val="none"/>
                <w:lang w:val="en-US" w:eastAsia="zh-CN"/>
              </w:rPr>
              <w:t>7</w:t>
            </w:r>
            <w:r>
              <w:rPr>
                <w:rFonts w:hint="eastAsia" w:ascii="宋体" w:hAnsi="宋体"/>
                <w:b/>
                <w:bCs/>
                <w:color w:val="auto"/>
                <w:sz w:val="18"/>
                <w:szCs w:val="18"/>
                <w:highlight w:val="none"/>
                <w:u w:val="none"/>
              </w:rPr>
              <w:t>）提供供应商近段时间内至少近3个月的缴纳税收的完税证明或税务部门出具的纳税证明；如依法免税的，应提供相应文件证明；</w:t>
            </w:r>
          </w:p>
          <w:p>
            <w:pPr>
              <w:spacing w:line="360" w:lineRule="auto"/>
              <w:rPr>
                <w:b/>
                <w:bCs/>
                <w:sz w:val="18"/>
                <w:szCs w:val="18"/>
              </w:rPr>
            </w:pPr>
            <w:r>
              <w:rPr>
                <w:rFonts w:hint="eastAsia"/>
                <w:b/>
                <w:bCs/>
                <w:sz w:val="18"/>
                <w:szCs w:val="18"/>
              </w:rPr>
              <w:t>（</w:t>
            </w:r>
            <w:r>
              <w:rPr>
                <w:rFonts w:hint="eastAsia"/>
                <w:b/>
                <w:bCs/>
                <w:sz w:val="18"/>
                <w:szCs w:val="18"/>
                <w:lang w:val="en-US" w:eastAsia="zh-CN"/>
              </w:rPr>
              <w:t>8</w:t>
            </w:r>
            <w:r>
              <w:rPr>
                <w:rFonts w:hint="eastAsia"/>
                <w:b/>
                <w:bCs/>
                <w:sz w:val="18"/>
                <w:szCs w:val="18"/>
              </w:rPr>
              <w:t>）凡拟参加本次采购项目的供应商，如在“中国裁判文书网”网站（http://wenshu.court.gov.cn）、“信用中国”网站（www.creditchina.gov.cn）、中国政府采购网（www.ccgp.gov.cn）、“国家企业信用信息公示系统（http://www.gsxt.gov.cn）”中有行贿犯罪档案记录、被列入失信被执行人、重大税收违法案件当事人名单、政府采购严重违法失信行为记录名单的（至本公告在规定媒体发出之日止，经查询尚在处罚期内的），将拒绝其参加本次政府采购活动（开标现场查验）；</w:t>
            </w:r>
          </w:p>
          <w:p>
            <w:pPr>
              <w:spacing w:line="360" w:lineRule="auto"/>
              <w:rPr>
                <w:b/>
                <w:bCs/>
                <w:sz w:val="18"/>
                <w:szCs w:val="18"/>
              </w:rPr>
            </w:pPr>
            <w:r>
              <w:rPr>
                <w:rFonts w:hint="eastAsia"/>
                <w:b/>
                <w:bCs/>
                <w:sz w:val="18"/>
                <w:szCs w:val="18"/>
              </w:rPr>
              <w:t>（</w:t>
            </w:r>
            <w:r>
              <w:rPr>
                <w:rFonts w:hint="eastAsia"/>
                <w:b/>
                <w:bCs/>
                <w:sz w:val="18"/>
                <w:szCs w:val="18"/>
                <w:lang w:val="en-US" w:eastAsia="zh-CN"/>
              </w:rPr>
              <w:t>9</w:t>
            </w:r>
            <w:r>
              <w:rPr>
                <w:rFonts w:hint="eastAsia"/>
                <w:b/>
                <w:bCs/>
                <w:sz w:val="18"/>
                <w:szCs w:val="18"/>
              </w:rPr>
              <w:t>）与招标人存在利害关系可能影响采购公正性的法人、其他组织或者个人，不得参加投标；</w:t>
            </w:r>
          </w:p>
          <w:p>
            <w:pPr>
              <w:spacing w:line="360" w:lineRule="auto"/>
            </w:pPr>
            <w:r>
              <w:rPr>
                <w:rFonts w:hint="eastAsia"/>
                <w:b/>
                <w:bCs/>
                <w:sz w:val="18"/>
                <w:szCs w:val="18"/>
              </w:rPr>
              <w:t>（</w:t>
            </w:r>
            <w:r>
              <w:rPr>
                <w:rFonts w:hint="eastAsia"/>
                <w:b/>
                <w:bCs/>
                <w:sz w:val="18"/>
                <w:szCs w:val="18"/>
                <w:lang w:val="en-US" w:eastAsia="zh-CN"/>
              </w:rPr>
              <w:t>10</w:t>
            </w:r>
            <w:r>
              <w:rPr>
                <w:rFonts w:hint="eastAsia"/>
                <w:b/>
                <w:bCs/>
                <w:sz w:val="18"/>
                <w:szCs w:val="18"/>
              </w:rPr>
              <w:t>）单位负责人为同一人或者存在控股、管理关系</w:t>
            </w:r>
            <w:r>
              <w:rPr>
                <w:rFonts w:hint="eastAsia" w:ascii="Times New Roman" w:hAnsi="Times New Roman" w:cs="Times New Roman"/>
                <w:b/>
                <w:bCs/>
                <w:sz w:val="18"/>
                <w:szCs w:val="18"/>
              </w:rPr>
              <w:t>的不同单位，不得参加同一标段投标或者未划分标段的同一采购项目投标。违反前两款规定的，相关</w:t>
            </w:r>
            <w:r>
              <w:rPr>
                <w:rFonts w:hint="eastAsia"/>
                <w:b/>
                <w:bCs/>
                <w:sz w:val="18"/>
                <w:szCs w:val="18"/>
              </w:rPr>
              <w:t>投标均无效</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11</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40" w:firstLineChars="100"/>
              <w:rPr>
                <w:rFonts w:ascii="宋体" w:hAnsi="宋体" w:cs="宋体"/>
                <w:sz w:val="24"/>
              </w:rPr>
            </w:pPr>
            <w:r>
              <w:rPr>
                <w:rFonts w:hint="eastAsia" w:ascii="宋体" w:hAnsi="宋体" w:cs="宋体"/>
                <w:sz w:val="24"/>
              </w:rPr>
              <w:t>投标</w:t>
            </w:r>
          </w:p>
          <w:p>
            <w:pPr>
              <w:spacing w:line="276" w:lineRule="auto"/>
              <w:ind w:firstLine="240" w:firstLineChars="100"/>
              <w:rPr>
                <w:rFonts w:ascii="宋体" w:hAnsi="宋体" w:cs="宋体"/>
                <w:sz w:val="24"/>
              </w:rPr>
            </w:pPr>
            <w:r>
              <w:rPr>
                <w:rFonts w:hint="eastAsia" w:ascii="宋体" w:hAnsi="宋体" w:cs="宋体"/>
                <w:sz w:val="24"/>
              </w:rPr>
              <w:t>有效期</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bCs/>
                <w:sz w:val="24"/>
              </w:rPr>
            </w:pPr>
            <w:r>
              <w:rPr>
                <w:rFonts w:hint="eastAsia" w:ascii="宋体" w:hAnsi="宋体" w:cs="宋体"/>
                <w:sz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12</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评标方法</w:t>
            </w:r>
          </w:p>
        </w:tc>
        <w:tc>
          <w:tcPr>
            <w:tcW w:w="7160" w:type="dxa"/>
            <w:tcBorders>
              <w:top w:val="single" w:color="auto" w:sz="4" w:space="0"/>
              <w:left w:val="single" w:color="auto" w:sz="4" w:space="0"/>
              <w:bottom w:val="single" w:color="auto" w:sz="4" w:space="0"/>
              <w:right w:val="single" w:color="auto" w:sz="4" w:space="0"/>
            </w:tcBorders>
            <w:vAlign w:val="center"/>
          </w:tcPr>
          <w:p>
            <w:pPr>
              <w:tabs>
                <w:tab w:val="left" w:pos="5190"/>
              </w:tabs>
              <w:spacing w:line="276" w:lineRule="auto"/>
              <w:rPr>
                <w:rFonts w:ascii="宋体" w:hAnsi="宋体" w:cs="宋体"/>
                <w:sz w:val="24"/>
              </w:rPr>
            </w:pPr>
            <w:r>
              <w:rPr>
                <w:rFonts w:hint="eastAsia" w:ascii="宋体" w:hAnsi="宋体" w:cs="宋体"/>
                <w:sz w:val="24"/>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13</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投标保证金</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kern w:val="0"/>
                <w:sz w:val="24"/>
              </w:rPr>
            </w:pPr>
            <w:r>
              <w:rPr>
                <w:rFonts w:hint="eastAsia" w:ascii="宋体" w:hAnsi="宋体" w:cs="宋体"/>
                <w:b/>
                <w:kern w:val="0"/>
                <w:sz w:val="24"/>
              </w:rPr>
              <w:t>投标保证金金额：</w:t>
            </w:r>
            <w:r>
              <w:rPr>
                <w:rFonts w:hint="eastAsia" w:ascii="宋体" w:hAnsi="宋体" w:cs="宋体"/>
                <w:b/>
                <w:color w:val="auto"/>
                <w:kern w:val="0"/>
                <w:sz w:val="24"/>
                <w:u w:val="single"/>
              </w:rPr>
              <w:t>7000元</w:t>
            </w:r>
            <w:r>
              <w:rPr>
                <w:rFonts w:hint="eastAsia" w:ascii="宋体" w:hAnsi="宋体" w:cs="宋体"/>
                <w:b/>
                <w:color w:val="auto"/>
                <w:kern w:val="0"/>
                <w:sz w:val="24"/>
              </w:rPr>
              <w:t>（柒仟元整）</w:t>
            </w:r>
          </w:p>
          <w:p>
            <w:pPr>
              <w:autoSpaceDE w:val="0"/>
              <w:autoSpaceDN w:val="0"/>
              <w:adjustRightInd w:val="0"/>
              <w:spacing w:line="276" w:lineRule="auto"/>
              <w:jc w:val="left"/>
              <w:rPr>
                <w:rFonts w:ascii="宋体" w:hAnsi="宋体" w:cs="宋体"/>
                <w:b/>
                <w:kern w:val="1"/>
                <w:sz w:val="24"/>
              </w:rPr>
            </w:pPr>
            <w:r>
              <w:rPr>
                <w:rFonts w:hint="eastAsia" w:ascii="宋体" w:hAnsi="宋体" w:cs="宋体"/>
                <w:b/>
                <w:kern w:val="1"/>
                <w:sz w:val="24"/>
              </w:rPr>
              <w:t>账户名称：</w:t>
            </w:r>
            <w:r>
              <w:rPr>
                <w:rFonts w:hint="eastAsia" w:ascii="宋体" w:hAnsi="宋体" w:cs="宋体"/>
                <w:b/>
                <w:kern w:val="1"/>
                <w:sz w:val="24"/>
                <w:u w:val="single"/>
              </w:rPr>
              <w:t>策勒县公共资源交易中心</w:t>
            </w:r>
          </w:p>
          <w:p>
            <w:pPr>
              <w:autoSpaceDE w:val="0"/>
              <w:autoSpaceDN w:val="0"/>
              <w:adjustRightInd w:val="0"/>
              <w:spacing w:line="276" w:lineRule="auto"/>
              <w:jc w:val="left"/>
              <w:rPr>
                <w:rFonts w:ascii="宋体" w:hAnsi="宋体" w:cs="宋体"/>
                <w:b/>
                <w:kern w:val="1"/>
                <w:sz w:val="24"/>
              </w:rPr>
            </w:pPr>
            <w:r>
              <w:rPr>
                <w:rFonts w:hint="eastAsia" w:ascii="宋体" w:hAnsi="宋体" w:cs="宋体"/>
                <w:b/>
                <w:kern w:val="1"/>
                <w:sz w:val="24"/>
              </w:rPr>
              <w:t>开 户 行：</w:t>
            </w:r>
            <w:r>
              <w:rPr>
                <w:rFonts w:hint="eastAsia" w:ascii="宋体" w:hAnsi="宋体" w:cs="宋体"/>
                <w:b/>
                <w:kern w:val="1"/>
                <w:sz w:val="24"/>
                <w:u w:val="single"/>
              </w:rPr>
              <w:t>策勒县农村信用合作社联合社</w:t>
            </w:r>
          </w:p>
          <w:p>
            <w:pPr>
              <w:autoSpaceDE w:val="0"/>
              <w:autoSpaceDN w:val="0"/>
              <w:adjustRightInd w:val="0"/>
              <w:spacing w:line="276" w:lineRule="auto"/>
              <w:jc w:val="left"/>
              <w:rPr>
                <w:rFonts w:ascii="宋体" w:hAnsi="宋体" w:cs="宋体"/>
                <w:b/>
                <w:kern w:val="1"/>
                <w:sz w:val="24"/>
              </w:rPr>
            </w:pPr>
            <w:r>
              <w:rPr>
                <w:rFonts w:hint="eastAsia" w:ascii="宋体" w:hAnsi="宋体" w:cs="宋体"/>
                <w:b/>
                <w:kern w:val="1"/>
                <w:sz w:val="24"/>
              </w:rPr>
              <w:t>行    号：</w:t>
            </w:r>
            <w:r>
              <w:rPr>
                <w:rFonts w:hint="eastAsia" w:ascii="宋体" w:hAnsi="宋体" w:cs="宋体"/>
                <w:b/>
                <w:kern w:val="1"/>
                <w:sz w:val="24"/>
                <w:u w:val="single"/>
              </w:rPr>
              <w:t>3088 8102 9026</w:t>
            </w:r>
          </w:p>
          <w:p>
            <w:pPr>
              <w:autoSpaceDE w:val="0"/>
              <w:autoSpaceDN w:val="0"/>
              <w:adjustRightInd w:val="0"/>
              <w:spacing w:line="276" w:lineRule="auto"/>
              <w:jc w:val="left"/>
              <w:rPr>
                <w:rFonts w:ascii="宋体" w:hAnsi="宋体" w:cs="宋体"/>
                <w:b/>
                <w:kern w:val="1"/>
                <w:sz w:val="24"/>
                <w:u w:val="single"/>
              </w:rPr>
            </w:pPr>
            <w:r>
              <w:rPr>
                <w:rFonts w:hint="eastAsia" w:ascii="宋体" w:hAnsi="宋体" w:cs="宋体"/>
                <w:b/>
                <w:kern w:val="1"/>
                <w:sz w:val="24"/>
              </w:rPr>
              <w:t>帐    号：</w:t>
            </w:r>
            <w:r>
              <w:rPr>
                <w:rFonts w:hint="eastAsia" w:ascii="宋体" w:hAnsi="宋体" w:cs="宋体"/>
                <w:b/>
                <w:kern w:val="1"/>
                <w:sz w:val="24"/>
                <w:u w:val="single"/>
              </w:rPr>
              <w:t>8810 1001 2010 1026 33101</w:t>
            </w:r>
          </w:p>
          <w:p>
            <w:pPr>
              <w:pStyle w:val="61"/>
              <w:numPr>
                <w:ilvl w:val="4"/>
                <w:numId w:val="0"/>
              </w:numPr>
              <w:spacing w:before="0" w:after="0" w:line="360" w:lineRule="auto"/>
            </w:pPr>
            <w:r>
              <w:rPr>
                <w:rFonts w:hint="eastAsia" w:ascii="宋体" w:hAnsi="宋体" w:eastAsia="宋体" w:cs="宋体"/>
                <w:b/>
                <w:kern w:val="1"/>
                <w:szCs w:val="24"/>
              </w:rPr>
              <w:t>投标保证金缴纳截止时间：2022年01月2</w:t>
            </w:r>
            <w:r>
              <w:rPr>
                <w:rFonts w:hint="eastAsia" w:ascii="宋体" w:hAnsi="宋体" w:eastAsia="宋体" w:cs="宋体"/>
                <w:b/>
                <w:kern w:val="1"/>
                <w:szCs w:val="24"/>
                <w:lang w:val="en-US" w:eastAsia="zh-CN"/>
              </w:rPr>
              <w:t>4</w:t>
            </w:r>
            <w:r>
              <w:rPr>
                <w:rFonts w:hint="eastAsia" w:ascii="宋体" w:hAnsi="宋体" w:eastAsia="宋体" w:cs="宋体"/>
                <w:b/>
                <w:kern w:val="1"/>
                <w:szCs w:val="24"/>
              </w:rPr>
              <w:t>日10：00分（北京时间）。</w:t>
            </w:r>
          </w:p>
          <w:p>
            <w:pPr>
              <w:autoSpaceDE w:val="0"/>
              <w:autoSpaceDN w:val="0"/>
              <w:adjustRightInd w:val="0"/>
              <w:spacing w:line="276" w:lineRule="auto"/>
              <w:jc w:val="left"/>
              <w:rPr>
                <w:rFonts w:ascii="宋体" w:hAnsi="宋体" w:cs="宋体"/>
                <w:b/>
                <w:kern w:val="1"/>
                <w:sz w:val="24"/>
              </w:rPr>
            </w:pPr>
            <w:r>
              <w:rPr>
                <w:rFonts w:hint="eastAsia" w:ascii="宋体" w:hAnsi="宋体" w:cs="宋体"/>
                <w:b/>
                <w:kern w:val="1"/>
                <w:sz w:val="24"/>
              </w:rPr>
              <w:t>交付方式：必须以供应商的名义缴纳投标保证金,缴纳时必须在备注栏写明所投采购项目名称。在投标截止时间前将投标保证金以电汇、转账或者金融机构、担保机构出具的保函等非现金形式提交的方式到策勒县公共资源交易中心，须公对公账户，不接受个人打款，以个人名义打款将视为无效。</w:t>
            </w:r>
          </w:p>
          <w:p>
            <w:pPr>
              <w:tabs>
                <w:tab w:val="left" w:pos="5190"/>
              </w:tabs>
              <w:spacing w:line="276" w:lineRule="auto"/>
              <w:rPr>
                <w:rFonts w:ascii="宋体" w:hAnsi="宋体" w:cs="宋体"/>
                <w:sz w:val="24"/>
              </w:rPr>
            </w:pPr>
            <w:r>
              <w:rPr>
                <w:rFonts w:hint="eastAsia" w:ascii="宋体" w:hAnsi="宋体" w:cs="宋体"/>
                <w:b/>
                <w:kern w:val="1"/>
                <w:sz w:val="24"/>
              </w:rPr>
              <w:t>备注：无需到策勒县公共资源交易中心换取投标保证金收据，开标时现场查验投标保证金到账情况。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14</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投标文件的份数</w:t>
            </w:r>
          </w:p>
        </w:tc>
        <w:tc>
          <w:tcPr>
            <w:tcW w:w="71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sz w:val="24"/>
              </w:rPr>
            </w:pPr>
            <w:r>
              <w:rPr>
                <w:rFonts w:hint="eastAsia" w:ascii="宋体" w:hAnsi="宋体" w:cs="宋体"/>
                <w:b/>
                <w:bCs/>
                <w:sz w:val="24"/>
              </w:rPr>
              <w:t>投标文件：正本壹份（单独密封）、副本叁份（单独密封）</w:t>
            </w:r>
          </w:p>
          <w:p>
            <w:pPr>
              <w:spacing w:line="360" w:lineRule="auto"/>
              <w:rPr>
                <w:rFonts w:ascii="宋体" w:hAnsi="宋体" w:cs="宋体"/>
                <w:b/>
                <w:bCs/>
                <w:sz w:val="24"/>
              </w:rPr>
            </w:pPr>
            <w:r>
              <w:rPr>
                <w:rFonts w:hint="eastAsia" w:ascii="宋体" w:hAnsi="宋体" w:cs="宋体"/>
                <w:b/>
                <w:bCs/>
                <w:sz w:val="24"/>
              </w:rPr>
              <w:t>投标报价表：壹份（单独密封）</w:t>
            </w:r>
          </w:p>
          <w:p>
            <w:pPr>
              <w:spacing w:line="360" w:lineRule="auto"/>
              <w:rPr>
                <w:rFonts w:ascii="宋体" w:hAnsi="宋体" w:cs="宋体"/>
                <w:b/>
                <w:bCs/>
                <w:sz w:val="24"/>
              </w:rPr>
            </w:pPr>
            <w:r>
              <w:rPr>
                <w:rFonts w:hint="eastAsia" w:ascii="宋体" w:hAnsi="宋体" w:cs="宋体"/>
                <w:b/>
                <w:bCs/>
                <w:sz w:val="24"/>
              </w:rPr>
              <w:t>电子版响投标文件：壹份（单独密封）</w:t>
            </w:r>
          </w:p>
          <w:p>
            <w:pPr>
              <w:spacing w:line="360" w:lineRule="auto"/>
              <w:rPr>
                <w:rFonts w:ascii="宋体" w:hAnsi="宋体" w:cs="宋体"/>
                <w:b/>
                <w:bCs/>
                <w:sz w:val="24"/>
              </w:rPr>
            </w:pPr>
            <w:r>
              <w:rPr>
                <w:rFonts w:hint="eastAsia" w:ascii="宋体" w:hAnsi="宋体" w:cs="宋体"/>
                <w:b/>
                <w:bCs/>
                <w:sz w:val="24"/>
              </w:rPr>
              <w:t>电子版投标文件的格式为：文件采用WORD文档（U盘）。</w:t>
            </w:r>
          </w:p>
          <w:p>
            <w:pPr>
              <w:tabs>
                <w:tab w:val="left" w:pos="5190"/>
              </w:tabs>
              <w:spacing w:line="276" w:lineRule="auto"/>
              <w:rPr>
                <w:rFonts w:ascii="宋体" w:hAnsi="宋体" w:cs="宋体"/>
                <w:sz w:val="24"/>
              </w:rPr>
            </w:pPr>
            <w:r>
              <w:rPr>
                <w:rFonts w:hint="eastAsia" w:ascii="宋体" w:hAnsi="宋体" w:cs="宋体"/>
                <w:b/>
                <w:bCs/>
                <w:sz w:val="24"/>
              </w:rPr>
              <w:t>电子版投标文件内容应与纸质版投标文件内容一致，如有不同，以纸质版投标文件为准），纸质版投标文件一律采用胶装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15</w:t>
            </w:r>
          </w:p>
        </w:tc>
        <w:tc>
          <w:tcPr>
            <w:tcW w:w="1489"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cs="宋体"/>
                <w:sz w:val="24"/>
              </w:rPr>
            </w:pPr>
            <w:r>
              <w:rPr>
                <w:rFonts w:hint="eastAsia" w:ascii="宋体" w:hAnsi="宋体" w:cs="宋体"/>
                <w:sz w:val="24"/>
              </w:rPr>
              <w:t>获取</w:t>
            </w:r>
          </w:p>
          <w:p>
            <w:pPr>
              <w:overflowPunct w:val="0"/>
              <w:spacing w:line="500" w:lineRule="exact"/>
              <w:jc w:val="center"/>
              <w:rPr>
                <w:rFonts w:ascii="宋体" w:hAnsi="宋体" w:cs="宋体"/>
                <w:kern w:val="1"/>
                <w:sz w:val="24"/>
              </w:rPr>
            </w:pPr>
            <w:r>
              <w:rPr>
                <w:rFonts w:hint="eastAsia" w:ascii="宋体" w:hAnsi="宋体" w:cs="宋体"/>
                <w:sz w:val="24"/>
              </w:rPr>
              <w:t>招标文件</w:t>
            </w:r>
          </w:p>
        </w:tc>
        <w:tc>
          <w:tcPr>
            <w:tcW w:w="716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kern w:val="1"/>
                <w:sz w:val="24"/>
              </w:rPr>
            </w:pPr>
            <w:r>
              <w:rPr>
                <w:rFonts w:hint="eastAsia" w:ascii="宋体" w:hAnsi="宋体" w:cs="宋体"/>
                <w:sz w:val="24"/>
              </w:rPr>
              <w:t>供应单位登陆政采云平台</w:t>
            </w:r>
            <w:r>
              <w:fldChar w:fldCharType="begin"/>
            </w:r>
            <w:r>
              <w:instrText xml:space="preserve"> HYPERLINK "https://www.zcygov.cn/" </w:instrText>
            </w:r>
            <w:r>
              <w:fldChar w:fldCharType="separate"/>
            </w:r>
            <w:r>
              <w:rPr>
                <w:rStyle w:val="32"/>
                <w:rFonts w:hint="eastAsia" w:ascii="宋体" w:hAnsi="宋体" w:cs="宋体"/>
                <w:color w:val="auto"/>
                <w:sz w:val="24"/>
              </w:rPr>
              <w:t>https://www.zcygov.cn/</w:t>
            </w:r>
            <w:r>
              <w:rPr>
                <w:rStyle w:val="32"/>
                <w:rFonts w:hint="eastAsia" w:ascii="宋体" w:hAnsi="宋体" w:cs="宋体"/>
                <w:color w:val="auto"/>
                <w:sz w:val="24"/>
              </w:rPr>
              <w:fldChar w:fldCharType="end"/>
            </w:r>
            <w:r>
              <w:rPr>
                <w:rFonts w:hint="eastAsia" w:ascii="宋体" w:hAnsi="宋体" w:cs="宋体"/>
                <w:sz w:val="24"/>
              </w:rPr>
              <w:t>在线申请获取招标文件（进入“项目采购”应用，在获取招标文件菜单中选择项目，申请获取招标文件）。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16</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40" w:firstLineChars="100"/>
              <w:rPr>
                <w:rFonts w:ascii="宋体" w:hAnsi="宋体" w:cs="宋体"/>
                <w:kern w:val="1"/>
                <w:sz w:val="24"/>
              </w:rPr>
            </w:pPr>
            <w:r>
              <w:rPr>
                <w:rFonts w:hint="eastAsia" w:ascii="宋体" w:hAnsi="宋体" w:cs="宋体"/>
                <w:kern w:val="1"/>
                <w:sz w:val="24"/>
              </w:rPr>
              <w:t>投标</w:t>
            </w:r>
          </w:p>
          <w:p>
            <w:pPr>
              <w:spacing w:line="276" w:lineRule="auto"/>
              <w:rPr>
                <w:rFonts w:ascii="宋体" w:hAnsi="宋体" w:cs="宋体"/>
                <w:sz w:val="24"/>
              </w:rPr>
            </w:pPr>
            <w:r>
              <w:rPr>
                <w:rFonts w:hint="eastAsia" w:ascii="宋体" w:hAnsi="宋体" w:cs="宋体"/>
                <w:kern w:val="1"/>
                <w:sz w:val="24"/>
              </w:rPr>
              <w:t>文件递交</w:t>
            </w:r>
          </w:p>
        </w:tc>
        <w:tc>
          <w:tcPr>
            <w:tcW w:w="7160" w:type="dxa"/>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color w:val="000000"/>
                <w:kern w:val="1"/>
                <w:sz w:val="24"/>
              </w:rPr>
            </w:pPr>
            <w:r>
              <w:rPr>
                <w:rFonts w:hint="eastAsia" w:ascii="宋体" w:hAnsi="宋体" w:cs="宋体"/>
                <w:color w:val="000000"/>
                <w:kern w:val="1"/>
                <w:sz w:val="24"/>
              </w:rPr>
              <w:t>截止时间：</w:t>
            </w:r>
            <w:r>
              <w:rPr>
                <w:rFonts w:hint="eastAsia" w:ascii="宋体" w:hAnsi="宋体" w:cs="宋体"/>
                <w:color w:val="000000"/>
                <w:kern w:val="1"/>
                <w:sz w:val="24"/>
                <w:u w:val="single"/>
              </w:rPr>
              <w:t>2022年01月2</w:t>
            </w:r>
            <w:r>
              <w:rPr>
                <w:rFonts w:hint="eastAsia" w:ascii="宋体" w:hAnsi="宋体" w:cs="宋体"/>
                <w:color w:val="000000"/>
                <w:kern w:val="1"/>
                <w:sz w:val="24"/>
                <w:u w:val="single"/>
                <w:lang w:val="en-US" w:eastAsia="zh-CN"/>
              </w:rPr>
              <w:t>4</w:t>
            </w:r>
            <w:r>
              <w:rPr>
                <w:rFonts w:hint="eastAsia" w:ascii="宋体" w:hAnsi="宋体" w:cs="宋体"/>
                <w:color w:val="000000"/>
                <w:kern w:val="1"/>
                <w:sz w:val="24"/>
                <w:u w:val="single"/>
              </w:rPr>
              <w:t>日</w:t>
            </w:r>
            <w:r>
              <w:rPr>
                <w:rFonts w:hint="eastAsia" w:ascii="宋体" w:hAnsi="宋体" w:cs="宋体"/>
                <w:color w:val="auto"/>
                <w:kern w:val="1"/>
                <w:sz w:val="24"/>
                <w:u w:val="single"/>
              </w:rPr>
              <w:t>上午10：30（北京时间</w:t>
            </w:r>
            <w:r>
              <w:rPr>
                <w:rFonts w:hint="eastAsia" w:ascii="宋体" w:hAnsi="宋体" w:cs="宋体"/>
                <w:color w:val="000000"/>
                <w:kern w:val="1"/>
                <w:sz w:val="24"/>
                <w:u w:val="single"/>
              </w:rPr>
              <w:t>）</w:t>
            </w:r>
          </w:p>
          <w:p>
            <w:pPr>
              <w:spacing w:line="276" w:lineRule="auto"/>
              <w:rPr>
                <w:rFonts w:ascii="宋体" w:hAnsi="宋体" w:cs="宋体"/>
                <w:sz w:val="24"/>
              </w:rPr>
            </w:pPr>
            <w:r>
              <w:rPr>
                <w:rFonts w:hint="eastAsia" w:ascii="宋体" w:hAnsi="宋体" w:cs="宋体"/>
                <w:kern w:val="1"/>
                <w:sz w:val="24"/>
              </w:rPr>
              <w:t>递交地点：</w:t>
            </w:r>
            <w:r>
              <w:rPr>
                <w:rFonts w:hint="eastAsia" w:ascii="宋体" w:hAnsi="宋体" w:cs="宋体"/>
                <w:kern w:val="1"/>
                <w:sz w:val="24"/>
                <w:u w:val="single"/>
              </w:rPr>
              <w:t>策勒县公共资源交易中心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17</w:t>
            </w:r>
          </w:p>
        </w:tc>
        <w:tc>
          <w:tcPr>
            <w:tcW w:w="1489" w:type="dxa"/>
            <w:tcBorders>
              <w:top w:val="single" w:color="auto" w:sz="4" w:space="0"/>
              <w:left w:val="single" w:color="auto" w:sz="4" w:space="0"/>
              <w:bottom w:val="single" w:color="auto" w:sz="4" w:space="0"/>
              <w:right w:val="single" w:color="auto" w:sz="4" w:space="0"/>
            </w:tcBorders>
            <w:vAlign w:val="center"/>
          </w:tcPr>
          <w:p>
            <w:pPr>
              <w:spacing w:line="276" w:lineRule="auto"/>
              <w:ind w:left="240" w:hanging="240" w:hangingChars="100"/>
              <w:rPr>
                <w:rFonts w:ascii="宋体" w:hAnsi="宋体" w:cs="宋体"/>
                <w:kern w:val="1"/>
                <w:sz w:val="24"/>
              </w:rPr>
            </w:pPr>
            <w:r>
              <w:rPr>
                <w:rFonts w:hint="eastAsia" w:ascii="宋体" w:hAnsi="宋体" w:cs="宋体"/>
                <w:kern w:val="1"/>
                <w:sz w:val="24"/>
              </w:rPr>
              <w:t>代理服务费方式</w:t>
            </w:r>
          </w:p>
        </w:tc>
        <w:tc>
          <w:tcPr>
            <w:tcW w:w="71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kern w:val="1"/>
                <w:sz w:val="24"/>
              </w:rPr>
            </w:pPr>
            <w:r>
              <w:rPr>
                <w:rFonts w:hint="eastAsia" w:ascii="宋体" w:hAnsi="宋体" w:cs="宋体"/>
                <w:kern w:val="1"/>
                <w:sz w:val="24"/>
                <w:lang w:val="zh-CN"/>
              </w:rPr>
              <w:t>中标服务费：</w:t>
            </w:r>
            <w:r>
              <w:rPr>
                <w:rFonts w:hint="eastAsia" w:ascii="宋体" w:hAnsi="宋体" w:cs="宋体"/>
                <w:kern w:val="1"/>
                <w:sz w:val="24"/>
              </w:rPr>
              <w:t>参照</w:t>
            </w:r>
            <w:r>
              <w:rPr>
                <w:rFonts w:hint="eastAsia" w:ascii="宋体" w:hAnsi="宋体" w:cs="宋体"/>
                <w:kern w:val="1"/>
                <w:sz w:val="24"/>
                <w:lang w:val="zh-CN"/>
              </w:rPr>
              <w:t>【</w:t>
            </w:r>
            <w:r>
              <w:rPr>
                <w:rFonts w:hint="eastAsia" w:ascii="宋体" w:hAnsi="宋体" w:cs="宋体"/>
                <w:kern w:val="1"/>
                <w:sz w:val="24"/>
              </w:rPr>
              <w:t>2002</w:t>
            </w:r>
            <w:r>
              <w:rPr>
                <w:rFonts w:hint="eastAsia" w:ascii="宋体" w:hAnsi="宋体" w:cs="宋体"/>
                <w:kern w:val="1"/>
                <w:sz w:val="24"/>
                <w:lang w:val="zh-CN"/>
              </w:rPr>
              <w:t>】</w:t>
            </w:r>
            <w:r>
              <w:rPr>
                <w:rFonts w:hint="eastAsia" w:ascii="宋体" w:hAnsi="宋体" w:cs="宋体"/>
                <w:kern w:val="1"/>
                <w:sz w:val="24"/>
              </w:rPr>
              <w:t>1980</w:t>
            </w:r>
            <w:r>
              <w:rPr>
                <w:rFonts w:hint="eastAsia" w:ascii="宋体" w:hAnsi="宋体" w:cs="宋体"/>
                <w:kern w:val="1"/>
                <w:sz w:val="24"/>
                <w:lang w:val="zh-CN"/>
              </w:rPr>
              <w:t>号文件的标准计算，收取招标代理服务酬金，按差额定率累进法计算；招标工作结束后由中标单位支付（即中标人在领取中标通知书时支付），敬请供应商注意！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18</w:t>
            </w:r>
          </w:p>
        </w:tc>
        <w:tc>
          <w:tcPr>
            <w:tcW w:w="1489"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cs="宋体"/>
                <w:sz w:val="24"/>
              </w:rPr>
            </w:pPr>
            <w:r>
              <w:rPr>
                <w:rFonts w:hint="eastAsia" w:ascii="宋体" w:hAnsi="宋体" w:cs="宋体"/>
                <w:kern w:val="0"/>
                <w:sz w:val="24"/>
              </w:rPr>
              <w:t>履约保证金</w:t>
            </w:r>
          </w:p>
        </w:tc>
        <w:tc>
          <w:tcPr>
            <w:tcW w:w="7160"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left"/>
              <w:rPr>
                <w:rFonts w:ascii="宋体" w:hAnsi="宋体" w:cs="宋体"/>
                <w:kern w:val="0"/>
                <w:sz w:val="24"/>
              </w:rPr>
            </w:pPr>
            <w:r>
              <w:rPr>
                <w:rFonts w:hint="eastAsia" w:ascii="宋体" w:hAnsi="宋体" w:cs="宋体"/>
                <w:kern w:val="0"/>
                <w:sz w:val="24"/>
              </w:rPr>
              <w:t>（）不要求</w:t>
            </w:r>
          </w:p>
          <w:p>
            <w:pPr>
              <w:overflowPunct w:val="0"/>
              <w:spacing w:line="500" w:lineRule="exact"/>
              <w:jc w:val="left"/>
              <w:rPr>
                <w:rFonts w:ascii="宋体" w:hAnsi="宋体" w:cs="宋体"/>
                <w:kern w:val="0"/>
                <w:sz w:val="24"/>
              </w:rPr>
            </w:pPr>
            <w:r>
              <w:rPr>
                <w:rFonts w:hint="eastAsia" w:ascii="宋体" w:hAnsi="宋体" w:cs="宋体"/>
                <w:kern w:val="0"/>
                <w:sz w:val="24"/>
              </w:rPr>
              <w:t>（</w:t>
            </w:r>
            <w:r>
              <w:rPr>
                <w:rFonts w:ascii="Arial" w:hAnsi="Arial" w:cs="Arial"/>
                <w:kern w:val="0"/>
                <w:sz w:val="24"/>
              </w:rPr>
              <w:t>√</w:t>
            </w:r>
            <w:r>
              <w:rPr>
                <w:rFonts w:hint="eastAsia" w:ascii="宋体" w:hAnsi="宋体" w:cs="宋体"/>
                <w:kern w:val="0"/>
                <w:sz w:val="24"/>
              </w:rPr>
              <w:t>）要求。履约保证金的形式：支票、汇票、本票或者金融机构、担保机构出具的保函等非现金形式</w:t>
            </w:r>
          </w:p>
          <w:p>
            <w:pPr>
              <w:overflowPunct w:val="0"/>
              <w:spacing w:line="500" w:lineRule="exact"/>
              <w:jc w:val="left"/>
              <w:rPr>
                <w:rFonts w:ascii="宋体" w:hAnsi="宋体" w:cs="宋体"/>
                <w:sz w:val="24"/>
              </w:rPr>
            </w:pPr>
            <w:r>
              <w:rPr>
                <w:rFonts w:hint="eastAsia" w:ascii="宋体" w:hAnsi="宋体" w:cs="宋体"/>
                <w:kern w:val="0"/>
                <w:sz w:val="24"/>
              </w:rPr>
              <w:t xml:space="preserve">履约保证金的金额：合同金额 </w:t>
            </w:r>
            <w:r>
              <w:rPr>
                <w:rFonts w:hint="eastAsia" w:ascii="宋体" w:hAnsi="宋体" w:cs="宋体"/>
                <w:kern w:val="0"/>
                <w:sz w:val="24"/>
                <w:u w:val="single"/>
              </w:rPr>
              <w:t xml:space="preserve">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19</w:t>
            </w:r>
          </w:p>
        </w:tc>
        <w:tc>
          <w:tcPr>
            <w:tcW w:w="1489"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cs="宋体"/>
                <w:sz w:val="24"/>
              </w:rPr>
            </w:pPr>
            <w:r>
              <w:rPr>
                <w:rFonts w:hint="eastAsia" w:ascii="宋体" w:hAnsi="宋体" w:cs="宋体"/>
                <w:kern w:val="0"/>
                <w:sz w:val="24"/>
              </w:rPr>
              <w:t>付款方式</w:t>
            </w:r>
          </w:p>
        </w:tc>
        <w:tc>
          <w:tcPr>
            <w:tcW w:w="7160"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rPr>
                <w:rFonts w:ascii="宋体" w:hAnsi="宋体" w:cs="宋体"/>
                <w:sz w:val="24"/>
              </w:rPr>
            </w:pPr>
            <w:r>
              <w:rPr>
                <w:rFonts w:hint="eastAsia" w:ascii="宋体" w:hAnsi="宋体" w:cs="宋体"/>
                <w:kern w:val="0"/>
                <w:sz w:val="24"/>
              </w:rPr>
              <w:t>具体内容签订合同时约定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20</w:t>
            </w:r>
          </w:p>
        </w:tc>
        <w:tc>
          <w:tcPr>
            <w:tcW w:w="1489"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cs="宋体"/>
                <w:kern w:val="0"/>
                <w:sz w:val="24"/>
              </w:rPr>
            </w:pPr>
            <w:r>
              <w:rPr>
                <w:rFonts w:hint="eastAsia" w:ascii="宋体" w:hAnsi="宋体" w:cs="宋体"/>
                <w:kern w:val="0"/>
                <w:sz w:val="24"/>
              </w:rPr>
              <w:t>服务期限</w:t>
            </w:r>
          </w:p>
        </w:tc>
        <w:tc>
          <w:tcPr>
            <w:tcW w:w="7160"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rPr>
                <w:rFonts w:ascii="宋体" w:hAnsi="宋体" w:cs="宋体"/>
                <w:kern w:val="0"/>
                <w:sz w:val="24"/>
              </w:rPr>
            </w:pPr>
            <w:r>
              <w:rPr>
                <w:rFonts w:ascii="宋体" w:hAnsi="宋体" w:cs="宋体"/>
                <w:kern w:val="0"/>
                <w:sz w:val="24"/>
              </w:rPr>
              <w:t>具体以签订合同为主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21</w:t>
            </w:r>
          </w:p>
        </w:tc>
        <w:tc>
          <w:tcPr>
            <w:tcW w:w="1489" w:type="dxa"/>
            <w:tcBorders>
              <w:top w:val="single" w:color="auto" w:sz="4" w:space="0"/>
              <w:left w:val="single" w:color="auto" w:sz="4" w:space="0"/>
              <w:bottom w:val="single" w:color="auto" w:sz="4" w:space="0"/>
              <w:right w:val="single" w:color="auto" w:sz="4" w:space="0"/>
            </w:tcBorders>
            <w:vAlign w:val="center"/>
          </w:tcPr>
          <w:p>
            <w:pPr>
              <w:pStyle w:val="67"/>
              <w:spacing w:line="500" w:lineRule="exact"/>
              <w:jc w:val="center"/>
            </w:pPr>
            <w:r>
              <w:rPr>
                <w:rFonts w:hint="eastAsia"/>
                <w:kern w:val="2"/>
              </w:rPr>
              <w:t>须 知</w:t>
            </w:r>
          </w:p>
        </w:tc>
        <w:tc>
          <w:tcPr>
            <w:tcW w:w="7160" w:type="dxa"/>
            <w:tcBorders>
              <w:top w:val="single" w:color="auto" w:sz="4" w:space="0"/>
              <w:left w:val="single" w:color="auto" w:sz="4" w:space="0"/>
              <w:bottom w:val="single" w:color="auto" w:sz="4" w:space="0"/>
              <w:right w:val="single" w:color="auto" w:sz="4" w:space="0"/>
            </w:tcBorders>
            <w:vAlign w:val="center"/>
          </w:tcPr>
          <w:p>
            <w:pPr>
              <w:pStyle w:val="67"/>
              <w:spacing w:line="500" w:lineRule="exact"/>
              <w:jc w:val="both"/>
              <w:rPr>
                <w:kern w:val="2"/>
              </w:rPr>
            </w:pPr>
            <w:r>
              <w:rPr>
                <w:rFonts w:hint="eastAsia"/>
                <w:kern w:val="2"/>
              </w:rPr>
              <w:t>提出质疑函的时限：对招标文件提出质疑的，应当在获取招标文件或者招标文件公告期限届满之日起7个工作日内提出。</w:t>
            </w:r>
          </w:p>
          <w:p>
            <w:pPr>
              <w:pStyle w:val="67"/>
              <w:spacing w:line="500" w:lineRule="exact"/>
              <w:jc w:val="both"/>
            </w:pPr>
            <w:r>
              <w:rPr>
                <w:rFonts w:hint="eastAsia"/>
                <w:kern w:val="2"/>
              </w:rPr>
              <w:t>接收质疑函的方式：将PDF格式电子版质疑文件加盖公章扫描发送至363432771@qq.com邮箱，同时递交纸质版原件。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rPr>
            </w:pPr>
            <w:r>
              <w:rPr>
                <w:rFonts w:hint="eastAsia" w:ascii="宋体" w:hAnsi="宋体" w:cs="宋体"/>
                <w:sz w:val="24"/>
              </w:rPr>
              <w:t>22</w:t>
            </w:r>
          </w:p>
        </w:tc>
        <w:tc>
          <w:tcPr>
            <w:tcW w:w="1489"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cs="宋体"/>
                <w:sz w:val="24"/>
              </w:rPr>
            </w:pPr>
            <w:r>
              <w:rPr>
                <w:rFonts w:hint="eastAsia" w:ascii="宋体" w:hAnsi="宋体" w:cs="宋体"/>
                <w:sz w:val="24"/>
              </w:rPr>
              <w:t>评审小组组成与抽取</w:t>
            </w:r>
          </w:p>
        </w:tc>
        <w:tc>
          <w:tcPr>
            <w:tcW w:w="7160"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sz w:val="24"/>
              </w:rPr>
            </w:pPr>
            <w:r>
              <w:rPr>
                <w:rFonts w:hint="eastAsia" w:ascii="宋体" w:hAnsi="宋体" w:cs="宋体"/>
                <w:sz w:val="24"/>
              </w:rPr>
              <w:t>评标委员会构成：</w:t>
            </w:r>
            <w:r>
              <w:rPr>
                <w:rFonts w:hint="eastAsia" w:ascii="宋体" w:hAnsi="宋体" w:cs="宋体"/>
                <w:sz w:val="24"/>
                <w:u w:val="single"/>
              </w:rPr>
              <w:t>3</w:t>
            </w:r>
            <w:r>
              <w:rPr>
                <w:rFonts w:hint="eastAsia" w:ascii="宋体" w:hAnsi="宋体" w:cs="宋体"/>
                <w:sz w:val="24"/>
              </w:rPr>
              <w:t>人，招标代表</w:t>
            </w:r>
            <w:r>
              <w:rPr>
                <w:rFonts w:hint="eastAsia" w:ascii="宋体" w:hAnsi="宋体" w:cs="宋体"/>
                <w:sz w:val="24"/>
                <w:u w:val="single"/>
              </w:rPr>
              <w:t>1</w:t>
            </w:r>
            <w:r>
              <w:rPr>
                <w:rFonts w:hint="eastAsia" w:ascii="宋体" w:hAnsi="宋体" w:cs="宋体"/>
                <w:sz w:val="24"/>
              </w:rPr>
              <w:t>人，其中有关技术、经济等方面的专家人数为</w:t>
            </w:r>
            <w:r>
              <w:rPr>
                <w:rFonts w:hint="eastAsia" w:ascii="宋体" w:hAnsi="宋体" w:cs="宋体"/>
                <w:sz w:val="24"/>
                <w:u w:val="single"/>
              </w:rPr>
              <w:t>2</w:t>
            </w:r>
            <w:r>
              <w:rPr>
                <w:rFonts w:hint="eastAsia" w:ascii="宋体" w:hAnsi="宋体" w:cs="宋体"/>
                <w:sz w:val="24"/>
              </w:rPr>
              <w:t>人，经济等方面的专家人数不得少于评标委员会委员会成员总数的2/3；</w:t>
            </w:r>
          </w:p>
          <w:p>
            <w:pPr>
              <w:spacing w:line="500" w:lineRule="exact"/>
              <w:rPr>
                <w:rFonts w:ascii="宋体" w:hAnsi="宋体" w:cs="宋体"/>
                <w:sz w:val="24"/>
              </w:rPr>
            </w:pPr>
            <w:r>
              <w:rPr>
                <w:rFonts w:hint="eastAsia" w:ascii="宋体" w:hAnsi="宋体" w:cs="宋体"/>
                <w:sz w:val="24"/>
              </w:rPr>
              <w:t>评审小组人员由新疆政采云政府采购专家库中随机抽取确定。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trPr>
        <w:tc>
          <w:tcPr>
            <w:tcW w:w="816"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ind w:firstLine="240" w:firstLineChars="100"/>
              <w:rPr>
                <w:rFonts w:ascii="宋体" w:hAnsi="宋体" w:cs="宋体"/>
                <w:bCs/>
                <w:sz w:val="24"/>
              </w:rPr>
            </w:pPr>
            <w:r>
              <w:rPr>
                <w:rFonts w:hint="eastAsia" w:ascii="宋体" w:hAnsi="宋体" w:cs="宋体"/>
                <w:bCs/>
                <w:sz w:val="24"/>
              </w:rPr>
              <w:t>23</w:t>
            </w:r>
          </w:p>
        </w:tc>
        <w:tc>
          <w:tcPr>
            <w:tcW w:w="1489" w:type="dxa"/>
            <w:tcBorders>
              <w:top w:val="single" w:color="auto" w:sz="4" w:space="0"/>
              <w:left w:val="single" w:color="auto" w:sz="4" w:space="0"/>
              <w:bottom w:val="single" w:color="auto" w:sz="4" w:space="0"/>
              <w:right w:val="single" w:color="auto" w:sz="4" w:space="0"/>
            </w:tcBorders>
          </w:tcPr>
          <w:p>
            <w:pPr>
              <w:spacing w:before="71" w:line="185" w:lineRule="auto"/>
              <w:rPr>
                <w:rFonts w:ascii="宋体" w:hAnsi="宋体" w:cs="宋体"/>
                <w:spacing w:val="-4"/>
                <w:sz w:val="24"/>
              </w:rPr>
            </w:pPr>
          </w:p>
          <w:p>
            <w:pPr>
              <w:spacing w:before="71" w:line="185" w:lineRule="auto"/>
              <w:rPr>
                <w:rFonts w:ascii="宋体" w:hAnsi="宋体" w:cs="宋体"/>
                <w:spacing w:val="-4"/>
                <w:sz w:val="24"/>
              </w:rPr>
            </w:pPr>
          </w:p>
          <w:p>
            <w:pPr>
              <w:spacing w:before="71" w:line="185" w:lineRule="auto"/>
              <w:rPr>
                <w:rFonts w:ascii="宋体" w:hAnsi="宋体" w:cs="宋体"/>
                <w:spacing w:val="-4"/>
                <w:sz w:val="24"/>
              </w:rPr>
            </w:pPr>
          </w:p>
          <w:p>
            <w:pPr>
              <w:spacing w:before="71" w:line="185" w:lineRule="auto"/>
              <w:rPr>
                <w:rFonts w:ascii="宋体" w:hAnsi="宋体" w:cs="宋体"/>
                <w:spacing w:val="-4"/>
                <w:sz w:val="24"/>
              </w:rPr>
            </w:pPr>
          </w:p>
          <w:p>
            <w:pPr>
              <w:spacing w:before="71" w:line="185" w:lineRule="auto"/>
              <w:rPr>
                <w:rFonts w:ascii="宋体" w:hAnsi="宋体" w:cs="宋体"/>
                <w:spacing w:val="-4"/>
                <w:sz w:val="24"/>
              </w:rPr>
            </w:pPr>
          </w:p>
          <w:p>
            <w:pPr>
              <w:spacing w:before="71" w:line="185" w:lineRule="auto"/>
              <w:rPr>
                <w:rFonts w:ascii="宋体" w:hAnsi="宋体" w:cs="宋体"/>
                <w:spacing w:val="-4"/>
                <w:sz w:val="24"/>
              </w:rPr>
            </w:pPr>
          </w:p>
          <w:p>
            <w:pPr>
              <w:spacing w:before="71" w:line="185" w:lineRule="auto"/>
              <w:rPr>
                <w:rFonts w:ascii="宋体" w:hAnsi="宋体" w:cs="宋体"/>
                <w:b/>
                <w:sz w:val="24"/>
              </w:rPr>
            </w:pPr>
            <w:r>
              <w:rPr>
                <w:rFonts w:hint="eastAsia" w:ascii="宋体" w:hAnsi="宋体" w:cs="宋体"/>
                <w:spacing w:val="-4"/>
                <w:sz w:val="24"/>
              </w:rPr>
              <w:t>供应商随身携带下列有效证件以备查验</w:t>
            </w:r>
          </w:p>
        </w:tc>
        <w:tc>
          <w:tcPr>
            <w:tcW w:w="71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rPr>
            </w:pPr>
            <w:r>
              <w:rPr>
                <w:rFonts w:hint="eastAsia" w:ascii="宋体" w:hAnsi="宋体"/>
                <w:color w:val="000000"/>
                <w:sz w:val="24"/>
              </w:rPr>
              <w:t>供应商须在规定的时间和地点准时参加投标，并在响应文件接收截止时间前提供以下资料：</w:t>
            </w:r>
          </w:p>
          <w:p>
            <w:pPr>
              <w:spacing w:line="360" w:lineRule="auto"/>
              <w:rPr>
                <w:rFonts w:hint="default" w:ascii="宋体" w:hAnsi="宋体" w:eastAsia="宋体" w:cs="Times New Roman"/>
                <w:b/>
                <w:bCs/>
                <w:color w:val="000000"/>
                <w:sz w:val="24"/>
                <w:highlight w:val="none"/>
                <w:lang w:val="en-US" w:eastAsia="zh-CN"/>
              </w:rPr>
            </w:pPr>
            <w:r>
              <w:rPr>
                <w:rFonts w:hint="default" w:ascii="宋体" w:hAnsi="宋体" w:eastAsia="宋体" w:cs="Times New Roman"/>
                <w:b/>
                <w:bCs/>
                <w:color w:val="000000"/>
                <w:sz w:val="24"/>
                <w:highlight w:val="none"/>
                <w:lang w:val="en-US" w:eastAsia="zh-CN"/>
              </w:rPr>
              <w:t>（1）经年审合格的三证合一的营业执照副本原件或复印件加盖公章；</w:t>
            </w:r>
          </w:p>
          <w:p>
            <w:pPr>
              <w:spacing w:line="360" w:lineRule="auto"/>
              <w:rPr>
                <w:rFonts w:hint="eastAsia" w:ascii="宋体" w:hAnsi="宋体" w:eastAsia="宋体" w:cs="Times New Roman"/>
                <w:b/>
                <w:bCs/>
                <w:color w:val="000000"/>
                <w:sz w:val="24"/>
                <w:highlight w:val="none"/>
                <w:lang w:val="en-US" w:eastAsia="zh-CN"/>
              </w:rPr>
            </w:pPr>
            <w:r>
              <w:rPr>
                <w:rFonts w:hint="default" w:ascii="宋体" w:hAnsi="宋体" w:eastAsia="宋体" w:cs="Times New Roman"/>
                <w:b/>
                <w:bCs/>
                <w:color w:val="000000"/>
                <w:sz w:val="24"/>
                <w:highlight w:val="none"/>
                <w:lang w:val="en-US" w:eastAsia="zh-CN"/>
              </w:rPr>
              <w:t>（2）供应商代表到场参与投标需提供身份证明书（原件）及身份证原件；委托代理人到场参与投标需提供授权委托书（附授权人及委托人身份证复印件正反面）及身份证原件</w:t>
            </w:r>
            <w:r>
              <w:rPr>
                <w:rFonts w:hint="eastAsia" w:ascii="宋体" w:hAnsi="宋体" w:eastAsia="宋体" w:cs="Times New Roman"/>
                <w:b/>
                <w:bCs/>
                <w:color w:val="000000"/>
                <w:sz w:val="24"/>
                <w:highlight w:val="none"/>
                <w:lang w:val="en-US" w:eastAsia="zh-CN"/>
              </w:rPr>
              <w:t>；</w:t>
            </w:r>
          </w:p>
          <w:p>
            <w:pPr>
              <w:spacing w:line="360" w:lineRule="auto"/>
              <w:rPr>
                <w:rFonts w:hint="default" w:ascii="宋体" w:hAnsi="宋体" w:eastAsia="宋体" w:cs="Times New Roman"/>
                <w:b/>
                <w:bCs/>
                <w:color w:val="000000"/>
                <w:sz w:val="24"/>
                <w:highlight w:val="none"/>
                <w:lang w:val="en-US" w:eastAsia="zh-CN"/>
              </w:rPr>
            </w:pPr>
            <w:r>
              <w:rPr>
                <w:rFonts w:hint="default" w:ascii="宋体" w:hAnsi="宋体" w:eastAsia="宋体" w:cs="Times New Roman"/>
                <w:b/>
                <w:bCs/>
                <w:color w:val="000000"/>
                <w:sz w:val="24"/>
                <w:highlight w:val="none"/>
                <w:lang w:val="en-US" w:eastAsia="zh-CN"/>
              </w:rPr>
              <w:t>（3）投标保证金银行回单；</w:t>
            </w:r>
          </w:p>
          <w:p>
            <w:pPr>
              <w:spacing w:line="360" w:lineRule="auto"/>
              <w:rPr>
                <w:rFonts w:ascii="宋体" w:hAnsi="宋体"/>
                <w:b/>
                <w:bCs/>
                <w:color w:val="auto"/>
                <w:sz w:val="24"/>
                <w:highlight w:val="none"/>
              </w:rPr>
            </w:pPr>
            <w:r>
              <w:rPr>
                <w:rFonts w:hint="eastAsia" w:ascii="宋体" w:hAnsi="宋体"/>
                <w:b/>
                <w:bCs/>
                <w:color w:val="auto"/>
                <w:sz w:val="24"/>
                <w:highlight w:val="none"/>
                <w:lang w:val="en-US" w:eastAsia="zh-CN"/>
              </w:rPr>
              <w:t>（4）</w:t>
            </w:r>
            <w:r>
              <w:rPr>
                <w:rFonts w:ascii="宋体" w:hAnsi="宋体"/>
                <w:b/>
                <w:bCs/>
                <w:color w:val="auto"/>
                <w:sz w:val="24"/>
                <w:highlight w:val="none"/>
              </w:rPr>
              <w:t>具有自治区国土资源厅发出的土地估价机构备案函</w:t>
            </w:r>
            <w:r>
              <w:rPr>
                <w:rFonts w:hint="eastAsia" w:ascii="宋体" w:hAnsi="宋体"/>
                <w:b/>
                <w:bCs/>
                <w:color w:val="auto"/>
                <w:sz w:val="24"/>
                <w:highlight w:val="none"/>
              </w:rPr>
              <w:t>；</w:t>
            </w:r>
          </w:p>
          <w:p>
            <w:pPr>
              <w:spacing w:line="360" w:lineRule="auto"/>
              <w:rPr>
                <w:rFonts w:ascii="宋体" w:hAnsi="宋体"/>
                <w:color w:val="000000"/>
                <w:sz w:val="24"/>
              </w:rPr>
            </w:pPr>
            <w:r>
              <w:rPr>
                <w:rFonts w:ascii="宋体" w:hAnsi="宋体"/>
                <w:color w:val="000000"/>
                <w:sz w:val="24"/>
              </w:rPr>
              <w:t>未按要求提供者不得进入后续开标程序。</w:t>
            </w:r>
          </w:p>
          <w:p>
            <w:pPr>
              <w:spacing w:line="360" w:lineRule="auto"/>
              <w:rPr>
                <w:rFonts w:ascii="宋体" w:hAnsi="宋体"/>
                <w:color w:val="000000"/>
                <w:sz w:val="24"/>
              </w:rPr>
            </w:pPr>
            <w:r>
              <w:rPr>
                <w:rFonts w:hint="eastAsia" w:ascii="宋体" w:hAnsi="宋体"/>
                <w:color w:val="000000"/>
                <w:sz w:val="24"/>
              </w:rPr>
              <w:t>注：以上证件由监督人查验，未按照要求提供者，其响应文件将被拒绝评审。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trPr>
        <w:tc>
          <w:tcPr>
            <w:tcW w:w="2305"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宋体" w:hAnsi="宋体" w:cs="宋体"/>
                <w:b/>
                <w:sz w:val="24"/>
              </w:rPr>
            </w:pPr>
            <w:r>
              <w:rPr>
                <w:rFonts w:hint="eastAsia" w:ascii="宋体" w:hAnsi="宋体" w:cs="宋体"/>
                <w:b/>
                <w:sz w:val="24"/>
              </w:rPr>
              <w:t>备注</w:t>
            </w:r>
          </w:p>
        </w:tc>
        <w:tc>
          <w:tcPr>
            <w:tcW w:w="7160"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b/>
                <w:bCs/>
                <w:sz w:val="24"/>
              </w:rPr>
            </w:pPr>
            <w:r>
              <w:rPr>
                <w:rFonts w:hint="eastAsia" w:ascii="宋体" w:hAnsi="宋体" w:cs="宋体"/>
                <w:b/>
                <w:bCs/>
                <w:sz w:val="24"/>
              </w:rPr>
              <w:t>其他要求：</w:t>
            </w:r>
          </w:p>
          <w:p>
            <w:pPr>
              <w:spacing w:line="500" w:lineRule="exact"/>
              <w:rPr>
                <w:rFonts w:ascii="宋体" w:hAnsi="宋体" w:cs="宋体"/>
                <w:sz w:val="24"/>
              </w:rPr>
            </w:pPr>
            <w:r>
              <w:rPr>
                <w:rFonts w:hint="eastAsia" w:ascii="宋体" w:hAnsi="宋体" w:cs="宋体"/>
                <w:b/>
                <w:bCs/>
                <w:sz w:val="24"/>
              </w:rPr>
              <w:t>供应单位必须在投标文件里面附能按要求完成供货及保证质量承诺书,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trPr>
        <w:tc>
          <w:tcPr>
            <w:tcW w:w="9465"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sz w:val="24"/>
              </w:rPr>
            </w:pPr>
            <w:r>
              <w:rPr>
                <w:rFonts w:hint="eastAsia" w:ascii="宋体" w:hAnsi="宋体" w:cs="宋体"/>
                <w:sz w:val="24"/>
              </w:rPr>
              <w:t>需要落实的政府采购政策：《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tc>
      </w:tr>
    </w:tbl>
    <w:p>
      <w:pPr>
        <w:pStyle w:val="4"/>
        <w:spacing w:before="120" w:after="120" w:line="360" w:lineRule="auto"/>
        <w:ind w:firstLine="3373" w:firstLineChars="1400"/>
        <w:rPr>
          <w:rFonts w:ascii="宋体" w:hAnsi="宋体" w:eastAsia="宋体" w:cs="宋体"/>
          <w:sz w:val="24"/>
        </w:rPr>
      </w:pPr>
      <w:bookmarkStart w:id="29" w:name="_Toc54986934"/>
    </w:p>
    <w:bookmarkEnd w:id="29"/>
    <w:p>
      <w:pPr>
        <w:spacing w:line="360" w:lineRule="auto"/>
        <w:ind w:firstLine="562" w:firstLineChars="200"/>
        <w:jc w:val="center"/>
        <w:outlineLvl w:val="1"/>
        <w:rPr>
          <w:rFonts w:ascii="宋体" w:hAnsi="宋体" w:cs="宋体"/>
          <w:b/>
          <w:sz w:val="32"/>
          <w:szCs w:val="32"/>
        </w:rPr>
      </w:pPr>
      <w:bookmarkStart w:id="30" w:name="_Toc23373"/>
      <w:bookmarkEnd w:id="30"/>
      <w:r>
        <w:rPr>
          <w:rFonts w:hint="eastAsia" w:ascii="宋体" w:hAnsi="宋体" w:cs="宋体"/>
          <w:b/>
          <w:sz w:val="28"/>
          <w:szCs w:val="28"/>
        </w:rPr>
        <w:t>一、总则</w:t>
      </w:r>
    </w:p>
    <w:p>
      <w:pPr>
        <w:spacing w:line="360" w:lineRule="auto"/>
        <w:ind w:firstLine="482" w:firstLineChars="200"/>
        <w:jc w:val="left"/>
        <w:rPr>
          <w:rFonts w:ascii="宋体" w:hAnsi="宋体" w:cs="宋体"/>
          <w:sz w:val="24"/>
        </w:rPr>
      </w:pPr>
      <w:bookmarkStart w:id="31" w:name="_Toc3132"/>
      <w:r>
        <w:rPr>
          <w:rFonts w:hint="eastAsia" w:ascii="宋体" w:hAnsi="宋体" w:cs="宋体"/>
          <w:b/>
          <w:bCs/>
          <w:sz w:val="24"/>
        </w:rPr>
        <w:t>（一）采购方式</w:t>
      </w:r>
      <w:bookmarkEnd w:id="31"/>
    </w:p>
    <w:p>
      <w:pPr>
        <w:spacing w:line="360" w:lineRule="auto"/>
        <w:ind w:firstLine="480" w:firstLineChars="200"/>
        <w:rPr>
          <w:rFonts w:ascii="宋体" w:hAnsi="宋体" w:cs="宋体"/>
          <w:sz w:val="24"/>
        </w:rPr>
      </w:pPr>
      <w:r>
        <w:rPr>
          <w:rFonts w:hint="eastAsia" w:ascii="宋体" w:hAnsi="宋体" w:cs="宋体"/>
          <w:sz w:val="24"/>
        </w:rPr>
        <w:t>本项目采取竞争性磋商的招标方式采购。</w:t>
      </w:r>
    </w:p>
    <w:p>
      <w:pPr>
        <w:spacing w:line="360" w:lineRule="auto"/>
        <w:ind w:firstLine="482" w:firstLineChars="200"/>
        <w:jc w:val="left"/>
        <w:rPr>
          <w:rFonts w:ascii="宋体" w:hAnsi="宋体" w:cs="宋体"/>
          <w:b/>
          <w:bCs/>
          <w:sz w:val="24"/>
        </w:rPr>
      </w:pPr>
      <w:bookmarkStart w:id="32" w:name="_Toc14076"/>
      <w:r>
        <w:rPr>
          <w:rFonts w:hint="eastAsia" w:ascii="宋体" w:hAnsi="宋体" w:cs="宋体"/>
          <w:b/>
          <w:bCs/>
          <w:sz w:val="24"/>
        </w:rPr>
        <w:t>（二）合格的供应商</w:t>
      </w:r>
    </w:p>
    <w:p>
      <w:pPr>
        <w:spacing w:line="360" w:lineRule="auto"/>
        <w:ind w:firstLine="480" w:firstLineChars="200"/>
        <w:jc w:val="left"/>
        <w:rPr>
          <w:rFonts w:ascii="宋体" w:hAnsi="宋体" w:cs="宋体"/>
          <w:sz w:val="24"/>
        </w:rPr>
      </w:pPr>
      <w:r>
        <w:rPr>
          <w:rFonts w:hint="eastAsia" w:ascii="宋体" w:hAnsi="宋体" w:cs="宋体"/>
          <w:sz w:val="24"/>
        </w:rPr>
        <w:t>1、合格的供应商必须是有能力按照本竞争性磋商文件规定的要求提供服务，且具有独立承担民事等法律责任的法人或其它经济组织，本次磋商不接受联合体投标。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ascii="宋体" w:hAnsi="宋体" w:cs="宋体"/>
          <w:sz w:val="24"/>
        </w:rPr>
      </w:pPr>
      <w:r>
        <w:rPr>
          <w:rFonts w:hint="eastAsia" w:ascii="宋体" w:hAnsi="宋体" w:cs="宋体"/>
          <w:sz w:val="24"/>
        </w:rPr>
        <w:t>2、合格的供应商必须符合竞争性磋商文件第一部分《竞争性磋商招标公告》第3条规定，且具备独立完成本项目的能力。</w:t>
      </w:r>
    </w:p>
    <w:p>
      <w:pPr>
        <w:spacing w:line="360" w:lineRule="auto"/>
        <w:ind w:firstLine="480" w:firstLineChars="200"/>
        <w:jc w:val="left"/>
        <w:rPr>
          <w:rFonts w:ascii="宋体" w:hAnsi="宋体" w:cs="宋体"/>
          <w:sz w:val="24"/>
        </w:rPr>
      </w:pPr>
      <w:r>
        <w:rPr>
          <w:rFonts w:hint="eastAsia" w:ascii="宋体" w:hAnsi="宋体" w:cs="宋体"/>
          <w:sz w:val="24"/>
        </w:rPr>
        <w:t>3、合格的供应商应遵守中华人民共和国《政府采购法》、《政府采购法实施条例》和《反不正当竞争法》等有关法律、法规。</w:t>
      </w:r>
    </w:p>
    <w:p>
      <w:pPr>
        <w:spacing w:line="360" w:lineRule="auto"/>
        <w:ind w:firstLine="482" w:firstLineChars="200"/>
        <w:jc w:val="left"/>
        <w:rPr>
          <w:rFonts w:ascii="宋体" w:hAnsi="宋体" w:cs="宋体"/>
          <w:sz w:val="24"/>
        </w:rPr>
      </w:pPr>
      <w:r>
        <w:rPr>
          <w:rFonts w:hint="eastAsia" w:ascii="宋体" w:hAnsi="宋体" w:cs="宋体"/>
          <w:b/>
          <w:bCs/>
          <w:sz w:val="24"/>
        </w:rPr>
        <w:t>（三）适用法律</w:t>
      </w:r>
      <w:bookmarkEnd w:id="32"/>
    </w:p>
    <w:p>
      <w:pPr>
        <w:spacing w:line="360" w:lineRule="auto"/>
        <w:ind w:firstLine="480" w:firstLineChars="200"/>
        <w:jc w:val="left"/>
        <w:rPr>
          <w:rFonts w:ascii="宋体" w:hAnsi="宋体" w:cs="宋体"/>
          <w:sz w:val="24"/>
        </w:rPr>
      </w:pPr>
      <w:bookmarkStart w:id="33" w:name="_Toc24127"/>
      <w:r>
        <w:rPr>
          <w:rFonts w:hint="eastAsia" w:ascii="宋体" w:hAnsi="宋体" w:cs="宋体"/>
          <w:sz w:val="24"/>
        </w:rPr>
        <w:t>本次磋商及由本次磋商产生的合同受中华人民共和国的相关法律、法规制约和保护。</w:t>
      </w:r>
    </w:p>
    <w:p>
      <w:pPr>
        <w:spacing w:line="360" w:lineRule="auto"/>
        <w:ind w:firstLine="482" w:firstLineChars="200"/>
        <w:jc w:val="left"/>
        <w:rPr>
          <w:rFonts w:ascii="宋体" w:hAnsi="宋体" w:cs="宋体"/>
          <w:b/>
          <w:bCs/>
          <w:sz w:val="24"/>
        </w:rPr>
      </w:pPr>
      <w:r>
        <w:rPr>
          <w:rFonts w:hint="eastAsia" w:ascii="宋体" w:hAnsi="宋体" w:cs="宋体"/>
          <w:b/>
          <w:bCs/>
          <w:sz w:val="24"/>
        </w:rPr>
        <w:t>（四）</w:t>
      </w:r>
      <w:bookmarkEnd w:id="33"/>
      <w:bookmarkStart w:id="34" w:name="_Toc15005"/>
      <w:r>
        <w:rPr>
          <w:rFonts w:hint="eastAsia" w:ascii="宋体" w:hAnsi="宋体" w:cs="宋体"/>
          <w:b/>
          <w:bCs/>
          <w:sz w:val="24"/>
        </w:rPr>
        <w:t>竞争性磋商文件的约束力</w:t>
      </w:r>
    </w:p>
    <w:p>
      <w:pPr>
        <w:spacing w:line="360" w:lineRule="auto"/>
        <w:ind w:firstLine="480" w:firstLineChars="200"/>
        <w:jc w:val="left"/>
        <w:rPr>
          <w:rFonts w:ascii="宋体" w:hAnsi="宋体" w:cs="宋体"/>
          <w:sz w:val="24"/>
        </w:rPr>
      </w:pPr>
      <w:r>
        <w:rPr>
          <w:rFonts w:hint="eastAsia" w:ascii="宋体" w:hAnsi="宋体" w:cs="宋体"/>
          <w:sz w:val="24"/>
        </w:rPr>
        <w:t>供应商一旦报名参加本项目竞标，即被认为接受了本竞争性磋商文件中的所有条件和规定。</w:t>
      </w:r>
    </w:p>
    <w:bookmarkEnd w:id="34"/>
    <w:p>
      <w:pPr>
        <w:spacing w:line="360" w:lineRule="auto"/>
        <w:ind w:firstLine="562" w:firstLineChars="200"/>
        <w:jc w:val="center"/>
        <w:outlineLvl w:val="1"/>
        <w:rPr>
          <w:rFonts w:ascii="宋体" w:hAnsi="宋体" w:cs="宋体"/>
          <w:b/>
          <w:sz w:val="32"/>
          <w:szCs w:val="32"/>
        </w:rPr>
      </w:pPr>
      <w:bookmarkStart w:id="35" w:name="_Toc26674"/>
      <w:bookmarkStart w:id="36" w:name="_Toc22908"/>
      <w:r>
        <w:rPr>
          <w:rFonts w:hint="eastAsia" w:ascii="宋体" w:hAnsi="宋体" w:cs="宋体"/>
          <w:b/>
          <w:sz w:val="28"/>
          <w:szCs w:val="28"/>
        </w:rPr>
        <w:t>二、</w:t>
      </w:r>
      <w:bookmarkEnd w:id="35"/>
      <w:bookmarkEnd w:id="36"/>
      <w:r>
        <w:rPr>
          <w:rFonts w:hint="eastAsia" w:ascii="宋体" w:hAnsi="宋体" w:cs="宋体"/>
          <w:b/>
          <w:sz w:val="28"/>
          <w:szCs w:val="28"/>
        </w:rPr>
        <w:t>竞争性磋商文件</w:t>
      </w:r>
    </w:p>
    <w:p>
      <w:pPr>
        <w:spacing w:line="360" w:lineRule="auto"/>
        <w:ind w:firstLine="482" w:firstLineChars="200"/>
        <w:jc w:val="left"/>
        <w:rPr>
          <w:rFonts w:ascii="宋体" w:hAnsi="宋体" w:cs="宋体"/>
          <w:sz w:val="24"/>
        </w:rPr>
      </w:pPr>
      <w:bookmarkStart w:id="37" w:name="_Toc8615"/>
      <w:r>
        <w:rPr>
          <w:rFonts w:hint="eastAsia" w:ascii="宋体" w:hAnsi="宋体" w:cs="宋体"/>
          <w:b/>
          <w:bCs/>
          <w:sz w:val="24"/>
        </w:rPr>
        <w:t>（一）竞争性磋商文件构成</w:t>
      </w:r>
      <w:bookmarkEnd w:id="37"/>
    </w:p>
    <w:p>
      <w:pPr>
        <w:spacing w:line="360" w:lineRule="auto"/>
        <w:ind w:firstLine="480" w:firstLineChars="200"/>
        <w:rPr>
          <w:rFonts w:ascii="宋体" w:hAnsi="宋体" w:cs="宋体"/>
          <w:sz w:val="24"/>
        </w:rPr>
      </w:pPr>
      <w:bookmarkStart w:id="38" w:name="_Toc22722"/>
      <w:r>
        <w:rPr>
          <w:rFonts w:hint="eastAsia" w:ascii="宋体" w:hAnsi="宋体" w:cs="宋体"/>
          <w:sz w:val="24"/>
        </w:rPr>
        <w:t>竞争性磋商招标公告；</w:t>
      </w:r>
    </w:p>
    <w:p>
      <w:pPr>
        <w:spacing w:line="360" w:lineRule="auto"/>
        <w:ind w:firstLine="480" w:firstLineChars="200"/>
        <w:rPr>
          <w:rFonts w:ascii="宋体" w:hAnsi="宋体" w:cs="宋体"/>
          <w:sz w:val="24"/>
        </w:rPr>
      </w:pPr>
      <w:r>
        <w:rPr>
          <w:rFonts w:hint="eastAsia" w:ascii="宋体" w:hAnsi="宋体" w:cs="宋体"/>
          <w:sz w:val="24"/>
        </w:rPr>
        <w:t>供应商须知；</w:t>
      </w:r>
    </w:p>
    <w:p>
      <w:pPr>
        <w:spacing w:line="360" w:lineRule="auto"/>
        <w:ind w:firstLine="480" w:firstLineChars="200"/>
        <w:rPr>
          <w:rFonts w:ascii="宋体" w:hAnsi="宋体" w:cs="宋体"/>
          <w:sz w:val="24"/>
        </w:rPr>
      </w:pPr>
      <w:r>
        <w:rPr>
          <w:rFonts w:hint="eastAsia" w:ascii="宋体" w:hAnsi="宋体" w:cs="宋体"/>
          <w:sz w:val="24"/>
        </w:rPr>
        <w:t>合同；</w:t>
      </w:r>
    </w:p>
    <w:p>
      <w:pPr>
        <w:spacing w:line="360" w:lineRule="auto"/>
        <w:ind w:firstLine="480" w:firstLineChars="200"/>
        <w:rPr>
          <w:rFonts w:ascii="宋体" w:hAnsi="宋体" w:cs="宋体"/>
          <w:sz w:val="24"/>
        </w:rPr>
      </w:pPr>
      <w:r>
        <w:rPr>
          <w:rFonts w:hint="eastAsia" w:ascii="宋体" w:hAnsi="宋体" w:cs="宋体"/>
          <w:sz w:val="24"/>
        </w:rPr>
        <w:t>采购需求；</w:t>
      </w:r>
    </w:p>
    <w:p>
      <w:pPr>
        <w:spacing w:line="360" w:lineRule="auto"/>
        <w:ind w:firstLine="480" w:firstLineChars="200"/>
        <w:rPr>
          <w:rFonts w:ascii="宋体" w:hAnsi="宋体" w:cs="宋体"/>
          <w:sz w:val="24"/>
        </w:rPr>
      </w:pPr>
      <w:r>
        <w:rPr>
          <w:rFonts w:hint="eastAsia" w:ascii="宋体" w:hAnsi="宋体" w:cs="宋体"/>
          <w:sz w:val="24"/>
        </w:rPr>
        <w:t>响应文件格式。</w:t>
      </w:r>
    </w:p>
    <w:p>
      <w:pPr>
        <w:spacing w:line="360" w:lineRule="auto"/>
        <w:ind w:firstLine="480" w:firstLineChars="200"/>
        <w:rPr>
          <w:rFonts w:ascii="宋体" w:hAnsi="宋体" w:cs="宋体"/>
          <w:sz w:val="24"/>
        </w:rPr>
      </w:pPr>
      <w:r>
        <w:rPr>
          <w:rFonts w:hint="eastAsia" w:ascii="宋体" w:hAnsi="宋体" w:cs="宋体"/>
          <w:sz w:val="24"/>
        </w:rPr>
        <w:t>供应商获取竞争性磋商文件后，应仔细检查竞争性磋商文件页数和附件数量，如发现有缺漏，请及时与采购代理机构联系补全。如果供应商不按上述要求操作而造成不良后果，采购代理机构不承担责任。</w:t>
      </w:r>
    </w:p>
    <w:p>
      <w:pPr>
        <w:spacing w:line="360" w:lineRule="auto"/>
        <w:ind w:firstLine="482" w:firstLineChars="200"/>
        <w:rPr>
          <w:rFonts w:ascii="宋体" w:hAnsi="宋体" w:cs="宋体"/>
          <w:sz w:val="24"/>
        </w:rPr>
      </w:pPr>
      <w:r>
        <w:rPr>
          <w:rFonts w:hint="eastAsia" w:ascii="宋体" w:hAnsi="宋体" w:cs="宋体"/>
          <w:b/>
          <w:bCs/>
          <w:sz w:val="24"/>
        </w:rPr>
        <w:t>（二）竞争性磋商文件的澄清</w:t>
      </w:r>
      <w:bookmarkEnd w:id="38"/>
    </w:p>
    <w:p>
      <w:pPr>
        <w:spacing w:line="360" w:lineRule="auto"/>
        <w:ind w:firstLine="480" w:firstLineChars="200"/>
        <w:jc w:val="left"/>
        <w:rPr>
          <w:rFonts w:ascii="宋体" w:hAnsi="宋体" w:cs="宋体"/>
          <w:sz w:val="24"/>
        </w:rPr>
      </w:pPr>
      <w:bookmarkStart w:id="39" w:name="_Toc19148"/>
      <w:r>
        <w:rPr>
          <w:rFonts w:hint="eastAsia" w:ascii="宋体" w:hAnsi="宋体" w:cs="宋体"/>
          <w:sz w:val="24"/>
        </w:rPr>
        <w:t>任何要求对竞争性磋商文件澄清的供应商，均应在响应文件递交截止日三个工作日前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ascii="宋体" w:hAnsi="宋体" w:cs="宋体"/>
          <w:b/>
          <w:bCs/>
          <w:sz w:val="24"/>
        </w:rPr>
      </w:pPr>
      <w:r>
        <w:rPr>
          <w:rFonts w:hint="eastAsia" w:ascii="宋体" w:hAnsi="宋体" w:cs="宋体"/>
          <w:b/>
          <w:bCs/>
          <w:sz w:val="24"/>
        </w:rPr>
        <w:t>（三）竞争性磋商文件的修改</w:t>
      </w:r>
      <w:bookmarkEnd w:id="39"/>
    </w:p>
    <w:p>
      <w:pPr>
        <w:spacing w:line="360" w:lineRule="auto"/>
        <w:ind w:firstLine="480" w:firstLineChars="200"/>
        <w:jc w:val="left"/>
        <w:rPr>
          <w:rFonts w:ascii="宋体" w:hAnsi="宋体" w:cs="宋体"/>
          <w:sz w:val="24"/>
        </w:rPr>
      </w:pPr>
      <w:bookmarkStart w:id="40" w:name="_Toc13840"/>
      <w:bookmarkStart w:id="41" w:name="_Toc7177"/>
      <w:r>
        <w:rPr>
          <w:rFonts w:hint="eastAsia" w:ascii="宋体" w:hAnsi="宋体" w:cs="宋体"/>
          <w:sz w:val="24"/>
        </w:rPr>
        <w:t>1、在响应文件接收截止日期前，采购人可以更正公告或补充文件的形式对竞争性磋商文件进行修改。</w:t>
      </w:r>
    </w:p>
    <w:p>
      <w:pPr>
        <w:spacing w:line="360" w:lineRule="auto"/>
        <w:ind w:firstLine="480" w:firstLineChars="200"/>
        <w:jc w:val="left"/>
        <w:rPr>
          <w:rFonts w:ascii="宋体" w:hAnsi="宋体" w:cs="宋体"/>
          <w:sz w:val="24"/>
        </w:rPr>
      </w:pPr>
      <w:r>
        <w:rPr>
          <w:rFonts w:hint="eastAsia" w:ascii="宋体" w:hAnsi="宋体" w:cs="宋体"/>
          <w:sz w:val="24"/>
        </w:rPr>
        <w:t>2、竞争性磋商文件的修改将以书面形式通知所有已报名供应商，并对供应商具有约束力。供应商收到修改文件后，应于1个工作日内回复采购人，逾期不回的，视同已收。</w:t>
      </w:r>
    </w:p>
    <w:p>
      <w:pPr>
        <w:spacing w:line="360" w:lineRule="auto"/>
        <w:ind w:firstLine="480" w:firstLineChars="200"/>
        <w:jc w:val="left"/>
        <w:rPr>
          <w:rFonts w:ascii="宋体" w:hAnsi="宋体" w:cs="宋体"/>
          <w:sz w:val="24"/>
        </w:rPr>
      </w:pPr>
      <w:r>
        <w:rPr>
          <w:rFonts w:hint="eastAsia" w:ascii="宋体" w:hAnsi="宋体" w:cs="宋体"/>
          <w:sz w:val="24"/>
        </w:rPr>
        <w:t>3、为使供应商有充分的时间对竞争性磋商文件的修改部分进行分析、研究，采购人有权推迟响应文件接收截止日期和磋商时间，并将此变更书面通知所有购买竞争性磋商文件的供应商。</w:t>
      </w:r>
    </w:p>
    <w:p>
      <w:pPr>
        <w:spacing w:line="360" w:lineRule="auto"/>
        <w:ind w:firstLine="480" w:firstLineChars="200"/>
        <w:jc w:val="left"/>
        <w:rPr>
          <w:rFonts w:ascii="宋体" w:hAnsi="宋体" w:cs="宋体"/>
          <w:sz w:val="24"/>
        </w:rPr>
      </w:pPr>
      <w:r>
        <w:rPr>
          <w:rFonts w:hint="eastAsia" w:ascii="宋体" w:hAnsi="宋体" w:cs="宋体"/>
          <w:sz w:val="24"/>
        </w:rPr>
        <w:t>4、采购人发出的所有补充、修改和变更文件均作为竞争性磋商文件的组成部分，与竞争性磋商文件具有同等法律效力。</w:t>
      </w:r>
    </w:p>
    <w:p>
      <w:pPr>
        <w:spacing w:line="360" w:lineRule="auto"/>
        <w:ind w:firstLine="2249" w:firstLineChars="800"/>
        <w:outlineLvl w:val="1"/>
        <w:rPr>
          <w:rFonts w:ascii="宋体" w:hAnsi="宋体" w:cs="宋体"/>
          <w:b/>
          <w:sz w:val="28"/>
          <w:szCs w:val="28"/>
        </w:rPr>
      </w:pPr>
      <w:r>
        <w:rPr>
          <w:rFonts w:hint="eastAsia" w:ascii="宋体" w:hAnsi="宋体" w:cs="宋体"/>
          <w:b/>
          <w:sz w:val="28"/>
          <w:szCs w:val="28"/>
        </w:rPr>
        <w:t>三、响应文件的编制</w:t>
      </w:r>
      <w:bookmarkEnd w:id="40"/>
      <w:bookmarkEnd w:id="41"/>
      <w:r>
        <w:rPr>
          <w:rFonts w:hint="eastAsia" w:ascii="宋体" w:hAnsi="宋体" w:cs="宋体"/>
          <w:b/>
          <w:sz w:val="28"/>
          <w:szCs w:val="28"/>
        </w:rPr>
        <w:t>及编制顺序</w:t>
      </w:r>
    </w:p>
    <w:p>
      <w:pPr>
        <w:numPr>
          <w:ilvl w:val="0"/>
          <w:numId w:val="1"/>
        </w:numPr>
        <w:spacing w:line="480" w:lineRule="exact"/>
        <w:rPr>
          <w:rFonts w:ascii="仿宋" w:hAnsi="仿宋" w:eastAsia="仿宋" w:cs="仿宋"/>
          <w:color w:val="000000"/>
          <w:sz w:val="24"/>
        </w:rPr>
      </w:pPr>
      <w:bookmarkStart w:id="42" w:name="_Toc32746"/>
      <w:r>
        <w:rPr>
          <w:rFonts w:hint="eastAsia" w:ascii="宋体" w:hAnsi="宋体" w:cs="宋体"/>
          <w:b/>
          <w:color w:val="000000"/>
          <w:sz w:val="24"/>
        </w:rPr>
        <w:t>（一）</w:t>
      </w:r>
      <w:r>
        <w:rPr>
          <w:rFonts w:hint="eastAsia"/>
          <w:sz w:val="24"/>
        </w:rPr>
        <w:t>供应商的资格要求：</w:t>
      </w:r>
    </w:p>
    <w:p>
      <w:pPr>
        <w:ind w:firstLine="482" w:firstLineChars="200"/>
        <w:rPr>
          <w:rFonts w:hint="eastAsia" w:ascii="宋体" w:hAnsi="宋体" w:cs="宋体"/>
          <w:b/>
          <w:sz w:val="24"/>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满足《中华人民共和国政府采购法》第二十二条要求</w:t>
      </w:r>
    </w:p>
    <w:p>
      <w:pPr>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lang w:val="en-US" w:eastAsia="zh-CN"/>
        </w:rPr>
        <w:t>落实政府采购政策需满足的资格要求：（中小企业优惠、监狱企业、节能产品、环境标志产品等，（一）财政部、国家发展改革委《关于印发《节能产品政府采购实施意见》的通知》（财库〔2004〕185号文）；（二）《财政部发展改革委 生态环境部 市场监管总局关于调整优化节能产品 环境标志产品政府采购执行机制的通知》（财库〔2019〕9号）；（三）财政部、工业和信息化部《关于印发《政府采购促进中小企业展暂行办法》的通知》（财库〔2011〕46号文）；（四）财政部、民政部、中国残疾人联合会《关于促进残疾人就业政府采购政策的通知》（财库〔2017〕141号）；（五）财政部、司法部《关于政府采购支持监狱企业发展有关问题的通知》（财库〔2014〕68号文）</w:t>
      </w:r>
    </w:p>
    <w:p>
      <w:pPr>
        <w:ind w:firstLine="482" w:firstLineChars="200"/>
        <w:rPr>
          <w:rFonts w:hint="eastAsia" w:ascii="宋体" w:hAnsi="宋体" w:cs="宋体"/>
          <w:b/>
          <w:sz w:val="24"/>
        </w:rPr>
      </w:pPr>
      <w:r>
        <w:rPr>
          <w:rFonts w:hint="eastAsia" w:ascii="宋体" w:hAnsi="宋体" w:cs="宋体"/>
          <w:b/>
          <w:sz w:val="24"/>
          <w:lang w:eastAsia="zh-CN"/>
        </w:rPr>
        <w:t>（</w:t>
      </w:r>
      <w:r>
        <w:rPr>
          <w:rFonts w:hint="eastAsia" w:ascii="宋体" w:hAnsi="宋体" w:cs="宋体"/>
          <w:b/>
          <w:sz w:val="24"/>
          <w:lang w:val="en-US" w:eastAsia="zh-CN"/>
        </w:rPr>
        <w:t>3</w:t>
      </w:r>
      <w:r>
        <w:rPr>
          <w:rFonts w:hint="eastAsia" w:ascii="宋体" w:hAnsi="宋体" w:cs="宋体"/>
          <w:b/>
          <w:sz w:val="24"/>
          <w:lang w:eastAsia="zh-CN"/>
        </w:rPr>
        <w:t>）</w:t>
      </w:r>
      <w:r>
        <w:rPr>
          <w:rFonts w:hint="eastAsia" w:ascii="宋体" w:hAnsi="宋体" w:cs="宋体"/>
          <w:b/>
          <w:sz w:val="24"/>
        </w:rPr>
        <w:t>需具有独立法人资格，有独立承担民事行为责任的能力；三年内无违法违规等不良记录；具有良好的社会和商业信誉及履约能力；具有健全的财务会计制度和依法纳税及社会保障资金的良好记录；</w:t>
      </w:r>
    </w:p>
    <w:p>
      <w:pPr>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4</w:t>
      </w:r>
      <w:r>
        <w:rPr>
          <w:rFonts w:hint="eastAsia" w:ascii="宋体" w:hAnsi="宋体" w:cs="宋体"/>
          <w:b/>
          <w:sz w:val="24"/>
        </w:rPr>
        <w:t>）供应商应提供具有合法有效的营业执照复印件（加盖公章），经营范围包括本次招标的内容；</w:t>
      </w:r>
    </w:p>
    <w:p>
      <w:pPr>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5</w:t>
      </w:r>
      <w:r>
        <w:rPr>
          <w:rFonts w:hint="eastAsia" w:ascii="宋体" w:hAnsi="宋体" w:cs="宋体"/>
          <w:b/>
          <w:sz w:val="24"/>
        </w:rPr>
        <w:t>）法人提供法人身份证明文件及身份证、法人委托人须提供法人代表授权书（授权书需附法人身份证及委托人身份证复印件）及委托人身份证；</w:t>
      </w:r>
    </w:p>
    <w:p>
      <w:pPr>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6</w:t>
      </w:r>
      <w:r>
        <w:rPr>
          <w:rFonts w:hint="eastAsia" w:ascii="宋体" w:hAnsi="宋体" w:cs="宋体"/>
          <w:b/>
          <w:sz w:val="24"/>
        </w:rPr>
        <w:t>）具有自治区国土资源厅发出的土地估价机构备案函；</w:t>
      </w:r>
    </w:p>
    <w:p>
      <w:pPr>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7</w:t>
      </w:r>
      <w:r>
        <w:rPr>
          <w:rFonts w:hint="eastAsia" w:ascii="宋体" w:hAnsi="宋体" w:cs="宋体"/>
          <w:b/>
          <w:sz w:val="24"/>
        </w:rPr>
        <w:t>）提供供应商近段时间内至少近3个月的缴纳税收的完税证明或税务部门出具的纳税证明；如依法免税的，应提供相应文件证明；</w:t>
      </w:r>
    </w:p>
    <w:p>
      <w:pPr>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8</w:t>
      </w:r>
      <w:r>
        <w:rPr>
          <w:rFonts w:hint="eastAsia" w:ascii="宋体" w:hAnsi="宋体" w:cs="宋体"/>
          <w:b/>
          <w:sz w:val="24"/>
        </w:rPr>
        <w:t>）凡拟参加本次采购项目的供应商，如在“中国裁判文书网”网站（http://wenshu.court.gov.cn）、“信用中国”网站（www.creditchina.gov.cn）、中国政府采购网（www.ccgp.gov.cn）、“国家企业信用信息公示系统（http://www.gsxt.gov.cn）”中有行贿犯罪档案记录、被列入失信被执行人、重大税收违法案件当事人名单、政府采购严重违法失信行为记录名单的（至本公告在规定媒体发出之日止，经查询尚在处罚期内的），将拒绝其参加本次政府采购活动（开标现场查验）；</w:t>
      </w:r>
    </w:p>
    <w:p>
      <w:pPr>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9</w:t>
      </w:r>
      <w:r>
        <w:rPr>
          <w:rFonts w:hint="eastAsia" w:ascii="宋体" w:hAnsi="宋体" w:cs="宋体"/>
          <w:b/>
          <w:sz w:val="24"/>
        </w:rPr>
        <w:t>）与招标人存在利害关系可能影响采购公正性的法人、其他组织或者个人，不得参加投标；</w:t>
      </w:r>
    </w:p>
    <w:p>
      <w:pPr>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10</w:t>
      </w:r>
      <w:r>
        <w:rPr>
          <w:rFonts w:hint="eastAsia" w:ascii="宋体" w:hAnsi="宋体" w:cs="宋体"/>
          <w:b/>
          <w:sz w:val="24"/>
        </w:rPr>
        <w:t>）单位负责人为同一人或者存在控股、管理关系的不同单位，不得参加同一标段投标或者未划分标段的同一采购项目投标。违反前两款规定的，相关投标均无效。</w:t>
      </w:r>
    </w:p>
    <w:p>
      <w:pPr>
        <w:ind w:firstLine="482" w:firstLineChars="200"/>
        <w:rPr>
          <w:rFonts w:ascii="宋体" w:hAnsi="宋体" w:cs="宋体"/>
          <w:b/>
          <w:sz w:val="24"/>
        </w:rPr>
      </w:pPr>
      <w:r>
        <w:rPr>
          <w:rFonts w:hint="eastAsia" w:ascii="宋体" w:hAnsi="宋体" w:cs="宋体"/>
          <w:b/>
          <w:sz w:val="24"/>
        </w:rPr>
        <w:t>（二）要求</w:t>
      </w:r>
    </w:p>
    <w:p>
      <w:pPr>
        <w:spacing w:line="360" w:lineRule="auto"/>
        <w:ind w:firstLine="480" w:firstLineChars="200"/>
        <w:rPr>
          <w:rFonts w:ascii="宋体" w:hAnsi="宋体" w:cs="宋体"/>
          <w:sz w:val="24"/>
        </w:rPr>
      </w:pPr>
      <w:r>
        <w:rPr>
          <w:rFonts w:hint="eastAsia" w:ascii="宋体" w:hAnsi="宋体" w:cs="宋体"/>
          <w:sz w:val="24"/>
        </w:rPr>
        <w:t>供应商应详细阅读磋商文件中的条款、规范、表示、条件和格式等所有内容，按磋商文件的要求份数提供响应文件，并保证所提供部材料的真实性，以使其投标对磋商文件做出实质性响应。否则，其投标会被拒绝。</w:t>
      </w:r>
    </w:p>
    <w:p>
      <w:pPr>
        <w:spacing w:line="360" w:lineRule="auto"/>
        <w:ind w:firstLine="482" w:firstLineChars="200"/>
        <w:rPr>
          <w:rFonts w:ascii="宋体" w:hAnsi="宋体" w:cs="宋体"/>
          <w:b/>
          <w:sz w:val="24"/>
        </w:rPr>
      </w:pPr>
      <w:r>
        <w:rPr>
          <w:rFonts w:hint="eastAsia" w:ascii="宋体" w:hAnsi="宋体" w:cs="宋体"/>
          <w:b/>
          <w:sz w:val="24"/>
        </w:rPr>
        <w:t>（三）响应文件语言和度量单位</w:t>
      </w:r>
    </w:p>
    <w:p>
      <w:pPr>
        <w:spacing w:line="360" w:lineRule="auto"/>
        <w:ind w:firstLine="480" w:firstLineChars="200"/>
        <w:rPr>
          <w:rFonts w:ascii="宋体" w:hAnsi="宋体" w:cs="宋体"/>
          <w:sz w:val="24"/>
        </w:rPr>
      </w:pPr>
      <w:r>
        <w:rPr>
          <w:rFonts w:hint="eastAsia" w:ascii="宋体" w:hAnsi="宋体" w:cs="宋体"/>
          <w:sz w:val="24"/>
        </w:rPr>
        <w:t>1.磋商文件及供应商和采购人就本次采购交换的文件和往来信件，须以中文书写。</w:t>
      </w:r>
    </w:p>
    <w:p>
      <w:pPr>
        <w:spacing w:line="360" w:lineRule="auto"/>
        <w:ind w:firstLine="480" w:firstLineChars="200"/>
        <w:rPr>
          <w:rFonts w:ascii="宋体" w:hAnsi="宋体" w:cs="宋体"/>
          <w:sz w:val="24"/>
        </w:rPr>
      </w:pPr>
      <w:r>
        <w:rPr>
          <w:rFonts w:hint="eastAsia" w:ascii="宋体" w:hAnsi="宋体" w:cs="宋体"/>
          <w:sz w:val="24"/>
        </w:rPr>
        <w:t>2.除在磋商文件的术规格中另有规定外，计量单位应使用中华人民共和国法定计量单位。</w:t>
      </w:r>
    </w:p>
    <w:p>
      <w:pPr>
        <w:spacing w:line="360" w:lineRule="auto"/>
        <w:ind w:firstLine="480" w:firstLineChars="200"/>
        <w:rPr>
          <w:rFonts w:ascii="宋体" w:hAnsi="宋体" w:cs="宋体"/>
          <w:sz w:val="24"/>
        </w:rPr>
      </w:pPr>
      <w:bookmarkStart w:id="43" w:name="_Toc48791219"/>
      <w:bookmarkStart w:id="44" w:name="_Toc47262053"/>
      <w:bookmarkStart w:id="45" w:name="_Toc47261869"/>
      <w:bookmarkStart w:id="46" w:name="_Toc47418239"/>
      <w:bookmarkStart w:id="47" w:name="_Toc47418922"/>
      <w:bookmarkStart w:id="48" w:name="_Toc48995835"/>
      <w:bookmarkStart w:id="49" w:name="_Toc49019220"/>
      <w:bookmarkStart w:id="50" w:name="_Toc205342862"/>
      <w:bookmarkStart w:id="51" w:name="_Toc47261054"/>
      <w:bookmarkStart w:id="52" w:name="_Toc47418715"/>
      <w:bookmarkStart w:id="53" w:name="_Toc47261674"/>
      <w:r>
        <w:rPr>
          <w:rFonts w:hint="eastAsia" w:ascii="宋体" w:hAnsi="宋体" w:cs="宋体"/>
          <w:sz w:val="24"/>
        </w:rPr>
        <w:t xml:space="preserve">3.供应商提供已印刷好的产品资料如产品样本、说明书等可以用其他语言，但在解释响应性文件时，以翻译成中文为准。 </w:t>
      </w:r>
    </w:p>
    <w:p>
      <w:pPr>
        <w:spacing w:line="360" w:lineRule="auto"/>
        <w:ind w:firstLine="480" w:firstLineChars="200"/>
        <w:rPr>
          <w:rFonts w:ascii="宋体" w:hAnsi="宋体" w:cs="宋体"/>
          <w:sz w:val="24"/>
        </w:rPr>
      </w:pPr>
      <w:r>
        <w:rPr>
          <w:rFonts w:hint="eastAsia" w:ascii="宋体" w:hAnsi="宋体" w:cs="宋体"/>
          <w:sz w:val="24"/>
        </w:rPr>
        <w:t>4.本磋商文件所表述的时间均为北京时间。</w:t>
      </w:r>
    </w:p>
    <w:p>
      <w:pPr>
        <w:ind w:firstLine="482" w:firstLineChars="200"/>
        <w:rPr>
          <w:rFonts w:ascii="宋体" w:hAnsi="宋体" w:cs="宋体"/>
          <w:b/>
          <w:sz w:val="24"/>
        </w:rPr>
      </w:pPr>
      <w:r>
        <w:rPr>
          <w:rFonts w:hint="eastAsia" w:ascii="宋体" w:hAnsi="宋体" w:cs="宋体"/>
          <w:b/>
          <w:sz w:val="24"/>
        </w:rPr>
        <w:t>（四）响应文件的</w:t>
      </w:r>
      <w:bookmarkEnd w:id="43"/>
      <w:bookmarkEnd w:id="44"/>
      <w:bookmarkEnd w:id="45"/>
      <w:bookmarkEnd w:id="46"/>
      <w:bookmarkEnd w:id="47"/>
      <w:bookmarkEnd w:id="48"/>
      <w:bookmarkEnd w:id="49"/>
      <w:bookmarkEnd w:id="50"/>
      <w:bookmarkEnd w:id="51"/>
      <w:bookmarkEnd w:id="52"/>
      <w:bookmarkEnd w:id="53"/>
      <w:r>
        <w:rPr>
          <w:rFonts w:hint="eastAsia" w:ascii="宋体" w:hAnsi="宋体" w:cs="宋体"/>
          <w:b/>
          <w:sz w:val="24"/>
        </w:rPr>
        <w:t>构成</w:t>
      </w:r>
    </w:p>
    <w:p>
      <w:pPr>
        <w:spacing w:line="360" w:lineRule="auto"/>
        <w:ind w:firstLine="480" w:firstLineChars="200"/>
        <w:rPr>
          <w:rFonts w:ascii="宋体" w:hAnsi="宋体" w:cs="宋体"/>
          <w:sz w:val="24"/>
        </w:rPr>
      </w:pPr>
      <w:r>
        <w:rPr>
          <w:rFonts w:hint="eastAsia" w:ascii="宋体" w:hAnsi="宋体" w:cs="宋体"/>
          <w:sz w:val="24"/>
        </w:rPr>
        <w:t>1.供应商应认真阅读磋商文件的所有内容，按磋商文件的要求提供响应文件，并保证提供的全部资料的真实性，以使投标对磋商文件作出实质性响应，否则，其投标将被拒绝。</w:t>
      </w:r>
    </w:p>
    <w:p>
      <w:pPr>
        <w:pStyle w:val="6"/>
        <w:spacing w:line="360" w:lineRule="auto"/>
        <w:ind w:firstLine="480" w:firstLineChars="200"/>
      </w:pPr>
      <w:r>
        <w:rPr>
          <w:rFonts w:hint="eastAsia"/>
        </w:rPr>
        <w:t>响应文件目录</w:t>
      </w:r>
    </w:p>
    <w:p>
      <w:pPr>
        <w:pStyle w:val="6"/>
        <w:spacing w:line="360" w:lineRule="auto"/>
        <w:ind w:firstLine="480" w:firstLineChars="200"/>
        <w:rPr>
          <w:rFonts w:ascii="宋体" w:hAnsi="宋体" w:cs="宋体"/>
        </w:rPr>
      </w:pPr>
      <w:r>
        <w:rPr>
          <w:rFonts w:hint="eastAsia" w:ascii="宋体" w:hAnsi="宋体" w:cs="宋体"/>
        </w:rPr>
        <w:t>一、承诺函</w:t>
      </w:r>
    </w:p>
    <w:p>
      <w:pPr>
        <w:pStyle w:val="6"/>
        <w:spacing w:line="360" w:lineRule="auto"/>
        <w:ind w:firstLine="480" w:firstLineChars="200"/>
        <w:rPr>
          <w:rFonts w:ascii="宋体" w:hAnsi="宋体" w:cs="宋体"/>
        </w:rPr>
      </w:pPr>
      <w:r>
        <w:rPr>
          <w:rFonts w:hint="eastAsia" w:ascii="宋体" w:hAnsi="宋体" w:cs="宋体"/>
        </w:rPr>
        <w:t>二、法定代表人身份证明书</w:t>
      </w:r>
    </w:p>
    <w:p>
      <w:pPr>
        <w:pStyle w:val="6"/>
        <w:spacing w:line="360" w:lineRule="auto"/>
        <w:ind w:firstLine="480" w:firstLineChars="200"/>
        <w:rPr>
          <w:rFonts w:ascii="宋体" w:hAnsi="宋体" w:cs="宋体"/>
        </w:rPr>
      </w:pPr>
      <w:r>
        <w:rPr>
          <w:rFonts w:hint="eastAsia" w:ascii="宋体" w:hAnsi="宋体" w:cs="宋体"/>
        </w:rPr>
        <w:t>三、法人代表授权</w:t>
      </w:r>
      <w:r>
        <w:rPr>
          <w:rFonts w:hint="eastAsia" w:hAnsi="宋体" w:cs="宋体"/>
        </w:rPr>
        <w:t>委托</w:t>
      </w:r>
      <w:r>
        <w:rPr>
          <w:rFonts w:hint="eastAsia" w:ascii="宋体" w:hAnsi="宋体" w:cs="宋体"/>
        </w:rPr>
        <w:t>书</w:t>
      </w:r>
    </w:p>
    <w:p>
      <w:pPr>
        <w:pStyle w:val="6"/>
        <w:spacing w:line="360" w:lineRule="auto"/>
        <w:ind w:firstLine="480" w:firstLineChars="200"/>
        <w:rPr>
          <w:rFonts w:ascii="宋体" w:hAnsi="宋体" w:cs="宋体"/>
        </w:rPr>
      </w:pPr>
      <w:r>
        <w:rPr>
          <w:rFonts w:hint="eastAsia" w:ascii="宋体" w:hAnsi="宋体" w:cs="宋体"/>
        </w:rPr>
        <w:t>四、</w:t>
      </w:r>
      <w:r>
        <w:rPr>
          <w:rFonts w:hint="eastAsia" w:hAnsi="宋体" w:cs="宋体"/>
        </w:rPr>
        <w:t>报价一览表</w:t>
      </w:r>
    </w:p>
    <w:p>
      <w:pPr>
        <w:pStyle w:val="6"/>
        <w:spacing w:line="360" w:lineRule="auto"/>
        <w:ind w:firstLine="480" w:firstLineChars="200"/>
        <w:rPr>
          <w:rFonts w:ascii="宋体" w:hAnsi="宋体" w:cs="宋体"/>
          <w:color w:val="auto"/>
          <w:highlight w:val="none"/>
        </w:rPr>
      </w:pPr>
      <w:r>
        <w:rPr>
          <w:rFonts w:hint="eastAsia" w:ascii="宋体" w:hAnsi="宋体" w:cs="宋体"/>
          <w:color w:val="auto"/>
          <w:highlight w:val="none"/>
        </w:rPr>
        <w:t>五、公司简介</w:t>
      </w:r>
    </w:p>
    <w:p>
      <w:pPr>
        <w:pStyle w:val="6"/>
        <w:spacing w:line="360" w:lineRule="auto"/>
        <w:ind w:firstLine="480" w:firstLineChars="200"/>
        <w:rPr>
          <w:rFonts w:ascii="宋体" w:hAnsi="宋体" w:cs="宋体"/>
        </w:rPr>
      </w:pPr>
      <w:r>
        <w:rPr>
          <w:rFonts w:hint="eastAsia" w:ascii="宋体" w:hAnsi="宋体" w:cs="宋体"/>
        </w:rPr>
        <w:t>六、于资格的声明</w:t>
      </w:r>
    </w:p>
    <w:p>
      <w:pPr>
        <w:pStyle w:val="6"/>
        <w:spacing w:line="360" w:lineRule="auto"/>
        <w:ind w:firstLine="480" w:firstLineChars="200"/>
        <w:rPr>
          <w:rFonts w:ascii="宋体" w:hAnsi="宋体" w:cs="宋体"/>
        </w:rPr>
      </w:pPr>
      <w:r>
        <w:rPr>
          <w:rFonts w:hint="eastAsia" w:ascii="宋体" w:hAnsi="宋体" w:cs="宋体"/>
        </w:rPr>
        <w:t>七、反商贿赂承诺书</w:t>
      </w:r>
    </w:p>
    <w:p>
      <w:pPr>
        <w:pStyle w:val="6"/>
        <w:spacing w:line="360" w:lineRule="auto"/>
        <w:ind w:firstLine="480" w:firstLineChars="200"/>
        <w:rPr>
          <w:rFonts w:ascii="宋体" w:hAnsi="宋体" w:cs="宋体"/>
        </w:rPr>
      </w:pPr>
      <w:r>
        <w:rPr>
          <w:rFonts w:hint="eastAsia" w:ascii="宋体" w:hAnsi="宋体" w:cs="宋体"/>
        </w:rPr>
        <w:t>八、</w:t>
      </w:r>
      <w:r>
        <w:rPr>
          <w:rFonts w:hint="eastAsia" w:hAnsi="宋体" w:cs="宋体"/>
        </w:rPr>
        <w:t>供应商</w:t>
      </w:r>
      <w:r>
        <w:rPr>
          <w:rFonts w:hint="eastAsia" w:ascii="宋体" w:hAnsi="宋体" w:cs="宋体"/>
        </w:rPr>
        <w:t>业绩证明文件</w:t>
      </w:r>
    </w:p>
    <w:p>
      <w:pPr>
        <w:pStyle w:val="6"/>
        <w:spacing w:line="360" w:lineRule="auto"/>
        <w:ind w:firstLine="480" w:firstLineChars="200"/>
        <w:rPr>
          <w:rFonts w:ascii="宋体" w:hAnsi="宋体" w:cs="宋体"/>
        </w:rPr>
      </w:pPr>
      <w:r>
        <w:rPr>
          <w:rFonts w:hint="eastAsia" w:ascii="宋体" w:hAnsi="宋体" w:cs="宋体"/>
        </w:rPr>
        <w:t>九、项目拟投入主要人员一览表</w:t>
      </w:r>
    </w:p>
    <w:p>
      <w:pPr>
        <w:pStyle w:val="6"/>
        <w:spacing w:line="360" w:lineRule="auto"/>
        <w:ind w:firstLine="480" w:firstLineChars="200"/>
        <w:rPr>
          <w:rFonts w:ascii="宋体" w:hAnsi="宋体" w:cs="宋体"/>
        </w:rPr>
      </w:pPr>
      <w:r>
        <w:rPr>
          <w:rFonts w:hint="eastAsia" w:ascii="宋体" w:hAnsi="宋体" w:cs="宋体"/>
        </w:rPr>
        <w:t>十、商务偏离表</w:t>
      </w:r>
    </w:p>
    <w:p>
      <w:pPr>
        <w:pStyle w:val="6"/>
        <w:spacing w:line="360" w:lineRule="auto"/>
        <w:ind w:firstLine="480" w:firstLineChars="200"/>
        <w:rPr>
          <w:rFonts w:ascii="宋体" w:hAnsi="宋体" w:cs="宋体"/>
        </w:rPr>
      </w:pPr>
      <w:r>
        <w:rPr>
          <w:rFonts w:hint="eastAsia" w:ascii="宋体" w:hAnsi="宋体" w:cs="宋体"/>
        </w:rPr>
        <w:t>十</w:t>
      </w:r>
      <w:r>
        <w:rPr>
          <w:rFonts w:hint="eastAsia" w:hAnsi="宋体" w:cs="宋体"/>
        </w:rPr>
        <w:t>一</w:t>
      </w:r>
      <w:r>
        <w:rPr>
          <w:rFonts w:hint="eastAsia" w:ascii="宋体" w:hAnsi="宋体" w:cs="宋体"/>
        </w:rPr>
        <w:t>、技术条偏差表</w:t>
      </w:r>
    </w:p>
    <w:p>
      <w:pPr>
        <w:pStyle w:val="6"/>
        <w:spacing w:line="360" w:lineRule="auto"/>
        <w:ind w:firstLine="480" w:firstLineChars="200"/>
        <w:rPr>
          <w:rFonts w:hAnsi="宋体" w:cs="宋体"/>
        </w:rPr>
      </w:pPr>
      <w:r>
        <w:rPr>
          <w:rFonts w:hint="eastAsia" w:hAnsi="宋体" w:cs="宋体"/>
        </w:rPr>
        <w:t>十二、中小企业声明函（如有）</w:t>
      </w:r>
    </w:p>
    <w:p>
      <w:pPr>
        <w:spacing w:line="360" w:lineRule="auto"/>
        <w:ind w:firstLine="480" w:firstLineChars="200"/>
        <w:rPr>
          <w:rFonts w:ascii="宋体" w:hAnsi="宋体" w:cs="宋体"/>
          <w:sz w:val="24"/>
        </w:rPr>
      </w:pPr>
      <w:r>
        <w:rPr>
          <w:rFonts w:hint="eastAsia" w:ascii="宋体" w:hAnsi="宋体" w:cs="宋体"/>
          <w:sz w:val="24"/>
        </w:rPr>
        <w:t>十三、供应商反商业贿赂承诺书</w:t>
      </w:r>
    </w:p>
    <w:p>
      <w:pPr>
        <w:spacing w:line="360" w:lineRule="auto"/>
        <w:ind w:firstLine="480" w:firstLineChars="200"/>
        <w:rPr>
          <w:rFonts w:ascii="宋体" w:hAnsi="宋体" w:cs="宋体"/>
          <w:sz w:val="24"/>
        </w:rPr>
      </w:pPr>
      <w:r>
        <w:rPr>
          <w:rFonts w:hint="eastAsia" w:ascii="宋体" w:hAnsi="宋体" w:cs="宋体"/>
          <w:sz w:val="24"/>
        </w:rPr>
        <w:t>十四、服务方案（包括不限于本项目技术评分表要求的内容，格式自拟格式自拟）</w:t>
      </w:r>
    </w:p>
    <w:p>
      <w:pPr>
        <w:spacing w:line="360" w:lineRule="auto"/>
        <w:ind w:firstLine="480" w:firstLineChars="200"/>
        <w:rPr>
          <w:rFonts w:ascii="宋体" w:hAnsi="宋体" w:cs="宋体"/>
          <w:sz w:val="24"/>
        </w:rPr>
      </w:pPr>
      <w:r>
        <w:rPr>
          <w:rFonts w:hint="eastAsia" w:ascii="宋体" w:hAnsi="宋体" w:cs="宋体"/>
          <w:sz w:val="24"/>
        </w:rPr>
        <w:t>十五、供应商认为需要提交的其他材料</w:t>
      </w:r>
    </w:p>
    <w:p>
      <w:pPr>
        <w:spacing w:line="360" w:lineRule="auto"/>
        <w:ind w:firstLine="480" w:firstLineChars="200"/>
        <w:rPr>
          <w:rFonts w:ascii="宋体" w:hAnsi="宋体" w:cs="宋体"/>
          <w:b/>
          <w:sz w:val="24"/>
        </w:rPr>
      </w:pPr>
      <w:r>
        <w:rPr>
          <w:rFonts w:hint="eastAsia" w:ascii="宋体" w:hAnsi="宋体" w:cs="宋体"/>
          <w:sz w:val="24"/>
        </w:rPr>
        <w:t>本项目要求按上述内容编制标书，并按照标书中所附的响应文件规格编写，并要求打印装订成册 供应商应完整、真实、准确的填写磋商文件中规定的所有内容，对响应文件所提供的全部资料的真实性承担法律责任，并无条件接受招标采购单位及政府采购监督管理部门等对其中任何资料进行核实的要求。</w:t>
      </w:r>
    </w:p>
    <w:p>
      <w:pPr>
        <w:ind w:firstLine="482" w:firstLineChars="200"/>
        <w:rPr>
          <w:rFonts w:ascii="宋体" w:hAnsi="宋体" w:cs="宋体"/>
          <w:b/>
          <w:sz w:val="24"/>
        </w:rPr>
      </w:pPr>
      <w:r>
        <w:rPr>
          <w:rFonts w:hint="eastAsia" w:ascii="宋体" w:hAnsi="宋体" w:cs="宋体"/>
          <w:b/>
          <w:sz w:val="24"/>
        </w:rPr>
        <w:t>（五）响应文件格式：</w:t>
      </w:r>
    </w:p>
    <w:p>
      <w:pPr>
        <w:spacing w:line="360" w:lineRule="auto"/>
        <w:ind w:firstLine="480" w:firstLineChars="200"/>
        <w:rPr>
          <w:rFonts w:ascii="宋体" w:hAnsi="宋体" w:cs="宋体"/>
          <w:sz w:val="24"/>
        </w:rPr>
      </w:pPr>
      <w:r>
        <w:rPr>
          <w:rFonts w:hint="eastAsia" w:ascii="宋体" w:hAnsi="宋体" w:cs="宋体"/>
          <w:sz w:val="24"/>
        </w:rPr>
        <w:t>1.供应商应按磋商文件的内容与要求和提供的格式编写其响应文件，供应商不得缺少或留空任何磋商文件要求填写的格或提交的资料。如磋商文件没有提供格式的，供应商可自行设置。</w:t>
      </w:r>
    </w:p>
    <w:p>
      <w:pPr>
        <w:spacing w:line="360" w:lineRule="auto"/>
        <w:ind w:firstLine="480" w:firstLineChars="200"/>
        <w:rPr>
          <w:rFonts w:ascii="宋体" w:hAnsi="宋体" w:cs="宋体"/>
          <w:sz w:val="24"/>
        </w:rPr>
      </w:pPr>
      <w:r>
        <w:rPr>
          <w:rFonts w:hint="eastAsia" w:ascii="宋体" w:hAnsi="宋体" w:cs="宋体"/>
          <w:sz w:val="24"/>
        </w:rPr>
        <w:t>2.供应商应将响应文件按规定的顺序编排，应编制目录、逐页标注连续页码，应采用胶装装订成册，</w:t>
      </w:r>
      <w:r>
        <w:rPr>
          <w:rFonts w:hint="eastAsia" w:ascii="宋体" w:hAnsi="宋体" w:cs="宋体"/>
          <w:b/>
          <w:sz w:val="24"/>
        </w:rPr>
        <w:t>不得采用活页装订，否则视为无效响应性文件。</w:t>
      </w:r>
    </w:p>
    <w:p>
      <w:pPr>
        <w:spacing w:line="360" w:lineRule="auto"/>
        <w:ind w:firstLine="482" w:firstLineChars="200"/>
        <w:rPr>
          <w:rFonts w:ascii="宋体" w:hAnsi="宋体" w:cs="宋体"/>
          <w:b/>
          <w:color w:val="auto"/>
          <w:sz w:val="24"/>
          <w:highlight w:val="none"/>
        </w:rPr>
      </w:pPr>
      <w:r>
        <w:rPr>
          <w:rFonts w:hint="eastAsia" w:ascii="宋体" w:hAnsi="宋体" w:cs="宋体"/>
          <w:b/>
          <w:sz w:val="24"/>
        </w:rPr>
        <w:t>（六</w:t>
      </w:r>
      <w:r>
        <w:rPr>
          <w:rFonts w:hint="eastAsia" w:ascii="宋体" w:hAnsi="宋体" w:cs="宋体"/>
          <w:b/>
          <w:color w:val="auto"/>
          <w:sz w:val="24"/>
          <w:highlight w:val="none"/>
        </w:rPr>
        <w:t>）竞标报价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1.供应商应在磋商文件响应性报价表标明：所有报价均包含提交验收后的全部全部成果费用，必须包括完成本项目的所有工作的费用。</w:t>
      </w:r>
      <w:r>
        <w:rPr>
          <w:rFonts w:hint="eastAsia" w:ascii="宋体" w:hAnsi="宋体" w:cs="宋体"/>
          <w:b/>
          <w:color w:val="auto"/>
          <w:sz w:val="24"/>
          <w:highlight w:val="none"/>
        </w:rPr>
        <w:t>任何有选择的报价将不予接受。</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2.竞标报价时应注意下列几点：</w:t>
      </w:r>
    </w:p>
    <w:p>
      <w:pPr>
        <w:spacing w:line="360" w:lineRule="auto"/>
        <w:ind w:firstLine="480" w:firstLineChars="200"/>
        <w:rPr>
          <w:rFonts w:ascii="宋体" w:hAnsi="宋体" w:cs="宋体"/>
          <w:sz w:val="24"/>
        </w:rPr>
      </w:pPr>
      <w:r>
        <w:rPr>
          <w:rFonts w:hint="eastAsia" w:ascii="宋体" w:hAnsi="宋体" w:cs="宋体"/>
          <w:sz w:val="24"/>
        </w:rPr>
        <w:t>2.1本项目如非因重大需求变化导致成本增加，不得追加费用，供应商应该考虑但没有考虑到的任何费用将由供应商自行承担；</w:t>
      </w:r>
    </w:p>
    <w:p>
      <w:pPr>
        <w:spacing w:line="360" w:lineRule="auto"/>
        <w:ind w:firstLine="480" w:firstLineChars="200"/>
        <w:rPr>
          <w:rFonts w:ascii="宋体" w:hAnsi="宋体" w:cs="宋体"/>
          <w:sz w:val="24"/>
        </w:rPr>
      </w:pPr>
      <w:r>
        <w:rPr>
          <w:rFonts w:hint="eastAsia" w:ascii="宋体" w:hAnsi="宋体" w:cs="宋体"/>
          <w:sz w:val="24"/>
        </w:rPr>
        <w:t>2.2竞标报价超过采购预算的，按废标处理。</w:t>
      </w:r>
    </w:p>
    <w:p>
      <w:pPr>
        <w:snapToGrid w:val="0"/>
        <w:spacing w:line="400" w:lineRule="exact"/>
        <w:ind w:firstLine="480" w:firstLineChars="200"/>
        <w:rPr>
          <w:rFonts w:ascii="宋体" w:hAnsi="宋体" w:cs="宋体"/>
          <w:sz w:val="24"/>
        </w:rPr>
      </w:pPr>
      <w:r>
        <w:rPr>
          <w:rFonts w:hint="eastAsia" w:ascii="宋体" w:hAnsi="宋体" w:cs="宋体"/>
          <w:sz w:val="24"/>
        </w:rPr>
        <w:t xml:space="preserve">2.3报价应包括实施和完成本项目服务内容的全部所需的人工费、交通、通讯、现场 勘察、协调、技术处理、办公、耗材等以及管理费、利润、税金、保险、政策性文件规定费用等一切费用。本次报价须为人民币报价，中标后的价格为一次性不变价，在合同有效期内不做调整。 </w:t>
      </w:r>
    </w:p>
    <w:p>
      <w:pPr>
        <w:spacing w:line="360" w:lineRule="auto"/>
        <w:ind w:firstLine="482" w:firstLineChars="200"/>
        <w:rPr>
          <w:rFonts w:ascii="宋体" w:hAnsi="宋体" w:cs="宋体"/>
          <w:b/>
          <w:sz w:val="24"/>
        </w:rPr>
      </w:pPr>
      <w:r>
        <w:rPr>
          <w:rFonts w:hint="eastAsia" w:ascii="宋体" w:hAnsi="宋体" w:cs="宋体"/>
          <w:b/>
          <w:sz w:val="24"/>
        </w:rPr>
        <w:t>（七）竞标报价的货币单位</w:t>
      </w:r>
    </w:p>
    <w:p>
      <w:pPr>
        <w:spacing w:line="360" w:lineRule="auto"/>
        <w:ind w:firstLine="480" w:firstLineChars="200"/>
        <w:rPr>
          <w:rFonts w:ascii="宋体" w:hAnsi="宋体" w:cs="宋体"/>
          <w:sz w:val="24"/>
        </w:rPr>
      </w:pPr>
      <w:r>
        <w:rPr>
          <w:rFonts w:hint="eastAsia" w:ascii="宋体" w:hAnsi="宋体" w:cs="宋体"/>
          <w:sz w:val="24"/>
        </w:rPr>
        <w:t>1竞标报价应以人民币方式报价，各项价格必须清楚、准确、详细。</w:t>
      </w:r>
    </w:p>
    <w:p>
      <w:pPr>
        <w:spacing w:line="360" w:lineRule="auto"/>
        <w:ind w:firstLine="482" w:firstLineChars="200"/>
        <w:rPr>
          <w:rFonts w:ascii="宋体" w:hAnsi="宋体" w:cs="宋体"/>
          <w:sz w:val="24"/>
        </w:rPr>
      </w:pPr>
      <w:r>
        <w:rPr>
          <w:rFonts w:hint="eastAsia" w:ascii="宋体" w:hAnsi="宋体" w:cs="宋体"/>
          <w:b/>
          <w:sz w:val="24"/>
        </w:rPr>
        <w:t>（八）磋商文件规定的技术响应文件</w:t>
      </w:r>
    </w:p>
    <w:p>
      <w:pPr>
        <w:spacing w:line="360" w:lineRule="auto"/>
        <w:ind w:firstLine="480" w:firstLineChars="200"/>
        <w:rPr>
          <w:rFonts w:ascii="宋体" w:hAnsi="宋体" w:cs="宋体"/>
          <w:sz w:val="24"/>
        </w:rPr>
      </w:pPr>
      <w:r>
        <w:rPr>
          <w:rFonts w:hint="eastAsia" w:ascii="宋体" w:hAnsi="宋体" w:cs="宋体"/>
          <w:sz w:val="24"/>
        </w:rPr>
        <w:t>1.供应商须提交证明，证明其拟投标的服务符合磋商文件规定，该证明文件作为响应文件的一部分。</w:t>
      </w:r>
    </w:p>
    <w:p>
      <w:pPr>
        <w:spacing w:line="360" w:lineRule="auto"/>
        <w:ind w:firstLine="480" w:firstLineChars="200"/>
        <w:rPr>
          <w:rFonts w:ascii="宋体" w:hAnsi="宋体" w:cs="宋体"/>
          <w:sz w:val="24"/>
        </w:rPr>
      </w:pPr>
      <w:r>
        <w:rPr>
          <w:rFonts w:hint="eastAsia" w:ascii="宋体" w:hAnsi="宋体" w:cs="宋体"/>
          <w:sz w:val="24"/>
        </w:rPr>
        <w:t>2.证明服务与磋商文件要求一致的文件，可以是文字资料、图纸和数据，它包括：</w:t>
      </w:r>
    </w:p>
    <w:p>
      <w:pPr>
        <w:spacing w:line="360" w:lineRule="auto"/>
        <w:ind w:firstLine="480" w:firstLineChars="200"/>
        <w:rPr>
          <w:rFonts w:ascii="宋体" w:hAnsi="宋体" w:cs="宋体"/>
          <w:sz w:val="24"/>
        </w:rPr>
      </w:pPr>
      <w:r>
        <w:rPr>
          <w:rFonts w:hint="eastAsia" w:ascii="宋体" w:hAnsi="宋体" w:cs="宋体"/>
          <w:sz w:val="24"/>
        </w:rPr>
        <w:t>（1）主要服务方案</w:t>
      </w:r>
    </w:p>
    <w:p>
      <w:pPr>
        <w:spacing w:line="360" w:lineRule="auto"/>
        <w:ind w:firstLine="480" w:firstLineChars="200"/>
        <w:rPr>
          <w:rFonts w:ascii="宋体" w:hAnsi="宋体" w:cs="宋体"/>
          <w:sz w:val="24"/>
        </w:rPr>
      </w:pPr>
      <w:r>
        <w:rPr>
          <w:rFonts w:hint="eastAsia" w:ascii="宋体" w:hAnsi="宋体" w:cs="宋体"/>
          <w:sz w:val="24"/>
        </w:rPr>
        <w:t>（2）对照磋商文件技术规格、参数与要求，逐条说明所提供服务做出了实质性的响应，或申明与技术规格、参数与要求条文的偏差和例外。特别对于有具体参数要求的指标，供应商必须提供所投设备的具体参数值。</w:t>
      </w:r>
    </w:p>
    <w:p>
      <w:pPr>
        <w:spacing w:line="360" w:lineRule="auto"/>
        <w:ind w:firstLine="480" w:firstLineChars="200"/>
        <w:rPr>
          <w:rFonts w:ascii="宋体" w:hAnsi="宋体" w:cs="宋体"/>
          <w:sz w:val="24"/>
        </w:rPr>
      </w:pPr>
      <w:r>
        <w:rPr>
          <w:rFonts w:hint="eastAsia" w:ascii="宋体" w:hAnsi="宋体" w:cs="宋体"/>
          <w:sz w:val="24"/>
        </w:rPr>
        <w:t>3.没有按要求提供资料或提供资料不完全的，将被视为对磋商文件没有做出实质性响应，其风险由供应商自行承担。</w:t>
      </w:r>
    </w:p>
    <w:p>
      <w:pPr>
        <w:spacing w:line="360" w:lineRule="auto"/>
        <w:ind w:firstLine="482" w:firstLineChars="200"/>
        <w:rPr>
          <w:rFonts w:ascii="宋体" w:hAnsi="宋体" w:cs="宋体"/>
          <w:b/>
          <w:sz w:val="24"/>
        </w:rPr>
      </w:pPr>
      <w:r>
        <w:rPr>
          <w:rFonts w:hint="eastAsia" w:ascii="宋体" w:hAnsi="宋体" w:cs="宋体"/>
          <w:b/>
          <w:sz w:val="24"/>
        </w:rPr>
        <w:t>（九）投标有效期</w:t>
      </w:r>
    </w:p>
    <w:p>
      <w:pPr>
        <w:spacing w:line="360" w:lineRule="auto"/>
        <w:ind w:firstLine="480" w:firstLineChars="200"/>
        <w:rPr>
          <w:rFonts w:ascii="宋体" w:hAnsi="宋体" w:cs="宋体"/>
          <w:sz w:val="24"/>
        </w:rPr>
      </w:pPr>
      <w:r>
        <w:rPr>
          <w:rFonts w:hint="eastAsia" w:ascii="宋体" w:hAnsi="宋体" w:cs="宋体"/>
          <w:sz w:val="24"/>
        </w:rPr>
        <w:t>1.响应文件从开标之日起，投标有效期90天（如不满足将导致废标）。</w:t>
      </w:r>
    </w:p>
    <w:p>
      <w:pPr>
        <w:spacing w:line="360" w:lineRule="auto"/>
        <w:ind w:firstLine="480" w:firstLineChars="200"/>
        <w:rPr>
          <w:rFonts w:ascii="宋体" w:hAnsi="宋体" w:cs="宋体"/>
          <w:color w:val="auto"/>
          <w:sz w:val="24"/>
          <w:highlight w:val="none"/>
        </w:rPr>
      </w:pPr>
      <w:r>
        <w:rPr>
          <w:rFonts w:hint="eastAsia" w:ascii="宋体" w:hAnsi="宋体" w:cs="宋体"/>
          <w:sz w:val="24"/>
        </w:rPr>
        <w:t>2.在</w:t>
      </w:r>
      <w:r>
        <w:rPr>
          <w:rFonts w:hint="eastAsia" w:ascii="宋体" w:hAnsi="宋体" w:cs="宋体"/>
          <w:color w:val="auto"/>
          <w:sz w:val="24"/>
          <w:highlight w:val="none"/>
        </w:rPr>
        <w:t>特殊情况下，采购人可与供应商协商延长响应文件的有效期。</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（十）响应文件的签署规定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1.响应文件的页面必须用印刷体打印。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2.响应文件应清楚工整，一般不准修改。个别非实质性修改之处应由供应商的被授权人或法人代表签字并加盖公章。</w:t>
      </w:r>
    </w:p>
    <w:p>
      <w:pPr>
        <w:spacing w:line="360" w:lineRule="auto"/>
        <w:ind w:firstLine="480" w:firstLineChars="200"/>
        <w:rPr>
          <w:rFonts w:ascii="宋体" w:hAnsi="宋体" w:cs="宋体"/>
          <w:sz w:val="24"/>
        </w:rPr>
      </w:pPr>
      <w:r>
        <w:rPr>
          <w:rFonts w:hint="eastAsia" w:ascii="宋体" w:hAnsi="宋体" w:cs="宋体"/>
          <w:color w:val="auto"/>
          <w:sz w:val="24"/>
          <w:highlight w:val="none"/>
        </w:rPr>
        <w:t>3.响应文件应由法人代表或授权代表在规定的签章处逐一签字或盖章并加盖单位公章。所有法人代表、法人代表授权人签字或盖章处，必须签字或加盖公章后才具有</w:t>
      </w:r>
      <w:r>
        <w:rPr>
          <w:rFonts w:hint="eastAsia" w:ascii="宋体" w:hAnsi="宋体" w:cs="宋体"/>
          <w:sz w:val="24"/>
        </w:rPr>
        <w:t>法律效力，响应文件方为有效。</w:t>
      </w:r>
    </w:p>
    <w:p>
      <w:pPr>
        <w:spacing w:line="360" w:lineRule="auto"/>
        <w:ind w:firstLine="480" w:firstLineChars="200"/>
        <w:rPr>
          <w:rFonts w:ascii="宋体" w:hAnsi="宋体" w:cs="宋体"/>
          <w:sz w:val="24"/>
        </w:rPr>
      </w:pPr>
      <w:r>
        <w:rPr>
          <w:rFonts w:hint="eastAsia" w:ascii="宋体" w:hAnsi="宋体" w:cs="宋体"/>
          <w:sz w:val="24"/>
        </w:rPr>
        <w:t>4.所有响应文件必须提交一式四份，其中正本一份、副本三份（响应文件一律不退），并在响应文件封面清楚标明“正本”和“副本”字样，电子版响应文件一份（单独密封），</w:t>
      </w:r>
      <w:r>
        <w:rPr>
          <w:rFonts w:hint="eastAsia" w:ascii="宋体" w:hAnsi="宋体"/>
          <w:sz w:val="24"/>
        </w:rPr>
        <w:t>报价一览表一份（单独密封）。</w:t>
      </w:r>
    </w:p>
    <w:p>
      <w:pPr>
        <w:spacing w:line="360" w:lineRule="auto"/>
        <w:ind w:firstLine="480" w:firstLineChars="200"/>
        <w:rPr>
          <w:rFonts w:ascii="宋体" w:hAnsi="宋体" w:cs="宋体"/>
          <w:sz w:val="24"/>
        </w:rPr>
      </w:pPr>
      <w:r>
        <w:rPr>
          <w:rFonts w:hint="eastAsia" w:ascii="宋体" w:hAnsi="宋体" w:cs="宋体"/>
          <w:sz w:val="24"/>
        </w:rPr>
        <w:t>5.响应文件的正本与副本应当完全一致。当正本和副本之间出现差异时，以正本为准。</w:t>
      </w:r>
    </w:p>
    <w:p>
      <w:pPr>
        <w:spacing w:line="360" w:lineRule="auto"/>
        <w:ind w:firstLine="480" w:firstLineChars="200"/>
        <w:rPr>
          <w:rFonts w:ascii="宋体" w:hAnsi="宋体" w:cs="宋体"/>
          <w:sz w:val="24"/>
        </w:rPr>
      </w:pPr>
      <w:r>
        <w:rPr>
          <w:rFonts w:hint="eastAsia" w:ascii="宋体" w:hAnsi="宋体" w:cs="宋体"/>
          <w:sz w:val="24"/>
        </w:rPr>
        <w:t>6.电报、电话、传真、电子邮件等形式的投标概不接受。</w:t>
      </w:r>
    </w:p>
    <w:p>
      <w:pPr>
        <w:spacing w:line="360" w:lineRule="auto"/>
        <w:ind w:firstLine="482" w:firstLineChars="200"/>
        <w:rPr>
          <w:rFonts w:ascii="宋体" w:hAnsi="宋体" w:cs="宋体"/>
          <w:sz w:val="24"/>
        </w:rPr>
      </w:pPr>
      <w:r>
        <w:rPr>
          <w:rFonts w:hint="eastAsia" w:ascii="宋体" w:hAnsi="宋体" w:cs="宋体"/>
          <w:b/>
          <w:sz w:val="24"/>
        </w:rPr>
        <w:t>（十一）招标代理服务费</w:t>
      </w:r>
      <w:bookmarkEnd w:id="42"/>
    </w:p>
    <w:p>
      <w:pPr>
        <w:spacing w:line="360" w:lineRule="auto"/>
        <w:ind w:firstLine="480" w:firstLineChars="200"/>
        <w:rPr>
          <w:rFonts w:ascii="宋体" w:hAnsi="宋体" w:cs="宋体"/>
          <w:sz w:val="24"/>
        </w:rPr>
      </w:pPr>
      <w:r>
        <w:rPr>
          <w:rFonts w:hint="eastAsia" w:ascii="宋体" w:hAnsi="宋体" w:cs="宋体"/>
          <w:sz w:val="24"/>
        </w:rPr>
        <w:t>参考国家计委计价格【2002】1980号文及国家现行收费标准，由中标人在领取中标通知书前向招代理机构支付。</w:t>
      </w:r>
    </w:p>
    <w:p>
      <w:pPr>
        <w:spacing w:line="360" w:lineRule="auto"/>
        <w:ind w:firstLine="482" w:firstLineChars="200"/>
        <w:rPr>
          <w:rFonts w:ascii="宋体" w:hAnsi="宋体" w:cs="宋体"/>
          <w:b/>
          <w:bCs/>
          <w:sz w:val="24"/>
        </w:rPr>
      </w:pPr>
      <w:r>
        <w:rPr>
          <w:rFonts w:hint="eastAsia" w:ascii="宋体" w:hAnsi="宋体" w:cs="宋体"/>
          <w:b/>
          <w:sz w:val="24"/>
        </w:rPr>
        <w:t>（十二）</w:t>
      </w:r>
      <w:r>
        <w:rPr>
          <w:rFonts w:hint="eastAsia" w:ascii="宋体" w:hAnsi="宋体" w:cs="宋体"/>
          <w:b/>
          <w:bCs/>
          <w:sz w:val="24"/>
        </w:rPr>
        <w:t>磋商保证金</w:t>
      </w:r>
    </w:p>
    <w:p>
      <w:pPr>
        <w:spacing w:line="360" w:lineRule="auto"/>
        <w:ind w:firstLine="480" w:firstLineChars="200"/>
        <w:jc w:val="left"/>
        <w:rPr>
          <w:rFonts w:ascii="宋体" w:hAnsi="宋体" w:cs="宋体"/>
          <w:sz w:val="24"/>
        </w:rPr>
      </w:pPr>
      <w:r>
        <w:rPr>
          <w:rFonts w:hint="eastAsia" w:ascii="宋体" w:hAnsi="宋体" w:cs="宋体"/>
          <w:sz w:val="24"/>
        </w:rPr>
        <w:t>1.供应商需提交投标保证金（投标保证金额、银行账号、递交截止时间见前附表），并作为投标组成部分之一。</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color w:val="auto"/>
          <w:sz w:val="24"/>
          <w:highlight w:val="none"/>
        </w:rPr>
        <w:t>对于未</w:t>
      </w:r>
      <w:r>
        <w:rPr>
          <w:rFonts w:hint="eastAsia" w:ascii="宋体" w:hAnsi="宋体" w:cs="宋体"/>
          <w:sz w:val="24"/>
        </w:rPr>
        <w:t>按要求提交投标保证金的，将被视为非响应性投标而予以拒绝。</w:t>
      </w:r>
    </w:p>
    <w:p>
      <w:pPr>
        <w:spacing w:line="360" w:lineRule="auto"/>
        <w:ind w:firstLine="480" w:firstLineChars="200"/>
        <w:jc w:val="left"/>
        <w:rPr>
          <w:rFonts w:ascii="宋体" w:hAnsi="宋体" w:cs="宋体"/>
          <w:sz w:val="24"/>
        </w:rPr>
      </w:pPr>
      <w:r>
        <w:rPr>
          <w:rFonts w:hint="eastAsia" w:ascii="宋体" w:hAnsi="宋体" w:cs="宋体"/>
          <w:sz w:val="24"/>
        </w:rPr>
        <w:t>3.下列任何情况发生时，投标保证金将被没收:</w:t>
      </w:r>
    </w:p>
    <w:p>
      <w:pPr>
        <w:spacing w:line="360" w:lineRule="auto"/>
        <w:ind w:firstLine="480" w:firstLineChars="200"/>
        <w:jc w:val="left"/>
        <w:rPr>
          <w:rFonts w:ascii="宋体" w:hAnsi="宋体" w:cs="宋体"/>
          <w:sz w:val="24"/>
        </w:rPr>
      </w:pPr>
      <w:r>
        <w:rPr>
          <w:rFonts w:hint="eastAsia" w:ascii="宋体" w:hAnsi="宋体" w:cs="宋体"/>
          <w:sz w:val="24"/>
        </w:rPr>
        <w:t>（1）供应商在投标有效期内撤回其响应文件的；</w:t>
      </w:r>
    </w:p>
    <w:p>
      <w:pPr>
        <w:spacing w:line="360" w:lineRule="auto"/>
        <w:ind w:firstLine="480" w:firstLineChars="200"/>
        <w:jc w:val="left"/>
        <w:rPr>
          <w:rFonts w:ascii="宋体" w:hAnsi="宋体" w:cs="宋体"/>
          <w:sz w:val="24"/>
        </w:rPr>
      </w:pPr>
      <w:r>
        <w:rPr>
          <w:rFonts w:hint="eastAsia" w:ascii="宋体" w:hAnsi="宋体" w:cs="宋体"/>
          <w:sz w:val="24"/>
        </w:rPr>
        <w:t>（2）成交人未在规定期限内及时签订项目合同的；</w:t>
      </w:r>
    </w:p>
    <w:p>
      <w:pPr>
        <w:spacing w:line="360" w:lineRule="auto"/>
        <w:ind w:firstLine="480" w:firstLineChars="200"/>
        <w:jc w:val="left"/>
        <w:rPr>
          <w:rFonts w:ascii="宋体" w:hAnsi="宋体" w:cs="宋体"/>
          <w:sz w:val="24"/>
        </w:rPr>
      </w:pPr>
      <w:r>
        <w:rPr>
          <w:rFonts w:hint="eastAsia" w:ascii="宋体" w:hAnsi="宋体" w:cs="宋体"/>
          <w:sz w:val="24"/>
        </w:rPr>
        <w:t>（3）其它违反政府采购法律法规的有关情况。</w:t>
      </w:r>
    </w:p>
    <w:p>
      <w:pPr>
        <w:spacing w:line="360" w:lineRule="auto"/>
        <w:ind w:firstLine="482" w:firstLineChars="200"/>
        <w:jc w:val="left"/>
        <w:rPr>
          <w:rFonts w:ascii="宋体" w:hAnsi="宋体" w:cs="宋体"/>
          <w:sz w:val="24"/>
        </w:rPr>
      </w:pPr>
      <w:bookmarkStart w:id="54" w:name="_Toc4057"/>
      <w:r>
        <w:rPr>
          <w:rFonts w:hint="eastAsia" w:ascii="宋体" w:hAnsi="宋体" w:cs="宋体"/>
          <w:b/>
          <w:sz w:val="24"/>
        </w:rPr>
        <w:t>（十三）</w:t>
      </w:r>
      <w:bookmarkEnd w:id="54"/>
      <w:r>
        <w:rPr>
          <w:rFonts w:hint="eastAsia" w:ascii="宋体" w:hAnsi="宋体" w:cs="宋体"/>
          <w:b/>
          <w:bCs/>
          <w:sz w:val="24"/>
        </w:rPr>
        <w:t>投标有效期</w:t>
      </w:r>
    </w:p>
    <w:p>
      <w:pPr>
        <w:spacing w:line="360" w:lineRule="auto"/>
        <w:ind w:firstLine="480" w:firstLineChars="200"/>
        <w:jc w:val="left"/>
        <w:rPr>
          <w:rFonts w:ascii="宋体" w:hAnsi="宋体" w:cs="宋体"/>
          <w:sz w:val="24"/>
        </w:rPr>
      </w:pPr>
      <w:r>
        <w:rPr>
          <w:rFonts w:hint="eastAsia" w:ascii="宋体" w:hAnsi="宋体" w:cs="宋体"/>
          <w:sz w:val="24"/>
        </w:rPr>
        <w:t>1.投标有效期为竞争性磋商文件规定的供应商提交响应文件截止之日起</w:t>
      </w:r>
      <w:r>
        <w:rPr>
          <w:rFonts w:hint="eastAsia" w:ascii="宋体" w:hAnsi="宋体" w:cs="宋体"/>
          <w:sz w:val="24"/>
          <w:u w:val="single"/>
        </w:rPr>
        <w:t>90</w:t>
      </w:r>
      <w:r>
        <w:rPr>
          <w:rFonts w:hint="eastAsia" w:ascii="宋体" w:hAnsi="宋体" w:cs="宋体"/>
          <w:sz w:val="24"/>
        </w:rPr>
        <w:t>天。投标有效期不满足竞争性磋商文件要求将视为非响应性文件而予以拒绝。</w:t>
      </w:r>
    </w:p>
    <w:p>
      <w:pPr>
        <w:spacing w:line="360" w:lineRule="auto"/>
        <w:ind w:firstLine="480" w:firstLineChars="200"/>
        <w:jc w:val="left"/>
        <w:rPr>
          <w:rFonts w:ascii="宋体" w:hAnsi="宋体" w:cs="宋体"/>
          <w:sz w:val="24"/>
        </w:rPr>
      </w:pPr>
      <w:r>
        <w:rPr>
          <w:rFonts w:hint="eastAsia" w:ascii="宋体" w:hAnsi="宋体" w:cs="宋体"/>
          <w:sz w:val="24"/>
        </w:rPr>
        <w:t>2</w:t>
      </w:r>
      <w:bookmarkStart w:id="55" w:name="_Toc32415"/>
      <w:r>
        <w:rPr>
          <w:rFonts w:hint="eastAsia" w:ascii="宋体" w:hAnsi="宋体" w:cs="宋体"/>
          <w:sz w:val="24"/>
        </w:rPr>
        <w:t>.在特殊情况下，采购人于原投标有效期满之前，可向供应商提出延长投标有效期的要求，这种要求与答复均应采用书面形式（如信件、传真或电报等），供应商可以拒绝采购人的这一要求而放弃参与磋商，磋商保证金予以退回；同意延长的供应商既不能要求也不允许修改其响应文件。第十四条有关磋商保证金的没收和退还的规定在延长期内继续有效。</w:t>
      </w:r>
    </w:p>
    <w:p>
      <w:pPr>
        <w:spacing w:line="360" w:lineRule="auto"/>
        <w:ind w:firstLine="482" w:firstLineChars="200"/>
        <w:jc w:val="left"/>
        <w:rPr>
          <w:rFonts w:ascii="宋体" w:hAnsi="宋体" w:cs="宋体"/>
          <w:sz w:val="24"/>
        </w:rPr>
      </w:pPr>
      <w:r>
        <w:rPr>
          <w:rFonts w:hint="eastAsia" w:ascii="宋体" w:hAnsi="宋体" w:cs="宋体"/>
          <w:b/>
          <w:sz w:val="24"/>
        </w:rPr>
        <w:t>（十四）</w:t>
      </w:r>
      <w:r>
        <w:rPr>
          <w:rFonts w:hint="eastAsia" w:ascii="宋体" w:hAnsi="宋体" w:cs="宋体"/>
          <w:b/>
          <w:bCs/>
          <w:sz w:val="24"/>
        </w:rPr>
        <w:t>响应文件份数和签署</w:t>
      </w:r>
      <w:bookmarkEnd w:id="55"/>
    </w:p>
    <w:p>
      <w:pPr>
        <w:spacing w:line="360" w:lineRule="auto"/>
        <w:ind w:firstLine="480" w:firstLineChars="200"/>
        <w:jc w:val="left"/>
        <w:rPr>
          <w:rFonts w:ascii="宋体" w:hAnsi="宋体" w:cs="宋体"/>
          <w:sz w:val="24"/>
        </w:rPr>
      </w:pPr>
      <w:bookmarkStart w:id="56" w:name="_Toc11128"/>
      <w:r>
        <w:rPr>
          <w:rFonts w:hint="eastAsia" w:ascii="宋体" w:hAnsi="宋体" w:cs="宋体"/>
          <w:sz w:val="24"/>
        </w:rPr>
        <w:t>1.供应商应严格按照供应商须知的要求准备响应文件，每份响应文件封面显著处必须清楚地标明“正本”或“本”字样。响应文件的正本和副本均需打印，正本和副本不符的，以正本为准。响应文件包括：正本壹份，副本叁份，报价一览表、电子版响应文件壹份。</w:t>
      </w:r>
    </w:p>
    <w:p>
      <w:pPr>
        <w:spacing w:line="360" w:lineRule="auto"/>
        <w:ind w:firstLine="480" w:firstLineChars="200"/>
        <w:jc w:val="left"/>
        <w:rPr>
          <w:rFonts w:ascii="宋体" w:hAnsi="宋体" w:cs="宋体"/>
          <w:sz w:val="24"/>
        </w:rPr>
      </w:pPr>
      <w:r>
        <w:rPr>
          <w:rFonts w:hint="eastAsia" w:ascii="宋体" w:hAnsi="宋体" w:cs="宋体"/>
          <w:sz w:val="24"/>
        </w:rPr>
        <w:t>2.除供应商对错处做必要修改外，响应文件不得行间插字、涂改或增删，必要的修改处必须有供应商法人代表或其授权代表人签字并加盖公章。</w:t>
      </w:r>
    </w:p>
    <w:p>
      <w:pPr>
        <w:spacing w:line="360" w:lineRule="auto"/>
        <w:ind w:firstLine="482" w:firstLineChars="200"/>
        <w:jc w:val="left"/>
        <w:rPr>
          <w:rFonts w:ascii="宋体" w:hAnsi="宋体" w:cs="宋体"/>
          <w:b/>
          <w:bCs/>
          <w:sz w:val="24"/>
        </w:rPr>
      </w:pPr>
      <w:r>
        <w:rPr>
          <w:rFonts w:hint="eastAsia" w:ascii="宋体" w:hAnsi="宋体" w:cs="宋体"/>
          <w:b/>
          <w:sz w:val="24"/>
        </w:rPr>
        <w:t>（十五）</w:t>
      </w:r>
      <w:r>
        <w:rPr>
          <w:rFonts w:hint="eastAsia" w:ascii="宋体" w:hAnsi="宋体" w:cs="宋体"/>
          <w:b/>
          <w:bCs/>
          <w:sz w:val="24"/>
        </w:rPr>
        <w:t>响应文件装订</w:t>
      </w:r>
      <w:bookmarkEnd w:id="56"/>
    </w:p>
    <w:p>
      <w:pPr>
        <w:spacing w:line="360" w:lineRule="auto"/>
        <w:ind w:firstLine="480" w:firstLineChars="200"/>
        <w:rPr>
          <w:rFonts w:ascii="宋体" w:hAnsi="宋体" w:cs="宋体"/>
          <w:b/>
          <w:sz w:val="24"/>
        </w:rPr>
      </w:pPr>
      <w:r>
        <w:rPr>
          <w:rFonts w:hint="eastAsia" w:ascii="宋体" w:hAnsi="宋体" w:cs="宋体"/>
          <w:sz w:val="24"/>
        </w:rPr>
        <w:t>1.除特别说明外，全套响应文件的书面部分均使用A4规格纸张无线胶装方式装订，</w:t>
      </w:r>
      <w:r>
        <w:rPr>
          <w:rFonts w:hint="eastAsia" w:ascii="宋体" w:hAnsi="宋体" w:cs="宋体"/>
          <w:b/>
          <w:sz w:val="24"/>
        </w:rPr>
        <w:t>不得采用活页夹等可随时拆换的式装订。</w:t>
      </w:r>
    </w:p>
    <w:p>
      <w:pPr>
        <w:spacing w:line="360" w:lineRule="auto"/>
        <w:ind w:firstLine="480" w:firstLineChars="200"/>
        <w:rPr>
          <w:rFonts w:ascii="宋体" w:hAnsi="宋体" w:cs="宋体"/>
          <w:sz w:val="24"/>
        </w:rPr>
      </w:pPr>
      <w:r>
        <w:rPr>
          <w:rFonts w:hint="eastAsia" w:ascii="宋体" w:hAnsi="宋体" w:cs="宋体"/>
          <w:sz w:val="24"/>
        </w:rPr>
        <w:t>2.密封件外层要求详见前附表。</w:t>
      </w:r>
    </w:p>
    <w:p>
      <w:pPr>
        <w:spacing w:line="360" w:lineRule="auto"/>
        <w:ind w:firstLine="480" w:firstLineChars="200"/>
        <w:rPr>
          <w:rFonts w:ascii="宋体" w:hAnsi="宋体" w:cs="宋体"/>
          <w:b/>
          <w:sz w:val="28"/>
          <w:szCs w:val="28"/>
        </w:rPr>
      </w:pPr>
      <w:r>
        <w:rPr>
          <w:rFonts w:hint="eastAsia" w:ascii="宋体" w:hAnsi="宋体" w:cs="宋体"/>
          <w:sz w:val="24"/>
        </w:rPr>
        <w:t>若响应文件未按第（十四）条款和第（十五）条款要求密封和加写标记，将作为无效标处理。</w:t>
      </w:r>
      <w:bookmarkStart w:id="57" w:name="_Toc10561"/>
      <w:bookmarkStart w:id="58" w:name="_Toc6236"/>
    </w:p>
    <w:p>
      <w:pPr>
        <w:spacing w:line="360" w:lineRule="auto"/>
        <w:ind w:firstLine="562" w:firstLineChars="200"/>
        <w:jc w:val="center"/>
        <w:rPr>
          <w:rFonts w:ascii="宋体" w:hAnsi="宋体" w:cs="宋体"/>
          <w:b/>
          <w:sz w:val="28"/>
          <w:szCs w:val="28"/>
        </w:rPr>
      </w:pPr>
      <w:r>
        <w:rPr>
          <w:rFonts w:hint="eastAsia" w:ascii="宋体" w:hAnsi="宋体" w:cs="宋体"/>
          <w:b/>
          <w:sz w:val="28"/>
          <w:szCs w:val="28"/>
        </w:rPr>
        <w:t>四、响应文件的递交</w:t>
      </w:r>
      <w:bookmarkEnd w:id="57"/>
      <w:bookmarkEnd w:id="58"/>
    </w:p>
    <w:p>
      <w:pPr>
        <w:spacing w:line="360" w:lineRule="auto"/>
        <w:ind w:firstLine="482" w:firstLineChars="200"/>
        <w:rPr>
          <w:rFonts w:ascii="宋体" w:hAnsi="宋体" w:cs="宋体"/>
          <w:b/>
          <w:sz w:val="24"/>
        </w:rPr>
      </w:pPr>
      <w:bookmarkStart w:id="59" w:name="_Toc6804"/>
      <w:r>
        <w:rPr>
          <w:rFonts w:hint="eastAsia" w:ascii="宋体" w:hAnsi="宋体" w:cs="宋体"/>
          <w:b/>
          <w:sz w:val="24"/>
        </w:rPr>
        <w:t>（一）</w:t>
      </w:r>
      <w:bookmarkEnd w:id="59"/>
      <w:bookmarkStart w:id="60" w:name="_Toc16896"/>
      <w:bookmarkStart w:id="61" w:name="_Toc213839734"/>
      <w:bookmarkStart w:id="62" w:name="_Toc27048"/>
      <w:r>
        <w:rPr>
          <w:rFonts w:hint="eastAsia" w:ascii="宋体" w:hAnsi="宋体" w:cs="宋体"/>
          <w:b/>
          <w:sz w:val="24"/>
        </w:rPr>
        <w:t>响应文件递交截止日期及方式</w:t>
      </w:r>
    </w:p>
    <w:p>
      <w:pPr>
        <w:spacing w:line="360" w:lineRule="auto"/>
        <w:ind w:firstLine="480" w:firstLineChars="200"/>
        <w:rPr>
          <w:rFonts w:ascii="宋体" w:hAnsi="宋体" w:cs="宋体"/>
          <w:bCs/>
          <w:sz w:val="24"/>
        </w:rPr>
      </w:pPr>
      <w:r>
        <w:rPr>
          <w:rFonts w:hint="eastAsia" w:ascii="宋体" w:hAnsi="宋体" w:cs="宋体"/>
          <w:bCs/>
          <w:sz w:val="24"/>
        </w:rPr>
        <w:t>1、所有响应文件都必须在竞争性磋商文件规定的递交截止时间前送达指定磋商地，未在规定时间内递到指定地点的响应文件将被拒收。采购人对误投概不负责。</w:t>
      </w:r>
    </w:p>
    <w:p>
      <w:pPr>
        <w:spacing w:line="360" w:lineRule="auto"/>
        <w:ind w:firstLine="480" w:firstLineChars="200"/>
        <w:rPr>
          <w:rFonts w:ascii="宋体" w:hAnsi="宋体" w:cs="宋体"/>
          <w:b/>
          <w:sz w:val="24"/>
        </w:rPr>
      </w:pPr>
      <w:r>
        <w:rPr>
          <w:rFonts w:hint="eastAsia" w:ascii="宋体" w:hAnsi="宋体" w:cs="宋体"/>
          <w:bCs/>
          <w:sz w:val="24"/>
        </w:rPr>
        <w:t>2、采购代理机构将在竞争性磋商文件规定的时间和地点组织磋商会议，</w:t>
      </w:r>
      <w:r>
        <w:rPr>
          <w:rFonts w:hint="eastAsia" w:ascii="宋体" w:hAnsi="宋体" w:cs="宋体"/>
          <w:b/>
          <w:sz w:val="24"/>
        </w:rPr>
        <w:t>供应商必须派法定代表人或其授权的委托人出席会议。</w:t>
      </w:r>
    </w:p>
    <w:p>
      <w:pPr>
        <w:spacing w:line="360" w:lineRule="auto"/>
        <w:ind w:firstLine="480" w:firstLineChars="200"/>
        <w:rPr>
          <w:rFonts w:ascii="宋体" w:hAnsi="宋体" w:cs="宋体"/>
          <w:bCs/>
          <w:sz w:val="24"/>
        </w:rPr>
      </w:pPr>
      <w:r>
        <w:rPr>
          <w:rFonts w:hint="eastAsia" w:ascii="宋体" w:hAnsi="宋体" w:cs="宋体"/>
          <w:bCs/>
          <w:sz w:val="24"/>
        </w:rPr>
        <w:t>3、采购人可以通过修改竞争性磋商文件酌情延长响应文件接收截止日期，在此情况下，供应商的所有权利和义务以及供应商受制约的截止日期均应以延长后新的截止日期为准。</w:t>
      </w:r>
    </w:p>
    <w:p>
      <w:pPr>
        <w:spacing w:line="360" w:lineRule="auto"/>
        <w:ind w:firstLine="482" w:firstLineChars="200"/>
        <w:rPr>
          <w:rFonts w:ascii="宋体" w:hAnsi="宋体" w:cs="宋体"/>
          <w:b/>
          <w:sz w:val="24"/>
        </w:rPr>
      </w:pPr>
      <w:r>
        <w:rPr>
          <w:rFonts w:hint="eastAsia" w:ascii="宋体" w:hAnsi="宋体" w:cs="宋体"/>
          <w:b/>
          <w:sz w:val="24"/>
        </w:rPr>
        <w:t>（二）迟交的响应文件</w:t>
      </w:r>
    </w:p>
    <w:p>
      <w:pPr>
        <w:spacing w:line="360" w:lineRule="auto"/>
        <w:ind w:firstLine="480" w:firstLineChars="200"/>
        <w:rPr>
          <w:rFonts w:ascii="宋体" w:hAnsi="宋体" w:cs="宋体"/>
          <w:bCs/>
          <w:sz w:val="24"/>
        </w:rPr>
      </w:pPr>
      <w:r>
        <w:rPr>
          <w:rFonts w:hint="eastAsia" w:ascii="宋体" w:hAnsi="宋体" w:cs="宋体"/>
          <w:bCs/>
          <w:sz w:val="24"/>
        </w:rPr>
        <w:t>采购人将拒绝接收在规定的截止时间后递交的任何响应文件。</w:t>
      </w:r>
      <w:bookmarkStart w:id="63" w:name="_Toc213839733"/>
    </w:p>
    <w:p>
      <w:pPr>
        <w:spacing w:line="360" w:lineRule="auto"/>
        <w:ind w:firstLine="482" w:firstLineChars="200"/>
        <w:rPr>
          <w:rFonts w:ascii="宋体" w:hAnsi="宋体" w:cs="宋体"/>
          <w:b/>
          <w:sz w:val="24"/>
        </w:rPr>
      </w:pPr>
      <w:r>
        <w:rPr>
          <w:rFonts w:hint="eastAsia" w:ascii="宋体" w:hAnsi="宋体" w:cs="宋体"/>
          <w:b/>
          <w:sz w:val="24"/>
        </w:rPr>
        <w:t>（三）响应文件的修改</w:t>
      </w:r>
      <w:bookmarkEnd w:id="63"/>
    </w:p>
    <w:p>
      <w:pPr>
        <w:spacing w:line="360" w:lineRule="auto"/>
        <w:ind w:firstLine="480" w:firstLineChars="200"/>
        <w:rPr>
          <w:rFonts w:ascii="宋体" w:hAnsi="宋体" w:cs="宋体"/>
          <w:bCs/>
          <w:sz w:val="24"/>
        </w:rPr>
      </w:pPr>
      <w:r>
        <w:rPr>
          <w:rFonts w:hint="eastAsia" w:ascii="宋体" w:hAnsi="宋体" w:cs="宋体"/>
          <w:bCs/>
          <w:sz w:val="24"/>
        </w:rPr>
        <w:t>供应商在递交响应文件截止时之前，对所递交的响应文件可以补充、修改，补充、修改的内容为响应文件的组成部分对供应商具有约束力。补充和修改应按照密封递交。</w:t>
      </w:r>
    </w:p>
    <w:p>
      <w:pPr>
        <w:snapToGrid w:val="0"/>
        <w:spacing w:line="360" w:lineRule="auto"/>
        <w:ind w:firstLine="562" w:firstLineChars="200"/>
        <w:jc w:val="center"/>
        <w:outlineLvl w:val="1"/>
        <w:rPr>
          <w:rFonts w:ascii="宋体" w:hAnsi="宋体" w:cs="宋体"/>
          <w:b/>
          <w:sz w:val="28"/>
          <w:szCs w:val="28"/>
        </w:rPr>
      </w:pPr>
      <w:bookmarkStart w:id="64" w:name="_Toc5405"/>
      <w:r>
        <w:rPr>
          <w:rFonts w:hint="eastAsia" w:ascii="宋体" w:hAnsi="宋体" w:cs="宋体"/>
          <w:b/>
          <w:sz w:val="28"/>
          <w:szCs w:val="28"/>
        </w:rPr>
        <w:t>五、无效标、废标条款</w:t>
      </w:r>
      <w:bookmarkEnd w:id="64"/>
    </w:p>
    <w:p>
      <w:pPr>
        <w:snapToGrid w:val="0"/>
        <w:spacing w:line="360" w:lineRule="auto"/>
        <w:ind w:firstLine="482" w:firstLineChars="200"/>
        <w:jc w:val="left"/>
        <w:rPr>
          <w:rFonts w:ascii="宋体" w:hAnsi="宋体" w:cs="宋体"/>
          <w:b/>
          <w:bCs/>
          <w:sz w:val="24"/>
        </w:rPr>
      </w:pPr>
      <w:r>
        <w:rPr>
          <w:rFonts w:hint="eastAsia" w:ascii="宋体" w:hAnsi="宋体" w:cs="宋体"/>
          <w:b/>
          <w:bCs/>
          <w:sz w:val="24"/>
        </w:rPr>
        <w:t>（一）无效竞标条款</w:t>
      </w:r>
    </w:p>
    <w:p>
      <w:pPr>
        <w:snapToGrid w:val="0"/>
        <w:spacing w:line="360" w:lineRule="auto"/>
        <w:ind w:firstLine="480" w:firstLineChars="200"/>
        <w:jc w:val="left"/>
        <w:rPr>
          <w:rFonts w:ascii="宋体" w:hAnsi="宋体" w:cs="宋体"/>
          <w:sz w:val="24"/>
        </w:rPr>
      </w:pPr>
      <w:r>
        <w:rPr>
          <w:rFonts w:hint="eastAsia" w:ascii="宋体" w:hAnsi="宋体" w:cs="宋体"/>
          <w:sz w:val="24"/>
        </w:rPr>
        <w:t>1、供应商资格不符合竞争性磋商文件规定或未按规定提交资质证件的；</w:t>
      </w:r>
    </w:p>
    <w:p>
      <w:pPr>
        <w:snapToGrid w:val="0"/>
        <w:spacing w:line="360" w:lineRule="auto"/>
        <w:ind w:firstLine="480" w:firstLineChars="200"/>
        <w:jc w:val="left"/>
        <w:rPr>
          <w:rFonts w:ascii="宋体" w:hAnsi="宋体" w:cs="宋体"/>
          <w:sz w:val="24"/>
        </w:rPr>
      </w:pPr>
      <w:r>
        <w:rPr>
          <w:rFonts w:hint="eastAsia" w:ascii="宋体" w:hAnsi="宋体" w:cs="宋体"/>
          <w:sz w:val="24"/>
        </w:rPr>
        <w:t>2、供应商未在规定的时间内提交磋商保证金款凭证的；</w:t>
      </w:r>
    </w:p>
    <w:p>
      <w:pPr>
        <w:snapToGrid w:val="0"/>
        <w:spacing w:line="360" w:lineRule="auto"/>
        <w:ind w:firstLine="480" w:firstLineChars="200"/>
        <w:jc w:val="left"/>
        <w:rPr>
          <w:rFonts w:ascii="宋体" w:hAnsi="宋体" w:cs="宋体"/>
          <w:sz w:val="24"/>
        </w:rPr>
      </w:pPr>
      <w:r>
        <w:rPr>
          <w:rFonts w:hint="eastAsia" w:ascii="宋体" w:hAnsi="宋体" w:cs="宋体"/>
          <w:sz w:val="24"/>
        </w:rPr>
        <w:t>3、响应文件密封、签署、盖章不符合竞争性磋商文件要求的；</w:t>
      </w:r>
    </w:p>
    <w:p>
      <w:pPr>
        <w:snapToGrid w:val="0"/>
        <w:spacing w:line="360" w:lineRule="auto"/>
        <w:ind w:firstLine="480" w:firstLineChars="200"/>
        <w:jc w:val="left"/>
        <w:rPr>
          <w:rFonts w:ascii="宋体" w:hAnsi="宋体" w:cs="宋体"/>
          <w:sz w:val="24"/>
        </w:rPr>
      </w:pPr>
      <w:r>
        <w:rPr>
          <w:rFonts w:hint="eastAsia" w:ascii="宋体" w:hAnsi="宋体" w:cs="宋体"/>
          <w:sz w:val="24"/>
        </w:rPr>
        <w:t>4、响应文件出现重大偏差，未对竞争性磋商文件进行实质性响应；</w:t>
      </w:r>
    </w:p>
    <w:p>
      <w:pPr>
        <w:snapToGrid w:val="0"/>
        <w:spacing w:line="360" w:lineRule="auto"/>
        <w:ind w:firstLine="480" w:firstLineChars="200"/>
        <w:jc w:val="left"/>
        <w:rPr>
          <w:rFonts w:ascii="宋体" w:hAnsi="宋体" w:cs="宋体"/>
          <w:sz w:val="24"/>
        </w:rPr>
      </w:pPr>
      <w:r>
        <w:rPr>
          <w:rFonts w:hint="eastAsia" w:ascii="宋体" w:hAnsi="宋体" w:cs="宋体"/>
          <w:sz w:val="24"/>
        </w:rPr>
        <w:t>5、被授权人不参加磋商仪式及质询事宜的；</w:t>
      </w:r>
    </w:p>
    <w:p>
      <w:pPr>
        <w:snapToGrid w:val="0"/>
        <w:spacing w:line="360" w:lineRule="auto"/>
        <w:ind w:firstLine="480" w:firstLineChars="200"/>
        <w:jc w:val="left"/>
        <w:rPr>
          <w:rFonts w:ascii="宋体" w:hAnsi="宋体" w:cs="宋体"/>
          <w:sz w:val="24"/>
        </w:rPr>
      </w:pPr>
      <w:r>
        <w:rPr>
          <w:rFonts w:hint="eastAsia" w:ascii="宋体" w:hAnsi="宋体" w:cs="宋体"/>
          <w:sz w:val="24"/>
        </w:rPr>
        <w:t>6、其它磋商小组认为有必要取消的投标；</w:t>
      </w:r>
    </w:p>
    <w:p>
      <w:pPr>
        <w:snapToGrid w:val="0"/>
        <w:spacing w:line="360" w:lineRule="auto"/>
        <w:ind w:firstLine="480" w:firstLineChars="200"/>
        <w:jc w:val="left"/>
        <w:rPr>
          <w:rFonts w:ascii="宋体" w:hAnsi="宋体" w:cs="宋体"/>
          <w:sz w:val="24"/>
        </w:rPr>
      </w:pPr>
      <w:r>
        <w:rPr>
          <w:rFonts w:hint="eastAsia" w:ascii="宋体" w:hAnsi="宋体" w:cs="宋体"/>
          <w:sz w:val="24"/>
        </w:rPr>
        <w:t>7、法律、法规规定的其他情况。</w:t>
      </w:r>
    </w:p>
    <w:p>
      <w:pPr>
        <w:snapToGrid w:val="0"/>
        <w:spacing w:line="360" w:lineRule="auto"/>
        <w:ind w:firstLine="482" w:firstLineChars="200"/>
        <w:rPr>
          <w:rFonts w:ascii="宋体" w:hAnsi="宋体" w:cs="宋体"/>
          <w:b/>
          <w:sz w:val="24"/>
        </w:rPr>
      </w:pPr>
      <w:r>
        <w:rPr>
          <w:rFonts w:hint="eastAsia" w:ascii="宋体" w:hAnsi="宋体" w:cs="宋体"/>
          <w:b/>
          <w:sz w:val="24"/>
        </w:rPr>
        <w:t>（二）废标条款</w:t>
      </w:r>
    </w:p>
    <w:p>
      <w:pPr>
        <w:snapToGrid w:val="0"/>
        <w:spacing w:line="360" w:lineRule="auto"/>
        <w:ind w:firstLine="480" w:firstLineChars="200"/>
        <w:jc w:val="left"/>
        <w:rPr>
          <w:rFonts w:ascii="宋体" w:hAnsi="宋体" w:cs="宋体"/>
          <w:bCs/>
          <w:sz w:val="24"/>
        </w:rPr>
      </w:pPr>
      <w:r>
        <w:rPr>
          <w:rFonts w:hint="eastAsia" w:ascii="宋体" w:hAnsi="宋体" w:cs="宋体"/>
          <w:bCs/>
          <w:sz w:val="24"/>
        </w:rPr>
        <w:t>1、符合专业条件的供应商或者对竞争性磋商文件作实质响应的供应商不足三家的；</w:t>
      </w:r>
    </w:p>
    <w:p>
      <w:pPr>
        <w:snapToGrid w:val="0"/>
        <w:spacing w:line="360" w:lineRule="auto"/>
        <w:ind w:firstLine="480" w:firstLineChars="200"/>
        <w:rPr>
          <w:rFonts w:ascii="宋体" w:hAnsi="宋体" w:cs="宋体"/>
          <w:sz w:val="24"/>
        </w:rPr>
      </w:pPr>
      <w:r>
        <w:rPr>
          <w:rFonts w:hint="eastAsia" w:ascii="宋体" w:hAnsi="宋体" w:cs="宋体"/>
          <w:sz w:val="24"/>
        </w:rPr>
        <w:t>2、出现影响招标公正的违法、违规行的；</w:t>
      </w:r>
    </w:p>
    <w:p>
      <w:pPr>
        <w:snapToGrid w:val="0"/>
        <w:spacing w:line="360" w:lineRule="auto"/>
        <w:ind w:firstLine="480" w:firstLineChars="200"/>
        <w:rPr>
          <w:rFonts w:ascii="宋体" w:hAnsi="宋体" w:cs="宋体"/>
          <w:sz w:val="24"/>
        </w:rPr>
      </w:pPr>
      <w:r>
        <w:rPr>
          <w:rFonts w:hint="eastAsia" w:ascii="宋体" w:hAnsi="宋体" w:cs="宋体"/>
          <w:sz w:val="24"/>
        </w:rPr>
        <w:t>3、供应商的报价均超过了招标预算，采购人不能支付的；</w:t>
      </w:r>
    </w:p>
    <w:p>
      <w:pPr>
        <w:snapToGrid w:val="0"/>
        <w:spacing w:line="360" w:lineRule="auto"/>
        <w:ind w:firstLine="480" w:firstLineChars="200"/>
        <w:rPr>
          <w:rFonts w:ascii="宋体" w:hAnsi="宋体" w:cs="宋体"/>
          <w:sz w:val="24"/>
        </w:rPr>
      </w:pPr>
      <w:r>
        <w:rPr>
          <w:rFonts w:hint="eastAsia" w:ascii="宋体" w:hAnsi="宋体" w:cs="宋体"/>
          <w:sz w:val="24"/>
        </w:rPr>
        <w:t>4、因重大变故，招标任务取消的。</w:t>
      </w:r>
    </w:p>
    <w:p>
      <w:pPr>
        <w:snapToGrid w:val="0"/>
        <w:spacing w:line="360" w:lineRule="auto"/>
        <w:ind w:firstLine="482" w:firstLineChars="200"/>
        <w:jc w:val="left"/>
        <w:rPr>
          <w:rFonts w:ascii="宋体" w:hAnsi="宋体" w:cs="宋体"/>
          <w:b/>
          <w:bCs/>
          <w:sz w:val="24"/>
        </w:rPr>
      </w:pPr>
      <w:r>
        <w:rPr>
          <w:rFonts w:hint="eastAsia" w:ascii="宋体" w:hAnsi="宋体" w:cs="宋体"/>
          <w:b/>
          <w:bCs/>
          <w:sz w:val="24"/>
        </w:rPr>
        <w:t>（三）参与供应商不得少于三家</w:t>
      </w:r>
    </w:p>
    <w:p>
      <w:pPr>
        <w:snapToGrid w:val="0"/>
        <w:spacing w:line="360" w:lineRule="auto"/>
        <w:ind w:firstLine="480" w:firstLineChars="200"/>
        <w:rPr>
          <w:rFonts w:ascii="宋体" w:hAnsi="宋体" w:cs="宋体"/>
          <w:sz w:val="24"/>
        </w:rPr>
      </w:pPr>
      <w:r>
        <w:rPr>
          <w:rFonts w:hint="eastAsia" w:ascii="宋体" w:hAnsi="宋体" w:cs="宋体"/>
          <w:sz w:val="24"/>
        </w:rPr>
        <w:t>根据《政府招标竞争性磋商招标方式管理暂行办法》的规定，参与项目的供应商不得少于三家。</w:t>
      </w:r>
    </w:p>
    <w:p>
      <w:pPr>
        <w:snapToGrid w:val="0"/>
        <w:spacing w:line="360" w:lineRule="auto"/>
        <w:ind w:firstLine="482" w:firstLineChars="200"/>
        <w:rPr>
          <w:rFonts w:ascii="宋体" w:hAnsi="宋体" w:cs="宋体"/>
          <w:sz w:val="24"/>
        </w:rPr>
      </w:pPr>
      <w:r>
        <w:rPr>
          <w:rFonts w:hint="eastAsia" w:ascii="宋体" w:hAnsi="宋体" w:cs="宋体"/>
          <w:b/>
          <w:bCs/>
          <w:sz w:val="24"/>
        </w:rPr>
        <w:t>（四）取</w:t>
      </w:r>
      <w:r>
        <w:rPr>
          <w:rFonts w:hint="eastAsia" w:ascii="宋体" w:hAnsi="宋体" w:cs="宋体"/>
          <w:b/>
          <w:bCs/>
          <w:color w:val="auto"/>
          <w:sz w:val="24"/>
          <w:highlight w:val="none"/>
        </w:rPr>
        <w:t>消成交候选</w:t>
      </w:r>
      <w:r>
        <w:rPr>
          <w:rFonts w:hint="eastAsia" w:ascii="宋体" w:hAnsi="宋体" w:cs="宋体"/>
          <w:b/>
          <w:bCs/>
          <w:sz w:val="24"/>
        </w:rPr>
        <w:t>人资格条款</w:t>
      </w:r>
    </w:p>
    <w:p>
      <w:pPr>
        <w:snapToGrid w:val="0"/>
        <w:spacing w:line="360" w:lineRule="auto"/>
        <w:ind w:firstLine="480" w:firstLineChars="200"/>
        <w:rPr>
          <w:rFonts w:ascii="宋体" w:hAnsi="宋体" w:cs="宋体"/>
          <w:sz w:val="24"/>
        </w:rPr>
      </w:pPr>
      <w:r>
        <w:rPr>
          <w:rFonts w:hint="eastAsia" w:ascii="宋体" w:hAnsi="宋体" w:cs="宋体"/>
          <w:sz w:val="24"/>
        </w:rPr>
        <w:t>1、提供虚假材料谋取成交的；</w:t>
      </w:r>
    </w:p>
    <w:p>
      <w:pPr>
        <w:snapToGrid w:val="0"/>
        <w:spacing w:line="360" w:lineRule="auto"/>
        <w:ind w:firstLine="480" w:firstLineChars="200"/>
        <w:rPr>
          <w:rFonts w:ascii="宋体" w:hAnsi="宋体" w:cs="宋体"/>
          <w:sz w:val="24"/>
        </w:rPr>
      </w:pPr>
      <w:r>
        <w:rPr>
          <w:rFonts w:hint="eastAsia" w:ascii="宋体" w:hAnsi="宋体" w:cs="宋体"/>
          <w:sz w:val="24"/>
        </w:rPr>
        <w:t>2、采取不正当手段诋毁、排挤其他供应商的；</w:t>
      </w:r>
    </w:p>
    <w:p>
      <w:pPr>
        <w:snapToGrid w:val="0"/>
        <w:spacing w:line="360" w:lineRule="auto"/>
        <w:ind w:firstLine="480" w:firstLineChars="200"/>
        <w:rPr>
          <w:rFonts w:ascii="宋体" w:hAnsi="宋体" w:cs="宋体"/>
          <w:sz w:val="24"/>
        </w:rPr>
      </w:pPr>
      <w:r>
        <w:rPr>
          <w:rFonts w:hint="eastAsia" w:ascii="宋体" w:hAnsi="宋体" w:cs="宋体"/>
          <w:sz w:val="24"/>
        </w:rPr>
        <w:t>3、与采购人、其他供应或者采购代理机构恶意串通的；</w:t>
      </w:r>
    </w:p>
    <w:p>
      <w:pPr>
        <w:snapToGrid w:val="0"/>
        <w:spacing w:line="360" w:lineRule="auto"/>
        <w:ind w:firstLine="480" w:firstLineChars="200"/>
        <w:rPr>
          <w:rFonts w:ascii="宋体" w:hAnsi="宋体" w:cs="宋体"/>
          <w:sz w:val="24"/>
        </w:rPr>
      </w:pPr>
      <w:r>
        <w:rPr>
          <w:rFonts w:hint="eastAsia" w:ascii="宋体" w:hAnsi="宋体" w:cs="宋体"/>
          <w:sz w:val="24"/>
        </w:rPr>
        <w:t>4、向采购人、采购代理机构行贿或者提供其他不正当利益的；</w:t>
      </w:r>
    </w:p>
    <w:p>
      <w:pPr>
        <w:snapToGrid w:val="0"/>
        <w:spacing w:line="360" w:lineRule="auto"/>
        <w:ind w:firstLine="480" w:firstLineChars="200"/>
        <w:rPr>
          <w:rFonts w:ascii="宋体" w:hAnsi="宋体" w:cs="宋体"/>
          <w:sz w:val="24"/>
        </w:rPr>
      </w:pPr>
      <w:r>
        <w:rPr>
          <w:rFonts w:hint="eastAsia" w:ascii="宋体" w:hAnsi="宋体" w:cs="宋体"/>
          <w:sz w:val="24"/>
        </w:rPr>
        <w:t>5、在规定的时间内未与采购人签订招标合同的；</w:t>
      </w:r>
    </w:p>
    <w:p>
      <w:pPr>
        <w:snapToGrid w:val="0"/>
        <w:spacing w:line="360" w:lineRule="auto"/>
        <w:ind w:firstLine="480" w:firstLineChars="200"/>
        <w:rPr>
          <w:rFonts w:ascii="宋体" w:hAnsi="宋体" w:cs="宋体"/>
          <w:sz w:val="24"/>
        </w:rPr>
      </w:pPr>
      <w:r>
        <w:rPr>
          <w:rFonts w:hint="eastAsia" w:ascii="宋体" w:hAnsi="宋体" w:cs="宋体"/>
          <w:sz w:val="24"/>
        </w:rPr>
        <w:t>6、法律、法规规定的其他情况。</w:t>
      </w:r>
    </w:p>
    <w:bookmarkEnd w:id="60"/>
    <w:bookmarkEnd w:id="61"/>
    <w:bookmarkEnd w:id="62"/>
    <w:p>
      <w:pPr>
        <w:snapToGrid w:val="0"/>
        <w:spacing w:line="360" w:lineRule="auto"/>
        <w:ind w:firstLine="562" w:firstLineChars="200"/>
        <w:jc w:val="center"/>
        <w:outlineLvl w:val="1"/>
        <w:rPr>
          <w:rFonts w:ascii="宋体" w:hAnsi="宋体" w:cs="宋体"/>
          <w:b/>
          <w:sz w:val="28"/>
          <w:szCs w:val="28"/>
        </w:rPr>
      </w:pPr>
      <w:bookmarkStart w:id="65" w:name="_Toc11937"/>
    </w:p>
    <w:p>
      <w:pPr>
        <w:snapToGrid w:val="0"/>
        <w:spacing w:line="360" w:lineRule="auto"/>
        <w:ind w:firstLine="562" w:firstLineChars="200"/>
        <w:jc w:val="center"/>
        <w:outlineLvl w:val="1"/>
        <w:rPr>
          <w:rFonts w:ascii="宋体" w:hAnsi="宋体" w:cs="宋体"/>
          <w:b/>
          <w:sz w:val="28"/>
          <w:szCs w:val="28"/>
        </w:rPr>
      </w:pPr>
      <w:r>
        <w:rPr>
          <w:rFonts w:hint="eastAsia" w:ascii="宋体" w:hAnsi="宋体" w:cs="宋体"/>
          <w:b/>
          <w:sz w:val="28"/>
          <w:szCs w:val="28"/>
        </w:rPr>
        <w:t>六、磋商程序及最终报价</w:t>
      </w:r>
      <w:bookmarkEnd w:id="65"/>
    </w:p>
    <w:p>
      <w:pPr>
        <w:snapToGrid w:val="0"/>
        <w:spacing w:line="360" w:lineRule="auto"/>
        <w:ind w:firstLine="482" w:firstLineChars="200"/>
        <w:rPr>
          <w:rFonts w:ascii="宋体" w:hAnsi="宋体" w:cs="宋体"/>
          <w:b/>
          <w:bCs/>
          <w:sz w:val="24"/>
        </w:rPr>
      </w:pPr>
      <w:r>
        <w:rPr>
          <w:rFonts w:hint="eastAsia" w:ascii="宋体" w:hAnsi="宋体" w:cs="宋体"/>
          <w:b/>
          <w:bCs/>
          <w:sz w:val="24"/>
        </w:rPr>
        <w:t>（一）磋商原则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评标、定标依据《中华人民共和国政府采购法》及新疆维吾尔自治区财政厅、和田地区及策勒市等相关规定，遵循公开、公平、正、竞争的原则。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1、严格执行《中华人民共和国政府采购法》及自治区有关法规、政策、维护采购人、供应商的合法权益，选择对采购人最为有利的供应商或候选供应商。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2、磋商小组所有成员应当集中与单一供应商分别进行磋商，并给予所有参加磋商的供应商平等的磋商机会。不应谈及与供应商所提供的服务质量、技术、价格等无关的话题。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4、坚持价格合理、方案第一的原则，不以最低报价作为中标唯一标准。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5、磋商工作由评审专家及采购人代表共同组建的磋商小组承担。评审专家占磋商小组总数的三分之二以上。</w:t>
      </w:r>
    </w:p>
    <w:p>
      <w:pPr>
        <w:adjustRightInd w:val="0"/>
        <w:snapToGrid w:val="0"/>
        <w:spacing w:line="360" w:lineRule="auto"/>
        <w:ind w:firstLine="482" w:firstLineChars="200"/>
        <w:rPr>
          <w:rFonts w:ascii="宋体" w:hAnsi="宋体" w:cs="宋体"/>
          <w:b/>
          <w:sz w:val="24"/>
        </w:rPr>
      </w:pPr>
      <w:r>
        <w:rPr>
          <w:rFonts w:hint="eastAsia" w:ascii="宋体" w:hAnsi="宋体" w:cs="宋体"/>
          <w:b/>
          <w:bCs/>
          <w:sz w:val="24"/>
        </w:rPr>
        <w:t>（二）</w:t>
      </w:r>
      <w:r>
        <w:rPr>
          <w:rFonts w:hint="eastAsia" w:ascii="宋体" w:hAnsi="宋体" w:cs="宋体"/>
          <w:b/>
          <w:sz w:val="24"/>
        </w:rPr>
        <w:t>磋商小组</w:t>
      </w:r>
    </w:p>
    <w:p>
      <w:pPr>
        <w:snapToGrid w:val="0"/>
        <w:spacing w:line="360" w:lineRule="auto"/>
        <w:ind w:firstLine="480" w:firstLineChars="200"/>
        <w:rPr>
          <w:rFonts w:ascii="宋体" w:hAnsi="宋体" w:cs="宋体"/>
          <w:sz w:val="24"/>
        </w:rPr>
      </w:pPr>
      <w:r>
        <w:rPr>
          <w:rFonts w:hint="eastAsia" w:ascii="宋体" w:hAnsi="宋体" w:cs="宋体"/>
          <w:sz w:val="24"/>
        </w:rPr>
        <w:t>采购人根据本项目的特点，于开标前24小时内，从和田地区评审专家库中随机抽取组建磋商小组，其成员由有关技术、经济方面的专家</w:t>
      </w:r>
      <w:r>
        <w:rPr>
          <w:rFonts w:hint="eastAsia" w:ascii="宋体" w:hAnsi="宋体" w:cs="宋体"/>
          <w:sz w:val="24"/>
          <w:u w:val="single"/>
        </w:rPr>
        <w:t>2</w:t>
      </w:r>
      <w:r>
        <w:rPr>
          <w:rFonts w:hint="eastAsia" w:ascii="宋体" w:hAnsi="宋体" w:cs="宋体"/>
          <w:sz w:val="24"/>
        </w:rPr>
        <w:t>人，业主代表</w:t>
      </w:r>
      <w:r>
        <w:rPr>
          <w:rFonts w:hint="eastAsia" w:ascii="宋体" w:hAnsi="宋体" w:cs="宋体"/>
          <w:sz w:val="24"/>
          <w:u w:val="single"/>
        </w:rPr>
        <w:t>1</w:t>
      </w:r>
      <w:r>
        <w:rPr>
          <w:rFonts w:hint="eastAsia" w:ascii="宋体" w:hAnsi="宋体" w:cs="宋体"/>
          <w:sz w:val="24"/>
        </w:rPr>
        <w:t>人组成。磋商小组在监督部门的监督下独立完成磋商工作，负责对响应文件进行审查、质询、评审、推选成交候选供应商。</w:t>
      </w:r>
    </w:p>
    <w:p>
      <w:pPr>
        <w:snapToGrid w:val="0"/>
        <w:spacing w:line="360" w:lineRule="auto"/>
        <w:ind w:firstLine="482" w:firstLineChars="200"/>
        <w:rPr>
          <w:rFonts w:ascii="宋体" w:hAnsi="宋体" w:cs="宋体"/>
          <w:b/>
          <w:bCs/>
          <w:sz w:val="24"/>
        </w:rPr>
      </w:pPr>
      <w:r>
        <w:rPr>
          <w:rFonts w:hint="eastAsia" w:ascii="宋体" w:hAnsi="宋体" w:cs="宋体"/>
          <w:b/>
          <w:bCs/>
          <w:sz w:val="24"/>
        </w:rPr>
        <w:t>（三）磋商程序</w:t>
      </w:r>
    </w:p>
    <w:p>
      <w:pPr>
        <w:widowControl/>
        <w:snapToGrid w:val="0"/>
        <w:spacing w:line="360" w:lineRule="auto"/>
        <w:ind w:firstLine="480" w:firstLineChars="200"/>
        <w:rPr>
          <w:rFonts w:ascii="宋体" w:hAnsi="宋体" w:cs="宋体"/>
          <w:sz w:val="24"/>
        </w:rPr>
      </w:pPr>
      <w:r>
        <w:rPr>
          <w:rFonts w:hint="eastAsia" w:ascii="宋体" w:hAnsi="宋体" w:cs="宋体"/>
          <w:sz w:val="24"/>
        </w:rPr>
        <w:t>1、代理机构按竞争性磋商文件规定的时间、地点组织开标、磋商。招标单位代表及有关工作人员参加，政府招标监管部门视况参与。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ascii="宋体" w:hAnsi="宋体" w:cs="宋体"/>
          <w:b/>
          <w:sz w:val="24"/>
          <w:u w:val="single"/>
        </w:rPr>
      </w:pPr>
      <w:r>
        <w:rPr>
          <w:rFonts w:hint="eastAsia" w:ascii="宋体" w:hAnsi="宋体" w:cs="宋体"/>
          <w:sz w:val="24"/>
        </w:rPr>
        <w:t>2、供应商应委派法人或授权代表磋商活动，</w:t>
      </w:r>
      <w:r>
        <w:rPr>
          <w:rFonts w:hint="eastAsia" w:ascii="宋体" w:hAnsi="宋体" w:cs="宋体"/>
          <w:b/>
          <w:sz w:val="24"/>
          <w:u w:val="single"/>
        </w:rPr>
        <w:t>参加磋商的人员须持本人身份证原件签名报到。</w:t>
      </w:r>
    </w:p>
    <w:p>
      <w:pPr>
        <w:pStyle w:val="82"/>
        <w:ind w:firstLine="480" w:firstLineChars="200"/>
        <w:rPr>
          <w:rFonts w:ascii="宋体" w:hAnsi="宋体" w:cs="宋体"/>
          <w:b/>
          <w:bCs/>
          <w:sz w:val="24"/>
          <w:u w:val="single"/>
        </w:rPr>
      </w:pPr>
      <w:r>
        <w:rPr>
          <w:rFonts w:hint="eastAsia" w:ascii="宋体" w:hAnsi="宋体" w:cs="宋体"/>
          <w:sz w:val="24"/>
        </w:rPr>
        <w:t>3、开标会议由代理机构主持。</w:t>
      </w:r>
      <w:r>
        <w:rPr>
          <w:rFonts w:hint="eastAsia" w:ascii="宋体" w:hAnsi="宋体" w:cs="宋体"/>
          <w:b/>
          <w:bCs/>
          <w:sz w:val="24"/>
          <w:u w:val="single"/>
        </w:rPr>
        <w:t>开标时，由采购人、监管部门检查供</w:t>
      </w:r>
      <w:r>
        <w:rPr>
          <w:rFonts w:hint="eastAsia" w:ascii="宋体" w:hAnsi="宋体" w:cs="宋体"/>
          <w:b/>
          <w:bCs/>
          <w:color w:val="auto"/>
          <w:sz w:val="24"/>
          <w:highlight w:val="none"/>
          <w:u w:val="single"/>
        </w:rPr>
        <w:t>应商资格：</w:t>
      </w:r>
    </w:p>
    <w:p>
      <w:pPr>
        <w:spacing w:line="360" w:lineRule="auto"/>
        <w:rPr>
          <w:rFonts w:hint="default" w:ascii="宋体" w:hAnsi="宋体"/>
          <w:b/>
          <w:bCs/>
          <w:color w:val="auto"/>
          <w:sz w:val="24"/>
          <w:highlight w:val="none"/>
          <w:u w:val="none"/>
          <w:lang w:val="en-US" w:eastAsia="zh-CN"/>
        </w:rPr>
      </w:pPr>
      <w:r>
        <w:rPr>
          <w:rFonts w:hint="default" w:ascii="宋体" w:hAnsi="宋体"/>
          <w:b/>
          <w:bCs/>
          <w:color w:val="auto"/>
          <w:sz w:val="24"/>
          <w:highlight w:val="none"/>
          <w:u w:val="none"/>
          <w:lang w:val="en-US" w:eastAsia="zh-CN"/>
        </w:rPr>
        <w:t>（1）经年审合格的三证合一的营业执照副本原件或复印件加盖公章；</w:t>
      </w:r>
    </w:p>
    <w:p>
      <w:pPr>
        <w:spacing w:line="360" w:lineRule="auto"/>
        <w:rPr>
          <w:rFonts w:hint="eastAsia" w:ascii="宋体" w:hAnsi="宋体"/>
          <w:b/>
          <w:bCs/>
          <w:color w:val="auto"/>
          <w:sz w:val="24"/>
          <w:highlight w:val="none"/>
          <w:u w:val="none"/>
          <w:lang w:val="en-US" w:eastAsia="zh-CN"/>
        </w:rPr>
      </w:pPr>
      <w:r>
        <w:rPr>
          <w:rFonts w:hint="default" w:ascii="宋体" w:hAnsi="宋体"/>
          <w:b/>
          <w:bCs/>
          <w:color w:val="auto"/>
          <w:sz w:val="24"/>
          <w:highlight w:val="none"/>
          <w:u w:val="none"/>
          <w:lang w:val="en-US" w:eastAsia="zh-CN"/>
        </w:rPr>
        <w:t>（2）供应商代表到场参与投标需提供身份证明书（原件）及身份证原件；委托代理人到场参与投标需提供授权委托书（附授权人及委托人身份证复印件正反面）及身份证原件</w:t>
      </w:r>
      <w:r>
        <w:rPr>
          <w:rFonts w:hint="eastAsia" w:ascii="宋体" w:hAnsi="宋体"/>
          <w:b/>
          <w:bCs/>
          <w:color w:val="auto"/>
          <w:sz w:val="24"/>
          <w:highlight w:val="none"/>
          <w:u w:val="none"/>
          <w:lang w:val="en-US" w:eastAsia="zh-CN"/>
        </w:rPr>
        <w:t>；</w:t>
      </w:r>
    </w:p>
    <w:p>
      <w:pPr>
        <w:spacing w:line="360" w:lineRule="auto"/>
        <w:rPr>
          <w:rFonts w:hint="default" w:ascii="宋体" w:hAnsi="宋体"/>
          <w:b/>
          <w:bCs/>
          <w:color w:val="auto"/>
          <w:sz w:val="24"/>
          <w:highlight w:val="none"/>
          <w:u w:val="none"/>
          <w:lang w:val="en-US" w:eastAsia="zh-CN"/>
        </w:rPr>
      </w:pPr>
      <w:r>
        <w:rPr>
          <w:rFonts w:hint="default" w:ascii="宋体" w:hAnsi="宋体"/>
          <w:b/>
          <w:bCs/>
          <w:color w:val="auto"/>
          <w:sz w:val="24"/>
          <w:highlight w:val="none"/>
          <w:u w:val="none"/>
          <w:lang w:val="en-US" w:eastAsia="zh-CN"/>
        </w:rPr>
        <w:t>（3）投标保证金银行回单；</w:t>
      </w:r>
    </w:p>
    <w:p>
      <w:pPr>
        <w:spacing w:line="360" w:lineRule="auto"/>
        <w:rPr>
          <w:rFonts w:ascii="宋体" w:hAnsi="宋体"/>
          <w:b/>
          <w:bCs/>
          <w:color w:val="auto"/>
          <w:sz w:val="24"/>
          <w:highlight w:val="none"/>
          <w:u w:val="none"/>
        </w:rPr>
      </w:pPr>
      <w:r>
        <w:rPr>
          <w:rFonts w:hint="eastAsia" w:ascii="宋体" w:hAnsi="宋体"/>
          <w:b/>
          <w:bCs/>
          <w:color w:val="auto"/>
          <w:sz w:val="24"/>
          <w:highlight w:val="none"/>
          <w:u w:val="none"/>
          <w:lang w:val="en-US" w:eastAsia="zh-CN"/>
        </w:rPr>
        <w:t>（4）</w:t>
      </w:r>
      <w:r>
        <w:rPr>
          <w:rFonts w:ascii="宋体" w:hAnsi="宋体"/>
          <w:b/>
          <w:bCs/>
          <w:color w:val="auto"/>
          <w:sz w:val="24"/>
          <w:highlight w:val="none"/>
          <w:u w:val="none"/>
        </w:rPr>
        <w:t>具有自治区国土资源厅发出的土地估价机构备案函</w:t>
      </w:r>
      <w:r>
        <w:rPr>
          <w:rFonts w:hint="eastAsia" w:ascii="宋体" w:hAnsi="宋体"/>
          <w:b/>
          <w:bCs/>
          <w:color w:val="auto"/>
          <w:sz w:val="24"/>
          <w:highlight w:val="none"/>
          <w:u w:val="none"/>
        </w:rPr>
        <w:t>；</w:t>
      </w:r>
    </w:p>
    <w:p>
      <w:pPr>
        <w:pStyle w:val="6"/>
        <w:spacing w:line="360" w:lineRule="auto"/>
        <w:rPr>
          <w:rFonts w:ascii="宋体" w:hAnsi="宋体" w:cs="宋体"/>
          <w:b/>
          <w:bCs/>
          <w:u w:val="single"/>
        </w:rPr>
      </w:pPr>
      <w:r>
        <w:rPr>
          <w:rFonts w:hint="eastAsia" w:ascii="仿宋" w:hAnsi="仿宋" w:eastAsia="仿宋" w:cs="仿宋"/>
          <w:b/>
          <w:bCs/>
          <w:color w:val="000000"/>
        </w:rPr>
        <w:t>未按要求提供者不得进入后续开标程序。</w:t>
      </w:r>
    </w:p>
    <w:p>
      <w:pPr>
        <w:pStyle w:val="82"/>
        <w:ind w:firstLine="480" w:firstLineChars="200"/>
        <w:rPr>
          <w:rFonts w:ascii="宋体" w:hAnsi="宋体" w:cs="宋体"/>
          <w:sz w:val="24"/>
        </w:rPr>
      </w:pPr>
      <w:r>
        <w:rPr>
          <w:rFonts w:hint="eastAsia" w:ascii="宋体" w:hAnsi="宋体" w:cs="宋体"/>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ascii="宋体" w:hAnsi="宋体" w:cs="宋体"/>
          <w:sz w:val="24"/>
        </w:rPr>
      </w:pPr>
      <w:r>
        <w:rPr>
          <w:rFonts w:hint="eastAsia" w:ascii="宋体" w:hAnsi="宋体" w:cs="宋体"/>
          <w:sz w:val="24"/>
        </w:rPr>
        <w:t>⑴资格性检查：磋商小组将根据法律法规和竞争性磋商文件的规定，对响应文件的资格证明文件、磋商保证金等进行审查，以确定供应商是否具备竞争性磋商资格。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rPr>
          <w:rFonts w:ascii="宋体" w:hAnsi="宋体" w:cs="宋体"/>
          <w:sz w:val="24"/>
        </w:rPr>
      </w:pPr>
      <w:r>
        <w:rPr>
          <w:rFonts w:hint="eastAsia" w:ascii="宋体" w:hAnsi="宋体" w:cs="宋体"/>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ascii="宋体" w:hAnsi="宋体" w:cs="宋体"/>
          <w:sz w:val="24"/>
        </w:rPr>
      </w:pPr>
      <w:r>
        <w:rPr>
          <w:rFonts w:hint="eastAsia" w:ascii="宋体" w:hAnsi="宋体" w:cs="宋体"/>
          <w:sz w:val="24"/>
        </w:rPr>
        <w:t>5、磋商小组判断“响应文件”的响应性，仅基于“响应文件”本身而不靠外部证据。对非实质性响应的响应文件，供应商不能通过修正或撤销不符之处，而使其成为实质性响应。</w:t>
      </w:r>
    </w:p>
    <w:p>
      <w:pPr>
        <w:pStyle w:val="14"/>
        <w:tabs>
          <w:tab w:val="left" w:pos="1260"/>
        </w:tabs>
        <w:snapToGrid w:val="0"/>
        <w:spacing w:line="360" w:lineRule="auto"/>
        <w:ind w:firstLine="480" w:firstLineChars="200"/>
        <w:rPr>
          <w:rFonts w:hAnsi="宋体" w:cs="宋体"/>
          <w:sz w:val="24"/>
          <w:szCs w:val="24"/>
        </w:rPr>
      </w:pPr>
      <w:r>
        <w:rPr>
          <w:rFonts w:hint="eastAsia" w:hAnsi="宋体" w:cs="宋体"/>
          <w:sz w:val="24"/>
          <w:szCs w:val="24"/>
        </w:rPr>
        <w:t>6、磋商小组根据竞争性磋商文件要求，讨论、通过磋商工作流程和磋商要点。</w:t>
      </w:r>
    </w:p>
    <w:p>
      <w:pPr>
        <w:pStyle w:val="14"/>
        <w:snapToGrid w:val="0"/>
        <w:spacing w:line="360" w:lineRule="auto"/>
        <w:ind w:firstLine="480" w:firstLineChars="200"/>
        <w:rPr>
          <w:rFonts w:hAnsi="宋体" w:cs="宋体"/>
          <w:sz w:val="24"/>
          <w:szCs w:val="24"/>
        </w:rPr>
      </w:pPr>
      <w:r>
        <w:rPr>
          <w:rFonts w:hint="eastAsia" w:hAnsi="宋体" w:cs="宋体"/>
          <w:sz w:val="24"/>
          <w:szCs w:val="24"/>
        </w:rPr>
        <w:t>7、采购人按照签到逆顺序通知有效供应商磋商。</w:t>
      </w:r>
    </w:p>
    <w:p>
      <w:pPr>
        <w:pStyle w:val="14"/>
        <w:snapToGrid w:val="0"/>
        <w:spacing w:line="360" w:lineRule="auto"/>
        <w:ind w:firstLine="480" w:firstLineChars="200"/>
        <w:rPr>
          <w:rFonts w:hAnsi="宋体" w:cs="宋体"/>
          <w:sz w:val="24"/>
          <w:szCs w:val="24"/>
        </w:rPr>
      </w:pPr>
      <w:r>
        <w:rPr>
          <w:rFonts w:hint="eastAsia" w:hAnsi="宋体" w:cs="宋体"/>
          <w:sz w:val="24"/>
          <w:szCs w:val="24"/>
          <w:u w:val="single"/>
        </w:rPr>
        <w:t>参与二次及多次报价及服务承诺的人员须是供应商法定代表人或其授权代表（核对身份证）。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8、围绕磋商要点，磋商小组全体成员集中与单一供应商分别进行磋商，逐家磋商一次为一个轮次，磋商轮次原则上为两轮，具体由磋商小组视情况决定。</w:t>
      </w:r>
    </w:p>
    <w:p>
      <w:pPr>
        <w:pStyle w:val="14"/>
        <w:snapToGrid w:val="0"/>
        <w:spacing w:line="360" w:lineRule="auto"/>
        <w:ind w:firstLine="480" w:firstLineChars="200"/>
        <w:rPr>
          <w:rFonts w:hAnsi="宋体" w:cs="宋体"/>
          <w:b/>
          <w:sz w:val="24"/>
          <w:szCs w:val="24"/>
          <w:u w:val="single"/>
        </w:rPr>
      </w:pPr>
      <w:r>
        <w:rPr>
          <w:rFonts w:hint="eastAsia" w:hAnsi="宋体" w:cs="宋体"/>
          <w:sz w:val="24"/>
          <w:szCs w:val="24"/>
        </w:rPr>
        <w:t>9、竞争性磋商文件有较大变动的，磋商小组将以书面形式通知所有参加磋商的供应商。</w:t>
      </w:r>
    </w:p>
    <w:p>
      <w:pPr>
        <w:pStyle w:val="14"/>
        <w:snapToGrid w:val="0"/>
        <w:spacing w:line="360" w:lineRule="auto"/>
        <w:ind w:firstLine="482" w:firstLineChars="200"/>
        <w:rPr>
          <w:rFonts w:hAnsi="宋体" w:cs="宋体"/>
          <w:b/>
          <w:sz w:val="24"/>
          <w:szCs w:val="24"/>
          <w:u w:val="single"/>
        </w:rPr>
      </w:pPr>
      <w:r>
        <w:rPr>
          <w:rFonts w:hint="eastAsia" w:hAnsi="宋体" w:cs="宋体"/>
          <w:b/>
          <w:sz w:val="24"/>
          <w:szCs w:val="24"/>
          <w:u w:val="single"/>
        </w:rPr>
        <w:t>10、未及时参与磋商或多次报价的，视为自动放弃参与磋商磋商的资格。</w:t>
      </w:r>
    </w:p>
    <w:p>
      <w:pPr>
        <w:pStyle w:val="14"/>
        <w:snapToGrid w:val="0"/>
        <w:spacing w:line="360" w:lineRule="auto"/>
        <w:ind w:firstLine="482" w:firstLineChars="200"/>
        <w:rPr>
          <w:rFonts w:hAnsi="宋体" w:cs="宋体"/>
          <w:b/>
          <w:sz w:val="24"/>
          <w:szCs w:val="24"/>
        </w:rPr>
      </w:pPr>
      <w:bookmarkStart w:id="66" w:name="_Toc213839741"/>
      <w:r>
        <w:rPr>
          <w:rFonts w:hint="eastAsia" w:hAnsi="宋体" w:cs="宋体"/>
          <w:b/>
          <w:sz w:val="24"/>
          <w:szCs w:val="24"/>
        </w:rPr>
        <w:t>（四）最终报价</w:t>
      </w:r>
    </w:p>
    <w:p>
      <w:pPr>
        <w:snapToGrid w:val="0"/>
        <w:spacing w:line="360" w:lineRule="auto"/>
        <w:ind w:firstLine="480" w:firstLineChars="200"/>
        <w:rPr>
          <w:rFonts w:ascii="宋体" w:hAnsi="宋体" w:cs="宋体"/>
          <w:sz w:val="24"/>
        </w:rPr>
      </w:pPr>
      <w:r>
        <w:rPr>
          <w:rFonts w:hint="eastAsia" w:ascii="宋体" w:hAnsi="宋体" w:cs="宋体"/>
          <w:sz w:val="24"/>
        </w:rPr>
        <w:t>磋商结束后，磋商小组将要求所有有效供应商在规定时间内提交最终报价及服务承诺。</w:t>
      </w:r>
    </w:p>
    <w:p>
      <w:pPr>
        <w:snapToGrid w:val="0"/>
        <w:spacing w:line="360" w:lineRule="auto"/>
        <w:ind w:firstLine="482" w:firstLineChars="200"/>
        <w:rPr>
          <w:rFonts w:ascii="宋体" w:hAnsi="宋体" w:cs="宋体"/>
          <w:b/>
          <w:sz w:val="24"/>
        </w:rPr>
      </w:pPr>
      <w:r>
        <w:rPr>
          <w:rFonts w:hint="eastAsia" w:ascii="宋体" w:hAnsi="宋体" w:cs="宋体"/>
          <w:b/>
          <w:sz w:val="24"/>
        </w:rPr>
        <w:t>（五）确定成交候选供应商</w:t>
      </w:r>
    </w:p>
    <w:p>
      <w:pPr>
        <w:snapToGrid w:val="0"/>
        <w:spacing w:line="360" w:lineRule="auto"/>
        <w:ind w:firstLine="480" w:firstLineChars="200"/>
        <w:rPr>
          <w:rFonts w:ascii="宋体" w:hAnsi="宋体" w:cs="宋体"/>
          <w:sz w:val="24"/>
        </w:rPr>
      </w:pPr>
      <w:r>
        <w:rPr>
          <w:rFonts w:hint="eastAsia" w:ascii="宋体" w:hAnsi="宋体" w:cs="宋体"/>
          <w:sz w:val="24"/>
        </w:rPr>
        <w:t>经磋</w:t>
      </w:r>
      <w:r>
        <w:rPr>
          <w:rFonts w:hint="eastAsia" w:ascii="宋体" w:hAnsi="宋体" w:cs="宋体"/>
          <w:color w:val="auto"/>
          <w:sz w:val="24"/>
          <w:highlight w:val="none"/>
        </w:rPr>
        <w:t>商确定最</w:t>
      </w:r>
      <w:r>
        <w:rPr>
          <w:rFonts w:hint="eastAsia" w:ascii="宋体" w:hAnsi="宋体" w:cs="宋体"/>
          <w:sz w:val="24"/>
        </w:rPr>
        <w:t>终招标需求和提交最后报价的供应商后，由磋商小组采用综合评分法对提交最后报价的供应商的响应件和最后报价进行综合评分。</w:t>
      </w:r>
    </w:p>
    <w:p>
      <w:pPr>
        <w:snapToGrid w:val="0"/>
        <w:spacing w:line="360" w:lineRule="auto"/>
        <w:ind w:firstLine="480" w:firstLineChars="200"/>
        <w:rPr>
          <w:rFonts w:ascii="宋体" w:hAnsi="宋体" w:cs="宋体"/>
          <w:sz w:val="24"/>
        </w:rPr>
      </w:pPr>
      <w:r>
        <w:rPr>
          <w:rFonts w:hint="eastAsia" w:ascii="宋体" w:hAnsi="宋体" w:cs="宋体"/>
          <w:sz w:val="24"/>
        </w:rPr>
        <w:t>综合评分法，是指响应文件满足磋商文件全部实质性要求且按评审因素的量化指标评审得分最高的供应商为成交候选供应商的评审方法。</w:t>
      </w:r>
    </w:p>
    <w:p>
      <w:pPr>
        <w:snapToGrid w:val="0"/>
        <w:spacing w:line="360" w:lineRule="auto"/>
        <w:ind w:firstLine="480" w:firstLineChars="200"/>
        <w:rPr>
          <w:rFonts w:ascii="宋体" w:hAnsi="宋体" w:cs="宋体"/>
          <w:sz w:val="24"/>
        </w:rPr>
      </w:pPr>
      <w:r>
        <w:rPr>
          <w:rFonts w:hint="eastAsia" w:ascii="宋体" w:hAnsi="宋体" w:cs="宋体"/>
          <w:sz w:val="24"/>
        </w:rPr>
        <w:t>磋商小组通过上述评标方法以最终合计得分【为所有评委评分总和的算术平均值】，并按得分由高到低顺序排列，选择前三名供应商依次推荐为第一名、第二名和第三名成交候选人。当供应商综合得分相等时，以评标价较低者优先，报价得分相等时，以技术标得分高者优先。</w:t>
      </w:r>
    </w:p>
    <w:p>
      <w:pPr>
        <w:pStyle w:val="2"/>
        <w:tabs>
          <w:tab w:val="left" w:pos="540"/>
        </w:tabs>
        <w:ind w:firstLine="482" w:firstLineChars="200"/>
        <w:rPr>
          <w:lang w:eastAsia="zh-CN"/>
        </w:rPr>
      </w:pPr>
      <w:r>
        <w:rPr>
          <w:rFonts w:hint="eastAsia" w:ascii="宋体" w:hAnsi="宋体"/>
          <w:color w:val="000000"/>
          <w:sz w:val="24"/>
          <w:lang w:eastAsia="zh-CN"/>
        </w:rPr>
        <w:t xml:space="preserve">法律法规规定得其他情形，招标人有权确认排名第二的中标候选人为中标人，也有权重新组织招标。 </w:t>
      </w:r>
    </w:p>
    <w:p>
      <w:pPr>
        <w:snapToGrid w:val="0"/>
        <w:spacing w:line="360" w:lineRule="auto"/>
        <w:ind w:firstLine="482" w:firstLineChars="200"/>
        <w:rPr>
          <w:rFonts w:ascii="宋体" w:hAnsi="宋体" w:cs="宋体"/>
          <w:b/>
          <w:sz w:val="24"/>
        </w:rPr>
      </w:pPr>
      <w:r>
        <w:rPr>
          <w:rFonts w:hint="eastAsia" w:ascii="宋体" w:hAnsi="宋体" w:cs="宋体"/>
          <w:b/>
          <w:sz w:val="24"/>
        </w:rPr>
        <w:t>（六）磋商过程</w:t>
      </w:r>
      <w:bookmarkEnd w:id="66"/>
      <w:r>
        <w:rPr>
          <w:rFonts w:hint="eastAsia" w:ascii="宋体" w:hAnsi="宋体" w:cs="宋体"/>
          <w:b/>
          <w:sz w:val="24"/>
        </w:rPr>
        <w:t>保密</w:t>
      </w:r>
    </w:p>
    <w:p>
      <w:pPr>
        <w:snapToGrid w:val="0"/>
        <w:spacing w:line="360" w:lineRule="auto"/>
        <w:ind w:firstLine="480" w:firstLineChars="200"/>
        <w:rPr>
          <w:rFonts w:ascii="宋体" w:hAnsi="宋体" w:cs="宋体"/>
          <w:sz w:val="24"/>
        </w:rPr>
      </w:pPr>
      <w:r>
        <w:rPr>
          <w:rFonts w:hint="eastAsia" w:ascii="宋体" w:hAnsi="宋体" w:cs="宋体"/>
          <w:sz w:val="24"/>
        </w:rPr>
        <w:t>1、在宣布成交结果之前，凡属于审查、澄清、评价、比较竞争性磋商文件等有关信息，相关当事人均不得泄露给任何磋供应商或与磋商工作无关的人员。</w:t>
      </w:r>
    </w:p>
    <w:p>
      <w:pPr>
        <w:snapToGrid w:val="0"/>
        <w:spacing w:line="360" w:lineRule="auto"/>
        <w:ind w:firstLine="480" w:firstLineChars="200"/>
        <w:rPr>
          <w:rFonts w:ascii="宋体" w:hAnsi="宋体" w:cs="宋体"/>
          <w:sz w:val="24"/>
        </w:rPr>
      </w:pPr>
      <w:r>
        <w:rPr>
          <w:rFonts w:hint="eastAsia" w:ascii="宋体" w:hAnsi="宋体" w:cs="宋体"/>
          <w:sz w:val="24"/>
        </w:rPr>
        <w:t>2、供应商不得探听上述信息，不得以任何行为影响磋商过程，否则其响应文件将被作为无效响应文件。</w:t>
      </w:r>
    </w:p>
    <w:p>
      <w:pPr>
        <w:snapToGrid w:val="0"/>
        <w:spacing w:line="360" w:lineRule="auto"/>
        <w:ind w:firstLine="480" w:firstLineChars="200"/>
        <w:rPr>
          <w:rFonts w:ascii="宋体" w:hAnsi="宋体" w:cs="宋体"/>
          <w:sz w:val="24"/>
        </w:rPr>
      </w:pPr>
      <w:r>
        <w:rPr>
          <w:rFonts w:hint="eastAsia" w:ascii="宋体" w:hAnsi="宋体" w:cs="宋体"/>
          <w:sz w:val="24"/>
        </w:rPr>
        <w:t>3、在磋商期间，代理机构有专门工作人员与供应商进行联络。</w:t>
      </w:r>
    </w:p>
    <w:p>
      <w:pPr>
        <w:snapToGrid w:val="0"/>
        <w:spacing w:line="360" w:lineRule="auto"/>
        <w:ind w:firstLine="480" w:firstLineChars="200"/>
        <w:rPr>
          <w:rFonts w:ascii="宋体" w:hAnsi="宋体" w:cs="宋体"/>
          <w:sz w:val="24"/>
        </w:rPr>
      </w:pPr>
      <w:r>
        <w:rPr>
          <w:rFonts w:hint="eastAsia" w:ascii="宋体" w:hAnsi="宋体" w:cs="宋体"/>
          <w:sz w:val="24"/>
        </w:rPr>
        <w:t>4、采购人和磋商小组不向未成交的供应商解释未成交原因，也不对磋商过程中的细节问题进行公布。</w:t>
      </w:r>
    </w:p>
    <w:p>
      <w:pPr>
        <w:snapToGrid w:val="0"/>
        <w:spacing w:line="360" w:lineRule="auto"/>
        <w:ind w:left="420" w:leftChars="200"/>
        <w:outlineLvl w:val="1"/>
        <w:rPr>
          <w:rFonts w:ascii="宋体" w:hAnsi="宋体" w:cs="宋体"/>
          <w:b/>
          <w:sz w:val="28"/>
          <w:szCs w:val="28"/>
        </w:rPr>
      </w:pPr>
      <w:r>
        <w:rPr>
          <w:rFonts w:hint="eastAsia" w:ascii="宋体" w:hAnsi="宋体" w:cs="宋体"/>
          <w:b/>
          <w:sz w:val="28"/>
          <w:szCs w:val="28"/>
        </w:rPr>
        <w:t>（七）评标办法</w:t>
      </w:r>
    </w:p>
    <w:p>
      <w:pPr>
        <w:pStyle w:val="9"/>
        <w:jc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资格评审</w:t>
      </w:r>
    </w:p>
    <w:tbl>
      <w:tblPr>
        <w:tblStyle w:val="33"/>
        <w:tblW w:w="8764" w:type="dxa"/>
        <w:jc w:val="center"/>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210"/>
        <w:gridCol w:w="755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835" w:hRule="atLeast"/>
          <w:jc w:val="center"/>
        </w:trPr>
        <w:tc>
          <w:tcPr>
            <w:tcW w:w="1210" w:type="dxa"/>
            <w:tcBorders>
              <w:top w:val="outset" w:color="111111" w:sz="6" w:space="0"/>
              <w:bottom w:val="outset" w:color="111111" w:sz="6" w:space="0"/>
              <w:right w:val="outset" w:color="111111" w:sz="6" w:space="0"/>
            </w:tcBorders>
            <w:vAlign w:val="center"/>
          </w:tcPr>
          <w:p>
            <w:pPr>
              <w:rPr>
                <w:rFonts w:ascii="仿宋" w:hAnsi="仿宋" w:eastAsia="仿宋" w:cs="仿宋"/>
                <w:color w:val="000000"/>
                <w:sz w:val="24"/>
                <w:szCs w:val="24"/>
              </w:rPr>
            </w:pPr>
            <w:r>
              <w:rPr>
                <w:rFonts w:hint="eastAsia" w:ascii="仿宋" w:hAnsi="仿宋" w:eastAsia="仿宋" w:cs="仿宋"/>
                <w:b/>
                <w:bCs/>
                <w:color w:val="000000"/>
                <w:sz w:val="24"/>
                <w:szCs w:val="24"/>
              </w:rPr>
              <w:t>评审内容</w:t>
            </w:r>
          </w:p>
        </w:tc>
        <w:tc>
          <w:tcPr>
            <w:tcW w:w="7554" w:type="dxa"/>
            <w:tcBorders>
              <w:top w:val="outset" w:color="111111" w:sz="6" w:space="0"/>
              <w:left w:val="outset" w:color="111111" w:sz="6" w:space="0"/>
              <w:bottom w:val="outset" w:color="111111" w:sz="6" w:space="0"/>
              <w:right w:val="outset" w:color="111111" w:sz="6" w:space="0"/>
            </w:tcBorders>
            <w:vAlign w:val="center"/>
          </w:tcPr>
          <w:p>
            <w:pPr>
              <w:widowControl/>
              <w:spacing w:line="26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210" w:type="dxa"/>
            <w:vMerge w:val="restart"/>
            <w:tcBorders>
              <w:top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资格性</w:t>
            </w:r>
          </w:p>
          <w:p>
            <w:pPr>
              <w:rPr>
                <w:rFonts w:ascii="仿宋" w:hAnsi="仿宋" w:eastAsia="仿宋" w:cs="仿宋"/>
                <w:color w:val="000000"/>
                <w:sz w:val="24"/>
                <w:szCs w:val="24"/>
              </w:rPr>
            </w:pPr>
            <w:r>
              <w:rPr>
                <w:rFonts w:hint="eastAsia" w:ascii="仿宋" w:hAnsi="仿宋" w:eastAsia="仿宋" w:cs="仿宋"/>
                <w:b/>
                <w:bCs/>
                <w:color w:val="000000"/>
                <w:sz w:val="24"/>
                <w:szCs w:val="24"/>
              </w:rPr>
              <w:t>审查</w:t>
            </w:r>
          </w:p>
        </w:tc>
        <w:tc>
          <w:tcPr>
            <w:tcW w:w="7554" w:type="dxa"/>
            <w:tcBorders>
              <w:top w:val="outset" w:color="111111" w:sz="6" w:space="0"/>
              <w:left w:val="outset" w:color="111111" w:sz="6" w:space="0"/>
              <w:bottom w:val="outset" w:color="111111" w:sz="6" w:space="0"/>
              <w:right w:val="outset" w:color="111111" w:sz="6" w:space="0"/>
            </w:tcBorders>
            <w:vAlign w:val="center"/>
          </w:tcPr>
          <w:p>
            <w:pPr>
              <w:pStyle w:val="25"/>
              <w:widowControl/>
              <w:autoSpaceDE/>
              <w:autoSpaceDN/>
              <w:adjustRightInd/>
              <w:spacing w:line="260" w:lineRule="exact"/>
              <w:jc w:val="both"/>
              <w:rPr>
                <w:rFonts w:hint="eastAsia" w:ascii="仿宋" w:hAnsi="仿宋" w:eastAsia="仿宋" w:cs="仿宋"/>
                <w:sz w:val="24"/>
                <w:szCs w:val="24"/>
                <w:lang w:val="en-US" w:eastAsia="zh-CN"/>
              </w:rPr>
            </w:pPr>
            <w:r>
              <w:rPr>
                <w:rFonts w:hint="eastAsia" w:ascii="仿宋" w:hAnsi="仿宋" w:eastAsia="仿宋" w:cs="仿宋"/>
                <w:sz w:val="24"/>
                <w:szCs w:val="24"/>
              </w:rPr>
              <w:t>1）有效的（三证合一）的营业执照</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210" w:type="dxa"/>
            <w:vMerge w:val="continue"/>
            <w:tcBorders>
              <w:right w:val="outset" w:color="111111" w:sz="6" w:space="0"/>
            </w:tcBorders>
            <w:vAlign w:val="center"/>
          </w:tcPr>
          <w:p>
            <w:pPr>
              <w:rPr>
                <w:rFonts w:ascii="仿宋" w:hAnsi="仿宋" w:eastAsia="仿宋" w:cs="仿宋"/>
                <w:color w:val="000000"/>
                <w:sz w:val="24"/>
                <w:szCs w:val="24"/>
              </w:rPr>
            </w:pPr>
          </w:p>
        </w:tc>
        <w:tc>
          <w:tcPr>
            <w:tcW w:w="7554" w:type="dxa"/>
            <w:tcBorders>
              <w:top w:val="outset" w:color="111111" w:sz="6" w:space="0"/>
              <w:left w:val="outset" w:color="111111" w:sz="6" w:space="0"/>
              <w:bottom w:val="outset" w:color="111111" w:sz="6" w:space="0"/>
              <w:right w:val="outset" w:color="111111" w:sz="6" w:space="0"/>
            </w:tcBorders>
            <w:vAlign w:val="center"/>
          </w:tcPr>
          <w:p>
            <w:pPr>
              <w:pStyle w:val="25"/>
              <w:widowControl/>
              <w:autoSpaceDE/>
              <w:autoSpaceDN/>
              <w:adjustRightInd/>
              <w:spacing w:line="2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2）提供供应商近段时间内至少近 3 个月的缴纳税收的完税证明或税务部门出具的纳税证明；如依法免税的，应提供相应文件证明；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210" w:type="dxa"/>
            <w:vMerge w:val="continue"/>
            <w:tcBorders>
              <w:right w:val="outset" w:color="111111" w:sz="6" w:space="0"/>
            </w:tcBorders>
            <w:vAlign w:val="center"/>
          </w:tcPr>
          <w:p>
            <w:pPr>
              <w:rPr>
                <w:rFonts w:ascii="仿宋" w:hAnsi="仿宋" w:eastAsia="仿宋" w:cs="仿宋"/>
                <w:color w:val="000000"/>
                <w:sz w:val="24"/>
                <w:szCs w:val="24"/>
              </w:rPr>
            </w:pPr>
          </w:p>
        </w:tc>
        <w:tc>
          <w:tcPr>
            <w:tcW w:w="7554" w:type="dxa"/>
            <w:tcBorders>
              <w:top w:val="outset" w:color="111111" w:sz="6" w:space="0"/>
              <w:left w:val="outset" w:color="111111" w:sz="6" w:space="0"/>
              <w:bottom w:val="outset" w:color="111111" w:sz="6" w:space="0"/>
              <w:right w:val="outset" w:color="111111" w:sz="6" w:space="0"/>
            </w:tcBorders>
            <w:vAlign w:val="center"/>
          </w:tcPr>
          <w:p>
            <w:pPr>
              <w:pStyle w:val="25"/>
              <w:widowControl/>
              <w:autoSpaceDE/>
              <w:autoSpaceDN/>
              <w:adjustRightInd/>
              <w:spacing w:line="2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3）供应商代表法人资格证明文件或其授权委托书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630" w:hRule="atLeast"/>
          <w:jc w:val="center"/>
        </w:trPr>
        <w:tc>
          <w:tcPr>
            <w:tcW w:w="1210" w:type="dxa"/>
            <w:vMerge w:val="continue"/>
            <w:tcBorders>
              <w:right w:val="outset" w:color="111111" w:sz="6" w:space="0"/>
            </w:tcBorders>
            <w:vAlign w:val="center"/>
          </w:tcPr>
          <w:p>
            <w:pPr>
              <w:rPr>
                <w:rFonts w:ascii="仿宋" w:hAnsi="仿宋" w:eastAsia="仿宋" w:cs="仿宋"/>
                <w:color w:val="000000"/>
                <w:sz w:val="24"/>
                <w:szCs w:val="24"/>
              </w:rPr>
            </w:pPr>
          </w:p>
        </w:tc>
        <w:tc>
          <w:tcPr>
            <w:tcW w:w="7554" w:type="dxa"/>
            <w:tcBorders>
              <w:top w:val="outset" w:color="111111" w:sz="6" w:space="0"/>
              <w:left w:val="outset" w:color="111111" w:sz="6" w:space="0"/>
              <w:bottom w:val="outset" w:color="111111" w:sz="6" w:space="0"/>
              <w:right w:val="outset" w:color="111111" w:sz="6" w:space="0"/>
            </w:tcBorders>
            <w:vAlign w:val="center"/>
          </w:tcPr>
          <w:p>
            <w:pPr>
              <w:pStyle w:val="25"/>
              <w:widowControl/>
              <w:autoSpaceDE/>
              <w:autoSpaceDN/>
              <w:adjustRightInd/>
              <w:spacing w:line="260" w:lineRule="exact"/>
              <w:jc w:val="both"/>
              <w:rPr>
                <w:rFonts w:ascii="仿宋" w:hAnsi="仿宋" w:eastAsia="仿宋" w:cs="仿宋"/>
                <w:color w:val="auto"/>
                <w:sz w:val="24"/>
                <w:szCs w:val="24"/>
              </w:rPr>
            </w:pPr>
            <w:r>
              <w:rPr>
                <w:rFonts w:hint="eastAsia" w:ascii="仿宋" w:hAnsi="仿宋" w:eastAsia="仿宋" w:cs="仿宋"/>
                <w:color w:val="auto"/>
                <w:sz w:val="24"/>
                <w:szCs w:val="24"/>
              </w:rPr>
              <w:t>4）提供参加政府采购活动前3年内在经营活动中没有重大违法记录的书面声明；（提供《投标人资格声明函》）。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210" w:type="dxa"/>
            <w:vMerge w:val="continue"/>
            <w:tcBorders>
              <w:right w:val="outset" w:color="111111" w:sz="6" w:space="0"/>
            </w:tcBorders>
            <w:vAlign w:val="center"/>
          </w:tcPr>
          <w:p>
            <w:pPr>
              <w:rPr>
                <w:rFonts w:ascii="仿宋" w:hAnsi="仿宋" w:eastAsia="仿宋" w:cs="仿宋"/>
                <w:color w:val="000000"/>
                <w:sz w:val="24"/>
                <w:szCs w:val="24"/>
              </w:rPr>
            </w:pPr>
          </w:p>
        </w:tc>
        <w:tc>
          <w:tcPr>
            <w:tcW w:w="7554" w:type="dxa"/>
            <w:tcBorders>
              <w:top w:val="outset" w:color="111111" w:sz="6" w:space="0"/>
              <w:left w:val="outset" w:color="111111" w:sz="6" w:space="0"/>
              <w:bottom w:val="outset" w:color="111111" w:sz="6" w:space="0"/>
              <w:right w:val="outset" w:color="111111" w:sz="6" w:space="0"/>
            </w:tcBorders>
            <w:vAlign w:val="center"/>
          </w:tcPr>
          <w:p>
            <w:pPr>
              <w:pStyle w:val="25"/>
              <w:widowControl/>
              <w:autoSpaceDE/>
              <w:autoSpaceDN/>
              <w:adjustRightInd/>
              <w:spacing w:line="2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5）具有自治区国土资源厅发出的土地估价机构备案函；</w:t>
            </w:r>
          </w:p>
        </w:tc>
      </w:tr>
    </w:tbl>
    <w:p>
      <w:pPr>
        <w:snapToGrid w:val="0"/>
        <w:spacing w:line="360" w:lineRule="auto"/>
        <w:ind w:firstLine="480" w:firstLineChars="200"/>
      </w:pPr>
      <w:r>
        <w:rPr>
          <w:rFonts w:hint="eastAsia" w:ascii="宋体" w:hAnsi="宋体" w:cs="宋体"/>
          <w:sz w:val="24"/>
        </w:rPr>
        <w:t>备注：如果供应商提供的响应文件中初步审查有一项未通过上述审查标准，磋商小组将认定整个响应文件不响应竞争性磋商文件而被视为无效投，并且不允许供应商通过修改或撤销其不符合要求的差异或保留，使之成为具有响应性的竞标。</w:t>
      </w:r>
    </w:p>
    <w:p/>
    <w:p>
      <w:pPr>
        <w:pStyle w:val="9"/>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符合性评审</w:t>
      </w:r>
    </w:p>
    <w:tbl>
      <w:tblPr>
        <w:tblStyle w:val="33"/>
        <w:tblW w:w="8764" w:type="dxa"/>
        <w:jc w:val="center"/>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76"/>
        <w:gridCol w:w="7388"/>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vMerge w:val="restart"/>
            <w:tcBorders>
              <w:top w:val="outset" w:color="111111" w:sz="6" w:space="0"/>
              <w:right w:val="outset" w:color="111111" w:sz="6" w:space="0"/>
            </w:tcBorders>
            <w:vAlign w:val="center"/>
          </w:tcPr>
          <w:p>
            <w:pPr>
              <w:rPr>
                <w:rFonts w:ascii="仿宋" w:hAnsi="仿宋" w:eastAsia="仿宋" w:cs="仿宋"/>
                <w:color w:val="000000"/>
                <w:sz w:val="24"/>
                <w:szCs w:val="24"/>
              </w:rPr>
            </w:pPr>
            <w:r>
              <w:rPr>
                <w:rFonts w:hint="eastAsia" w:ascii="仿宋" w:hAnsi="仿宋" w:eastAsia="仿宋" w:cs="仿宋"/>
                <w:b/>
                <w:bCs/>
                <w:color w:val="000000"/>
                <w:sz w:val="24"/>
                <w:szCs w:val="24"/>
              </w:rPr>
              <w:t>符合性审查</w:t>
            </w:r>
          </w:p>
        </w:tc>
        <w:tc>
          <w:tcPr>
            <w:tcW w:w="7388" w:type="dxa"/>
            <w:tcBorders>
              <w:top w:val="outset" w:color="111111" w:sz="6" w:space="0"/>
              <w:left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实质性影响合同的范围、质量和履行；</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ascii="仿宋" w:hAnsi="仿宋" w:eastAsia="仿宋" w:cs="仿宋"/>
                <w:color w:val="000000"/>
                <w:sz w:val="24"/>
                <w:szCs w:val="24"/>
              </w:rPr>
            </w:pPr>
          </w:p>
        </w:tc>
        <w:tc>
          <w:tcPr>
            <w:tcW w:w="7388"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实质性违背磋商文件，限制了采购人的权利和成交供应商合同项下的义务；</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ascii="仿宋" w:hAnsi="仿宋" w:eastAsia="仿宋" w:cs="仿宋"/>
                <w:color w:val="000000"/>
                <w:szCs w:val="21"/>
              </w:rPr>
            </w:pPr>
          </w:p>
        </w:tc>
        <w:tc>
          <w:tcPr>
            <w:tcW w:w="7388"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不公正地影响了其它做出实质性响应的磋商供应商的竞争地位。</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ascii="仿宋" w:hAnsi="仿宋" w:eastAsia="仿宋" w:cs="仿宋"/>
                <w:color w:val="000000"/>
                <w:szCs w:val="21"/>
              </w:rPr>
            </w:pPr>
          </w:p>
        </w:tc>
        <w:tc>
          <w:tcPr>
            <w:tcW w:w="7388"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磋商响应文件“正本”未按规定由供应商的法定代表人或其授权代表签字，或未加盖供应商公章的；或签字人未经法定代表人有效授权委托的；或资格证明文件与原件不一致的；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ascii="仿宋" w:hAnsi="仿宋" w:eastAsia="仿宋" w:cs="仿宋"/>
                <w:color w:val="000000"/>
                <w:szCs w:val="21"/>
              </w:rPr>
            </w:pPr>
          </w:p>
        </w:tc>
        <w:tc>
          <w:tcPr>
            <w:tcW w:w="7388"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未按规定提交磋商保证金的；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ascii="仿宋" w:hAnsi="仿宋" w:eastAsia="仿宋" w:cs="仿宋"/>
                <w:color w:val="000000"/>
                <w:szCs w:val="21"/>
              </w:rPr>
            </w:pPr>
          </w:p>
        </w:tc>
        <w:tc>
          <w:tcPr>
            <w:tcW w:w="7388"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磋商有效期不满足磋商文件要求的；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tcBorders>
              <w:right w:val="outset" w:color="111111" w:sz="6" w:space="0"/>
            </w:tcBorders>
            <w:vAlign w:val="center"/>
          </w:tcPr>
          <w:p>
            <w:pPr>
              <w:rPr>
                <w:rFonts w:ascii="仿宋" w:hAnsi="仿宋" w:eastAsia="仿宋" w:cs="仿宋"/>
                <w:color w:val="000000"/>
                <w:szCs w:val="21"/>
              </w:rPr>
            </w:pPr>
          </w:p>
        </w:tc>
        <w:tc>
          <w:tcPr>
            <w:tcW w:w="7388"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响应文件中的内容与采购内容及要求有重大偏离或保留的；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tcBorders>
              <w:right w:val="outset" w:color="111111" w:sz="6" w:space="0"/>
            </w:tcBorders>
            <w:vAlign w:val="center"/>
          </w:tcPr>
          <w:p>
            <w:pPr>
              <w:rPr>
                <w:rFonts w:ascii="仿宋" w:hAnsi="仿宋" w:eastAsia="仿宋" w:cs="仿宋"/>
                <w:color w:val="000000"/>
                <w:szCs w:val="21"/>
              </w:rPr>
            </w:pPr>
          </w:p>
        </w:tc>
        <w:tc>
          <w:tcPr>
            <w:tcW w:w="7388"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磋商响应文件组成不符合磋商文件要求的；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tcBorders>
              <w:right w:val="outset" w:color="111111" w:sz="6" w:space="0"/>
            </w:tcBorders>
            <w:vAlign w:val="center"/>
          </w:tcPr>
          <w:p>
            <w:pPr>
              <w:rPr>
                <w:rFonts w:ascii="仿宋" w:hAnsi="仿宋" w:eastAsia="仿宋" w:cs="仿宋"/>
                <w:color w:val="000000"/>
                <w:szCs w:val="21"/>
              </w:rPr>
            </w:pPr>
          </w:p>
        </w:tc>
        <w:tc>
          <w:tcPr>
            <w:tcW w:w="7388"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磋商响应文件中提供虚假或失实资料的；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90" w:hRule="atLeast"/>
          <w:jc w:val="center"/>
        </w:trPr>
        <w:tc>
          <w:tcPr>
            <w:tcW w:w="1376" w:type="dxa"/>
            <w:tcBorders>
              <w:right w:val="outset" w:color="111111" w:sz="6" w:space="0"/>
            </w:tcBorders>
            <w:vAlign w:val="center"/>
          </w:tcPr>
          <w:p>
            <w:pPr>
              <w:rPr>
                <w:rFonts w:ascii="仿宋" w:hAnsi="仿宋" w:eastAsia="仿宋" w:cs="仿宋"/>
                <w:color w:val="000000"/>
                <w:szCs w:val="21"/>
              </w:rPr>
            </w:pPr>
          </w:p>
        </w:tc>
        <w:tc>
          <w:tcPr>
            <w:tcW w:w="7388"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b/>
                <w:bCs/>
                <w:color w:val="000000"/>
                <w:sz w:val="24"/>
                <w:szCs w:val="24"/>
              </w:rPr>
            </w:pPr>
            <w:r>
              <w:rPr>
                <w:rFonts w:hint="eastAsia" w:ascii="仿宋" w:hAnsi="仿宋" w:eastAsia="仿宋" w:cs="仿宋"/>
                <w:b/>
                <w:bCs/>
                <w:color w:val="000000"/>
                <w:sz w:val="24"/>
                <w:szCs w:val="24"/>
              </w:rPr>
              <w:t>不符合法律、法规和磋商文件中规定的其它实质性要求的。</w:t>
            </w:r>
          </w:p>
        </w:tc>
      </w:tr>
    </w:tbl>
    <w:p>
      <w:pPr>
        <w:pStyle w:val="2"/>
        <w:tabs>
          <w:tab w:val="left" w:pos="540"/>
        </w:tabs>
        <w:ind w:firstLine="522" w:firstLineChars="200"/>
        <w:rPr>
          <w:rFonts w:ascii="宋体" w:hAnsi="宋体" w:cs="宋体"/>
          <w:lang w:eastAsia="zh-CN"/>
        </w:rPr>
      </w:pPr>
      <w:r>
        <w:rPr>
          <w:rFonts w:hint="eastAsia" w:ascii="宋体" w:hAnsi="宋体" w:cs="宋体"/>
          <w:lang w:eastAsia="zh-CN"/>
        </w:rPr>
        <w:t>备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pPr>
        <w:pStyle w:val="2"/>
        <w:tabs>
          <w:tab w:val="left" w:pos="540"/>
        </w:tabs>
        <w:ind w:firstLine="522" w:firstLineChars="200"/>
        <w:rPr>
          <w:rFonts w:ascii="仿宋" w:hAnsi="仿宋" w:eastAsia="仿宋" w:cs="仿宋"/>
          <w:lang w:eastAsia="zh-CN"/>
        </w:rPr>
      </w:pPr>
      <w:r>
        <w:rPr>
          <w:rFonts w:hint="eastAsia" w:ascii="宋体" w:hAnsi="宋体" w:cs="宋体"/>
          <w:u w:val="single"/>
          <w:lang w:eastAsia="zh-CN"/>
        </w:rPr>
        <w:t>评审方法和评审标准说明</w:t>
      </w:r>
    </w:p>
    <w:p>
      <w:pPr>
        <w:pStyle w:val="6"/>
        <w:spacing w:before="186" w:line="364" w:lineRule="auto"/>
        <w:ind w:left="1049" w:right="474" w:hanging="255"/>
        <w:rPr>
          <w:rFonts w:ascii="仿宋" w:hAnsi="仿宋" w:eastAsia="仿宋" w:cs="仿宋"/>
        </w:rPr>
      </w:pPr>
      <w:r>
        <w:rPr>
          <w:rFonts w:hint="eastAsia" w:ascii="仿宋" w:hAnsi="仿宋" w:eastAsia="仿宋" w:cs="仿宋"/>
        </w:rPr>
        <w:t>一、评审方法：本项目采用综合评分法，即响应文件满足磋商文件全部实质性要求且按评审因素的量化指标评审得分最高的供应商为成交候选供应商的评审方法。</w:t>
      </w:r>
    </w:p>
    <w:p>
      <w:pPr>
        <w:pStyle w:val="6"/>
        <w:spacing w:line="307" w:lineRule="exact"/>
        <w:ind w:left="795"/>
        <w:rPr>
          <w:rFonts w:ascii="仿宋" w:hAnsi="仿宋" w:eastAsia="仿宋" w:cs="仿宋"/>
        </w:rPr>
      </w:pPr>
      <w:r>
        <w:rPr>
          <w:rFonts w:hint="eastAsia" w:ascii="仿宋" w:hAnsi="仿宋" w:eastAsia="仿宋" w:cs="仿宋"/>
        </w:rPr>
        <w:t>二、评审因素及所占权重：</w:t>
      </w:r>
    </w:p>
    <w:p>
      <w:pPr>
        <w:pStyle w:val="6"/>
        <w:spacing w:before="158"/>
        <w:ind w:left="795"/>
        <w:rPr>
          <w:rFonts w:ascii="仿宋" w:hAnsi="仿宋" w:eastAsia="仿宋" w:cs="仿宋"/>
          <w:color w:val="auto"/>
          <w:highlight w:val="none"/>
        </w:rPr>
      </w:pPr>
      <w:r>
        <w:rPr>
          <w:rFonts w:hint="eastAsia" w:ascii="仿宋" w:hAnsi="仿宋" w:eastAsia="仿宋" w:cs="仿宋"/>
        </w:rPr>
        <w:t>1、商务部分</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分</w:t>
      </w:r>
    </w:p>
    <w:p>
      <w:pPr>
        <w:pStyle w:val="6"/>
        <w:spacing w:before="160"/>
        <w:ind w:left="795"/>
        <w:rPr>
          <w:rFonts w:ascii="仿宋" w:hAnsi="仿宋" w:eastAsia="仿宋" w:cs="仿宋"/>
          <w:color w:val="auto"/>
          <w:highlight w:val="none"/>
        </w:rPr>
      </w:pPr>
      <w:r>
        <w:rPr>
          <w:rFonts w:hint="eastAsia" w:ascii="仿宋" w:hAnsi="仿宋" w:eastAsia="仿宋" w:cs="仿宋"/>
          <w:color w:val="auto"/>
          <w:highlight w:val="none"/>
        </w:rPr>
        <w:t>2、技术部分：45分</w:t>
      </w:r>
    </w:p>
    <w:p>
      <w:pPr>
        <w:pStyle w:val="6"/>
        <w:spacing w:before="158"/>
        <w:ind w:left="795"/>
        <w:rPr>
          <w:rFonts w:ascii="仿宋" w:hAnsi="仿宋" w:eastAsia="仿宋" w:cs="仿宋"/>
          <w:color w:val="auto"/>
          <w:highlight w:val="none"/>
        </w:rPr>
      </w:pPr>
      <w:r>
        <w:rPr>
          <w:rFonts w:hint="eastAsia" w:ascii="仿宋" w:hAnsi="仿宋" w:eastAsia="仿宋" w:cs="仿宋"/>
          <w:color w:val="auto"/>
          <w:highlight w:val="none"/>
        </w:rPr>
        <w:t>3、价格分：</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w:t>
      </w:r>
    </w:p>
    <w:p>
      <w:pPr>
        <w:pStyle w:val="6"/>
        <w:spacing w:before="161" w:line="364" w:lineRule="auto"/>
        <w:ind w:left="795" w:right="410"/>
        <w:rPr>
          <w:rFonts w:hint="default" w:ascii="仿宋" w:hAnsi="仿宋" w:eastAsia="仿宋" w:cs="仿宋"/>
          <w:color w:val="auto"/>
          <w:spacing w:val="-5"/>
          <w:highlight w:val="none"/>
          <w:lang w:val="en-US" w:eastAsia="zh-CN"/>
        </w:rPr>
      </w:pPr>
      <w:r>
        <w:rPr>
          <w:rFonts w:hint="eastAsia" w:ascii="仿宋" w:hAnsi="仿宋" w:eastAsia="仿宋" w:cs="仿宋"/>
          <w:color w:val="auto"/>
          <w:highlight w:val="none"/>
        </w:rPr>
        <w:t>磋商基准价=满足磋商文件要求且最后报价最低的评审价格 合格供应商的有效磋商报价得分=（磋商基准价/评审价格</w:t>
      </w:r>
      <w:r>
        <w:rPr>
          <w:rFonts w:hint="eastAsia" w:ascii="仿宋" w:hAnsi="仿宋" w:eastAsia="仿宋" w:cs="仿宋"/>
          <w:color w:val="auto"/>
          <w:spacing w:val="-5"/>
          <w:highlight w:val="none"/>
        </w:rPr>
        <w:t>)×</w:t>
      </w:r>
      <w:r>
        <w:rPr>
          <w:rFonts w:hint="eastAsia" w:ascii="仿宋" w:hAnsi="仿宋" w:eastAsia="仿宋" w:cs="仿宋"/>
          <w:color w:val="auto"/>
          <w:spacing w:val="-5"/>
          <w:highlight w:val="none"/>
          <w:lang w:val="en-US" w:eastAsia="zh-CN"/>
        </w:rPr>
        <w:t>30</w:t>
      </w:r>
    </w:p>
    <w:p>
      <w:pPr>
        <w:pStyle w:val="6"/>
        <w:spacing w:before="161" w:line="364" w:lineRule="auto"/>
        <w:ind w:left="795" w:right="410"/>
        <w:rPr>
          <w:rFonts w:ascii="仿宋" w:hAnsi="仿宋" w:eastAsia="仿宋" w:cs="仿宋"/>
        </w:rPr>
      </w:pPr>
      <w:r>
        <w:rPr>
          <w:rFonts w:hint="eastAsia" w:ascii="仿宋" w:hAnsi="仿宋" w:eastAsia="仿宋" w:cs="仿宋"/>
          <w:b/>
        </w:rPr>
        <w:t>说明：</w:t>
      </w:r>
      <w:r>
        <w:rPr>
          <w:rFonts w:hint="eastAsia" w:ascii="仿宋" w:hAnsi="仿宋" w:eastAsia="仿宋" w:cs="仿宋"/>
        </w:rPr>
        <w:t>关于评审价格：</w:t>
      </w:r>
    </w:p>
    <w:p>
      <w:pPr>
        <w:pStyle w:val="78"/>
        <w:numPr>
          <w:ilvl w:val="0"/>
          <w:numId w:val="4"/>
        </w:numPr>
        <w:tabs>
          <w:tab w:val="left" w:pos="1099"/>
        </w:tabs>
        <w:spacing w:before="160" w:line="364" w:lineRule="auto"/>
        <w:ind w:right="455" w:firstLine="468"/>
        <w:rPr>
          <w:rFonts w:ascii="仿宋" w:hAnsi="仿宋" w:eastAsia="仿宋" w:cs="仿宋"/>
          <w:sz w:val="24"/>
        </w:rPr>
      </w:pPr>
      <w:r>
        <w:rPr>
          <w:rFonts w:hint="eastAsia" w:ascii="仿宋" w:hAnsi="仿宋" w:eastAsia="仿宋" w:cs="仿宋"/>
          <w:spacing w:val="-3"/>
          <w:sz w:val="24"/>
        </w:rPr>
        <w:t>供应商符合促进中小企业发展政策、支持监狱企业发展政策、促进残疾人</w:t>
      </w:r>
      <w:r>
        <w:rPr>
          <w:rFonts w:hint="eastAsia" w:ascii="仿宋" w:hAnsi="仿宋" w:eastAsia="仿宋" w:cs="仿宋"/>
          <w:spacing w:val="-9"/>
          <w:sz w:val="24"/>
        </w:rPr>
        <w:t>就业政策条件，且依法提供声明函等证明文件的，享受价格评审优惠，用扣除后</w:t>
      </w:r>
      <w:r>
        <w:rPr>
          <w:rFonts w:hint="eastAsia" w:ascii="仿宋" w:hAnsi="仿宋" w:eastAsia="仿宋" w:cs="仿宋"/>
          <w:sz w:val="24"/>
        </w:rPr>
        <w:t>的价格参加评审。</w:t>
      </w:r>
    </w:p>
    <w:p>
      <w:pPr>
        <w:pStyle w:val="78"/>
        <w:numPr>
          <w:ilvl w:val="0"/>
          <w:numId w:val="4"/>
        </w:numPr>
        <w:tabs>
          <w:tab w:val="left" w:pos="1099"/>
        </w:tabs>
        <w:spacing w:line="364" w:lineRule="auto"/>
        <w:ind w:right="335" w:firstLine="480"/>
        <w:jc w:val="left"/>
        <w:rPr>
          <w:rFonts w:ascii="仿宋" w:hAnsi="仿宋" w:eastAsia="仿宋" w:cs="仿宋"/>
          <w:sz w:val="24"/>
        </w:rPr>
      </w:pPr>
      <w:r>
        <w:rPr>
          <w:rFonts w:hint="eastAsia" w:ascii="仿宋" w:hAnsi="仿宋" w:eastAsia="仿宋" w:cs="仿宋"/>
          <w:sz w:val="24"/>
        </w:rPr>
        <w:t>中小微企业、监狱企业、残疾人福利性单位的文件依据：（1）、关于印</w:t>
      </w:r>
      <w:r>
        <w:rPr>
          <w:rFonts w:hint="eastAsia" w:ascii="仿宋" w:hAnsi="仿宋" w:eastAsia="仿宋" w:cs="仿宋"/>
          <w:spacing w:val="-7"/>
          <w:sz w:val="24"/>
        </w:rPr>
        <w:t>发《政府采购促进中小企业发展管理办法》的通知</w:t>
      </w:r>
      <w:r>
        <w:rPr>
          <w:rFonts w:hint="eastAsia" w:ascii="仿宋" w:hAnsi="仿宋" w:eastAsia="仿宋" w:cs="仿宋"/>
          <w:spacing w:val="-3"/>
          <w:sz w:val="24"/>
        </w:rPr>
        <w:t>（</w:t>
      </w:r>
      <w:r>
        <w:rPr>
          <w:rFonts w:hint="eastAsia" w:ascii="仿宋" w:hAnsi="仿宋" w:eastAsia="仿宋" w:cs="仿宋"/>
          <w:spacing w:val="-6"/>
          <w:sz w:val="24"/>
        </w:rPr>
        <w:t>财库〔</w:t>
      </w:r>
      <w:r>
        <w:rPr>
          <w:rFonts w:hint="eastAsia" w:ascii="仿宋" w:hAnsi="仿宋" w:eastAsia="仿宋" w:cs="仿宋"/>
          <w:sz w:val="24"/>
        </w:rPr>
        <w:t>2020</w:t>
      </w:r>
      <w:r>
        <w:rPr>
          <w:rFonts w:hint="eastAsia" w:ascii="仿宋" w:hAnsi="仿宋" w:eastAsia="仿宋" w:cs="仿宋"/>
          <w:spacing w:val="-20"/>
          <w:sz w:val="24"/>
        </w:rPr>
        <w:t>〕</w:t>
      </w:r>
      <w:r>
        <w:rPr>
          <w:rFonts w:hint="eastAsia" w:ascii="仿宋" w:hAnsi="仿宋" w:eastAsia="仿宋" w:cs="仿宋"/>
          <w:sz w:val="24"/>
        </w:rPr>
        <w:t>46 号</w:t>
      </w:r>
      <w:r>
        <w:rPr>
          <w:rFonts w:hint="eastAsia" w:ascii="仿宋" w:hAnsi="仿宋" w:eastAsia="仿宋" w:cs="仿宋"/>
          <w:spacing w:val="-20"/>
          <w:sz w:val="24"/>
        </w:rPr>
        <w:t>）</w:t>
      </w:r>
      <w:r>
        <w:rPr>
          <w:rFonts w:hint="eastAsia" w:ascii="仿宋" w:hAnsi="仿宋" w:eastAsia="仿宋" w:cs="仿宋"/>
          <w:spacing w:val="-12"/>
          <w:sz w:val="24"/>
        </w:rPr>
        <w:t>、《关</w:t>
      </w:r>
      <w:r>
        <w:rPr>
          <w:rFonts w:hint="eastAsia" w:ascii="仿宋" w:hAnsi="仿宋" w:eastAsia="仿宋" w:cs="仿宋"/>
          <w:spacing w:val="-14"/>
          <w:sz w:val="24"/>
        </w:rPr>
        <w:t>于印发中小企业划型标准规定的通知》</w:t>
      </w:r>
      <w:r>
        <w:rPr>
          <w:rFonts w:hint="eastAsia" w:ascii="仿宋" w:hAnsi="仿宋" w:eastAsia="仿宋" w:cs="仿宋"/>
          <w:sz w:val="24"/>
        </w:rPr>
        <w:t>（</w:t>
      </w:r>
      <w:r>
        <w:rPr>
          <w:rFonts w:hint="eastAsia" w:ascii="仿宋" w:hAnsi="仿宋" w:eastAsia="仿宋" w:cs="仿宋"/>
          <w:spacing w:val="-4"/>
          <w:sz w:val="24"/>
        </w:rPr>
        <w:t>工信部联企业〔</w:t>
      </w:r>
      <w:r>
        <w:rPr>
          <w:rFonts w:hint="eastAsia" w:ascii="仿宋" w:hAnsi="仿宋" w:eastAsia="仿宋" w:cs="仿宋"/>
          <w:sz w:val="24"/>
        </w:rPr>
        <w:t>2011</w:t>
      </w:r>
      <w:r>
        <w:rPr>
          <w:rFonts w:hint="eastAsia" w:ascii="仿宋" w:hAnsi="仿宋" w:eastAsia="仿宋" w:cs="仿宋"/>
          <w:spacing w:val="-22"/>
          <w:sz w:val="24"/>
        </w:rPr>
        <w:t>〕</w:t>
      </w:r>
      <w:r>
        <w:rPr>
          <w:rFonts w:hint="eastAsia" w:ascii="仿宋" w:hAnsi="仿宋" w:eastAsia="仿宋" w:cs="仿宋"/>
          <w:sz w:val="24"/>
        </w:rPr>
        <w:t>300 号</w:t>
      </w:r>
      <w:r>
        <w:rPr>
          <w:rFonts w:hint="eastAsia" w:ascii="仿宋" w:hAnsi="仿宋" w:eastAsia="仿宋" w:cs="仿宋"/>
          <w:spacing w:val="-20"/>
          <w:sz w:val="24"/>
        </w:rPr>
        <w:t>）</w:t>
      </w:r>
      <w:r>
        <w:rPr>
          <w:rFonts w:hint="eastAsia" w:ascii="仿宋" w:hAnsi="仿宋" w:eastAsia="仿宋" w:cs="仿宋"/>
          <w:spacing w:val="-44"/>
          <w:sz w:val="24"/>
        </w:rPr>
        <w:t>；</w:t>
      </w:r>
      <w:r>
        <w:rPr>
          <w:rFonts w:hint="eastAsia" w:ascii="仿宋" w:hAnsi="仿宋" w:eastAsia="仿宋" w:cs="仿宋"/>
          <w:sz w:val="24"/>
        </w:rPr>
        <w:t>（2</w:t>
      </w:r>
      <w:r>
        <w:rPr>
          <w:rFonts w:hint="eastAsia" w:ascii="仿宋" w:hAnsi="仿宋" w:eastAsia="仿宋" w:cs="仿宋"/>
          <w:spacing w:val="-120"/>
          <w:sz w:val="24"/>
        </w:rPr>
        <w:t>）</w:t>
      </w:r>
      <w:r>
        <w:rPr>
          <w:rFonts w:hint="eastAsia" w:ascii="仿宋" w:hAnsi="仿宋" w:eastAsia="仿宋" w:cs="仿宋"/>
          <w:spacing w:val="-14"/>
          <w:sz w:val="24"/>
        </w:rPr>
        <w:t>、</w:t>
      </w:r>
      <w:r>
        <w:rPr>
          <w:rFonts w:hint="eastAsia" w:ascii="仿宋" w:hAnsi="仿宋" w:eastAsia="仿宋" w:cs="仿宋"/>
          <w:spacing w:val="-1"/>
          <w:sz w:val="24"/>
        </w:rPr>
        <w:t>关于政府采购支持监狱企业发展有关问题的通知</w:t>
      </w:r>
      <w:r>
        <w:rPr>
          <w:rFonts w:hint="eastAsia" w:ascii="仿宋" w:hAnsi="仿宋" w:eastAsia="仿宋" w:cs="仿宋"/>
          <w:spacing w:val="-3"/>
          <w:sz w:val="24"/>
        </w:rPr>
        <w:t>（</w:t>
      </w:r>
      <w:r>
        <w:rPr>
          <w:rFonts w:hint="eastAsia" w:ascii="仿宋" w:hAnsi="仿宋" w:eastAsia="仿宋" w:cs="仿宋"/>
          <w:spacing w:val="-6"/>
          <w:sz w:val="24"/>
        </w:rPr>
        <w:t>财库〔</w:t>
      </w:r>
      <w:r>
        <w:rPr>
          <w:rFonts w:hint="eastAsia" w:ascii="仿宋" w:hAnsi="仿宋" w:eastAsia="仿宋" w:cs="仿宋"/>
          <w:sz w:val="24"/>
        </w:rPr>
        <w:t>2014</w:t>
      </w:r>
      <w:r>
        <w:rPr>
          <w:rFonts w:hint="eastAsia" w:ascii="仿宋" w:hAnsi="仿宋" w:eastAsia="仿宋" w:cs="仿宋"/>
          <w:spacing w:val="-20"/>
          <w:sz w:val="24"/>
        </w:rPr>
        <w:t>〕</w:t>
      </w:r>
      <w:r>
        <w:rPr>
          <w:rFonts w:hint="eastAsia" w:ascii="仿宋" w:hAnsi="仿宋" w:eastAsia="仿宋" w:cs="仿宋"/>
          <w:sz w:val="24"/>
        </w:rPr>
        <w:t>68 号</w:t>
      </w:r>
      <w:r>
        <w:rPr>
          <w:rFonts w:hint="eastAsia" w:ascii="仿宋" w:hAnsi="仿宋" w:eastAsia="仿宋" w:cs="仿宋"/>
          <w:spacing w:val="-19"/>
          <w:sz w:val="24"/>
        </w:rPr>
        <w:t>）；（3）</w:t>
      </w:r>
      <w:r>
        <w:rPr>
          <w:rFonts w:hint="eastAsia" w:ascii="仿宋" w:hAnsi="仿宋" w:eastAsia="仿宋" w:cs="仿宋"/>
          <w:spacing w:val="-14"/>
          <w:sz w:val="24"/>
        </w:rPr>
        <w:t>、</w:t>
      </w:r>
      <w:r>
        <w:rPr>
          <w:rFonts w:hint="eastAsia" w:ascii="仿宋" w:hAnsi="仿宋" w:eastAsia="仿宋" w:cs="仿宋"/>
          <w:sz w:val="24"/>
        </w:rPr>
        <w:t>关于促进残疾人就业政府采购政策的通知（财库〔2017〕141 号）</w:t>
      </w:r>
    </w:p>
    <w:p>
      <w:pPr>
        <w:pStyle w:val="78"/>
        <w:numPr>
          <w:ilvl w:val="0"/>
          <w:numId w:val="4"/>
        </w:numPr>
        <w:tabs>
          <w:tab w:val="left" w:pos="1089"/>
        </w:tabs>
        <w:spacing w:line="364" w:lineRule="auto"/>
        <w:ind w:right="455" w:firstLine="460"/>
        <w:jc w:val="left"/>
        <w:rPr>
          <w:rFonts w:ascii="仿宋" w:hAnsi="仿宋" w:eastAsia="仿宋" w:cs="仿宋"/>
          <w:sz w:val="24"/>
        </w:rPr>
      </w:pPr>
      <w:r>
        <w:rPr>
          <w:rFonts w:hint="eastAsia" w:ascii="仿宋" w:hAnsi="仿宋" w:eastAsia="仿宋" w:cs="仿宋"/>
          <w:spacing w:val="-5"/>
          <w:sz w:val="24"/>
        </w:rPr>
        <w:t>对于符合规定的小微企业，将对其报价给予6</w:t>
      </w:r>
      <w:r>
        <w:rPr>
          <w:rFonts w:hint="eastAsia" w:ascii="仿宋" w:hAnsi="仿宋" w:eastAsia="仿宋" w:cs="仿宋"/>
          <w:sz w:val="24"/>
        </w:rPr>
        <w:t>%</w:t>
      </w:r>
      <w:r>
        <w:rPr>
          <w:rFonts w:hint="eastAsia" w:ascii="仿宋" w:hAnsi="仿宋" w:eastAsia="仿宋" w:cs="仿宋"/>
          <w:spacing w:val="-5"/>
          <w:sz w:val="24"/>
        </w:rPr>
        <w:t>的扣除，用扣除后的价格</w:t>
      </w:r>
      <w:r>
        <w:rPr>
          <w:rFonts w:hint="eastAsia" w:ascii="仿宋" w:hAnsi="仿宋" w:eastAsia="仿宋" w:cs="仿宋"/>
          <w:sz w:val="24"/>
        </w:rPr>
        <w:t>参加评审。</w:t>
      </w:r>
    </w:p>
    <w:p>
      <w:pPr>
        <w:pStyle w:val="6"/>
        <w:spacing w:line="364" w:lineRule="auto"/>
        <w:ind w:left="437" w:right="366" w:firstLine="470"/>
        <w:rPr>
          <w:rFonts w:ascii="仿宋" w:hAnsi="仿宋" w:eastAsia="仿宋" w:cs="仿宋"/>
        </w:rPr>
      </w:pPr>
      <w:r>
        <w:rPr>
          <w:rFonts w:hint="eastAsia" w:ascii="仿宋" w:hAnsi="仿宋" w:eastAsia="仿宋" w:cs="仿宋"/>
        </w:rPr>
        <w:t xml:space="preserve">大中型企业与小微企业组成联合体或者大中型企业向一家或者多家小微企 </w:t>
      </w:r>
      <w:r>
        <w:rPr>
          <w:rFonts w:hint="eastAsia" w:ascii="仿宋" w:hAnsi="仿宋" w:eastAsia="仿宋" w:cs="仿宋"/>
          <w:spacing w:val="-10"/>
        </w:rPr>
        <w:t>业分包的项目，若联合协议或者分包意向协议约定小微企业的合同份额占到合同</w:t>
      </w:r>
      <w:r>
        <w:rPr>
          <w:rFonts w:hint="eastAsia" w:ascii="仿宋" w:hAnsi="仿宋" w:eastAsia="仿宋" w:cs="仿宋"/>
          <w:spacing w:val="-23"/>
        </w:rPr>
        <w:t xml:space="preserve">总金额 </w:t>
      </w:r>
      <w:r>
        <w:rPr>
          <w:rFonts w:hint="eastAsia" w:ascii="仿宋" w:hAnsi="仿宋" w:eastAsia="仿宋" w:cs="仿宋"/>
        </w:rPr>
        <w:t>30%</w:t>
      </w:r>
      <w:r>
        <w:rPr>
          <w:rFonts w:hint="eastAsia" w:ascii="仿宋" w:hAnsi="仿宋" w:eastAsia="仿宋" w:cs="仿宋"/>
          <w:spacing w:val="-5"/>
        </w:rPr>
        <w:t xml:space="preserve">以上的，将对联合体或者大中型企业的报价给予 </w:t>
      </w:r>
      <w:r>
        <w:rPr>
          <w:rFonts w:hint="eastAsia" w:ascii="仿宋" w:hAnsi="仿宋" w:eastAsia="仿宋" w:cs="仿宋"/>
        </w:rPr>
        <w:t>3%</w:t>
      </w:r>
      <w:r>
        <w:rPr>
          <w:rFonts w:hint="eastAsia" w:ascii="仿宋" w:hAnsi="仿宋" w:eastAsia="仿宋" w:cs="仿宋"/>
          <w:spacing w:val="-1"/>
        </w:rPr>
        <w:t>的扣除，用扣除</w:t>
      </w:r>
      <w:r>
        <w:rPr>
          <w:rFonts w:hint="eastAsia" w:ascii="仿宋" w:hAnsi="仿宋" w:eastAsia="仿宋" w:cs="仿宋"/>
          <w:spacing w:val="-2"/>
        </w:rPr>
        <w:t>后的价格参加评审。组成联合体或者接受分包的小微企业与联合体内其他企业、</w:t>
      </w:r>
      <w:r>
        <w:rPr>
          <w:rFonts w:hint="eastAsia" w:ascii="仿宋" w:hAnsi="仿宋" w:eastAsia="仿宋" w:cs="仿宋"/>
        </w:rPr>
        <w:t>分包企业之间存在直接控股、管理关系的，不享受价格扣除优惠政策。</w:t>
      </w:r>
    </w:p>
    <w:p>
      <w:pPr>
        <w:pStyle w:val="78"/>
        <w:numPr>
          <w:ilvl w:val="0"/>
          <w:numId w:val="4"/>
        </w:numPr>
        <w:tabs>
          <w:tab w:val="left" w:pos="1089"/>
        </w:tabs>
        <w:spacing w:line="306" w:lineRule="exact"/>
        <w:ind w:firstLine="480"/>
        <w:jc w:val="left"/>
        <w:rPr>
          <w:rFonts w:ascii="仿宋" w:hAnsi="仿宋" w:eastAsia="仿宋" w:cs="仿宋"/>
          <w:sz w:val="24"/>
        </w:rPr>
      </w:pPr>
      <w:r>
        <w:rPr>
          <w:rFonts w:hint="eastAsia" w:ascii="仿宋" w:hAnsi="仿宋" w:eastAsia="仿宋" w:cs="仿宋"/>
          <w:sz w:val="24"/>
        </w:rPr>
        <w:t>其他情况下，供应商的报价即为评审价格</w:t>
      </w:r>
    </w:p>
    <w:p>
      <w:pPr>
        <w:pStyle w:val="78"/>
        <w:tabs>
          <w:tab w:val="left" w:pos="1089"/>
        </w:tabs>
        <w:spacing w:line="306" w:lineRule="exact"/>
        <w:ind w:firstLine="0" w:firstLineChars="0"/>
        <w:jc w:val="left"/>
        <w:rPr>
          <w:rFonts w:ascii="仿宋" w:hAnsi="仿宋" w:eastAsia="仿宋" w:cs="仿宋"/>
          <w:sz w:val="24"/>
        </w:rPr>
      </w:pPr>
    </w:p>
    <w:p>
      <w:pPr>
        <w:pStyle w:val="78"/>
        <w:tabs>
          <w:tab w:val="left" w:pos="1089"/>
        </w:tabs>
        <w:spacing w:line="306" w:lineRule="exact"/>
        <w:ind w:firstLine="0" w:firstLineChars="0"/>
        <w:jc w:val="left"/>
        <w:rPr>
          <w:rFonts w:ascii="仿宋" w:hAnsi="仿宋" w:eastAsia="仿宋" w:cs="仿宋"/>
          <w:sz w:val="24"/>
        </w:rPr>
        <w:sectPr>
          <w:headerReference r:id="rId6" w:type="default"/>
          <w:footerReference r:id="rId7" w:type="default"/>
          <w:pgSz w:w="11910" w:h="16840"/>
          <w:pgMar w:top="1360" w:right="1340" w:bottom="1540" w:left="1360" w:header="850" w:footer="1296" w:gutter="0"/>
          <w:cols w:space="720" w:num="1"/>
        </w:sectPr>
      </w:pPr>
    </w:p>
    <w:p>
      <w:pPr>
        <w:spacing w:before="64"/>
        <w:ind w:right="632"/>
        <w:rPr>
          <w:rFonts w:ascii="仿宋" w:hAnsi="仿宋" w:eastAsia="仿宋" w:cs="仿宋"/>
          <w:b/>
          <w:sz w:val="28"/>
        </w:rPr>
      </w:pPr>
      <w:r>
        <w:rPr>
          <w:rFonts w:hint="eastAsia" w:ascii="仿宋" w:hAnsi="仿宋" w:eastAsia="仿宋" w:cs="仿宋"/>
          <w:b/>
          <w:sz w:val="28"/>
        </w:rPr>
        <w:t>评审标准细则</w:t>
      </w:r>
    </w:p>
    <w:tbl>
      <w:tblPr>
        <w:tblStyle w:val="33"/>
        <w:tblW w:w="10131" w:type="dxa"/>
        <w:tblInd w:w="-47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0"/>
        <w:gridCol w:w="996"/>
        <w:gridCol w:w="1241"/>
        <w:gridCol w:w="6382"/>
        <w:gridCol w:w="7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790" w:type="dxa"/>
            <w:tcBorders>
              <w:bottom w:val="single" w:color="000000" w:sz="4" w:space="0"/>
              <w:right w:val="single" w:color="000000" w:sz="4" w:space="0"/>
            </w:tcBorders>
          </w:tcPr>
          <w:p>
            <w:pPr>
              <w:pStyle w:val="75"/>
              <w:spacing w:before="13" w:line="267" w:lineRule="exact"/>
              <w:ind w:left="89" w:right="75"/>
              <w:jc w:val="center"/>
              <w:rPr>
                <w:rFonts w:ascii="仿宋" w:hAnsi="仿宋" w:eastAsia="仿宋" w:cs="仿宋"/>
                <w:b/>
              </w:rPr>
            </w:pPr>
            <w:r>
              <w:rPr>
                <w:rFonts w:hint="eastAsia" w:ascii="仿宋" w:hAnsi="仿宋" w:eastAsia="仿宋" w:cs="仿宋"/>
                <w:b/>
              </w:rPr>
              <w:t>序号</w:t>
            </w:r>
          </w:p>
        </w:tc>
        <w:tc>
          <w:tcPr>
            <w:tcW w:w="2237" w:type="dxa"/>
            <w:gridSpan w:val="2"/>
            <w:tcBorders>
              <w:left w:val="single" w:color="000000" w:sz="4" w:space="0"/>
              <w:bottom w:val="single" w:color="000000" w:sz="4" w:space="0"/>
              <w:right w:val="single" w:color="000000" w:sz="4" w:space="0"/>
            </w:tcBorders>
          </w:tcPr>
          <w:p>
            <w:pPr>
              <w:pStyle w:val="75"/>
              <w:spacing w:before="13" w:line="267" w:lineRule="exact"/>
              <w:ind w:left="727" w:right="709"/>
              <w:jc w:val="center"/>
              <w:rPr>
                <w:rFonts w:ascii="仿宋" w:hAnsi="仿宋" w:eastAsia="仿宋" w:cs="仿宋"/>
                <w:b/>
              </w:rPr>
            </w:pPr>
            <w:r>
              <w:rPr>
                <w:rFonts w:hint="eastAsia" w:ascii="仿宋" w:hAnsi="仿宋" w:eastAsia="仿宋" w:cs="仿宋"/>
                <w:b/>
              </w:rPr>
              <w:t>项目</w:t>
            </w:r>
          </w:p>
        </w:tc>
        <w:tc>
          <w:tcPr>
            <w:tcW w:w="6382" w:type="dxa"/>
            <w:tcBorders>
              <w:left w:val="single" w:color="000000" w:sz="4" w:space="0"/>
              <w:bottom w:val="single" w:color="000000" w:sz="4" w:space="0"/>
              <w:right w:val="single" w:color="000000" w:sz="4" w:space="0"/>
            </w:tcBorders>
          </w:tcPr>
          <w:p>
            <w:pPr>
              <w:pStyle w:val="75"/>
              <w:spacing w:before="13" w:line="267" w:lineRule="exact"/>
              <w:ind w:left="2188" w:right="2165"/>
              <w:jc w:val="center"/>
              <w:rPr>
                <w:rFonts w:ascii="仿宋" w:hAnsi="仿宋" w:eastAsia="仿宋" w:cs="仿宋"/>
                <w:b/>
              </w:rPr>
            </w:pPr>
            <w:r>
              <w:rPr>
                <w:rFonts w:hint="eastAsia" w:ascii="仿宋" w:hAnsi="仿宋" w:eastAsia="仿宋" w:cs="仿宋"/>
                <w:b/>
              </w:rPr>
              <w:t>评分标准</w:t>
            </w:r>
          </w:p>
        </w:tc>
        <w:tc>
          <w:tcPr>
            <w:tcW w:w="722" w:type="dxa"/>
            <w:tcBorders>
              <w:left w:val="single" w:color="000000" w:sz="4" w:space="0"/>
              <w:bottom w:val="single" w:color="000000" w:sz="4" w:space="0"/>
            </w:tcBorders>
          </w:tcPr>
          <w:p>
            <w:pPr>
              <w:pStyle w:val="75"/>
              <w:spacing w:before="13" w:line="267" w:lineRule="exact"/>
              <w:ind w:left="137" w:right="116"/>
              <w:jc w:val="center"/>
              <w:rPr>
                <w:rFonts w:ascii="仿宋" w:hAnsi="仿宋" w:eastAsia="仿宋" w:cs="仿宋"/>
                <w:b/>
              </w:rPr>
            </w:pPr>
            <w:r>
              <w:rPr>
                <w:rFonts w:hint="eastAsia" w:ascii="仿宋" w:hAnsi="仿宋" w:eastAsia="仿宋" w:cs="仿宋"/>
                <w:b/>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4" w:hRule="atLeast"/>
        </w:trPr>
        <w:tc>
          <w:tcPr>
            <w:tcW w:w="790" w:type="dxa"/>
            <w:tcBorders>
              <w:top w:val="single" w:color="000000" w:sz="4" w:space="0"/>
              <w:bottom w:val="single" w:color="000000" w:sz="4" w:space="0"/>
              <w:right w:val="single" w:color="000000" w:sz="4" w:space="0"/>
            </w:tcBorders>
            <w:vAlign w:val="center"/>
          </w:tcPr>
          <w:p>
            <w:pPr>
              <w:pStyle w:val="75"/>
              <w:spacing w:before="141"/>
              <w:ind w:left="10"/>
              <w:jc w:val="center"/>
              <w:rPr>
                <w:rFonts w:ascii="仿宋" w:hAnsi="仿宋" w:eastAsia="仿宋" w:cs="仿宋"/>
                <w:b/>
              </w:rPr>
            </w:pPr>
            <w:r>
              <w:rPr>
                <w:rFonts w:hint="eastAsia" w:ascii="仿宋" w:hAnsi="仿宋" w:eastAsia="仿宋" w:cs="仿宋"/>
                <w:b/>
                <w:w w:val="99"/>
              </w:rPr>
              <w:t>1</w:t>
            </w:r>
          </w:p>
        </w:tc>
        <w:tc>
          <w:tcPr>
            <w:tcW w:w="2237" w:type="dxa"/>
            <w:gridSpan w:val="2"/>
            <w:tcBorders>
              <w:top w:val="single" w:color="000000" w:sz="4" w:space="0"/>
              <w:left w:val="single" w:color="000000" w:sz="4" w:space="0"/>
              <w:bottom w:val="single" w:color="000000" w:sz="4" w:space="0"/>
              <w:right w:val="single" w:color="000000" w:sz="4" w:space="0"/>
            </w:tcBorders>
            <w:vAlign w:val="center"/>
          </w:tcPr>
          <w:p>
            <w:pPr>
              <w:pStyle w:val="75"/>
              <w:ind w:firstLine="400" w:firstLineChars="200"/>
              <w:rPr>
                <w:rFonts w:ascii="仿宋" w:hAnsi="仿宋" w:eastAsia="仿宋" w:cs="仿宋"/>
                <w:b/>
                <w:color w:val="auto"/>
                <w:highlight w:val="none"/>
              </w:rPr>
            </w:pPr>
            <w:r>
              <w:rPr>
                <w:rFonts w:hint="eastAsia" w:ascii="仿宋" w:hAnsi="仿宋" w:eastAsia="仿宋" w:cs="仿宋"/>
                <w:b/>
                <w:color w:val="auto"/>
                <w:w w:val="95"/>
                <w:highlight w:val="none"/>
              </w:rPr>
              <w:t>价格分</w:t>
            </w:r>
            <w:r>
              <w:rPr>
                <w:rFonts w:hint="eastAsia" w:ascii="仿宋" w:hAnsi="仿宋" w:eastAsia="仿宋" w:cs="仿宋"/>
                <w:b/>
                <w:color w:val="auto"/>
                <w:highlight w:val="none"/>
              </w:rPr>
              <w:t>（</w:t>
            </w:r>
            <w:r>
              <w:rPr>
                <w:rFonts w:hint="eastAsia" w:ascii="仿宋" w:hAnsi="仿宋" w:eastAsia="仿宋" w:cs="仿宋"/>
                <w:b/>
                <w:color w:val="auto"/>
                <w:highlight w:val="none"/>
                <w:lang w:val="en-US" w:eastAsia="zh-CN"/>
              </w:rPr>
              <w:t>30</w:t>
            </w:r>
            <w:r>
              <w:rPr>
                <w:rFonts w:hint="eastAsia" w:ascii="仿宋" w:hAnsi="仿宋" w:eastAsia="仿宋" w:cs="仿宋"/>
                <w:b/>
                <w:color w:val="auto"/>
                <w:highlight w:val="none"/>
              </w:rPr>
              <w:t>分）</w:t>
            </w:r>
          </w:p>
        </w:tc>
        <w:tc>
          <w:tcPr>
            <w:tcW w:w="6382" w:type="dxa"/>
            <w:tcBorders>
              <w:top w:val="single" w:color="000000" w:sz="4" w:space="0"/>
              <w:left w:val="single" w:color="000000" w:sz="4" w:space="0"/>
              <w:bottom w:val="single" w:color="000000" w:sz="4" w:space="0"/>
              <w:right w:val="single" w:color="000000" w:sz="4" w:space="0"/>
            </w:tcBorders>
            <w:vAlign w:val="center"/>
          </w:tcPr>
          <w:p>
            <w:pPr>
              <w:pStyle w:val="75"/>
              <w:spacing w:line="268" w:lineRule="exact"/>
              <w:ind w:left="111"/>
              <w:jc w:val="left"/>
              <w:rPr>
                <w:rFonts w:ascii="仿宋" w:hAnsi="仿宋" w:eastAsia="仿宋" w:cs="仿宋"/>
                <w:color w:val="auto"/>
                <w:highlight w:val="none"/>
                <w:lang w:val="en-US"/>
              </w:rPr>
            </w:pPr>
            <w:r>
              <w:rPr>
                <w:rFonts w:hint="eastAsia" w:ascii="仿宋" w:hAnsi="仿宋" w:eastAsia="仿宋" w:cs="仿宋"/>
                <w:color w:val="auto"/>
                <w:highlight w:val="none"/>
              </w:rPr>
              <w:t>评标基准价=有效投标报价的最低值，有效投标报价等于基准值的得满分</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分，投标报价得分=（评标基准价/投标报价）×价格权重×100；有效投标报价为通过资格性和符合性审查的供应商报价。计算分数时四舍五入取小数点后两位,分数最高不超过</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w:t>
            </w:r>
          </w:p>
        </w:tc>
        <w:tc>
          <w:tcPr>
            <w:tcW w:w="722" w:type="dxa"/>
            <w:tcBorders>
              <w:top w:val="single" w:color="000000" w:sz="4" w:space="0"/>
              <w:left w:val="single" w:color="000000" w:sz="4" w:space="0"/>
              <w:bottom w:val="single" w:color="000000" w:sz="4" w:space="0"/>
            </w:tcBorders>
            <w:vAlign w:val="center"/>
          </w:tcPr>
          <w:p>
            <w:pPr>
              <w:pStyle w:val="75"/>
              <w:spacing w:before="141"/>
              <w:ind w:left="137" w:right="114"/>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97" w:hRule="atLeast"/>
        </w:trPr>
        <w:tc>
          <w:tcPr>
            <w:tcW w:w="790" w:type="dxa"/>
            <w:vMerge w:val="restart"/>
            <w:tcBorders>
              <w:top w:val="single" w:color="000000" w:sz="4" w:space="0"/>
              <w:right w:val="single" w:color="000000" w:sz="4" w:space="0"/>
            </w:tcBorders>
            <w:vAlign w:val="center"/>
          </w:tcPr>
          <w:p>
            <w:pPr>
              <w:pStyle w:val="75"/>
              <w:spacing w:before="164"/>
              <w:ind w:left="10"/>
              <w:jc w:val="center"/>
              <w:rPr>
                <w:rFonts w:ascii="仿宋" w:hAnsi="仿宋" w:eastAsia="仿宋" w:cs="仿宋"/>
                <w:b/>
              </w:rPr>
            </w:pPr>
            <w:r>
              <w:rPr>
                <w:rFonts w:hint="eastAsia" w:ascii="仿宋" w:hAnsi="仿宋" w:eastAsia="仿宋" w:cs="仿宋"/>
                <w:b/>
                <w:w w:val="99"/>
              </w:rPr>
              <w:t>2</w:t>
            </w:r>
          </w:p>
        </w:tc>
        <w:tc>
          <w:tcPr>
            <w:tcW w:w="996" w:type="dxa"/>
            <w:vMerge w:val="restart"/>
            <w:tcBorders>
              <w:top w:val="single" w:color="000000" w:sz="4" w:space="0"/>
              <w:left w:val="single" w:color="000000" w:sz="4" w:space="0"/>
              <w:right w:val="single" w:color="000000" w:sz="4" w:space="0"/>
            </w:tcBorders>
            <w:vAlign w:val="center"/>
          </w:tcPr>
          <w:p>
            <w:pPr>
              <w:pStyle w:val="75"/>
              <w:spacing w:before="164"/>
              <w:ind w:left="10"/>
              <w:jc w:val="center"/>
              <w:rPr>
                <w:rFonts w:ascii="仿宋" w:hAnsi="仿宋" w:eastAsia="仿宋" w:cs="仿宋"/>
                <w:b/>
                <w:color w:val="auto"/>
                <w:highlight w:val="none"/>
              </w:rPr>
            </w:pPr>
            <w:r>
              <w:rPr>
                <w:rFonts w:hint="eastAsia" w:ascii="仿宋" w:hAnsi="仿宋" w:eastAsia="仿宋" w:cs="仿宋"/>
                <w:b/>
                <w:color w:val="auto"/>
                <w:spacing w:val="-9"/>
                <w:highlight w:val="none"/>
              </w:rPr>
              <w:t>商务</w:t>
            </w:r>
            <w:r>
              <w:rPr>
                <w:rFonts w:hint="eastAsia" w:ascii="仿宋" w:hAnsi="仿宋" w:eastAsia="仿宋" w:cs="仿宋"/>
                <w:b/>
                <w:color w:val="auto"/>
                <w:spacing w:val="-9"/>
                <w:w w:val="95"/>
                <w:highlight w:val="none"/>
              </w:rPr>
              <w:t>部分</w:t>
            </w:r>
          </w:p>
          <w:p>
            <w:pPr>
              <w:pStyle w:val="75"/>
              <w:spacing w:before="164"/>
              <w:ind w:left="10"/>
              <w:rPr>
                <w:rFonts w:ascii="仿宋" w:hAnsi="仿宋" w:eastAsia="仿宋" w:cs="仿宋"/>
                <w:b/>
                <w:color w:val="auto"/>
                <w:highlight w:val="none"/>
              </w:rPr>
            </w:pPr>
            <w:r>
              <w:rPr>
                <w:rFonts w:hint="eastAsia" w:ascii="仿宋" w:hAnsi="仿宋" w:eastAsia="仿宋" w:cs="仿宋"/>
                <w:b/>
                <w:color w:val="auto"/>
                <w:highlight w:val="none"/>
              </w:rPr>
              <w:t>（</w:t>
            </w:r>
            <w:r>
              <w:rPr>
                <w:rFonts w:hint="eastAsia" w:ascii="仿宋" w:hAnsi="仿宋" w:eastAsia="仿宋" w:cs="仿宋"/>
                <w:b/>
                <w:color w:val="auto"/>
                <w:highlight w:val="none"/>
                <w:lang w:val="en-US" w:eastAsia="zh-CN"/>
              </w:rPr>
              <w:t>25</w:t>
            </w:r>
            <w:r>
              <w:rPr>
                <w:rFonts w:hint="eastAsia" w:ascii="仿宋" w:hAnsi="仿宋" w:eastAsia="仿宋" w:cs="仿宋"/>
                <w:b/>
                <w:color w:val="auto"/>
                <w:w w:val="95"/>
                <w:highlight w:val="none"/>
              </w:rPr>
              <w:t>分</w:t>
            </w:r>
            <w:r>
              <w:rPr>
                <w:rFonts w:hint="eastAsia" w:ascii="仿宋" w:hAnsi="仿宋" w:eastAsia="仿宋" w:cs="仿宋"/>
                <w:b/>
                <w:color w:val="auto"/>
                <w:spacing w:val="-16"/>
                <w:w w:val="95"/>
                <w:highlight w:val="none"/>
              </w:rPr>
              <w:t>）</w:t>
            </w:r>
          </w:p>
        </w:tc>
        <w:tc>
          <w:tcPr>
            <w:tcW w:w="1241" w:type="dxa"/>
            <w:tcBorders>
              <w:top w:val="single" w:color="000000" w:sz="4" w:space="0"/>
              <w:left w:val="single" w:color="000000" w:sz="4" w:space="0"/>
              <w:bottom w:val="single" w:color="000000" w:sz="4" w:space="0"/>
              <w:right w:val="single" w:color="000000" w:sz="4" w:space="0"/>
            </w:tcBorders>
            <w:vAlign w:val="center"/>
          </w:tcPr>
          <w:p>
            <w:pPr>
              <w:pStyle w:val="75"/>
              <w:ind w:left="113"/>
              <w:jc w:val="center"/>
              <w:rPr>
                <w:rFonts w:ascii="仿宋" w:hAnsi="仿宋" w:eastAsia="仿宋" w:cs="仿宋"/>
                <w:b/>
                <w:color w:val="auto"/>
                <w:highlight w:val="none"/>
              </w:rPr>
            </w:pPr>
            <w:r>
              <w:rPr>
                <w:rFonts w:hint="eastAsia" w:ascii="仿宋" w:hAnsi="仿宋" w:eastAsia="仿宋" w:cs="仿宋"/>
                <w:b/>
                <w:color w:val="auto"/>
                <w:highlight w:val="none"/>
              </w:rPr>
              <w:t>业绩</w:t>
            </w:r>
          </w:p>
          <w:p>
            <w:pPr>
              <w:pStyle w:val="75"/>
              <w:ind w:left="113"/>
              <w:jc w:val="center"/>
              <w:rPr>
                <w:rFonts w:ascii="仿宋" w:hAnsi="仿宋" w:eastAsia="仿宋" w:cs="仿宋"/>
                <w:b/>
                <w:color w:val="auto"/>
                <w:highlight w:val="none"/>
              </w:rPr>
            </w:pPr>
            <w:r>
              <w:rPr>
                <w:rFonts w:hint="eastAsia" w:ascii="仿宋" w:hAnsi="仿宋" w:eastAsia="仿宋" w:cs="仿宋"/>
                <w:b/>
                <w:color w:val="auto"/>
                <w:highlight w:val="none"/>
              </w:rPr>
              <w:t>（</w:t>
            </w:r>
            <w:r>
              <w:rPr>
                <w:rFonts w:hint="eastAsia" w:ascii="仿宋" w:hAnsi="仿宋" w:eastAsia="仿宋" w:cs="仿宋"/>
                <w:b/>
                <w:color w:val="auto"/>
                <w:highlight w:val="none"/>
                <w:lang w:val="en-US" w:eastAsia="zh-CN"/>
              </w:rPr>
              <w:t>10</w:t>
            </w:r>
            <w:r>
              <w:rPr>
                <w:rFonts w:hint="eastAsia" w:ascii="仿宋" w:hAnsi="仿宋" w:eastAsia="仿宋" w:cs="仿宋"/>
                <w:b/>
                <w:color w:val="auto"/>
                <w:highlight w:val="none"/>
                <w:lang w:val="en-US"/>
              </w:rPr>
              <w:t>分</w:t>
            </w:r>
            <w:r>
              <w:rPr>
                <w:rFonts w:hint="eastAsia" w:ascii="仿宋" w:hAnsi="仿宋" w:eastAsia="仿宋" w:cs="仿宋"/>
                <w:b/>
                <w:color w:val="auto"/>
                <w:highlight w:val="none"/>
              </w:rPr>
              <w:t>）</w:t>
            </w:r>
          </w:p>
        </w:tc>
        <w:tc>
          <w:tcPr>
            <w:tcW w:w="6382" w:type="dxa"/>
            <w:tcBorders>
              <w:top w:val="single" w:color="000000" w:sz="4" w:space="0"/>
              <w:left w:val="single" w:color="000000" w:sz="4" w:space="0"/>
              <w:bottom w:val="single" w:color="000000" w:sz="4" w:space="0"/>
              <w:right w:val="single" w:color="000000" w:sz="4" w:space="0"/>
            </w:tcBorders>
            <w:vAlign w:val="center"/>
          </w:tcPr>
          <w:p>
            <w:pPr>
              <w:pStyle w:val="75"/>
              <w:spacing w:before="4" w:line="270" w:lineRule="atLeast"/>
              <w:ind w:left="111" w:right="21"/>
              <w:jc w:val="left"/>
              <w:rPr>
                <w:rFonts w:ascii="仿宋" w:hAnsi="仿宋" w:eastAsia="仿宋" w:cs="仿宋"/>
                <w:color w:val="auto"/>
                <w:highlight w:val="none"/>
              </w:rPr>
            </w:pPr>
            <w:r>
              <w:rPr>
                <w:rFonts w:hint="eastAsia" w:ascii="仿宋" w:hAnsi="仿宋" w:eastAsia="仿宋" w:cs="仿宋"/>
                <w:color w:val="auto"/>
                <w:highlight w:val="none"/>
              </w:rPr>
              <w:t>供应商近三年</w:t>
            </w:r>
            <w:r>
              <w:rPr>
                <w:rFonts w:hint="eastAsia" w:ascii="仿宋" w:hAnsi="仿宋" w:eastAsia="仿宋" w:cs="仿宋"/>
                <w:color w:val="auto"/>
                <w:highlight w:val="none"/>
                <w:lang w:val="en-US" w:eastAsia="zh-CN"/>
              </w:rPr>
              <w:t>完成</w:t>
            </w:r>
            <w:r>
              <w:rPr>
                <w:rFonts w:hint="eastAsia" w:ascii="仿宋" w:hAnsi="仿宋" w:eastAsia="仿宋" w:cs="仿宋"/>
                <w:color w:val="auto"/>
                <w:highlight w:val="none"/>
              </w:rPr>
              <w:t>过</w:t>
            </w:r>
            <w:r>
              <w:rPr>
                <w:rFonts w:hint="eastAsia" w:ascii="仿宋" w:hAnsi="仿宋" w:eastAsia="仿宋" w:cs="仿宋"/>
                <w:color w:val="auto"/>
                <w:highlight w:val="none"/>
                <w:lang w:val="en-US" w:eastAsia="zh-CN"/>
              </w:rPr>
              <w:t>类似项目，</w:t>
            </w:r>
            <w:r>
              <w:rPr>
                <w:rFonts w:hint="eastAsia" w:ascii="仿宋" w:hAnsi="仿宋" w:eastAsia="仿宋" w:cs="仿宋"/>
                <w:color w:val="auto"/>
                <w:highlight w:val="none"/>
              </w:rPr>
              <w:t>每提供一项有效业绩得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分，最高得</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以提供合同</w:t>
            </w:r>
            <w:r>
              <w:rPr>
                <w:rFonts w:hint="eastAsia" w:ascii="仿宋" w:hAnsi="仿宋" w:eastAsia="仿宋" w:cs="仿宋"/>
                <w:color w:val="auto"/>
                <w:highlight w:val="none"/>
                <w:lang w:val="en-US" w:eastAsia="zh-CN"/>
              </w:rPr>
              <w:t>或中标通知书</w:t>
            </w:r>
            <w:r>
              <w:rPr>
                <w:rFonts w:hint="eastAsia" w:ascii="仿宋" w:hAnsi="仿宋" w:eastAsia="仿宋" w:cs="仿宋"/>
                <w:color w:val="auto"/>
                <w:highlight w:val="none"/>
              </w:rPr>
              <w:t>为评审依据</w:t>
            </w:r>
            <w:r>
              <w:rPr>
                <w:rFonts w:hint="eastAsia" w:ascii="仿宋" w:hAnsi="仿宋" w:eastAsia="仿宋" w:cs="仿宋"/>
                <w:color w:val="auto"/>
                <w:highlight w:val="none"/>
                <w:lang w:eastAsia="zh-CN"/>
              </w:rPr>
              <w:t>）</w:t>
            </w:r>
          </w:p>
        </w:tc>
        <w:tc>
          <w:tcPr>
            <w:tcW w:w="722" w:type="dxa"/>
            <w:tcBorders>
              <w:top w:val="single" w:color="000000" w:sz="4" w:space="0"/>
              <w:left w:val="single" w:color="000000" w:sz="4" w:space="0"/>
              <w:bottom w:val="single" w:color="000000" w:sz="4" w:space="0"/>
            </w:tcBorders>
            <w:vAlign w:val="center"/>
          </w:tcPr>
          <w:p>
            <w:pPr>
              <w:pStyle w:val="75"/>
              <w:spacing w:before="1"/>
              <w:ind w:left="137" w:right="114"/>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79" w:hRule="atLeast"/>
        </w:trPr>
        <w:tc>
          <w:tcPr>
            <w:tcW w:w="790" w:type="dxa"/>
            <w:vMerge w:val="continue"/>
            <w:tcBorders>
              <w:right w:val="single" w:color="000000" w:sz="4" w:space="0"/>
            </w:tcBorders>
          </w:tcPr>
          <w:p>
            <w:pPr>
              <w:rPr>
                <w:rFonts w:ascii="仿宋" w:hAnsi="仿宋" w:eastAsia="仿宋" w:cs="仿宋"/>
                <w:sz w:val="2"/>
                <w:szCs w:val="2"/>
              </w:rPr>
            </w:pPr>
          </w:p>
        </w:tc>
        <w:tc>
          <w:tcPr>
            <w:tcW w:w="996" w:type="dxa"/>
            <w:vMerge w:val="continue"/>
            <w:tcBorders>
              <w:left w:val="single" w:color="000000" w:sz="4" w:space="0"/>
              <w:right w:val="single" w:color="000000" w:sz="4" w:space="0"/>
            </w:tcBorders>
          </w:tcPr>
          <w:p>
            <w:pPr>
              <w:rPr>
                <w:rFonts w:ascii="仿宋" w:hAnsi="仿宋" w:eastAsia="仿宋" w:cs="仿宋"/>
                <w:color w:val="auto"/>
                <w:sz w:val="2"/>
                <w:szCs w:val="2"/>
                <w:highlight w:val="none"/>
              </w:rPr>
            </w:pPr>
          </w:p>
        </w:tc>
        <w:tc>
          <w:tcPr>
            <w:tcW w:w="1241" w:type="dxa"/>
            <w:tcBorders>
              <w:left w:val="single" w:color="000000" w:sz="4" w:space="0"/>
              <w:right w:val="single" w:color="000000" w:sz="4" w:space="0"/>
            </w:tcBorders>
          </w:tcPr>
          <w:p>
            <w:pPr>
              <w:pStyle w:val="75"/>
              <w:ind w:left="113"/>
              <w:jc w:val="center"/>
              <w:rPr>
                <w:rFonts w:ascii="仿宋" w:hAnsi="仿宋" w:eastAsia="仿宋" w:cs="仿宋"/>
                <w:b/>
                <w:bCs/>
                <w:color w:val="auto"/>
                <w:highlight w:val="none"/>
                <w:lang w:val="en-US"/>
              </w:rPr>
            </w:pPr>
          </w:p>
          <w:p>
            <w:pPr>
              <w:pStyle w:val="75"/>
              <w:ind w:left="113"/>
              <w:jc w:val="center"/>
              <w:rPr>
                <w:rFonts w:ascii="仿宋" w:hAnsi="仿宋" w:eastAsia="仿宋" w:cs="仿宋"/>
                <w:b/>
                <w:bCs/>
                <w:color w:val="auto"/>
                <w:highlight w:val="none"/>
                <w:lang w:val="en-US"/>
              </w:rPr>
            </w:pPr>
            <w:r>
              <w:rPr>
                <w:rFonts w:hint="eastAsia" w:ascii="仿宋" w:hAnsi="仿宋" w:eastAsia="仿宋" w:cs="仿宋"/>
                <w:b/>
                <w:bCs/>
                <w:color w:val="auto"/>
                <w:highlight w:val="none"/>
                <w:lang w:val="en-US"/>
              </w:rPr>
              <w:t>技术团队</w:t>
            </w:r>
          </w:p>
          <w:p>
            <w:pPr>
              <w:pStyle w:val="75"/>
              <w:ind w:left="113"/>
              <w:jc w:val="center"/>
              <w:rPr>
                <w:rFonts w:ascii="仿宋" w:hAnsi="仿宋" w:eastAsia="仿宋" w:cs="仿宋"/>
                <w:b/>
                <w:bCs/>
                <w:color w:val="auto"/>
                <w:highlight w:val="none"/>
                <w:lang w:val="en-US"/>
              </w:rPr>
            </w:pPr>
            <w:r>
              <w:rPr>
                <w:rFonts w:hint="eastAsia" w:ascii="仿宋" w:hAnsi="仿宋" w:eastAsia="仿宋" w:cs="仿宋"/>
                <w:b/>
                <w:bCs/>
                <w:color w:val="auto"/>
                <w:highlight w:val="none"/>
                <w:lang w:val="en-US"/>
              </w:rPr>
              <w:t>（13）</w:t>
            </w:r>
          </w:p>
        </w:tc>
        <w:tc>
          <w:tcPr>
            <w:tcW w:w="6382" w:type="dxa"/>
            <w:tcBorders>
              <w:top w:val="single" w:color="000000" w:sz="4" w:space="0"/>
              <w:left w:val="single" w:color="000000" w:sz="4" w:space="0"/>
              <w:bottom w:val="single" w:color="000000" w:sz="4" w:space="0"/>
              <w:right w:val="single" w:color="000000" w:sz="4" w:space="0"/>
            </w:tcBorders>
            <w:vAlign w:val="center"/>
          </w:tcPr>
          <w:p>
            <w:pPr>
              <w:pStyle w:val="75"/>
              <w:numPr>
                <w:ilvl w:val="0"/>
                <w:numId w:val="5"/>
              </w:numPr>
              <w:spacing w:before="4" w:line="270" w:lineRule="atLeast"/>
              <w:ind w:left="111" w:right="21"/>
              <w:jc w:val="left"/>
              <w:rPr>
                <w:rFonts w:ascii="仿宋" w:hAnsi="仿宋" w:eastAsia="仿宋" w:cs="仿宋"/>
                <w:color w:val="auto"/>
                <w:highlight w:val="none"/>
              </w:rPr>
            </w:pPr>
            <w:r>
              <w:rPr>
                <w:rFonts w:hint="eastAsia" w:ascii="仿宋" w:hAnsi="仿宋" w:eastAsia="仿宋" w:cs="仿宋"/>
                <w:color w:val="auto"/>
                <w:szCs w:val="21"/>
                <w:highlight w:val="none"/>
              </w:rPr>
              <w:t>拟派项目组内有备案的土地估价师（不含项目负责人）</w:t>
            </w:r>
            <w:r>
              <w:rPr>
                <w:rFonts w:hint="eastAsia" w:ascii="仿宋" w:hAnsi="仿宋" w:eastAsia="仿宋" w:cs="仿宋"/>
                <w:color w:val="auto"/>
                <w:highlight w:val="none"/>
              </w:rPr>
              <w:t>每人1分；</w:t>
            </w:r>
            <w:r>
              <w:rPr>
                <w:rFonts w:hint="eastAsia" w:ascii="仿宋" w:hAnsi="仿宋" w:eastAsia="仿宋" w:cs="仿宋"/>
                <w:color w:val="auto"/>
                <w:szCs w:val="21"/>
                <w:highlight w:val="none"/>
              </w:rPr>
              <w:t>最高得8分</w:t>
            </w:r>
            <w:r>
              <w:rPr>
                <w:rFonts w:hint="eastAsia" w:ascii="仿宋" w:hAnsi="仿宋" w:eastAsia="仿宋" w:cs="仿宋"/>
                <w:color w:val="auto"/>
                <w:highlight w:val="none"/>
              </w:rPr>
              <w:t>；</w:t>
            </w:r>
          </w:p>
          <w:p>
            <w:pPr>
              <w:pStyle w:val="75"/>
              <w:numPr>
                <w:ilvl w:val="0"/>
                <w:numId w:val="5"/>
              </w:numPr>
              <w:spacing w:before="4" w:line="270" w:lineRule="atLeast"/>
              <w:ind w:left="111" w:right="21"/>
              <w:jc w:val="left"/>
              <w:rPr>
                <w:rFonts w:ascii="仿宋" w:hAnsi="仿宋" w:eastAsia="仿宋" w:cs="仿宋"/>
                <w:color w:val="auto"/>
                <w:highlight w:val="none"/>
              </w:rPr>
            </w:pPr>
            <w:r>
              <w:rPr>
                <w:rFonts w:hint="eastAsia" w:ascii="仿宋" w:hAnsi="仿宋" w:eastAsia="仿宋" w:cs="仿宋"/>
                <w:color w:val="auto"/>
                <w:highlight w:val="none"/>
              </w:rPr>
              <w:t>项目负责人</w:t>
            </w:r>
            <w:r>
              <w:rPr>
                <w:rFonts w:hint="eastAsia" w:ascii="仿宋" w:hAnsi="仿宋" w:eastAsia="仿宋" w:cs="仿宋"/>
                <w:color w:val="auto"/>
                <w:highlight w:val="none"/>
                <w:lang w:val="en-US"/>
              </w:rPr>
              <w:t>具有国土（土地）系统中级资格证书或者职称证书的得4分；项目负责人具有类似行业资格证书或者中级职称得1分，最高2分；</w:t>
            </w:r>
          </w:p>
          <w:p>
            <w:pPr>
              <w:pStyle w:val="75"/>
              <w:numPr>
                <w:ilvl w:val="0"/>
                <w:numId w:val="5"/>
              </w:numPr>
              <w:spacing w:before="4" w:line="270" w:lineRule="atLeast"/>
              <w:ind w:left="111" w:right="21"/>
              <w:jc w:val="left"/>
              <w:rPr>
                <w:rFonts w:ascii="仿宋" w:hAnsi="仿宋" w:eastAsia="仿宋" w:cs="仿宋"/>
                <w:color w:val="auto"/>
                <w:highlight w:val="none"/>
              </w:rPr>
            </w:pPr>
            <w:r>
              <w:rPr>
                <w:rFonts w:hint="eastAsia" w:ascii="仿宋" w:hAnsi="仿宋" w:eastAsia="仿宋" w:cs="仿宋"/>
                <w:color w:val="auto"/>
                <w:highlight w:val="none"/>
                <w:lang w:val="en-US"/>
              </w:rPr>
              <w:t>除项目负责人外，拟派的项目组成员中，具备国土（土地）系统高级职称每一人得2分，中级职称每1人得1分。本项最多得4分</w:t>
            </w:r>
            <w:r>
              <w:rPr>
                <w:rFonts w:hint="eastAsia" w:ascii="仿宋" w:hAnsi="仿宋" w:eastAsia="仿宋" w:cs="仿宋"/>
                <w:color w:val="auto"/>
                <w:highlight w:val="none"/>
              </w:rPr>
              <w:t>。</w:t>
            </w:r>
          </w:p>
        </w:tc>
        <w:tc>
          <w:tcPr>
            <w:tcW w:w="722" w:type="dxa"/>
            <w:tcBorders>
              <w:top w:val="single" w:color="000000" w:sz="4" w:space="0"/>
              <w:left w:val="single" w:color="000000" w:sz="4" w:space="0"/>
              <w:bottom w:val="single" w:color="000000" w:sz="4" w:space="0"/>
            </w:tcBorders>
            <w:vAlign w:val="center"/>
          </w:tcPr>
          <w:p>
            <w:pPr>
              <w:pStyle w:val="75"/>
              <w:tabs>
                <w:tab w:val="left" w:pos="253"/>
                <w:tab w:val="center" w:pos="424"/>
              </w:tabs>
              <w:ind w:left="23"/>
              <w:jc w:val="left"/>
              <w:rPr>
                <w:rFonts w:ascii="仿宋" w:hAnsi="仿宋" w:eastAsia="仿宋" w:cs="仿宋"/>
                <w:lang w:val="en-US"/>
              </w:rPr>
            </w:pPr>
            <w:r>
              <w:rPr>
                <w:rFonts w:hint="eastAsia" w:ascii="仿宋" w:hAnsi="仿宋" w:eastAsia="仿宋" w:cs="仿宋"/>
                <w:w w:val="99"/>
                <w:lang w:val="en-US"/>
              </w:rPr>
              <w:tab/>
            </w:r>
            <w:r>
              <w:rPr>
                <w:rFonts w:hint="eastAsia" w:ascii="仿宋" w:hAnsi="仿宋" w:eastAsia="仿宋" w:cs="仿宋"/>
                <w:w w:val="99"/>
                <w:lang w:val="en-US"/>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89" w:hRule="atLeast"/>
        </w:trPr>
        <w:tc>
          <w:tcPr>
            <w:tcW w:w="790" w:type="dxa"/>
            <w:vMerge w:val="continue"/>
            <w:tcBorders>
              <w:bottom w:val="single" w:color="auto" w:sz="4" w:space="0"/>
              <w:right w:val="single" w:color="000000" w:sz="4" w:space="0"/>
            </w:tcBorders>
          </w:tcPr>
          <w:p>
            <w:pPr>
              <w:rPr>
                <w:rFonts w:ascii="仿宋" w:hAnsi="仿宋" w:eastAsia="仿宋" w:cs="仿宋"/>
                <w:sz w:val="2"/>
                <w:szCs w:val="2"/>
              </w:rPr>
            </w:pPr>
          </w:p>
        </w:tc>
        <w:tc>
          <w:tcPr>
            <w:tcW w:w="996" w:type="dxa"/>
            <w:vMerge w:val="continue"/>
            <w:tcBorders>
              <w:left w:val="single" w:color="000000" w:sz="4" w:space="0"/>
              <w:bottom w:val="single" w:color="auto" w:sz="4" w:space="0"/>
              <w:right w:val="single" w:color="000000" w:sz="4" w:space="0"/>
            </w:tcBorders>
          </w:tcPr>
          <w:p>
            <w:pPr>
              <w:rPr>
                <w:rFonts w:ascii="仿宋" w:hAnsi="仿宋" w:eastAsia="仿宋" w:cs="仿宋"/>
                <w:color w:val="auto"/>
                <w:sz w:val="2"/>
                <w:szCs w:val="2"/>
              </w:rPr>
            </w:pPr>
          </w:p>
        </w:tc>
        <w:tc>
          <w:tcPr>
            <w:tcW w:w="1241" w:type="dxa"/>
            <w:tcBorders>
              <w:top w:val="single" w:color="auto" w:sz="4" w:space="0"/>
              <w:left w:val="single" w:color="000000" w:sz="4" w:space="0"/>
              <w:bottom w:val="single" w:color="auto" w:sz="4" w:space="0"/>
              <w:right w:val="single" w:color="000000" w:sz="4" w:space="0"/>
            </w:tcBorders>
            <w:vAlign w:val="center"/>
          </w:tcPr>
          <w:p>
            <w:pPr>
              <w:pStyle w:val="75"/>
              <w:ind w:left="113"/>
              <w:jc w:val="center"/>
              <w:rPr>
                <w:rFonts w:ascii="仿宋" w:hAnsi="仿宋" w:eastAsia="仿宋" w:cs="仿宋"/>
                <w:b/>
                <w:color w:val="auto"/>
              </w:rPr>
            </w:pPr>
            <w:r>
              <w:rPr>
                <w:rFonts w:hint="eastAsia" w:ascii="仿宋" w:hAnsi="仿宋" w:eastAsia="仿宋" w:cs="仿宋"/>
                <w:b/>
                <w:color w:val="auto"/>
              </w:rPr>
              <w:t>标函质量</w:t>
            </w:r>
          </w:p>
          <w:p>
            <w:pPr>
              <w:pStyle w:val="75"/>
              <w:ind w:left="113"/>
              <w:jc w:val="center"/>
              <w:rPr>
                <w:rFonts w:ascii="仿宋" w:hAnsi="仿宋" w:eastAsia="仿宋" w:cs="仿宋"/>
                <w:b/>
                <w:color w:val="auto"/>
              </w:rPr>
            </w:pPr>
            <w:r>
              <w:rPr>
                <w:rFonts w:hint="eastAsia" w:ascii="仿宋" w:hAnsi="仿宋" w:eastAsia="仿宋" w:cs="仿宋"/>
                <w:b/>
                <w:color w:val="auto"/>
              </w:rPr>
              <w:t>（</w:t>
            </w:r>
            <w:r>
              <w:rPr>
                <w:rFonts w:hint="eastAsia" w:ascii="仿宋" w:hAnsi="仿宋" w:eastAsia="仿宋" w:cs="仿宋"/>
                <w:b/>
                <w:color w:val="auto"/>
                <w:lang w:val="en-US"/>
              </w:rPr>
              <w:t>2分</w:t>
            </w:r>
            <w:r>
              <w:rPr>
                <w:rFonts w:hint="eastAsia" w:ascii="仿宋" w:hAnsi="仿宋" w:eastAsia="仿宋" w:cs="仿宋"/>
                <w:b/>
                <w:color w:val="auto"/>
              </w:rPr>
              <w:t>）</w:t>
            </w:r>
          </w:p>
        </w:tc>
        <w:tc>
          <w:tcPr>
            <w:tcW w:w="6382" w:type="dxa"/>
            <w:tcBorders>
              <w:top w:val="single" w:color="000000" w:sz="4" w:space="0"/>
              <w:left w:val="single" w:color="000000" w:sz="4" w:space="0"/>
              <w:bottom w:val="single" w:color="000000" w:sz="4" w:space="0"/>
              <w:right w:val="single" w:color="000000" w:sz="4" w:space="0"/>
            </w:tcBorders>
            <w:vAlign w:val="center"/>
          </w:tcPr>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良好：标函编制内容完整、齐全、叙述严谨，标书无涂改、错页、漏页（</w:t>
            </w:r>
            <w:r>
              <w:rPr>
                <w:rFonts w:hint="eastAsia" w:ascii="仿宋" w:hAnsi="仿宋" w:eastAsia="仿宋" w:cs="仿宋"/>
                <w:color w:val="auto"/>
                <w:lang w:val="en-US"/>
              </w:rPr>
              <w:t>2</w:t>
            </w:r>
            <w:r>
              <w:rPr>
                <w:rFonts w:hint="eastAsia" w:ascii="仿宋" w:hAnsi="仿宋" w:eastAsia="仿宋" w:cs="仿宋"/>
                <w:color w:val="auto"/>
              </w:rPr>
              <w:t>分）；</w:t>
            </w:r>
          </w:p>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一般：标函编制内容不完整、叙述简单，标书有涂改、错页、漏页现象（</w:t>
            </w:r>
            <w:r>
              <w:rPr>
                <w:rFonts w:hint="eastAsia" w:ascii="仿宋" w:hAnsi="仿宋" w:eastAsia="仿宋" w:cs="仿宋"/>
                <w:color w:val="auto"/>
                <w:lang w:val="en-US"/>
              </w:rPr>
              <w:t>1</w:t>
            </w:r>
            <w:r>
              <w:rPr>
                <w:rFonts w:hint="eastAsia" w:ascii="仿宋" w:hAnsi="仿宋" w:eastAsia="仿宋" w:cs="仿宋"/>
                <w:color w:val="auto"/>
              </w:rPr>
              <w:t>分）。</w:t>
            </w:r>
          </w:p>
        </w:tc>
        <w:tc>
          <w:tcPr>
            <w:tcW w:w="722" w:type="dxa"/>
            <w:tcBorders>
              <w:top w:val="single" w:color="000000" w:sz="4" w:space="0"/>
              <w:left w:val="single" w:color="000000" w:sz="4" w:space="0"/>
              <w:bottom w:val="single" w:color="000000" w:sz="4" w:space="0"/>
            </w:tcBorders>
            <w:vAlign w:val="center"/>
          </w:tcPr>
          <w:p>
            <w:pPr>
              <w:pStyle w:val="75"/>
              <w:spacing w:before="1"/>
              <w:ind w:left="23"/>
              <w:jc w:val="center"/>
              <w:rPr>
                <w:rFonts w:ascii="仿宋" w:hAnsi="仿宋" w:eastAsia="仿宋" w:cs="仿宋"/>
                <w:w w:val="99"/>
                <w:lang w:val="en-US"/>
              </w:rPr>
            </w:pPr>
            <w:r>
              <w:rPr>
                <w:rFonts w:hint="eastAsia" w:ascii="仿宋" w:hAnsi="仿宋" w:eastAsia="仿宋" w:cs="仿宋"/>
                <w:w w:val="99"/>
                <w:lang w:val="en-US"/>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2" w:hRule="atLeast"/>
        </w:trPr>
        <w:tc>
          <w:tcPr>
            <w:tcW w:w="790" w:type="dxa"/>
            <w:vMerge w:val="restart"/>
            <w:tcBorders>
              <w:top w:val="single" w:color="auto" w:sz="4" w:space="0"/>
              <w:left w:val="single" w:color="auto" w:sz="4" w:space="0"/>
              <w:right w:val="single" w:color="000000" w:sz="4" w:space="0"/>
            </w:tcBorders>
            <w:vAlign w:val="center"/>
          </w:tcPr>
          <w:p>
            <w:pPr>
              <w:pStyle w:val="75"/>
              <w:spacing w:before="164"/>
              <w:ind w:left="10"/>
              <w:jc w:val="center"/>
              <w:rPr>
                <w:rFonts w:ascii="仿宋" w:hAnsi="仿宋" w:eastAsia="仿宋" w:cs="仿宋"/>
                <w:b/>
                <w:w w:val="99"/>
                <w:lang w:val="en-US"/>
              </w:rPr>
            </w:pPr>
            <w:r>
              <w:rPr>
                <w:rFonts w:hint="eastAsia" w:ascii="仿宋" w:hAnsi="仿宋" w:eastAsia="仿宋" w:cs="仿宋"/>
                <w:b/>
                <w:w w:val="99"/>
                <w:lang w:val="en-US"/>
              </w:rPr>
              <w:t>3</w:t>
            </w:r>
          </w:p>
        </w:tc>
        <w:tc>
          <w:tcPr>
            <w:tcW w:w="996" w:type="dxa"/>
            <w:vMerge w:val="restart"/>
            <w:tcBorders>
              <w:top w:val="single" w:color="auto" w:sz="4" w:space="0"/>
              <w:left w:val="single" w:color="000000" w:sz="4" w:space="0"/>
              <w:right w:val="single" w:color="000000" w:sz="4" w:space="0"/>
            </w:tcBorders>
            <w:vAlign w:val="center"/>
          </w:tcPr>
          <w:p>
            <w:pPr>
              <w:pStyle w:val="75"/>
              <w:spacing w:before="164"/>
              <w:ind w:left="10"/>
              <w:jc w:val="center"/>
              <w:rPr>
                <w:rFonts w:ascii="仿宋" w:hAnsi="仿宋" w:eastAsia="仿宋" w:cs="仿宋"/>
                <w:b/>
                <w:color w:val="auto"/>
                <w:w w:val="99"/>
              </w:rPr>
            </w:pPr>
            <w:r>
              <w:rPr>
                <w:rFonts w:hint="eastAsia" w:ascii="仿宋" w:hAnsi="仿宋" w:eastAsia="仿宋" w:cs="仿宋"/>
                <w:b/>
                <w:color w:val="auto"/>
                <w:w w:val="99"/>
              </w:rPr>
              <w:t>技术部分（</w:t>
            </w:r>
            <w:r>
              <w:rPr>
                <w:rFonts w:hint="eastAsia" w:ascii="仿宋" w:hAnsi="仿宋" w:eastAsia="仿宋" w:cs="仿宋"/>
                <w:b/>
                <w:color w:val="auto"/>
                <w:w w:val="99"/>
                <w:lang w:val="en-US"/>
              </w:rPr>
              <w:t>45</w:t>
            </w:r>
            <w:r>
              <w:rPr>
                <w:rFonts w:hint="eastAsia" w:ascii="仿宋" w:hAnsi="仿宋" w:eastAsia="仿宋" w:cs="仿宋"/>
                <w:b/>
                <w:color w:val="auto"/>
                <w:w w:val="99"/>
              </w:rPr>
              <w:t>）</w:t>
            </w:r>
          </w:p>
        </w:tc>
        <w:tc>
          <w:tcPr>
            <w:tcW w:w="1241" w:type="dxa"/>
            <w:tcBorders>
              <w:top w:val="single" w:color="auto" w:sz="4" w:space="0"/>
              <w:left w:val="single" w:color="000000" w:sz="4" w:space="0"/>
              <w:bottom w:val="single" w:color="auto" w:sz="4" w:space="0"/>
              <w:right w:val="single" w:color="auto" w:sz="4" w:space="0"/>
            </w:tcBorders>
            <w:vAlign w:val="center"/>
          </w:tcPr>
          <w:p>
            <w:pPr>
              <w:pStyle w:val="75"/>
              <w:spacing w:before="164"/>
              <w:ind w:left="10"/>
              <w:jc w:val="center"/>
              <w:rPr>
                <w:rFonts w:ascii="仿宋" w:hAnsi="仿宋" w:eastAsia="仿宋" w:cs="仿宋"/>
                <w:b/>
                <w:color w:val="auto"/>
                <w:w w:val="99"/>
              </w:rPr>
            </w:pPr>
            <w:r>
              <w:rPr>
                <w:rFonts w:hint="eastAsia" w:ascii="仿宋" w:hAnsi="仿宋" w:eastAsia="仿宋" w:cs="仿宋"/>
                <w:b/>
                <w:color w:val="auto"/>
                <w:w w:val="99"/>
              </w:rPr>
              <w:t>对本项目的认识和理解（</w:t>
            </w:r>
            <w:r>
              <w:rPr>
                <w:rFonts w:hint="eastAsia" w:ascii="仿宋" w:hAnsi="仿宋" w:eastAsia="仿宋" w:cs="仿宋"/>
                <w:b/>
                <w:color w:val="auto"/>
                <w:w w:val="99"/>
                <w:lang w:val="en-US"/>
              </w:rPr>
              <w:t>5分</w:t>
            </w:r>
            <w:r>
              <w:rPr>
                <w:rFonts w:hint="eastAsia" w:ascii="仿宋" w:hAnsi="仿宋" w:eastAsia="仿宋" w:cs="仿宋"/>
                <w:b/>
                <w:color w:val="auto"/>
                <w:w w:val="99"/>
              </w:rPr>
              <w:t>）</w:t>
            </w:r>
          </w:p>
        </w:tc>
        <w:tc>
          <w:tcPr>
            <w:tcW w:w="6382" w:type="dxa"/>
            <w:tcBorders>
              <w:top w:val="single" w:color="000000" w:sz="4" w:space="0"/>
              <w:left w:val="single" w:color="auto" w:sz="4" w:space="0"/>
              <w:bottom w:val="single" w:color="000000" w:sz="4" w:space="0"/>
              <w:right w:val="single" w:color="000000" w:sz="4" w:space="0"/>
            </w:tcBorders>
            <w:vAlign w:val="center"/>
          </w:tcPr>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对本项目理解非常透彻，有明确的认识以及清晰的解读且了解项目需要达到的最终效果得</w:t>
            </w:r>
            <w:r>
              <w:rPr>
                <w:rFonts w:hint="eastAsia" w:ascii="仿宋" w:hAnsi="仿宋" w:eastAsia="仿宋" w:cs="仿宋"/>
                <w:color w:val="auto"/>
                <w:lang w:val="en-US"/>
              </w:rPr>
              <w:t>10</w:t>
            </w:r>
            <w:r>
              <w:rPr>
                <w:rFonts w:hint="eastAsia" w:ascii="仿宋" w:hAnsi="仿宋" w:eastAsia="仿宋" w:cs="仿宋"/>
                <w:color w:val="auto"/>
              </w:rPr>
              <w:t>分；</w:t>
            </w:r>
          </w:p>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对本项目的理解比较透彻、有一定的认识以及解读，能了解项目需要达到的效果得</w:t>
            </w:r>
            <w:r>
              <w:rPr>
                <w:rFonts w:hint="eastAsia" w:ascii="仿宋" w:hAnsi="仿宋" w:eastAsia="仿宋" w:cs="仿宋"/>
                <w:color w:val="auto"/>
                <w:lang w:val="en-US"/>
              </w:rPr>
              <w:t>7</w:t>
            </w:r>
            <w:r>
              <w:rPr>
                <w:rFonts w:hint="eastAsia" w:ascii="仿宋" w:hAnsi="仿宋" w:eastAsia="仿宋" w:cs="仿宋"/>
                <w:color w:val="auto"/>
              </w:rPr>
              <w:t>分；</w:t>
            </w:r>
          </w:p>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对本项目的理解有一定认识但不全面，解读不明确的得</w:t>
            </w:r>
            <w:r>
              <w:rPr>
                <w:rFonts w:hint="eastAsia" w:ascii="仿宋" w:hAnsi="仿宋" w:eastAsia="仿宋" w:cs="仿宋"/>
                <w:color w:val="auto"/>
                <w:lang w:val="en-US"/>
              </w:rPr>
              <w:t>4</w:t>
            </w:r>
            <w:r>
              <w:rPr>
                <w:rFonts w:hint="eastAsia" w:ascii="仿宋" w:hAnsi="仿宋" w:eastAsia="仿宋" w:cs="仿宋"/>
                <w:color w:val="auto"/>
              </w:rPr>
              <w:t>分；</w:t>
            </w:r>
          </w:p>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对本项目的理解及解读的全面性差得</w:t>
            </w:r>
            <w:r>
              <w:rPr>
                <w:rFonts w:hint="eastAsia" w:ascii="仿宋" w:hAnsi="仿宋" w:eastAsia="仿宋" w:cs="仿宋"/>
                <w:color w:val="auto"/>
                <w:lang w:val="en-US"/>
              </w:rPr>
              <w:t>1</w:t>
            </w:r>
            <w:r>
              <w:rPr>
                <w:rFonts w:hint="eastAsia" w:ascii="仿宋" w:hAnsi="仿宋" w:eastAsia="仿宋" w:cs="仿宋"/>
                <w:color w:val="auto"/>
              </w:rPr>
              <w:t>分；</w:t>
            </w:r>
          </w:p>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未提供得 0 分。</w:t>
            </w:r>
          </w:p>
        </w:tc>
        <w:tc>
          <w:tcPr>
            <w:tcW w:w="722" w:type="dxa"/>
            <w:tcBorders>
              <w:top w:val="single" w:color="000000" w:sz="4" w:space="0"/>
              <w:left w:val="single" w:color="000000" w:sz="4" w:space="0"/>
              <w:bottom w:val="single" w:color="000000" w:sz="4" w:space="0"/>
            </w:tcBorders>
            <w:vAlign w:val="center"/>
          </w:tcPr>
          <w:p>
            <w:pPr>
              <w:pStyle w:val="75"/>
              <w:spacing w:before="164"/>
              <w:ind w:left="10"/>
              <w:jc w:val="center"/>
              <w:rPr>
                <w:rFonts w:ascii="仿宋" w:hAnsi="仿宋" w:eastAsia="仿宋" w:cs="仿宋"/>
                <w:bCs/>
                <w:w w:val="99"/>
                <w:lang w:val="en-US"/>
              </w:rPr>
            </w:pPr>
            <w:r>
              <w:rPr>
                <w:rFonts w:hint="eastAsia" w:ascii="仿宋" w:hAnsi="仿宋" w:eastAsia="仿宋" w:cs="仿宋"/>
                <w:bCs/>
                <w:w w:val="99"/>
                <w:lang w:val="en-US"/>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36" w:hRule="atLeast"/>
        </w:trPr>
        <w:tc>
          <w:tcPr>
            <w:tcW w:w="790" w:type="dxa"/>
            <w:vMerge w:val="continue"/>
            <w:tcBorders>
              <w:left w:val="single" w:color="auto" w:sz="4" w:space="0"/>
              <w:right w:val="single" w:color="000000" w:sz="4" w:space="0"/>
            </w:tcBorders>
          </w:tcPr>
          <w:p>
            <w:pPr>
              <w:pStyle w:val="75"/>
              <w:spacing w:before="164"/>
              <w:ind w:left="10"/>
              <w:jc w:val="center"/>
              <w:rPr>
                <w:rFonts w:ascii="仿宋" w:hAnsi="仿宋" w:eastAsia="仿宋" w:cs="仿宋"/>
                <w:b/>
                <w:w w:val="99"/>
              </w:rPr>
            </w:pPr>
          </w:p>
        </w:tc>
        <w:tc>
          <w:tcPr>
            <w:tcW w:w="996" w:type="dxa"/>
            <w:vMerge w:val="continue"/>
            <w:tcBorders>
              <w:left w:val="single" w:color="000000" w:sz="4" w:space="0"/>
              <w:right w:val="single" w:color="000000" w:sz="4" w:space="0"/>
            </w:tcBorders>
          </w:tcPr>
          <w:p>
            <w:pPr>
              <w:pStyle w:val="75"/>
              <w:spacing w:before="164"/>
              <w:ind w:left="10"/>
              <w:jc w:val="center"/>
              <w:rPr>
                <w:rFonts w:ascii="仿宋" w:hAnsi="仿宋" w:eastAsia="仿宋" w:cs="仿宋"/>
                <w:b/>
                <w:color w:val="auto"/>
                <w:w w:val="99"/>
                <w:highlight w:val="none"/>
              </w:rPr>
            </w:pPr>
          </w:p>
        </w:tc>
        <w:tc>
          <w:tcPr>
            <w:tcW w:w="1241" w:type="dxa"/>
            <w:tcBorders>
              <w:top w:val="single" w:color="auto" w:sz="4" w:space="0"/>
              <w:left w:val="single" w:color="000000" w:sz="4" w:space="0"/>
              <w:bottom w:val="single" w:color="auto" w:sz="4" w:space="0"/>
              <w:right w:val="single" w:color="auto" w:sz="4" w:space="0"/>
            </w:tcBorders>
            <w:vAlign w:val="center"/>
          </w:tcPr>
          <w:p>
            <w:pPr>
              <w:pStyle w:val="75"/>
              <w:spacing w:before="164"/>
              <w:ind w:left="10"/>
              <w:jc w:val="center"/>
              <w:rPr>
                <w:rFonts w:ascii="仿宋" w:hAnsi="仿宋" w:eastAsia="仿宋" w:cs="仿宋"/>
                <w:b/>
                <w:color w:val="auto"/>
                <w:w w:val="99"/>
                <w:highlight w:val="none"/>
              </w:rPr>
            </w:pPr>
            <w:r>
              <w:rPr>
                <w:rFonts w:hint="eastAsia" w:ascii="仿宋" w:hAnsi="仿宋" w:eastAsia="仿宋" w:cs="仿宋"/>
                <w:b/>
                <w:color w:val="auto"/>
                <w:w w:val="99"/>
                <w:highlight w:val="none"/>
              </w:rPr>
              <w:t>技术方案</w:t>
            </w:r>
          </w:p>
          <w:p>
            <w:pPr>
              <w:pStyle w:val="75"/>
              <w:spacing w:before="164"/>
              <w:ind w:left="10"/>
              <w:jc w:val="center"/>
              <w:rPr>
                <w:rFonts w:ascii="仿宋" w:hAnsi="仿宋" w:eastAsia="仿宋" w:cs="仿宋"/>
                <w:b/>
                <w:color w:val="auto"/>
                <w:w w:val="99"/>
                <w:highlight w:val="none"/>
              </w:rPr>
            </w:pPr>
            <w:r>
              <w:rPr>
                <w:rFonts w:hint="eastAsia" w:ascii="仿宋" w:hAnsi="仿宋" w:eastAsia="仿宋" w:cs="仿宋"/>
                <w:b/>
                <w:color w:val="auto"/>
                <w:w w:val="99"/>
                <w:highlight w:val="none"/>
              </w:rPr>
              <w:t>（</w:t>
            </w:r>
            <w:r>
              <w:rPr>
                <w:rFonts w:hint="eastAsia" w:ascii="仿宋" w:hAnsi="仿宋" w:eastAsia="仿宋" w:cs="仿宋"/>
                <w:b/>
                <w:color w:val="auto"/>
                <w:w w:val="99"/>
                <w:highlight w:val="none"/>
                <w:lang w:val="en-US"/>
              </w:rPr>
              <w:t>20分</w:t>
            </w:r>
            <w:r>
              <w:rPr>
                <w:rFonts w:hint="eastAsia" w:ascii="仿宋" w:hAnsi="仿宋" w:eastAsia="仿宋" w:cs="仿宋"/>
                <w:b/>
                <w:color w:val="auto"/>
                <w:w w:val="99"/>
                <w:highlight w:val="none"/>
              </w:rPr>
              <w:t>）</w:t>
            </w:r>
          </w:p>
        </w:tc>
        <w:tc>
          <w:tcPr>
            <w:tcW w:w="6382" w:type="dxa"/>
            <w:tcBorders>
              <w:top w:val="single" w:color="000000" w:sz="4" w:space="0"/>
              <w:left w:val="single" w:color="auto" w:sz="4" w:space="0"/>
              <w:bottom w:val="single" w:color="000000" w:sz="4" w:space="0"/>
              <w:right w:val="single" w:color="000000" w:sz="4" w:space="0"/>
            </w:tcBorders>
            <w:vAlign w:val="center"/>
          </w:tcPr>
          <w:p>
            <w:pPr>
              <w:pStyle w:val="75"/>
              <w:spacing w:before="4" w:line="270" w:lineRule="atLeast"/>
              <w:ind w:left="111" w:right="21"/>
              <w:jc w:val="left"/>
              <w:rPr>
                <w:rFonts w:ascii="仿宋" w:hAnsi="仿宋" w:eastAsia="仿宋" w:cs="仿宋"/>
                <w:color w:val="auto"/>
                <w:highlight w:val="none"/>
              </w:rPr>
            </w:pPr>
            <w:r>
              <w:rPr>
                <w:rFonts w:hint="eastAsia" w:ascii="仿宋" w:hAnsi="仿宋" w:eastAsia="仿宋" w:cs="仿宋"/>
                <w:color w:val="auto"/>
                <w:highlight w:val="none"/>
              </w:rPr>
              <w:t>方案全面、合理、完善且针对性强，得</w:t>
            </w:r>
            <w:r>
              <w:rPr>
                <w:rFonts w:hint="eastAsia" w:ascii="仿宋" w:hAnsi="仿宋" w:eastAsia="仿宋" w:cs="仿宋"/>
                <w:color w:val="auto"/>
                <w:highlight w:val="none"/>
                <w:lang w:val="en-US"/>
              </w:rPr>
              <w:t>20</w:t>
            </w:r>
            <w:r>
              <w:rPr>
                <w:rFonts w:hint="eastAsia" w:ascii="仿宋" w:hAnsi="仿宋" w:eastAsia="仿宋" w:cs="仿宋"/>
                <w:color w:val="auto"/>
                <w:highlight w:val="none"/>
              </w:rPr>
              <w:t>分；</w:t>
            </w:r>
          </w:p>
          <w:p>
            <w:pPr>
              <w:pStyle w:val="75"/>
              <w:spacing w:before="4" w:line="270" w:lineRule="atLeast"/>
              <w:ind w:left="111" w:right="21"/>
              <w:jc w:val="left"/>
              <w:rPr>
                <w:rFonts w:ascii="仿宋" w:hAnsi="仿宋" w:eastAsia="仿宋" w:cs="仿宋"/>
                <w:color w:val="auto"/>
                <w:highlight w:val="none"/>
              </w:rPr>
            </w:pPr>
            <w:r>
              <w:rPr>
                <w:rFonts w:hint="eastAsia" w:ascii="仿宋" w:hAnsi="仿宋" w:eastAsia="仿宋" w:cs="仿宋"/>
                <w:color w:val="auto"/>
                <w:highlight w:val="none"/>
              </w:rPr>
              <w:t>方案比较全面、合理、完善且有针对性，得</w:t>
            </w:r>
            <w:r>
              <w:rPr>
                <w:rFonts w:hint="eastAsia" w:ascii="仿宋" w:hAnsi="仿宋" w:eastAsia="仿宋" w:cs="仿宋"/>
                <w:color w:val="auto"/>
                <w:highlight w:val="none"/>
                <w:lang w:val="en-US"/>
              </w:rPr>
              <w:t>15</w:t>
            </w:r>
            <w:r>
              <w:rPr>
                <w:rFonts w:hint="eastAsia" w:ascii="仿宋" w:hAnsi="仿宋" w:eastAsia="仿宋" w:cs="仿宋"/>
                <w:color w:val="auto"/>
                <w:highlight w:val="none"/>
              </w:rPr>
              <w:t>分；</w:t>
            </w:r>
          </w:p>
          <w:p>
            <w:pPr>
              <w:pStyle w:val="75"/>
              <w:spacing w:before="4" w:line="270" w:lineRule="atLeast"/>
              <w:ind w:left="111" w:right="21"/>
              <w:jc w:val="left"/>
              <w:rPr>
                <w:rFonts w:ascii="仿宋" w:hAnsi="仿宋" w:eastAsia="仿宋" w:cs="仿宋"/>
                <w:color w:val="auto"/>
                <w:highlight w:val="none"/>
              </w:rPr>
            </w:pPr>
            <w:r>
              <w:rPr>
                <w:rFonts w:hint="eastAsia" w:ascii="仿宋" w:hAnsi="仿宋" w:eastAsia="仿宋" w:cs="仿宋"/>
                <w:color w:val="auto"/>
                <w:highlight w:val="none"/>
              </w:rPr>
              <w:t>方案基本合理、完善且针对性较弱，得</w:t>
            </w:r>
            <w:r>
              <w:rPr>
                <w:rFonts w:hint="eastAsia" w:ascii="仿宋" w:hAnsi="仿宋" w:eastAsia="仿宋" w:cs="仿宋"/>
                <w:color w:val="auto"/>
                <w:highlight w:val="none"/>
                <w:lang w:val="en-US"/>
              </w:rPr>
              <w:t>10</w:t>
            </w:r>
            <w:r>
              <w:rPr>
                <w:rFonts w:hint="eastAsia" w:ascii="仿宋" w:hAnsi="仿宋" w:eastAsia="仿宋" w:cs="仿宋"/>
                <w:color w:val="auto"/>
                <w:highlight w:val="none"/>
              </w:rPr>
              <w:t>分；</w:t>
            </w:r>
          </w:p>
          <w:p>
            <w:pPr>
              <w:pStyle w:val="75"/>
              <w:spacing w:before="4" w:line="270" w:lineRule="atLeast"/>
              <w:ind w:left="111" w:right="21"/>
              <w:jc w:val="left"/>
              <w:rPr>
                <w:rFonts w:ascii="仿宋" w:hAnsi="仿宋" w:eastAsia="仿宋" w:cs="仿宋"/>
                <w:color w:val="auto"/>
                <w:highlight w:val="none"/>
              </w:rPr>
            </w:pPr>
            <w:r>
              <w:rPr>
                <w:rFonts w:hint="eastAsia" w:ascii="仿宋" w:hAnsi="仿宋" w:eastAsia="仿宋" w:cs="仿宋"/>
                <w:color w:val="auto"/>
                <w:highlight w:val="none"/>
              </w:rPr>
              <w:t>方案不够合理、完善或没有针对性，得</w:t>
            </w:r>
            <w:r>
              <w:rPr>
                <w:rFonts w:hint="eastAsia" w:ascii="仿宋" w:hAnsi="仿宋" w:eastAsia="仿宋" w:cs="仿宋"/>
                <w:color w:val="auto"/>
                <w:highlight w:val="none"/>
                <w:lang w:val="en-US"/>
              </w:rPr>
              <w:t>5</w:t>
            </w:r>
            <w:r>
              <w:rPr>
                <w:rFonts w:hint="eastAsia" w:ascii="仿宋" w:hAnsi="仿宋" w:eastAsia="仿宋" w:cs="仿宋"/>
                <w:color w:val="auto"/>
                <w:highlight w:val="none"/>
              </w:rPr>
              <w:t>分；</w:t>
            </w:r>
          </w:p>
          <w:p>
            <w:pPr>
              <w:pStyle w:val="75"/>
              <w:spacing w:before="4" w:line="270" w:lineRule="atLeast"/>
              <w:ind w:left="111" w:right="21"/>
              <w:jc w:val="left"/>
              <w:rPr>
                <w:rFonts w:ascii="仿宋" w:hAnsi="仿宋" w:eastAsia="仿宋" w:cs="仿宋"/>
                <w:color w:val="auto"/>
                <w:highlight w:val="none"/>
              </w:rPr>
            </w:pPr>
            <w:r>
              <w:rPr>
                <w:rFonts w:hint="eastAsia" w:ascii="仿宋" w:hAnsi="仿宋" w:eastAsia="仿宋" w:cs="仿宋"/>
                <w:color w:val="auto"/>
                <w:highlight w:val="none"/>
              </w:rPr>
              <w:t>未提供得 0 分。</w:t>
            </w:r>
          </w:p>
        </w:tc>
        <w:tc>
          <w:tcPr>
            <w:tcW w:w="722" w:type="dxa"/>
            <w:tcBorders>
              <w:top w:val="single" w:color="000000" w:sz="4" w:space="0"/>
              <w:left w:val="single" w:color="000000" w:sz="4" w:space="0"/>
              <w:bottom w:val="single" w:color="000000" w:sz="4" w:space="0"/>
            </w:tcBorders>
            <w:vAlign w:val="center"/>
          </w:tcPr>
          <w:p>
            <w:pPr>
              <w:pStyle w:val="75"/>
              <w:spacing w:before="164"/>
              <w:ind w:left="10"/>
              <w:jc w:val="center"/>
              <w:rPr>
                <w:rFonts w:ascii="仿宋" w:hAnsi="仿宋" w:eastAsia="仿宋" w:cs="仿宋"/>
                <w:bCs/>
                <w:w w:val="99"/>
                <w:lang w:val="en-US"/>
              </w:rPr>
            </w:pPr>
            <w:r>
              <w:rPr>
                <w:rFonts w:hint="eastAsia" w:ascii="仿宋" w:hAnsi="仿宋" w:eastAsia="仿宋" w:cs="仿宋"/>
                <w:bCs/>
                <w:w w:val="99"/>
                <w:lang w:val="en-US"/>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31" w:hRule="atLeast"/>
        </w:trPr>
        <w:tc>
          <w:tcPr>
            <w:tcW w:w="790" w:type="dxa"/>
            <w:vMerge w:val="continue"/>
            <w:tcBorders>
              <w:left w:val="single" w:color="auto" w:sz="4" w:space="0"/>
              <w:right w:val="single" w:color="000000" w:sz="4" w:space="0"/>
            </w:tcBorders>
          </w:tcPr>
          <w:p>
            <w:pPr>
              <w:pStyle w:val="75"/>
              <w:spacing w:before="164"/>
              <w:ind w:left="10"/>
              <w:jc w:val="center"/>
              <w:rPr>
                <w:rFonts w:ascii="仿宋" w:hAnsi="仿宋" w:eastAsia="仿宋" w:cs="仿宋"/>
                <w:b/>
                <w:w w:val="99"/>
              </w:rPr>
            </w:pPr>
          </w:p>
        </w:tc>
        <w:tc>
          <w:tcPr>
            <w:tcW w:w="996" w:type="dxa"/>
            <w:vMerge w:val="continue"/>
            <w:tcBorders>
              <w:left w:val="single" w:color="000000" w:sz="4" w:space="0"/>
              <w:right w:val="single" w:color="000000" w:sz="4" w:space="0"/>
            </w:tcBorders>
          </w:tcPr>
          <w:p>
            <w:pPr>
              <w:pStyle w:val="75"/>
              <w:spacing w:before="164"/>
              <w:ind w:left="10"/>
              <w:jc w:val="center"/>
              <w:rPr>
                <w:rFonts w:ascii="仿宋" w:hAnsi="仿宋" w:eastAsia="仿宋" w:cs="仿宋"/>
                <w:b/>
                <w:color w:val="auto"/>
                <w:w w:val="99"/>
              </w:rPr>
            </w:pPr>
          </w:p>
        </w:tc>
        <w:tc>
          <w:tcPr>
            <w:tcW w:w="1241" w:type="dxa"/>
            <w:tcBorders>
              <w:top w:val="single" w:color="auto" w:sz="4" w:space="0"/>
              <w:left w:val="single" w:color="000000" w:sz="4" w:space="0"/>
              <w:bottom w:val="single" w:color="auto" w:sz="4" w:space="0"/>
              <w:right w:val="single" w:color="auto" w:sz="4" w:space="0"/>
            </w:tcBorders>
            <w:vAlign w:val="center"/>
          </w:tcPr>
          <w:p>
            <w:pPr>
              <w:pStyle w:val="75"/>
              <w:spacing w:before="164"/>
              <w:ind w:left="10"/>
              <w:jc w:val="center"/>
              <w:rPr>
                <w:rFonts w:ascii="仿宋" w:hAnsi="仿宋" w:eastAsia="仿宋" w:cs="仿宋"/>
                <w:b/>
                <w:color w:val="auto"/>
                <w:w w:val="99"/>
              </w:rPr>
            </w:pPr>
            <w:r>
              <w:rPr>
                <w:rFonts w:hint="eastAsia" w:ascii="仿宋" w:hAnsi="仿宋" w:eastAsia="仿宋" w:cs="仿宋"/>
                <w:b/>
                <w:color w:val="auto"/>
                <w:w w:val="99"/>
              </w:rPr>
              <w:t>进度计划与保证措施</w:t>
            </w:r>
          </w:p>
          <w:p>
            <w:pPr>
              <w:pStyle w:val="75"/>
              <w:spacing w:before="164"/>
              <w:ind w:left="10"/>
              <w:jc w:val="center"/>
              <w:rPr>
                <w:rFonts w:ascii="仿宋" w:hAnsi="仿宋" w:eastAsia="仿宋" w:cs="仿宋"/>
                <w:b/>
                <w:color w:val="auto"/>
                <w:w w:val="99"/>
              </w:rPr>
            </w:pPr>
            <w:r>
              <w:rPr>
                <w:rFonts w:hint="eastAsia" w:ascii="仿宋" w:hAnsi="仿宋" w:eastAsia="仿宋" w:cs="仿宋"/>
                <w:b/>
                <w:color w:val="auto"/>
                <w:w w:val="99"/>
              </w:rPr>
              <w:t>（</w:t>
            </w:r>
            <w:r>
              <w:rPr>
                <w:rFonts w:hint="eastAsia" w:ascii="仿宋" w:hAnsi="仿宋" w:eastAsia="仿宋" w:cs="仿宋"/>
                <w:b/>
                <w:color w:val="auto"/>
                <w:w w:val="99"/>
                <w:lang w:val="en-US"/>
              </w:rPr>
              <w:t>5分</w:t>
            </w:r>
            <w:r>
              <w:rPr>
                <w:rFonts w:hint="eastAsia" w:ascii="仿宋" w:hAnsi="仿宋" w:eastAsia="仿宋" w:cs="仿宋"/>
                <w:b/>
                <w:color w:val="auto"/>
                <w:w w:val="99"/>
              </w:rPr>
              <w:t>）</w:t>
            </w:r>
          </w:p>
        </w:tc>
        <w:tc>
          <w:tcPr>
            <w:tcW w:w="6382" w:type="dxa"/>
            <w:tcBorders>
              <w:top w:val="single" w:color="000000" w:sz="4" w:space="0"/>
              <w:left w:val="single" w:color="auto" w:sz="4" w:space="0"/>
              <w:bottom w:val="single" w:color="000000" w:sz="4" w:space="0"/>
              <w:right w:val="single" w:color="000000" w:sz="4" w:space="0"/>
            </w:tcBorders>
            <w:vAlign w:val="center"/>
          </w:tcPr>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进度安排，阶段分明、有条理，完全符合本项目要求得</w:t>
            </w:r>
            <w:r>
              <w:rPr>
                <w:rFonts w:hint="eastAsia" w:ascii="仿宋" w:hAnsi="仿宋" w:eastAsia="仿宋" w:cs="仿宋"/>
                <w:color w:val="auto"/>
                <w:lang w:val="en-US"/>
              </w:rPr>
              <w:t>5</w:t>
            </w:r>
            <w:r>
              <w:rPr>
                <w:rFonts w:hint="eastAsia" w:ascii="仿宋" w:hAnsi="仿宋" w:eastAsia="仿宋" w:cs="仿宋"/>
                <w:color w:val="auto"/>
              </w:rPr>
              <w:t xml:space="preserve">分； </w:t>
            </w:r>
          </w:p>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进度安排简单，基本符合本项目需求得</w:t>
            </w:r>
            <w:r>
              <w:rPr>
                <w:rFonts w:hint="eastAsia" w:ascii="仿宋" w:hAnsi="仿宋" w:eastAsia="仿宋" w:cs="仿宋"/>
                <w:color w:val="auto"/>
                <w:lang w:val="en-US"/>
              </w:rPr>
              <w:t>3</w:t>
            </w:r>
            <w:r>
              <w:rPr>
                <w:rFonts w:hint="eastAsia" w:ascii="仿宋" w:hAnsi="仿宋" w:eastAsia="仿宋" w:cs="仿宋"/>
                <w:color w:val="auto"/>
              </w:rPr>
              <w:t>分；</w:t>
            </w:r>
          </w:p>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进度安排有欠缺，不太满足本项目需求得</w:t>
            </w:r>
            <w:r>
              <w:rPr>
                <w:rFonts w:hint="eastAsia" w:ascii="仿宋" w:hAnsi="仿宋" w:eastAsia="仿宋" w:cs="仿宋"/>
                <w:color w:val="auto"/>
                <w:lang w:val="en-US"/>
              </w:rPr>
              <w:t>1</w:t>
            </w:r>
            <w:r>
              <w:rPr>
                <w:rFonts w:hint="eastAsia" w:ascii="仿宋" w:hAnsi="仿宋" w:eastAsia="仿宋" w:cs="仿宋"/>
                <w:color w:val="auto"/>
              </w:rPr>
              <w:t>分；</w:t>
            </w:r>
          </w:p>
          <w:p>
            <w:pPr>
              <w:pStyle w:val="75"/>
              <w:spacing w:before="4" w:line="270" w:lineRule="atLeast"/>
              <w:ind w:left="111" w:right="21"/>
              <w:jc w:val="left"/>
              <w:rPr>
                <w:rFonts w:ascii="仿宋" w:hAnsi="仿宋" w:eastAsia="仿宋" w:cs="仿宋"/>
                <w:color w:val="auto"/>
              </w:rPr>
            </w:pPr>
            <w:r>
              <w:rPr>
                <w:rFonts w:hint="eastAsia" w:ascii="仿宋" w:hAnsi="仿宋" w:eastAsia="仿宋" w:cs="仿宋"/>
                <w:color w:val="auto"/>
              </w:rPr>
              <w:t>未提供得0分。</w:t>
            </w:r>
          </w:p>
        </w:tc>
        <w:tc>
          <w:tcPr>
            <w:tcW w:w="722" w:type="dxa"/>
            <w:tcBorders>
              <w:top w:val="single" w:color="000000" w:sz="4" w:space="0"/>
              <w:left w:val="single" w:color="000000" w:sz="4" w:space="0"/>
              <w:bottom w:val="single" w:color="000000" w:sz="4" w:space="0"/>
            </w:tcBorders>
            <w:vAlign w:val="center"/>
          </w:tcPr>
          <w:p>
            <w:pPr>
              <w:pStyle w:val="75"/>
              <w:spacing w:before="164"/>
              <w:ind w:left="10"/>
              <w:jc w:val="center"/>
              <w:rPr>
                <w:rFonts w:ascii="仿宋" w:hAnsi="仿宋" w:eastAsia="仿宋" w:cs="仿宋"/>
                <w:bCs/>
                <w:w w:val="99"/>
                <w:lang w:val="en-US"/>
              </w:rPr>
            </w:pPr>
            <w:r>
              <w:rPr>
                <w:rFonts w:hint="eastAsia" w:ascii="仿宋" w:hAnsi="仿宋" w:eastAsia="仿宋" w:cs="仿宋"/>
                <w:bCs/>
                <w:w w:val="99"/>
                <w:lang w:val="en-US"/>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 w:hRule="atLeast"/>
        </w:trPr>
        <w:tc>
          <w:tcPr>
            <w:tcW w:w="790" w:type="dxa"/>
            <w:vMerge w:val="continue"/>
            <w:tcBorders>
              <w:left w:val="single" w:color="auto" w:sz="4" w:space="0"/>
              <w:right w:val="single" w:color="000000" w:sz="4" w:space="0"/>
            </w:tcBorders>
          </w:tcPr>
          <w:p>
            <w:pPr>
              <w:pStyle w:val="75"/>
              <w:spacing w:before="164"/>
              <w:ind w:left="10"/>
              <w:jc w:val="center"/>
              <w:rPr>
                <w:rFonts w:ascii="仿宋" w:hAnsi="仿宋" w:eastAsia="仿宋" w:cs="仿宋"/>
                <w:b/>
                <w:w w:val="99"/>
              </w:rPr>
            </w:pPr>
          </w:p>
        </w:tc>
        <w:tc>
          <w:tcPr>
            <w:tcW w:w="996" w:type="dxa"/>
            <w:vMerge w:val="continue"/>
            <w:tcBorders>
              <w:left w:val="single" w:color="000000" w:sz="4" w:space="0"/>
              <w:right w:val="single" w:color="000000" w:sz="4" w:space="0"/>
            </w:tcBorders>
          </w:tcPr>
          <w:p>
            <w:pPr>
              <w:pStyle w:val="75"/>
              <w:spacing w:before="164"/>
              <w:ind w:left="10"/>
              <w:jc w:val="center"/>
              <w:rPr>
                <w:rFonts w:ascii="仿宋" w:hAnsi="仿宋" w:eastAsia="仿宋" w:cs="仿宋"/>
                <w:b/>
                <w:w w:val="99"/>
              </w:rPr>
            </w:pPr>
          </w:p>
        </w:tc>
        <w:tc>
          <w:tcPr>
            <w:tcW w:w="1241" w:type="dxa"/>
            <w:tcBorders>
              <w:top w:val="single" w:color="auto" w:sz="4" w:space="0"/>
              <w:left w:val="single" w:color="000000" w:sz="4" w:space="0"/>
              <w:bottom w:val="single" w:color="auto" w:sz="4" w:space="0"/>
              <w:right w:val="single" w:color="auto" w:sz="4" w:space="0"/>
            </w:tcBorders>
            <w:vAlign w:val="center"/>
          </w:tcPr>
          <w:p>
            <w:pPr>
              <w:pStyle w:val="75"/>
              <w:spacing w:before="164"/>
              <w:ind w:left="10"/>
              <w:jc w:val="center"/>
              <w:rPr>
                <w:rFonts w:ascii="仿宋" w:hAnsi="仿宋" w:eastAsia="仿宋" w:cs="仿宋"/>
                <w:b/>
                <w:w w:val="99"/>
              </w:rPr>
            </w:pPr>
            <w:r>
              <w:rPr>
                <w:rFonts w:hint="eastAsia" w:ascii="仿宋" w:hAnsi="仿宋" w:eastAsia="仿宋" w:cs="仿宋"/>
                <w:b/>
                <w:w w:val="99"/>
              </w:rPr>
              <w:t>服务保证</w:t>
            </w:r>
          </w:p>
          <w:p>
            <w:pPr>
              <w:pStyle w:val="75"/>
              <w:spacing w:before="164"/>
              <w:ind w:left="10"/>
              <w:jc w:val="center"/>
              <w:rPr>
                <w:rFonts w:ascii="仿宋" w:hAnsi="仿宋" w:eastAsia="仿宋" w:cs="仿宋"/>
                <w:b/>
                <w:w w:val="99"/>
              </w:rPr>
            </w:pPr>
            <w:r>
              <w:rPr>
                <w:rFonts w:hint="eastAsia" w:ascii="仿宋" w:hAnsi="仿宋" w:eastAsia="仿宋" w:cs="仿宋"/>
                <w:b/>
                <w:w w:val="99"/>
              </w:rPr>
              <w:t>措施</w:t>
            </w:r>
          </w:p>
          <w:p>
            <w:pPr>
              <w:pStyle w:val="75"/>
              <w:spacing w:before="164"/>
              <w:ind w:left="10"/>
              <w:jc w:val="center"/>
              <w:rPr>
                <w:rFonts w:ascii="仿宋" w:hAnsi="仿宋" w:eastAsia="仿宋" w:cs="仿宋"/>
                <w:b/>
                <w:w w:val="99"/>
                <w:szCs w:val="22"/>
              </w:rPr>
            </w:pPr>
            <w:r>
              <w:rPr>
                <w:rFonts w:hint="eastAsia" w:ascii="仿宋" w:hAnsi="仿宋" w:eastAsia="仿宋" w:cs="仿宋"/>
                <w:b/>
                <w:w w:val="99"/>
              </w:rPr>
              <w:t>（</w:t>
            </w:r>
            <w:r>
              <w:rPr>
                <w:rFonts w:hint="eastAsia" w:ascii="仿宋" w:hAnsi="仿宋" w:eastAsia="仿宋" w:cs="仿宋"/>
                <w:b/>
                <w:w w:val="99"/>
                <w:lang w:val="en-US"/>
              </w:rPr>
              <w:t>5分</w:t>
            </w:r>
            <w:r>
              <w:rPr>
                <w:rFonts w:hint="eastAsia" w:ascii="仿宋" w:hAnsi="仿宋" w:eastAsia="仿宋" w:cs="仿宋"/>
                <w:b/>
                <w:w w:val="99"/>
              </w:rPr>
              <w:t>）</w:t>
            </w:r>
          </w:p>
        </w:tc>
        <w:tc>
          <w:tcPr>
            <w:tcW w:w="6382" w:type="dxa"/>
            <w:tcBorders>
              <w:top w:val="single" w:color="000000" w:sz="4" w:space="0"/>
              <w:left w:val="single" w:color="auto" w:sz="4" w:space="0"/>
              <w:bottom w:val="single" w:color="000000" w:sz="4" w:space="0"/>
              <w:right w:val="single" w:color="000000" w:sz="4" w:space="0"/>
            </w:tcBorders>
            <w:vAlign w:val="center"/>
          </w:tcPr>
          <w:p>
            <w:pPr>
              <w:pStyle w:val="75"/>
              <w:spacing w:before="4" w:line="270" w:lineRule="atLeast"/>
              <w:ind w:left="111" w:right="21"/>
              <w:jc w:val="left"/>
              <w:rPr>
                <w:rFonts w:ascii="仿宋" w:hAnsi="仿宋" w:eastAsia="仿宋" w:cs="仿宋"/>
              </w:rPr>
            </w:pPr>
            <w:r>
              <w:rPr>
                <w:rFonts w:hint="eastAsia" w:ascii="仿宋" w:hAnsi="仿宋" w:eastAsia="仿宋" w:cs="仿宋"/>
              </w:rPr>
              <w:t>服务保证措施计划明确、合理、计划可行性强，符合实际需求得</w:t>
            </w:r>
            <w:r>
              <w:rPr>
                <w:rFonts w:hint="eastAsia" w:ascii="仿宋" w:hAnsi="仿宋" w:eastAsia="仿宋" w:cs="仿宋"/>
                <w:lang w:val="en-US"/>
              </w:rPr>
              <w:t>5</w:t>
            </w:r>
            <w:r>
              <w:rPr>
                <w:rFonts w:hint="eastAsia" w:ascii="仿宋" w:hAnsi="仿宋" w:eastAsia="仿宋" w:cs="仿宋"/>
              </w:rPr>
              <w:t>分；</w:t>
            </w:r>
          </w:p>
          <w:p>
            <w:pPr>
              <w:pStyle w:val="75"/>
              <w:spacing w:before="4" w:line="270" w:lineRule="atLeast"/>
              <w:ind w:left="111" w:right="21"/>
              <w:jc w:val="left"/>
              <w:rPr>
                <w:rFonts w:ascii="仿宋" w:hAnsi="仿宋" w:eastAsia="仿宋" w:cs="仿宋"/>
              </w:rPr>
            </w:pPr>
            <w:r>
              <w:rPr>
                <w:rFonts w:hint="eastAsia" w:ascii="仿宋" w:hAnsi="仿宋" w:eastAsia="仿宋" w:cs="仿宋"/>
              </w:rPr>
              <w:t>服务保证措施计划粗略但可行，符合实际需求得</w:t>
            </w:r>
            <w:r>
              <w:rPr>
                <w:rFonts w:hint="eastAsia" w:ascii="仿宋" w:hAnsi="仿宋" w:eastAsia="仿宋" w:cs="仿宋"/>
                <w:lang w:val="en-US"/>
              </w:rPr>
              <w:t>3</w:t>
            </w:r>
            <w:r>
              <w:rPr>
                <w:rFonts w:hint="eastAsia" w:ascii="仿宋" w:hAnsi="仿宋" w:eastAsia="仿宋" w:cs="仿宋"/>
              </w:rPr>
              <w:t>分；</w:t>
            </w:r>
          </w:p>
          <w:p>
            <w:pPr>
              <w:pStyle w:val="75"/>
              <w:spacing w:before="4" w:line="270" w:lineRule="atLeast"/>
              <w:ind w:left="111" w:right="21"/>
              <w:jc w:val="left"/>
              <w:rPr>
                <w:rFonts w:ascii="仿宋" w:hAnsi="仿宋" w:eastAsia="仿宋" w:cs="仿宋"/>
              </w:rPr>
            </w:pPr>
            <w:r>
              <w:rPr>
                <w:rFonts w:hint="eastAsia" w:ascii="仿宋" w:hAnsi="仿宋" w:eastAsia="仿宋" w:cs="仿宋"/>
              </w:rPr>
              <w:t>服务保证措施计划较比简单，可行性一般，基本符合需求得</w:t>
            </w:r>
            <w:r>
              <w:rPr>
                <w:rFonts w:hint="eastAsia" w:ascii="仿宋" w:hAnsi="仿宋" w:eastAsia="仿宋" w:cs="仿宋"/>
                <w:lang w:val="en-US"/>
              </w:rPr>
              <w:t>1</w:t>
            </w:r>
            <w:r>
              <w:rPr>
                <w:rFonts w:hint="eastAsia" w:ascii="仿宋" w:hAnsi="仿宋" w:eastAsia="仿宋" w:cs="仿宋"/>
              </w:rPr>
              <w:t>分；</w:t>
            </w:r>
          </w:p>
          <w:p>
            <w:pPr>
              <w:pStyle w:val="75"/>
              <w:spacing w:before="4" w:line="270" w:lineRule="atLeast"/>
              <w:ind w:left="111" w:right="21"/>
              <w:jc w:val="left"/>
              <w:rPr>
                <w:rFonts w:ascii="仿宋" w:hAnsi="仿宋" w:eastAsia="仿宋" w:cs="仿宋"/>
              </w:rPr>
            </w:pPr>
            <w:r>
              <w:rPr>
                <w:rFonts w:hint="eastAsia" w:ascii="仿宋" w:hAnsi="仿宋" w:eastAsia="仿宋" w:cs="仿宋"/>
              </w:rPr>
              <w:t>未提供得0分。</w:t>
            </w:r>
          </w:p>
        </w:tc>
        <w:tc>
          <w:tcPr>
            <w:tcW w:w="722" w:type="dxa"/>
            <w:tcBorders>
              <w:top w:val="single" w:color="000000" w:sz="4" w:space="0"/>
              <w:left w:val="single" w:color="000000" w:sz="4" w:space="0"/>
              <w:bottom w:val="single" w:color="000000" w:sz="4" w:space="0"/>
            </w:tcBorders>
            <w:vAlign w:val="center"/>
          </w:tcPr>
          <w:p>
            <w:pPr>
              <w:pStyle w:val="75"/>
              <w:spacing w:before="164"/>
              <w:ind w:left="10"/>
              <w:jc w:val="center"/>
              <w:rPr>
                <w:rFonts w:ascii="仿宋" w:hAnsi="仿宋" w:eastAsia="仿宋" w:cs="仿宋"/>
                <w:bCs/>
                <w:w w:val="99"/>
                <w:lang w:val="en-US"/>
              </w:rPr>
            </w:pPr>
            <w:r>
              <w:rPr>
                <w:rFonts w:hint="eastAsia" w:ascii="仿宋" w:hAnsi="仿宋" w:eastAsia="仿宋" w:cs="仿宋"/>
                <w:bCs/>
                <w:w w:val="99"/>
                <w:lang w:val="en-US"/>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790" w:type="dxa"/>
            <w:vMerge w:val="continue"/>
            <w:tcBorders>
              <w:left w:val="single" w:color="auto" w:sz="4" w:space="0"/>
              <w:right w:val="single" w:color="000000" w:sz="4" w:space="0"/>
            </w:tcBorders>
          </w:tcPr>
          <w:p>
            <w:pPr>
              <w:pStyle w:val="75"/>
              <w:spacing w:before="164"/>
              <w:ind w:left="10"/>
              <w:jc w:val="center"/>
              <w:rPr>
                <w:rFonts w:ascii="仿宋" w:hAnsi="仿宋" w:eastAsia="仿宋" w:cs="仿宋"/>
                <w:b/>
                <w:w w:val="99"/>
              </w:rPr>
            </w:pPr>
          </w:p>
        </w:tc>
        <w:tc>
          <w:tcPr>
            <w:tcW w:w="996" w:type="dxa"/>
            <w:vMerge w:val="continue"/>
            <w:tcBorders>
              <w:left w:val="single" w:color="000000" w:sz="4" w:space="0"/>
              <w:right w:val="single" w:color="000000" w:sz="4" w:space="0"/>
            </w:tcBorders>
          </w:tcPr>
          <w:p>
            <w:pPr>
              <w:pStyle w:val="75"/>
              <w:spacing w:before="164"/>
              <w:ind w:left="10"/>
              <w:jc w:val="center"/>
              <w:rPr>
                <w:rFonts w:ascii="仿宋" w:hAnsi="仿宋" w:eastAsia="仿宋" w:cs="仿宋"/>
                <w:b/>
                <w:w w:val="99"/>
              </w:rPr>
            </w:pPr>
          </w:p>
        </w:tc>
        <w:tc>
          <w:tcPr>
            <w:tcW w:w="1241" w:type="dxa"/>
            <w:tcBorders>
              <w:top w:val="single" w:color="auto" w:sz="4" w:space="0"/>
              <w:left w:val="single" w:color="000000" w:sz="4" w:space="0"/>
              <w:bottom w:val="single" w:color="auto" w:sz="4" w:space="0"/>
              <w:right w:val="single" w:color="auto" w:sz="4" w:space="0"/>
            </w:tcBorders>
            <w:vAlign w:val="center"/>
          </w:tcPr>
          <w:p>
            <w:pPr>
              <w:pStyle w:val="75"/>
              <w:spacing w:before="164"/>
              <w:ind w:left="10"/>
              <w:jc w:val="center"/>
              <w:rPr>
                <w:rFonts w:ascii="仿宋" w:hAnsi="仿宋" w:eastAsia="仿宋" w:cs="仿宋"/>
                <w:b/>
                <w:w w:val="99"/>
              </w:rPr>
            </w:pPr>
            <w:r>
              <w:rPr>
                <w:rFonts w:hint="eastAsia" w:ascii="仿宋" w:hAnsi="仿宋" w:eastAsia="仿宋" w:cs="仿宋"/>
                <w:b/>
                <w:w w:val="99"/>
              </w:rPr>
              <w:t>质量保障</w:t>
            </w:r>
          </w:p>
          <w:p>
            <w:pPr>
              <w:pStyle w:val="75"/>
              <w:spacing w:before="164"/>
              <w:ind w:left="10"/>
              <w:jc w:val="center"/>
              <w:rPr>
                <w:rFonts w:ascii="仿宋" w:hAnsi="仿宋" w:eastAsia="仿宋" w:cs="仿宋"/>
                <w:b/>
                <w:w w:val="99"/>
              </w:rPr>
            </w:pPr>
            <w:r>
              <w:rPr>
                <w:rFonts w:hint="eastAsia" w:ascii="仿宋" w:hAnsi="仿宋" w:eastAsia="仿宋" w:cs="仿宋"/>
                <w:b/>
                <w:w w:val="99"/>
              </w:rPr>
              <w:t>(</w:t>
            </w:r>
            <w:r>
              <w:rPr>
                <w:rFonts w:hint="eastAsia" w:ascii="仿宋" w:hAnsi="仿宋" w:eastAsia="仿宋" w:cs="仿宋"/>
                <w:b/>
                <w:w w:val="99"/>
                <w:lang w:val="en-US"/>
              </w:rPr>
              <w:t>5</w:t>
            </w:r>
            <w:r>
              <w:rPr>
                <w:rFonts w:hint="eastAsia" w:ascii="仿宋" w:hAnsi="仿宋" w:eastAsia="仿宋" w:cs="仿宋"/>
                <w:b/>
                <w:w w:val="99"/>
              </w:rPr>
              <w:t>分)</w:t>
            </w:r>
          </w:p>
        </w:tc>
        <w:tc>
          <w:tcPr>
            <w:tcW w:w="6382" w:type="dxa"/>
            <w:tcBorders>
              <w:top w:val="single" w:color="000000" w:sz="4" w:space="0"/>
              <w:left w:val="single" w:color="auto" w:sz="4" w:space="0"/>
              <w:bottom w:val="single" w:color="000000" w:sz="4" w:space="0"/>
              <w:right w:val="single" w:color="000000" w:sz="4" w:space="0"/>
            </w:tcBorders>
            <w:vAlign w:val="center"/>
          </w:tcPr>
          <w:p>
            <w:pPr>
              <w:pStyle w:val="75"/>
              <w:spacing w:before="4" w:line="270" w:lineRule="atLeast"/>
              <w:ind w:left="111" w:right="21"/>
              <w:jc w:val="left"/>
              <w:rPr>
                <w:rFonts w:ascii="仿宋" w:hAnsi="仿宋" w:eastAsia="仿宋" w:cs="仿宋"/>
              </w:rPr>
            </w:pPr>
            <w:r>
              <w:rPr>
                <w:rFonts w:hint="eastAsia" w:ascii="仿宋" w:hAnsi="仿宋" w:eastAsia="仿宋" w:cs="仿宋"/>
              </w:rPr>
              <w:t>质量保障措施全面合理，完善且针对性强，得</w:t>
            </w:r>
            <w:r>
              <w:rPr>
                <w:rFonts w:hint="eastAsia" w:ascii="仿宋" w:hAnsi="仿宋" w:eastAsia="仿宋" w:cs="仿宋"/>
                <w:lang w:val="en-US"/>
              </w:rPr>
              <w:t>5</w:t>
            </w:r>
            <w:r>
              <w:rPr>
                <w:rFonts w:hint="eastAsia" w:ascii="仿宋" w:hAnsi="仿宋" w:eastAsia="仿宋" w:cs="仿宋"/>
              </w:rPr>
              <w:t>分；</w:t>
            </w:r>
          </w:p>
          <w:p>
            <w:pPr>
              <w:pStyle w:val="75"/>
              <w:spacing w:before="4" w:line="270" w:lineRule="atLeast"/>
              <w:ind w:left="111" w:right="21"/>
              <w:jc w:val="left"/>
              <w:rPr>
                <w:rFonts w:ascii="仿宋" w:hAnsi="仿宋" w:eastAsia="仿宋" w:cs="仿宋"/>
              </w:rPr>
            </w:pPr>
            <w:r>
              <w:rPr>
                <w:rFonts w:hint="eastAsia" w:ascii="仿宋" w:hAnsi="仿宋" w:eastAsia="仿宋" w:cs="仿宋"/>
              </w:rPr>
              <w:t>质量保障措施基本满足磋商文件要求得</w:t>
            </w:r>
            <w:r>
              <w:rPr>
                <w:rFonts w:hint="eastAsia" w:ascii="仿宋" w:hAnsi="仿宋" w:eastAsia="仿宋" w:cs="仿宋"/>
                <w:lang w:val="en-US"/>
              </w:rPr>
              <w:t>3</w:t>
            </w:r>
            <w:r>
              <w:rPr>
                <w:rFonts w:hint="eastAsia" w:ascii="仿宋" w:hAnsi="仿宋" w:eastAsia="仿宋" w:cs="仿宋"/>
              </w:rPr>
              <w:t>分；</w:t>
            </w:r>
          </w:p>
          <w:p>
            <w:pPr>
              <w:pStyle w:val="75"/>
              <w:spacing w:before="4" w:line="270" w:lineRule="atLeast"/>
              <w:ind w:left="111" w:right="21"/>
              <w:jc w:val="left"/>
              <w:rPr>
                <w:rFonts w:ascii="仿宋" w:hAnsi="仿宋" w:eastAsia="仿宋" w:cs="仿宋"/>
              </w:rPr>
            </w:pPr>
            <w:r>
              <w:rPr>
                <w:rFonts w:hint="eastAsia" w:ascii="仿宋" w:hAnsi="仿宋" w:eastAsia="仿宋" w:cs="仿宋"/>
              </w:rPr>
              <w:t>质量保障措施欠缺得</w:t>
            </w:r>
            <w:r>
              <w:rPr>
                <w:rFonts w:hint="eastAsia" w:ascii="仿宋" w:hAnsi="仿宋" w:eastAsia="仿宋" w:cs="仿宋"/>
                <w:lang w:val="en-US"/>
              </w:rPr>
              <w:t>1</w:t>
            </w:r>
            <w:r>
              <w:rPr>
                <w:rFonts w:hint="eastAsia" w:ascii="仿宋" w:hAnsi="仿宋" w:eastAsia="仿宋" w:cs="仿宋"/>
              </w:rPr>
              <w:t>分；</w:t>
            </w:r>
          </w:p>
          <w:p>
            <w:pPr>
              <w:pStyle w:val="75"/>
              <w:spacing w:before="4" w:line="270" w:lineRule="atLeast"/>
              <w:ind w:left="111" w:right="21"/>
              <w:jc w:val="left"/>
              <w:rPr>
                <w:rFonts w:ascii="仿宋" w:hAnsi="仿宋" w:eastAsia="仿宋" w:cs="仿宋"/>
              </w:rPr>
            </w:pPr>
            <w:r>
              <w:rPr>
                <w:rFonts w:hint="eastAsia" w:ascii="仿宋" w:hAnsi="仿宋" w:eastAsia="仿宋" w:cs="仿宋"/>
              </w:rPr>
              <w:t>无相关内容得 0 分。</w:t>
            </w:r>
          </w:p>
        </w:tc>
        <w:tc>
          <w:tcPr>
            <w:tcW w:w="722" w:type="dxa"/>
            <w:tcBorders>
              <w:top w:val="single" w:color="000000" w:sz="4" w:space="0"/>
              <w:left w:val="single" w:color="000000" w:sz="4" w:space="0"/>
              <w:bottom w:val="single" w:color="000000" w:sz="4" w:space="0"/>
            </w:tcBorders>
            <w:vAlign w:val="center"/>
          </w:tcPr>
          <w:p>
            <w:pPr>
              <w:pStyle w:val="75"/>
              <w:spacing w:before="164"/>
              <w:ind w:left="10"/>
              <w:jc w:val="center"/>
              <w:rPr>
                <w:rFonts w:ascii="仿宋" w:hAnsi="仿宋" w:eastAsia="仿宋" w:cs="仿宋"/>
                <w:bCs/>
                <w:w w:val="99"/>
                <w:lang w:val="en-US"/>
              </w:rPr>
            </w:pPr>
            <w:r>
              <w:rPr>
                <w:rFonts w:hint="eastAsia" w:ascii="仿宋" w:hAnsi="仿宋" w:eastAsia="仿宋" w:cs="仿宋"/>
                <w:bCs/>
                <w:w w:val="99"/>
                <w:lang w:val="en-US"/>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790" w:type="dxa"/>
            <w:vMerge w:val="continue"/>
            <w:tcBorders>
              <w:left w:val="single" w:color="auto" w:sz="4" w:space="0"/>
              <w:bottom w:val="single" w:color="auto" w:sz="4" w:space="0"/>
              <w:right w:val="single" w:color="000000" w:sz="4" w:space="0"/>
            </w:tcBorders>
          </w:tcPr>
          <w:p>
            <w:pPr>
              <w:pStyle w:val="75"/>
              <w:spacing w:before="164"/>
              <w:ind w:left="10"/>
              <w:jc w:val="center"/>
              <w:rPr>
                <w:rFonts w:ascii="仿宋" w:hAnsi="仿宋" w:eastAsia="仿宋" w:cs="仿宋"/>
                <w:b/>
                <w:w w:val="99"/>
              </w:rPr>
            </w:pPr>
          </w:p>
        </w:tc>
        <w:tc>
          <w:tcPr>
            <w:tcW w:w="996" w:type="dxa"/>
            <w:vMerge w:val="continue"/>
            <w:tcBorders>
              <w:left w:val="single" w:color="000000" w:sz="4" w:space="0"/>
              <w:bottom w:val="single" w:color="auto" w:sz="4" w:space="0"/>
              <w:right w:val="single" w:color="000000" w:sz="4" w:space="0"/>
            </w:tcBorders>
          </w:tcPr>
          <w:p>
            <w:pPr>
              <w:pStyle w:val="75"/>
              <w:spacing w:before="164"/>
              <w:ind w:left="10"/>
              <w:jc w:val="center"/>
              <w:rPr>
                <w:rFonts w:ascii="仿宋" w:hAnsi="仿宋" w:eastAsia="仿宋" w:cs="仿宋"/>
                <w:b/>
                <w:w w:val="99"/>
              </w:rPr>
            </w:pPr>
          </w:p>
        </w:tc>
        <w:tc>
          <w:tcPr>
            <w:tcW w:w="1241" w:type="dxa"/>
            <w:tcBorders>
              <w:top w:val="single" w:color="auto" w:sz="4" w:space="0"/>
              <w:left w:val="single" w:color="000000" w:sz="4" w:space="0"/>
              <w:bottom w:val="single" w:color="auto" w:sz="4" w:space="0"/>
              <w:right w:val="single" w:color="auto" w:sz="4" w:space="0"/>
            </w:tcBorders>
            <w:vAlign w:val="center"/>
          </w:tcPr>
          <w:p>
            <w:pPr>
              <w:pStyle w:val="75"/>
              <w:spacing w:before="164"/>
              <w:ind w:left="10"/>
              <w:jc w:val="center"/>
              <w:rPr>
                <w:rFonts w:ascii="仿宋" w:hAnsi="仿宋" w:eastAsia="仿宋" w:cs="仿宋"/>
                <w:b/>
                <w:w w:val="99"/>
              </w:rPr>
            </w:pPr>
            <w:r>
              <w:rPr>
                <w:rFonts w:hint="eastAsia" w:ascii="仿宋" w:hAnsi="仿宋" w:eastAsia="仿宋" w:cs="仿宋"/>
                <w:b/>
                <w:w w:val="99"/>
              </w:rPr>
              <w:t>保密措施</w:t>
            </w:r>
          </w:p>
          <w:p>
            <w:pPr>
              <w:pStyle w:val="75"/>
              <w:spacing w:before="164"/>
              <w:ind w:left="10"/>
              <w:jc w:val="center"/>
              <w:rPr>
                <w:rFonts w:ascii="仿宋" w:hAnsi="仿宋" w:eastAsia="仿宋" w:cs="仿宋"/>
                <w:b/>
                <w:w w:val="99"/>
              </w:rPr>
            </w:pPr>
            <w:r>
              <w:rPr>
                <w:rFonts w:hint="eastAsia" w:ascii="仿宋" w:hAnsi="仿宋" w:eastAsia="仿宋" w:cs="仿宋"/>
                <w:b/>
                <w:w w:val="99"/>
              </w:rPr>
              <w:t>(</w:t>
            </w:r>
            <w:r>
              <w:rPr>
                <w:rFonts w:hint="eastAsia" w:ascii="仿宋" w:hAnsi="仿宋" w:eastAsia="仿宋" w:cs="仿宋"/>
                <w:b/>
                <w:w w:val="99"/>
                <w:lang w:val="en-US"/>
              </w:rPr>
              <w:t>5</w:t>
            </w:r>
            <w:r>
              <w:rPr>
                <w:rFonts w:hint="eastAsia" w:ascii="仿宋" w:hAnsi="仿宋" w:eastAsia="仿宋" w:cs="仿宋"/>
                <w:b/>
                <w:w w:val="99"/>
              </w:rPr>
              <w:t>分)</w:t>
            </w:r>
          </w:p>
        </w:tc>
        <w:tc>
          <w:tcPr>
            <w:tcW w:w="6382" w:type="dxa"/>
            <w:tcBorders>
              <w:top w:val="single" w:color="000000" w:sz="4" w:space="0"/>
              <w:left w:val="single" w:color="auto" w:sz="4" w:space="0"/>
              <w:bottom w:val="single" w:color="000000" w:sz="4" w:space="0"/>
              <w:right w:val="single" w:color="000000" w:sz="4" w:space="0"/>
            </w:tcBorders>
            <w:vAlign w:val="center"/>
          </w:tcPr>
          <w:p>
            <w:pPr>
              <w:pStyle w:val="75"/>
              <w:spacing w:before="4" w:line="270" w:lineRule="atLeast"/>
              <w:ind w:left="111" w:right="21"/>
              <w:jc w:val="left"/>
              <w:rPr>
                <w:rFonts w:ascii="仿宋" w:hAnsi="仿宋" w:eastAsia="仿宋" w:cs="仿宋"/>
              </w:rPr>
            </w:pPr>
            <w:r>
              <w:rPr>
                <w:rFonts w:hint="eastAsia" w:ascii="仿宋" w:hAnsi="仿宋" w:eastAsia="仿宋" w:cs="仿宋"/>
              </w:rPr>
              <w:t>保密保障措施全面合理，数据资料保密制度细致得</w:t>
            </w:r>
            <w:r>
              <w:rPr>
                <w:rFonts w:hint="eastAsia" w:ascii="仿宋" w:hAnsi="仿宋" w:eastAsia="仿宋" w:cs="仿宋"/>
                <w:lang w:val="en-US"/>
              </w:rPr>
              <w:t>5</w:t>
            </w:r>
            <w:r>
              <w:rPr>
                <w:rFonts w:hint="eastAsia" w:ascii="仿宋" w:hAnsi="仿宋" w:eastAsia="仿宋" w:cs="仿宋"/>
              </w:rPr>
              <w:t>分；</w:t>
            </w:r>
          </w:p>
          <w:p>
            <w:pPr>
              <w:pStyle w:val="75"/>
              <w:spacing w:before="4" w:line="270" w:lineRule="atLeast"/>
              <w:ind w:left="111" w:right="21"/>
              <w:jc w:val="left"/>
              <w:rPr>
                <w:rFonts w:ascii="仿宋" w:hAnsi="仿宋" w:eastAsia="仿宋" w:cs="仿宋"/>
              </w:rPr>
            </w:pPr>
            <w:r>
              <w:rPr>
                <w:rFonts w:hint="eastAsia" w:ascii="仿宋" w:hAnsi="仿宋" w:eastAsia="仿宋" w:cs="仿宋"/>
              </w:rPr>
              <w:t>保密保障措施，数据资料保密制度基本满足磋商文件要求得</w:t>
            </w:r>
            <w:r>
              <w:rPr>
                <w:rFonts w:hint="eastAsia" w:ascii="仿宋" w:hAnsi="仿宋" w:eastAsia="仿宋" w:cs="仿宋"/>
                <w:lang w:val="en-US"/>
              </w:rPr>
              <w:t>3</w:t>
            </w:r>
            <w:r>
              <w:rPr>
                <w:rFonts w:hint="eastAsia" w:ascii="仿宋" w:hAnsi="仿宋" w:eastAsia="仿宋" w:cs="仿宋"/>
              </w:rPr>
              <w:t>分；</w:t>
            </w:r>
          </w:p>
          <w:p>
            <w:pPr>
              <w:pStyle w:val="75"/>
              <w:spacing w:before="4" w:line="270" w:lineRule="atLeast"/>
              <w:ind w:left="111" w:right="21"/>
              <w:jc w:val="left"/>
              <w:rPr>
                <w:rFonts w:ascii="仿宋" w:hAnsi="仿宋" w:eastAsia="仿宋" w:cs="仿宋"/>
              </w:rPr>
            </w:pPr>
            <w:r>
              <w:rPr>
                <w:rFonts w:hint="eastAsia" w:ascii="仿宋" w:hAnsi="仿宋" w:eastAsia="仿宋" w:cs="仿宋"/>
              </w:rPr>
              <w:t>保密保障措施，数据资料保密制度欠缺得</w:t>
            </w:r>
            <w:r>
              <w:rPr>
                <w:rFonts w:hint="eastAsia" w:ascii="仿宋" w:hAnsi="仿宋" w:eastAsia="仿宋" w:cs="仿宋"/>
                <w:lang w:val="en-US"/>
              </w:rPr>
              <w:t>1</w:t>
            </w:r>
            <w:r>
              <w:rPr>
                <w:rFonts w:hint="eastAsia" w:ascii="仿宋" w:hAnsi="仿宋" w:eastAsia="仿宋" w:cs="仿宋"/>
              </w:rPr>
              <w:t>分；</w:t>
            </w:r>
          </w:p>
          <w:p>
            <w:pPr>
              <w:pStyle w:val="75"/>
              <w:spacing w:before="4" w:line="270" w:lineRule="atLeast"/>
              <w:ind w:left="111" w:right="21"/>
              <w:jc w:val="left"/>
              <w:rPr>
                <w:rFonts w:ascii="仿宋" w:hAnsi="仿宋" w:eastAsia="仿宋" w:cs="仿宋"/>
              </w:rPr>
            </w:pPr>
            <w:r>
              <w:rPr>
                <w:rFonts w:hint="eastAsia" w:ascii="仿宋" w:hAnsi="仿宋" w:eastAsia="仿宋" w:cs="仿宋"/>
              </w:rPr>
              <w:t>无相关内容得 0 分。</w:t>
            </w:r>
          </w:p>
        </w:tc>
        <w:tc>
          <w:tcPr>
            <w:tcW w:w="722" w:type="dxa"/>
            <w:tcBorders>
              <w:top w:val="single" w:color="000000" w:sz="4" w:space="0"/>
              <w:left w:val="single" w:color="000000" w:sz="4" w:space="0"/>
              <w:bottom w:val="single" w:color="000000" w:sz="4" w:space="0"/>
            </w:tcBorders>
            <w:vAlign w:val="center"/>
          </w:tcPr>
          <w:p>
            <w:pPr>
              <w:pStyle w:val="75"/>
              <w:spacing w:before="164"/>
              <w:ind w:left="10"/>
              <w:jc w:val="center"/>
              <w:rPr>
                <w:rFonts w:ascii="仿宋" w:hAnsi="仿宋" w:eastAsia="仿宋" w:cs="仿宋"/>
                <w:bCs/>
                <w:w w:val="99"/>
                <w:lang w:val="en-US"/>
              </w:rPr>
            </w:pPr>
            <w:r>
              <w:rPr>
                <w:rFonts w:hint="eastAsia" w:ascii="仿宋" w:hAnsi="仿宋" w:eastAsia="仿宋" w:cs="仿宋"/>
                <w:bCs/>
                <w:w w:val="99"/>
                <w:lang w:val="en-US"/>
              </w:rPr>
              <w:t>5</w:t>
            </w:r>
          </w:p>
        </w:tc>
      </w:tr>
    </w:tbl>
    <w:p>
      <w:pPr>
        <w:ind w:firstLine="420" w:firstLineChars="200"/>
        <w:rPr>
          <w:rFonts w:ascii="宋体" w:hAnsi="宋体"/>
          <w:b/>
          <w:color w:val="FF0000"/>
          <w:spacing w:val="-2"/>
          <w:sz w:val="30"/>
          <w:szCs w:val="30"/>
        </w:rPr>
      </w:pPr>
      <w:bookmarkStart w:id="67" w:name="第七章__响应文件组成和格式"/>
      <w:bookmarkEnd w:id="67"/>
      <w:r>
        <w:rPr>
          <w:rFonts w:hint="eastAsia" w:ascii="仿宋" w:hAnsi="仿宋" w:eastAsia="仿宋" w:cs="仿宋"/>
        </w:rPr>
        <w:t>注：评分分值计算保留小数点后两位，小数点后第三位“四舍五入”。</w:t>
      </w:r>
    </w:p>
    <w:p>
      <w:pPr>
        <w:pStyle w:val="9"/>
        <w:rPr>
          <w:b/>
          <w:bCs/>
          <w:sz w:val="21"/>
          <w:szCs w:val="21"/>
        </w:rPr>
      </w:pPr>
    </w:p>
    <w:p>
      <w:pPr>
        <w:rPr>
          <w:b/>
          <w:bCs/>
          <w:szCs w:val="21"/>
        </w:rPr>
      </w:pPr>
    </w:p>
    <w:p>
      <w:pPr>
        <w:spacing w:line="360" w:lineRule="auto"/>
        <w:ind w:firstLine="643" w:firstLineChars="200"/>
        <w:jc w:val="center"/>
        <w:outlineLvl w:val="1"/>
        <w:rPr>
          <w:rFonts w:ascii="宋体" w:hAnsi="宋体" w:cs="宋体"/>
          <w:b/>
          <w:sz w:val="32"/>
          <w:szCs w:val="32"/>
        </w:rPr>
      </w:pPr>
      <w:r>
        <w:rPr>
          <w:rFonts w:hint="eastAsia" w:ascii="宋体" w:hAnsi="宋体" w:cs="宋体"/>
          <w:b/>
          <w:sz w:val="32"/>
          <w:szCs w:val="32"/>
        </w:rPr>
        <w:t>八、成交及合同签订</w:t>
      </w:r>
    </w:p>
    <w:p>
      <w:pPr>
        <w:snapToGrid w:val="0"/>
        <w:spacing w:line="360" w:lineRule="auto"/>
        <w:ind w:firstLine="482" w:firstLineChars="200"/>
        <w:jc w:val="left"/>
        <w:rPr>
          <w:rFonts w:ascii="宋体" w:hAnsi="宋体" w:cs="宋体"/>
          <w:sz w:val="24"/>
        </w:rPr>
      </w:pPr>
      <w:bookmarkStart w:id="68" w:name="_Toc13949"/>
      <w:r>
        <w:rPr>
          <w:rFonts w:hint="eastAsia" w:ascii="宋体" w:hAnsi="宋体" w:cs="宋体"/>
          <w:b/>
          <w:bCs/>
          <w:sz w:val="24"/>
        </w:rPr>
        <w:t>（一）</w:t>
      </w:r>
      <w:bookmarkEnd w:id="68"/>
      <w:r>
        <w:rPr>
          <w:rFonts w:hint="eastAsia" w:ascii="宋体" w:hAnsi="宋体" w:cs="宋体"/>
          <w:b/>
          <w:bCs/>
          <w:sz w:val="24"/>
        </w:rPr>
        <w:t>成交</w:t>
      </w:r>
    </w:p>
    <w:p>
      <w:pPr>
        <w:snapToGrid w:val="0"/>
        <w:spacing w:line="360" w:lineRule="auto"/>
        <w:ind w:firstLine="480" w:firstLineChars="200"/>
        <w:rPr>
          <w:rFonts w:ascii="宋体" w:hAnsi="宋体" w:cs="宋体"/>
          <w:sz w:val="24"/>
        </w:rPr>
      </w:pPr>
      <w:r>
        <w:rPr>
          <w:rFonts w:hint="eastAsia" w:ascii="宋体" w:hAnsi="宋体" w:cs="宋体"/>
          <w:sz w:val="24"/>
        </w:rPr>
        <w:t>综合评分法，是指响应文件满足磋商文件全部实质性要求，且按照评审因素的量化指标评审得分最高得供应商为中标候选人的评标办法。</w:t>
      </w:r>
    </w:p>
    <w:p>
      <w:pPr>
        <w:snapToGrid w:val="0"/>
        <w:spacing w:line="360" w:lineRule="auto"/>
        <w:ind w:firstLine="482" w:firstLineChars="200"/>
        <w:rPr>
          <w:rFonts w:ascii="宋体" w:hAnsi="宋体" w:cs="宋体"/>
          <w:sz w:val="24"/>
        </w:rPr>
      </w:pPr>
      <w:r>
        <w:rPr>
          <w:rFonts w:hint="eastAsia" w:ascii="宋体" w:hAnsi="宋体" w:cs="宋体"/>
          <w:b/>
          <w:bCs/>
          <w:sz w:val="24"/>
        </w:rPr>
        <w:t>（二）资格条件</w:t>
      </w:r>
    </w:p>
    <w:p>
      <w:pPr>
        <w:snapToGrid w:val="0"/>
        <w:spacing w:line="360" w:lineRule="auto"/>
        <w:ind w:firstLine="480" w:firstLineChars="200"/>
        <w:jc w:val="left"/>
        <w:rPr>
          <w:rFonts w:ascii="宋体" w:hAnsi="宋体" w:cs="宋体"/>
          <w:sz w:val="24"/>
        </w:rPr>
      </w:pPr>
      <w:r>
        <w:rPr>
          <w:rFonts w:hint="eastAsia" w:ascii="宋体" w:hAnsi="宋体" w:cs="宋体"/>
          <w:sz w:val="24"/>
        </w:rPr>
        <w:t>1、采购人将在签订合同前对成交候选供应商是否能圆满地履行合同进行审查。审查包括成交候选供应商响应文件中提供的所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rPr>
          <w:rFonts w:ascii="宋体" w:hAnsi="宋体" w:cs="宋体"/>
          <w:sz w:val="24"/>
        </w:rPr>
      </w:pPr>
      <w:r>
        <w:rPr>
          <w:rFonts w:hint="eastAsia" w:ascii="宋体" w:hAnsi="宋体" w:cs="宋体"/>
          <w:sz w:val="24"/>
        </w:rPr>
        <w:t>2、采购人若发现成交候选供应商在竞标过程中提供虚假证明文件，故意隐瞒公司不良信誉和财务状况，以及存在可能对合同圆满履行造成风险的其他因素等，则按规定取消其成交资格，监管部门依法进行处理。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ascii="宋体" w:hAnsi="宋体" w:cs="宋体"/>
          <w:sz w:val="24"/>
        </w:rPr>
      </w:pPr>
      <w:r>
        <w:rPr>
          <w:rFonts w:hint="eastAsia" w:ascii="宋体" w:hAnsi="宋体" w:cs="宋体"/>
          <w:sz w:val="24"/>
        </w:rPr>
        <w:t>3、如果成交候选供应商被确认为不具备执行合同的能力，采购人将考虑按同样的程序审查下一个成交候选供应商。</w:t>
      </w:r>
    </w:p>
    <w:p>
      <w:pPr>
        <w:snapToGrid w:val="0"/>
        <w:spacing w:line="360" w:lineRule="auto"/>
        <w:ind w:firstLine="482" w:firstLineChars="200"/>
        <w:jc w:val="left"/>
        <w:rPr>
          <w:rFonts w:ascii="宋体" w:hAnsi="宋体" w:cs="宋体"/>
          <w:sz w:val="24"/>
        </w:rPr>
      </w:pPr>
      <w:r>
        <w:rPr>
          <w:rFonts w:hint="eastAsia" w:ascii="宋体" w:hAnsi="宋体" w:cs="宋体"/>
          <w:b/>
          <w:bCs/>
          <w:sz w:val="24"/>
        </w:rPr>
        <w:t>（三）成交通知书</w:t>
      </w:r>
    </w:p>
    <w:p>
      <w:pPr>
        <w:snapToGrid w:val="0"/>
        <w:spacing w:line="360" w:lineRule="auto"/>
        <w:ind w:firstLine="480" w:firstLineChars="200"/>
        <w:jc w:val="left"/>
        <w:rPr>
          <w:rFonts w:ascii="宋体" w:hAnsi="宋体" w:cs="宋体"/>
          <w:sz w:val="24"/>
        </w:rPr>
      </w:pPr>
      <w:r>
        <w:rPr>
          <w:rFonts w:hint="eastAsia" w:ascii="宋体" w:hAnsi="宋体" w:cs="宋体"/>
          <w:sz w:val="24"/>
        </w:rPr>
        <w:t>1、成交结果在</w:t>
      </w:r>
      <w:r>
        <w:rPr>
          <w:rFonts w:hint="eastAsia" w:ascii="宋体" w:hAnsi="宋体" w:cs="宋体"/>
          <w:color w:val="000000"/>
          <w:sz w:val="24"/>
        </w:rPr>
        <w:t>新疆政府采购网官网（http://www.ccgp-xinjiang.gov.cn/)</w:t>
      </w:r>
      <w:r>
        <w:rPr>
          <w:rFonts w:hint="eastAsia" w:ascii="宋体" w:hAnsi="宋体" w:cs="宋体"/>
          <w:sz w:val="24"/>
        </w:rPr>
        <w:t>发布公告，采购人将向成交供应商发出成交通知书。</w:t>
      </w:r>
    </w:p>
    <w:p>
      <w:pPr>
        <w:snapToGrid w:val="0"/>
        <w:spacing w:line="360" w:lineRule="auto"/>
        <w:ind w:firstLine="480" w:firstLineChars="200"/>
        <w:jc w:val="left"/>
        <w:rPr>
          <w:rFonts w:ascii="宋体" w:hAnsi="宋体" w:cs="宋体"/>
          <w:sz w:val="24"/>
        </w:rPr>
      </w:pPr>
      <w:r>
        <w:rPr>
          <w:rFonts w:hint="eastAsia" w:ascii="宋体" w:hAnsi="宋体" w:cs="宋体"/>
          <w:sz w:val="24"/>
        </w:rPr>
        <w:t>2、成交供应商应及时到政府采购人领取成交通知书，成交通知书是签订合同的依据和组成部分。</w:t>
      </w:r>
    </w:p>
    <w:p>
      <w:pPr>
        <w:snapToGrid w:val="0"/>
        <w:spacing w:line="360" w:lineRule="auto"/>
        <w:ind w:firstLine="482" w:firstLineChars="200"/>
        <w:jc w:val="left"/>
        <w:rPr>
          <w:rFonts w:ascii="宋体" w:hAnsi="宋体" w:cs="宋体"/>
          <w:sz w:val="24"/>
        </w:rPr>
      </w:pPr>
      <w:r>
        <w:rPr>
          <w:rFonts w:hint="eastAsia" w:ascii="宋体" w:hAnsi="宋体" w:cs="宋体"/>
          <w:b/>
          <w:bCs/>
          <w:sz w:val="24"/>
        </w:rPr>
        <w:t>（四）签订合同</w:t>
      </w:r>
    </w:p>
    <w:p>
      <w:pPr>
        <w:snapToGrid w:val="0"/>
        <w:spacing w:line="360" w:lineRule="auto"/>
        <w:ind w:firstLine="480" w:firstLineChars="200"/>
        <w:jc w:val="left"/>
        <w:rPr>
          <w:rFonts w:ascii="宋体" w:hAnsi="宋体" w:cs="宋体"/>
          <w:b/>
          <w:sz w:val="24"/>
        </w:rPr>
      </w:pPr>
      <w:r>
        <w:rPr>
          <w:rFonts w:hint="eastAsia" w:ascii="宋体" w:hAnsi="宋体" w:cs="宋体"/>
          <w:sz w:val="24"/>
        </w:rPr>
        <w:t>成交供应商应在规定的时间、地点与采购人签订合同，竞争性磋商文件、成交人的响应文件、分次报价及服务承诺文件以及评过程中有关澄清文件均作为合同附件，</w:t>
      </w:r>
      <w:r>
        <w:rPr>
          <w:rFonts w:hint="eastAsia" w:ascii="宋体" w:hAnsi="宋体" w:cs="宋体"/>
          <w:b/>
          <w:sz w:val="24"/>
        </w:rPr>
        <w:t>合同经采购人审核盖章后实施</w:t>
      </w:r>
      <w:r>
        <w:rPr>
          <w:rFonts w:hint="eastAsia" w:ascii="宋体" w:hAnsi="宋体" w:cs="宋体"/>
          <w:sz w:val="24"/>
        </w:rPr>
        <w:t>。</w:t>
      </w:r>
    </w:p>
    <w:p>
      <w:pPr>
        <w:snapToGrid w:val="0"/>
        <w:spacing w:line="360" w:lineRule="auto"/>
        <w:ind w:firstLine="480" w:firstLineChars="200"/>
        <w:jc w:val="left"/>
        <w:rPr>
          <w:rFonts w:ascii="宋体" w:hAnsi="宋体" w:cs="宋体"/>
          <w:sz w:val="24"/>
        </w:rPr>
      </w:pPr>
      <w:r>
        <w:rPr>
          <w:rFonts w:hint="eastAsia" w:ascii="宋体" w:hAnsi="宋体" w:cs="宋体"/>
          <w:sz w:val="24"/>
        </w:rPr>
        <w:t>成交供应商无正当理由未在规定时间内与采购人签订合同的，采购人有权建议取消其成交资格，监管部门将对其依法处理。</w:t>
      </w:r>
    </w:p>
    <w:p>
      <w:pPr>
        <w:snapToGrid w:val="0"/>
        <w:spacing w:line="360" w:lineRule="auto"/>
        <w:ind w:firstLine="602" w:firstLineChars="200"/>
        <w:jc w:val="center"/>
        <w:outlineLvl w:val="1"/>
        <w:rPr>
          <w:rFonts w:ascii="宋体" w:hAnsi="宋体" w:cs="宋体"/>
          <w:b/>
          <w:sz w:val="30"/>
          <w:szCs w:val="30"/>
        </w:rPr>
      </w:pPr>
      <w:bookmarkStart w:id="69" w:name="_Toc5106"/>
      <w:r>
        <w:rPr>
          <w:rFonts w:hint="eastAsia" w:ascii="宋体" w:hAnsi="宋体" w:cs="宋体"/>
          <w:b/>
          <w:sz w:val="30"/>
          <w:szCs w:val="30"/>
        </w:rPr>
        <w:t>九、验收及付款</w:t>
      </w:r>
      <w:bookmarkEnd w:id="69"/>
    </w:p>
    <w:p>
      <w:pPr>
        <w:snapToGrid w:val="0"/>
        <w:spacing w:line="360" w:lineRule="auto"/>
        <w:ind w:firstLine="482" w:firstLineChars="200"/>
        <w:jc w:val="left"/>
        <w:rPr>
          <w:rFonts w:ascii="宋体" w:hAnsi="宋体" w:cs="宋体"/>
          <w:b/>
          <w:bCs/>
          <w:sz w:val="24"/>
        </w:rPr>
      </w:pPr>
      <w:r>
        <w:rPr>
          <w:rFonts w:hint="eastAsia" w:ascii="宋体" w:hAnsi="宋体" w:cs="宋体"/>
          <w:b/>
          <w:bCs/>
          <w:sz w:val="24"/>
        </w:rPr>
        <w:t>（一）验收</w:t>
      </w:r>
    </w:p>
    <w:p>
      <w:pPr>
        <w:snapToGrid w:val="0"/>
        <w:spacing w:line="360" w:lineRule="auto"/>
        <w:ind w:right="105" w:rightChars="50" w:firstLine="480" w:firstLineChars="200"/>
        <w:jc w:val="left"/>
        <w:rPr>
          <w:rFonts w:ascii="宋体" w:hAnsi="宋体" w:cs="宋体"/>
          <w:sz w:val="24"/>
        </w:rPr>
      </w:pPr>
      <w:r>
        <w:rPr>
          <w:rFonts w:hint="eastAsia" w:ascii="宋体" w:hAnsi="宋体" w:cs="宋体"/>
          <w:sz w:val="24"/>
        </w:rPr>
        <w:t>招标单位组建验收小组，验收小组由招标单位三人以上组成，按</w:t>
      </w:r>
      <w:r>
        <w:rPr>
          <w:rFonts w:hint="eastAsia" w:ascii="宋体" w:hAnsi="宋体" w:cs="宋体"/>
          <w:bCs/>
          <w:sz w:val="24"/>
        </w:rPr>
        <w:t>招标合同约定的时间组织验收。</w:t>
      </w:r>
    </w:p>
    <w:p>
      <w:pPr>
        <w:snapToGrid w:val="0"/>
        <w:spacing w:line="360" w:lineRule="auto"/>
        <w:ind w:firstLine="482" w:firstLineChars="200"/>
        <w:jc w:val="left"/>
        <w:rPr>
          <w:rFonts w:ascii="宋体" w:hAnsi="宋体" w:cs="宋体"/>
          <w:b/>
          <w:bCs/>
          <w:sz w:val="24"/>
        </w:rPr>
      </w:pPr>
      <w:r>
        <w:rPr>
          <w:rFonts w:hint="eastAsia" w:ascii="宋体" w:hAnsi="宋体" w:cs="宋体"/>
          <w:b/>
          <w:bCs/>
          <w:sz w:val="24"/>
        </w:rPr>
        <w:t>（二）项目办结及付款</w:t>
      </w:r>
    </w:p>
    <w:p>
      <w:pPr>
        <w:snapToGrid w:val="0"/>
        <w:spacing w:line="360" w:lineRule="auto"/>
        <w:ind w:firstLine="480" w:firstLineChars="200"/>
        <w:jc w:val="left"/>
        <w:rPr>
          <w:rFonts w:ascii="宋体" w:hAnsi="宋体" w:cs="宋体"/>
          <w:b/>
          <w:bCs/>
          <w:sz w:val="24"/>
        </w:rPr>
      </w:pPr>
      <w:r>
        <w:rPr>
          <w:rFonts w:hint="eastAsia" w:ascii="宋体" w:hAnsi="宋体" w:cs="宋体"/>
          <w:sz w:val="24"/>
        </w:rPr>
        <w:t>采购人项目合同、验收报告和经政府招标处签章的发票原件在合同约定的时间内办理招标款支付手续。</w:t>
      </w:r>
    </w:p>
    <w:p>
      <w:pPr>
        <w:spacing w:line="460" w:lineRule="exact"/>
        <w:outlineLvl w:val="0"/>
        <w:rPr>
          <w:rFonts w:ascii="宋体" w:hAnsi="宋体" w:cs="宋体"/>
          <w:b/>
          <w:sz w:val="44"/>
          <w:szCs w:val="44"/>
        </w:rPr>
      </w:pPr>
      <w:bookmarkStart w:id="70" w:name="_Toc21912"/>
      <w:bookmarkStart w:id="71" w:name="_Toc1613"/>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outlineLvl w:val="0"/>
        <w:rPr>
          <w:rFonts w:ascii="宋体" w:hAnsi="宋体" w:cs="宋体"/>
          <w:b/>
          <w:sz w:val="44"/>
          <w:szCs w:val="44"/>
        </w:rPr>
      </w:pPr>
    </w:p>
    <w:p>
      <w:pPr>
        <w:spacing w:line="460" w:lineRule="exact"/>
        <w:jc w:val="center"/>
        <w:outlineLvl w:val="0"/>
        <w:rPr>
          <w:rFonts w:ascii="宋体" w:hAnsi="宋体" w:cs="宋体"/>
          <w:b/>
          <w:sz w:val="44"/>
          <w:szCs w:val="44"/>
        </w:rPr>
      </w:pPr>
    </w:p>
    <w:p>
      <w:pPr>
        <w:spacing w:line="460" w:lineRule="exact"/>
        <w:jc w:val="center"/>
        <w:outlineLvl w:val="0"/>
        <w:rPr>
          <w:rFonts w:ascii="宋体" w:hAnsi="宋体" w:cs="宋体"/>
          <w:b/>
          <w:sz w:val="44"/>
          <w:szCs w:val="44"/>
        </w:rPr>
      </w:pPr>
    </w:p>
    <w:p>
      <w:pPr>
        <w:spacing w:line="460" w:lineRule="exact"/>
        <w:jc w:val="center"/>
        <w:outlineLvl w:val="0"/>
        <w:rPr>
          <w:rFonts w:ascii="宋体" w:hAnsi="宋体" w:cs="宋体"/>
          <w:b/>
          <w:sz w:val="44"/>
          <w:szCs w:val="44"/>
        </w:rPr>
      </w:pPr>
    </w:p>
    <w:bookmarkEnd w:id="70"/>
    <w:bookmarkEnd w:id="71"/>
    <w:p>
      <w:pPr>
        <w:adjustRightInd w:val="0"/>
        <w:snapToGrid w:val="0"/>
        <w:spacing w:line="360" w:lineRule="auto"/>
        <w:ind w:left="851" w:hanging="851"/>
        <w:jc w:val="center"/>
        <w:rPr>
          <w:rFonts w:ascii="仿宋" w:hAnsi="仿宋" w:eastAsia="仿宋" w:cs="仿宋"/>
          <w:b/>
          <w:color w:val="000000"/>
          <w:sz w:val="36"/>
          <w:szCs w:val="36"/>
        </w:rPr>
      </w:pPr>
      <w:bookmarkStart w:id="72" w:name="_Toc256000003"/>
      <w:bookmarkStart w:id="73" w:name="_Toc23208"/>
      <w:r>
        <w:rPr>
          <w:rFonts w:hint="eastAsia" w:ascii="仿宋" w:hAnsi="仿宋" w:eastAsia="仿宋" w:cs="仿宋"/>
          <w:b/>
          <w:color w:val="000000"/>
          <w:sz w:val="36"/>
          <w:szCs w:val="36"/>
        </w:rPr>
        <w:t>第三部分 采购需求</w:t>
      </w:r>
    </w:p>
    <w:p>
      <w:pPr>
        <w:adjustRightInd w:val="0"/>
        <w:snapToGrid w:val="0"/>
        <w:ind w:left="851" w:hanging="851"/>
        <w:jc w:val="center"/>
        <w:rPr>
          <w:rFonts w:ascii="仿宋" w:hAnsi="仿宋" w:eastAsia="仿宋" w:cs="仿宋"/>
          <w:b/>
          <w:color w:val="000000"/>
          <w:sz w:val="36"/>
          <w:szCs w:val="36"/>
        </w:rPr>
      </w:pPr>
    </w:p>
    <w:p>
      <w:pPr>
        <w:spacing w:line="360" w:lineRule="auto"/>
        <w:jc w:val="center"/>
        <w:rPr>
          <w:rFonts w:ascii="宋体" w:hAnsi="宋体" w:cs="宋体"/>
          <w:b/>
          <w:color w:val="000000"/>
          <w:sz w:val="28"/>
          <w:szCs w:val="28"/>
        </w:rPr>
      </w:pPr>
      <w:bookmarkStart w:id="74" w:name="一、项目概况"/>
      <w:bookmarkEnd w:id="74"/>
      <w:bookmarkStart w:id="75" w:name="子包01：4个行政村财务代理服务"/>
      <w:bookmarkEnd w:id="75"/>
      <w:r>
        <w:rPr>
          <w:rFonts w:hint="eastAsia" w:ascii="宋体" w:hAnsi="宋体" w:cs="宋体"/>
          <w:b/>
          <w:color w:val="000000"/>
          <w:sz w:val="28"/>
          <w:szCs w:val="28"/>
        </w:rPr>
        <w:t>一、技术标准</w:t>
      </w:r>
    </w:p>
    <w:p>
      <w:pPr>
        <w:spacing w:line="340" w:lineRule="exact"/>
        <w:rPr>
          <w:rFonts w:ascii="宋体" w:hAnsi="宋体" w:cs="宋体"/>
          <w:b/>
          <w:color w:val="000000"/>
          <w:sz w:val="28"/>
          <w:szCs w:val="28"/>
        </w:rPr>
      </w:pPr>
      <w:r>
        <w:rPr>
          <w:rFonts w:hint="eastAsia" w:ascii="宋体" w:hAnsi="宋体" w:cs="宋体"/>
          <w:b/>
          <w:color w:val="000000"/>
          <w:sz w:val="28"/>
          <w:szCs w:val="28"/>
        </w:rPr>
        <w:t>本次项目实施技术等，应符合下列最新版本的国家标准/规范要求（但不限于此）：</w:t>
      </w:r>
    </w:p>
    <w:p>
      <w:pPr>
        <w:spacing w:line="340" w:lineRule="exact"/>
        <w:ind w:firstLine="420"/>
        <w:rPr>
          <w:rFonts w:ascii="宋体" w:hAnsi="宋体" w:cs="宋体"/>
          <w:color w:val="auto"/>
          <w:sz w:val="28"/>
          <w:szCs w:val="28"/>
          <w:highlight w:val="none"/>
        </w:rPr>
      </w:pPr>
      <w:r>
        <w:rPr>
          <w:rFonts w:hint="eastAsia" w:ascii="宋体" w:hAnsi="宋体" w:cs="宋体"/>
          <w:color w:val="auto"/>
          <w:sz w:val="28"/>
          <w:szCs w:val="28"/>
          <w:highlight w:val="none"/>
        </w:rPr>
        <w:t>（1）《中华人民共和国土地管理法》；</w:t>
      </w:r>
    </w:p>
    <w:p>
      <w:pPr>
        <w:spacing w:line="340" w:lineRule="exact"/>
        <w:ind w:firstLine="420"/>
        <w:rPr>
          <w:rFonts w:ascii="宋体" w:hAnsi="宋体" w:cs="宋体"/>
          <w:color w:val="auto"/>
          <w:sz w:val="28"/>
          <w:szCs w:val="28"/>
          <w:highlight w:val="none"/>
        </w:rPr>
      </w:pPr>
      <w:r>
        <w:rPr>
          <w:rFonts w:hint="eastAsia" w:ascii="宋体" w:hAnsi="宋体" w:cs="宋体"/>
          <w:color w:val="auto"/>
          <w:sz w:val="28"/>
          <w:szCs w:val="28"/>
          <w:highlight w:val="none"/>
        </w:rPr>
        <w:t>（2）《农用地分等定级规程》；</w:t>
      </w:r>
    </w:p>
    <w:p>
      <w:pPr>
        <w:spacing w:line="340" w:lineRule="exact"/>
        <w:ind w:firstLine="420"/>
        <w:rPr>
          <w:rFonts w:ascii="宋体" w:hAnsi="宋体" w:cs="宋体"/>
          <w:color w:val="auto"/>
          <w:sz w:val="28"/>
          <w:szCs w:val="28"/>
          <w:highlight w:val="none"/>
        </w:rPr>
      </w:pPr>
      <w:r>
        <w:rPr>
          <w:rFonts w:hint="eastAsia" w:ascii="宋体" w:hAnsi="宋体" w:cs="宋体"/>
          <w:color w:val="auto"/>
          <w:sz w:val="28"/>
          <w:szCs w:val="28"/>
          <w:highlight w:val="none"/>
        </w:rPr>
        <w:t>（3）《农用地估价规程》</w:t>
      </w:r>
    </w:p>
    <w:p>
      <w:pPr>
        <w:spacing w:line="340" w:lineRule="exact"/>
        <w:ind w:firstLine="420"/>
        <w:rPr>
          <w:rFonts w:ascii="宋体" w:hAnsi="宋体" w:cs="宋体"/>
          <w:color w:val="auto"/>
          <w:sz w:val="28"/>
          <w:szCs w:val="28"/>
          <w:highlight w:val="none"/>
        </w:rPr>
      </w:pPr>
    </w:p>
    <w:p>
      <w:pPr>
        <w:spacing w:line="240" w:lineRule="exact"/>
        <w:rPr>
          <w:rFonts w:ascii="宋体" w:hAnsi="宋体" w:cs="宋体"/>
          <w:b/>
          <w:color w:val="auto"/>
          <w:sz w:val="28"/>
          <w:szCs w:val="28"/>
          <w:highlight w:val="none"/>
        </w:rPr>
      </w:pPr>
    </w:p>
    <w:p>
      <w:pPr>
        <w:spacing w:line="360" w:lineRule="auto"/>
        <w:jc w:val="center"/>
        <w:rPr>
          <w:rFonts w:ascii="宋体" w:hAnsi="宋体" w:cs="宋体"/>
          <w:color w:val="auto"/>
          <w:sz w:val="28"/>
          <w:szCs w:val="28"/>
          <w:highlight w:val="none"/>
        </w:rPr>
      </w:pPr>
      <w:r>
        <w:rPr>
          <w:rFonts w:hint="eastAsia" w:ascii="宋体" w:hAnsi="宋体" w:cs="宋体"/>
          <w:b/>
          <w:color w:val="auto"/>
          <w:sz w:val="28"/>
          <w:szCs w:val="28"/>
          <w:highlight w:val="none"/>
        </w:rPr>
        <w:t>二、需提交的成果资料</w:t>
      </w:r>
    </w:p>
    <w:p>
      <w:pPr>
        <w:spacing w:line="340" w:lineRule="exact"/>
        <w:rPr>
          <w:rFonts w:ascii="宋体" w:hAnsi="宋体" w:cs="宋体"/>
          <w:color w:val="auto"/>
          <w:sz w:val="28"/>
          <w:szCs w:val="28"/>
          <w:highlight w:val="none"/>
        </w:rPr>
      </w:pPr>
      <w:r>
        <w:rPr>
          <w:rFonts w:hint="eastAsia" w:ascii="宋体" w:hAnsi="宋体" w:cs="宋体"/>
          <w:color w:val="auto"/>
          <w:sz w:val="28"/>
          <w:szCs w:val="28"/>
          <w:highlight w:val="none"/>
        </w:rPr>
        <w:t>需提交的成果资料内容：根据项目需要，按合同要求提交。</w:t>
      </w:r>
    </w:p>
    <w:p>
      <w:pPr>
        <w:spacing w:line="460" w:lineRule="exact"/>
        <w:jc w:val="center"/>
        <w:rPr>
          <w:rFonts w:ascii="宋体" w:hAnsi="宋体" w:cs="宋体"/>
          <w:b/>
          <w:color w:val="auto"/>
          <w:sz w:val="28"/>
          <w:szCs w:val="28"/>
          <w:highlight w:val="none"/>
        </w:rPr>
      </w:pPr>
    </w:p>
    <w:p>
      <w:pPr>
        <w:spacing w:line="46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三、成果交付时间</w:t>
      </w:r>
    </w:p>
    <w:p>
      <w:pPr>
        <w:spacing w:line="460" w:lineRule="exact"/>
        <w:rPr>
          <w:rFonts w:ascii="宋体" w:hAnsi="宋体" w:cs="宋体"/>
          <w:color w:val="auto"/>
          <w:sz w:val="28"/>
          <w:szCs w:val="28"/>
          <w:highlight w:val="none"/>
        </w:rPr>
      </w:pPr>
      <w:r>
        <w:rPr>
          <w:rFonts w:hint="eastAsia" w:ascii="宋体" w:hAnsi="宋体" w:cs="宋体"/>
          <w:color w:val="auto"/>
          <w:sz w:val="28"/>
          <w:szCs w:val="28"/>
          <w:highlight w:val="none"/>
        </w:rPr>
        <w:t>中标人应在合同签订后15天内提交相应成果。</w:t>
      </w:r>
    </w:p>
    <w:p>
      <w:pPr>
        <w:pStyle w:val="5"/>
        <w:spacing w:line="360" w:lineRule="auto"/>
        <w:ind w:firstLine="0"/>
        <w:jc w:val="center"/>
        <w:rPr>
          <w:b/>
          <w:bCs/>
          <w:color w:val="auto"/>
          <w:sz w:val="30"/>
          <w:szCs w:val="30"/>
          <w:highlight w:val="none"/>
        </w:rPr>
      </w:pPr>
      <w:r>
        <w:rPr>
          <w:rFonts w:hint="eastAsia"/>
          <w:b/>
          <w:bCs/>
          <w:color w:val="auto"/>
          <w:sz w:val="30"/>
          <w:szCs w:val="30"/>
          <w:highlight w:val="none"/>
        </w:rPr>
        <w:t>四、项目基本情况</w:t>
      </w:r>
    </w:p>
    <w:p>
      <w:pPr>
        <w:pStyle w:val="5"/>
        <w:spacing w:line="360" w:lineRule="auto"/>
        <w:ind w:firstLine="0"/>
        <w:rPr>
          <w:color w:val="auto"/>
          <w:sz w:val="30"/>
          <w:szCs w:val="30"/>
          <w:highlight w:val="none"/>
        </w:rPr>
      </w:pPr>
      <w:r>
        <w:rPr>
          <w:rFonts w:hint="eastAsia"/>
          <w:color w:val="auto"/>
          <w:sz w:val="30"/>
          <w:szCs w:val="30"/>
          <w:highlight w:val="none"/>
        </w:rPr>
        <w:t>1、对项目的说明</w:t>
      </w:r>
    </w:p>
    <w:p>
      <w:pPr>
        <w:pStyle w:val="5"/>
        <w:spacing w:line="360" w:lineRule="auto"/>
        <w:ind w:firstLine="400" w:firstLineChars="200"/>
        <w:rPr>
          <w:rFonts w:hint="eastAsia"/>
          <w:color w:val="auto"/>
          <w:sz w:val="30"/>
          <w:szCs w:val="30"/>
          <w:highlight w:val="none"/>
        </w:rPr>
      </w:pPr>
      <w:r>
        <w:rPr>
          <w:color w:val="auto"/>
          <w:highlight w:val="none"/>
        </w:rPr>
        <w:fldChar w:fldCharType="begin"/>
      </w:r>
      <w:r>
        <w:rPr>
          <w:color w:val="auto"/>
          <w:highlight w:val="none"/>
        </w:rPr>
        <w:instrText xml:space="preserve"> HYPERLINK "http://www.so.com/s?q=%E5%86%9C%E7%94%A8%E5%9C%B0&amp;ie=utf-8&amp;src=internal_wenda_recommend_textn" \t "https://wenda.so.com/q/_blank" </w:instrText>
      </w:r>
      <w:r>
        <w:rPr>
          <w:color w:val="auto"/>
          <w:highlight w:val="none"/>
        </w:rPr>
        <w:fldChar w:fldCharType="separate"/>
      </w:r>
      <w:r>
        <w:rPr>
          <w:rFonts w:hint="eastAsia"/>
          <w:color w:val="auto"/>
          <w:sz w:val="30"/>
          <w:szCs w:val="30"/>
          <w:highlight w:val="none"/>
        </w:rPr>
        <w:t>农用地</w:t>
      </w:r>
      <w:r>
        <w:rPr>
          <w:rFonts w:hint="eastAsia"/>
          <w:color w:val="auto"/>
          <w:sz w:val="30"/>
          <w:szCs w:val="30"/>
          <w:highlight w:val="none"/>
        </w:rPr>
        <w:fldChar w:fldCharType="end"/>
      </w:r>
      <w:r>
        <w:rPr>
          <w:rFonts w:hint="eastAsia"/>
          <w:color w:val="auto"/>
          <w:sz w:val="30"/>
          <w:szCs w:val="30"/>
          <w:highlight w:val="none"/>
        </w:rPr>
        <w:t>是指用于</w:t>
      </w:r>
      <w:r>
        <w:rPr>
          <w:color w:val="auto"/>
          <w:highlight w:val="none"/>
        </w:rPr>
        <w:fldChar w:fldCharType="begin"/>
      </w:r>
      <w:r>
        <w:rPr>
          <w:color w:val="auto"/>
          <w:highlight w:val="none"/>
        </w:rPr>
        <w:instrText xml:space="preserve"> HYPERLINK "http://www.so.com/s?q=%E5%86%9C%E4%B8%9A%E7%94%9F%E4%BA%A7&amp;ie=utf-8&amp;src=internal_wenda_recommend_textn" \t "https://wenda.so.com/q/_blank" </w:instrText>
      </w:r>
      <w:r>
        <w:rPr>
          <w:color w:val="auto"/>
          <w:highlight w:val="none"/>
        </w:rPr>
        <w:fldChar w:fldCharType="separate"/>
      </w:r>
      <w:r>
        <w:rPr>
          <w:rFonts w:hint="eastAsia"/>
          <w:color w:val="auto"/>
          <w:sz w:val="30"/>
          <w:szCs w:val="30"/>
          <w:highlight w:val="none"/>
        </w:rPr>
        <w:t>农业生产</w:t>
      </w:r>
      <w:r>
        <w:rPr>
          <w:rFonts w:hint="eastAsia"/>
          <w:color w:val="auto"/>
          <w:sz w:val="30"/>
          <w:szCs w:val="30"/>
          <w:highlight w:val="none"/>
        </w:rPr>
        <w:fldChar w:fldCharType="end"/>
      </w:r>
      <w:r>
        <w:rPr>
          <w:rFonts w:hint="eastAsia"/>
          <w:color w:val="auto"/>
          <w:sz w:val="30"/>
          <w:szCs w:val="30"/>
          <w:highlight w:val="none"/>
        </w:rPr>
        <w:t>的土地，包括</w:t>
      </w:r>
      <w:r>
        <w:rPr>
          <w:color w:val="auto"/>
          <w:highlight w:val="none"/>
        </w:rPr>
        <w:fldChar w:fldCharType="begin"/>
      </w:r>
      <w:r>
        <w:rPr>
          <w:color w:val="auto"/>
          <w:highlight w:val="none"/>
        </w:rPr>
        <w:instrText xml:space="preserve"> HYPERLINK "http://www.so.com/s?q=%E8%80%95%E5%9C%B0&amp;ie=utf-8&amp;src=internal_wenda_recommend_textn" \t "https://wenda.so.com/q/_blank" </w:instrText>
      </w:r>
      <w:r>
        <w:rPr>
          <w:color w:val="auto"/>
          <w:highlight w:val="none"/>
        </w:rPr>
        <w:fldChar w:fldCharType="separate"/>
      </w:r>
      <w:r>
        <w:rPr>
          <w:rFonts w:hint="eastAsia"/>
          <w:color w:val="auto"/>
          <w:sz w:val="30"/>
          <w:szCs w:val="30"/>
          <w:highlight w:val="none"/>
        </w:rPr>
        <w:t>耕地</w:t>
      </w:r>
      <w:r>
        <w:rPr>
          <w:rFonts w:hint="eastAsia"/>
          <w:color w:val="auto"/>
          <w:sz w:val="30"/>
          <w:szCs w:val="30"/>
          <w:highlight w:val="none"/>
        </w:rPr>
        <w:fldChar w:fldCharType="end"/>
      </w:r>
      <w:r>
        <w:rPr>
          <w:rFonts w:hint="eastAsia"/>
          <w:color w:val="auto"/>
          <w:sz w:val="30"/>
          <w:szCs w:val="30"/>
          <w:highlight w:val="none"/>
        </w:rPr>
        <w:t>、</w:t>
      </w:r>
      <w:r>
        <w:rPr>
          <w:color w:val="auto"/>
          <w:highlight w:val="none"/>
        </w:rPr>
        <w:fldChar w:fldCharType="begin"/>
      </w:r>
      <w:r>
        <w:rPr>
          <w:color w:val="auto"/>
          <w:highlight w:val="none"/>
        </w:rPr>
        <w:instrText xml:space="preserve"> HYPERLINK "http://www.so.com/s?q=%E5%9B%AD%E5%9C%B0&amp;ie=utf-8&amp;src=internal_wenda_recommend_textn" \t "https://wenda.so.com/q/_blank" </w:instrText>
      </w:r>
      <w:r>
        <w:rPr>
          <w:color w:val="auto"/>
          <w:highlight w:val="none"/>
        </w:rPr>
        <w:fldChar w:fldCharType="separate"/>
      </w:r>
      <w:r>
        <w:rPr>
          <w:rFonts w:hint="eastAsia"/>
          <w:color w:val="auto"/>
          <w:sz w:val="30"/>
          <w:szCs w:val="30"/>
          <w:highlight w:val="none"/>
        </w:rPr>
        <w:t>园地</w:t>
      </w:r>
      <w:r>
        <w:rPr>
          <w:rFonts w:hint="eastAsia"/>
          <w:color w:val="auto"/>
          <w:sz w:val="30"/>
          <w:szCs w:val="30"/>
          <w:highlight w:val="none"/>
        </w:rPr>
        <w:fldChar w:fldCharType="end"/>
      </w:r>
      <w:r>
        <w:rPr>
          <w:rFonts w:hint="eastAsia"/>
          <w:color w:val="auto"/>
          <w:sz w:val="30"/>
          <w:szCs w:val="30"/>
          <w:highlight w:val="none"/>
        </w:rPr>
        <w:t>、</w:t>
      </w:r>
      <w:r>
        <w:rPr>
          <w:color w:val="auto"/>
          <w:highlight w:val="none"/>
        </w:rPr>
        <w:fldChar w:fldCharType="begin"/>
      </w:r>
      <w:r>
        <w:rPr>
          <w:color w:val="auto"/>
          <w:highlight w:val="none"/>
        </w:rPr>
        <w:instrText xml:space="preserve"> HYPERLINK "http://www.so.com/s?q=%E6%9E%97%E5%9C%B0&amp;ie=utf-8&amp;src=internal_wenda_recommend_textn" \t "https://wenda.so.com/q/_blank" </w:instrText>
      </w:r>
      <w:r>
        <w:rPr>
          <w:color w:val="auto"/>
          <w:highlight w:val="none"/>
        </w:rPr>
        <w:fldChar w:fldCharType="separate"/>
      </w:r>
      <w:r>
        <w:rPr>
          <w:rFonts w:hint="eastAsia"/>
          <w:color w:val="auto"/>
          <w:sz w:val="30"/>
          <w:szCs w:val="30"/>
          <w:highlight w:val="none"/>
        </w:rPr>
        <w:t>林地</w:t>
      </w:r>
      <w:r>
        <w:rPr>
          <w:rFonts w:hint="eastAsia"/>
          <w:color w:val="auto"/>
          <w:sz w:val="30"/>
          <w:szCs w:val="30"/>
          <w:highlight w:val="none"/>
        </w:rPr>
        <w:fldChar w:fldCharType="end"/>
      </w:r>
      <w:r>
        <w:rPr>
          <w:rFonts w:hint="eastAsia"/>
          <w:color w:val="auto"/>
          <w:sz w:val="30"/>
          <w:szCs w:val="30"/>
          <w:highlight w:val="none"/>
        </w:rPr>
        <w:t>、</w:t>
      </w:r>
      <w:r>
        <w:rPr>
          <w:color w:val="auto"/>
          <w:highlight w:val="none"/>
        </w:rPr>
        <w:fldChar w:fldCharType="begin"/>
      </w:r>
      <w:r>
        <w:rPr>
          <w:color w:val="auto"/>
          <w:highlight w:val="none"/>
        </w:rPr>
        <w:instrText xml:space="preserve"> HYPERLINK "http://www.so.com/s?q=%E7%89%A7%E8%8D%89%E5%9C%B0&amp;ie=utf-8&amp;src=internal_wenda_recommend_textn" \t "https://wenda.so.com/q/_blank" </w:instrText>
      </w:r>
      <w:r>
        <w:rPr>
          <w:color w:val="auto"/>
          <w:highlight w:val="none"/>
        </w:rPr>
        <w:fldChar w:fldCharType="separate"/>
      </w:r>
      <w:r>
        <w:rPr>
          <w:rFonts w:hint="eastAsia"/>
          <w:color w:val="auto"/>
          <w:sz w:val="30"/>
          <w:szCs w:val="30"/>
          <w:highlight w:val="none"/>
        </w:rPr>
        <w:t>牧草地</w:t>
      </w:r>
      <w:r>
        <w:rPr>
          <w:rFonts w:hint="eastAsia"/>
          <w:color w:val="auto"/>
          <w:sz w:val="30"/>
          <w:szCs w:val="30"/>
          <w:highlight w:val="none"/>
        </w:rPr>
        <w:fldChar w:fldCharType="end"/>
      </w:r>
      <w:r>
        <w:rPr>
          <w:rFonts w:hint="eastAsia"/>
          <w:color w:val="auto"/>
          <w:sz w:val="30"/>
          <w:szCs w:val="30"/>
          <w:highlight w:val="none"/>
        </w:rPr>
        <w:t>及其他农用地，通过对影响土地质量的各种因素分析，建立土地定级的因素评价体系，采用多因素加权求和的方法，确定农用地土地级别，在综合定级的基础上，进一步划分均质区域，以市场交易资料为主，选择适宜的估价方法，建立可行的测算模型，以地面价形式评估出城区和农村集体商业用地、住宅用地、工业用地和公共服务用地各级别基准地价。通过对土地价格影响因素的分析，建立农用地各级别各用途的基准地价修正体系，形成基准地价修正系数表、修正系数说明表及其他修正系数表。通过归纳土地利用区位特点和市场交易样点地价的空间分布规律，建立地价体系，与原成果、相邻县市地价水平进行对比分析，提出应用建议。</w:t>
      </w:r>
      <w:r>
        <w:rPr>
          <w:rFonts w:hint="eastAsia"/>
          <w:color w:val="auto"/>
          <w:sz w:val="30"/>
          <w:szCs w:val="30"/>
          <w:highlight w:val="none"/>
        </w:rPr>
        <w:cr/>
      </w:r>
      <w:r>
        <w:rPr>
          <w:rFonts w:hint="eastAsia"/>
          <w:color w:val="auto"/>
          <w:sz w:val="30"/>
          <w:szCs w:val="30"/>
          <w:highlight w:val="none"/>
        </w:rPr>
        <w:t>2、工作任务</w:t>
      </w:r>
    </w:p>
    <w:p>
      <w:pPr>
        <w:pStyle w:val="5"/>
        <w:spacing w:line="360" w:lineRule="auto"/>
        <w:ind w:firstLine="600" w:firstLineChars="200"/>
        <w:rPr>
          <w:color w:val="auto"/>
          <w:sz w:val="30"/>
          <w:szCs w:val="30"/>
          <w:highlight w:val="none"/>
        </w:rPr>
      </w:pPr>
      <w:r>
        <w:rPr>
          <w:rFonts w:hint="eastAsia"/>
          <w:color w:val="auto"/>
          <w:sz w:val="30"/>
          <w:szCs w:val="30"/>
          <w:highlight w:val="none"/>
        </w:rPr>
        <w:t>（一）结合社会经济发展水平、农用地质量分布、总体规划和“多规合一”成果，对农用地进行级别划分。</w:t>
      </w:r>
      <w:r>
        <w:rPr>
          <w:rFonts w:hint="eastAsia"/>
          <w:color w:val="auto"/>
          <w:sz w:val="30"/>
          <w:szCs w:val="30"/>
          <w:highlight w:val="none"/>
        </w:rPr>
        <w:cr/>
      </w:r>
      <w:r>
        <w:rPr>
          <w:rFonts w:hint="eastAsia"/>
          <w:color w:val="auto"/>
          <w:sz w:val="30"/>
          <w:szCs w:val="30"/>
          <w:highlight w:val="none"/>
        </w:rPr>
        <w:t xml:space="preserve">    （二）根据策勒县农作物播种状况、主体农作物类型、耕作制度、农用地市场行情，分别测算主体农作物用地类型的基准地价和修正体系。</w:t>
      </w:r>
      <w:r>
        <w:rPr>
          <w:rFonts w:hint="eastAsia"/>
          <w:color w:val="auto"/>
          <w:sz w:val="30"/>
          <w:szCs w:val="30"/>
          <w:highlight w:val="none"/>
        </w:rPr>
        <w:cr/>
      </w:r>
      <w:r>
        <w:rPr>
          <w:rFonts w:hint="eastAsia"/>
          <w:color w:val="auto"/>
          <w:sz w:val="30"/>
          <w:szCs w:val="30"/>
          <w:highlight w:val="none"/>
        </w:rPr>
        <w:t xml:space="preserve">    （三）制作农用地级别与基准地价图；</w:t>
      </w:r>
      <w:r>
        <w:rPr>
          <w:rFonts w:hint="eastAsia"/>
          <w:color w:val="auto"/>
          <w:sz w:val="30"/>
          <w:szCs w:val="30"/>
          <w:highlight w:val="none"/>
        </w:rPr>
        <w:cr/>
      </w:r>
      <w:r>
        <w:rPr>
          <w:rFonts w:hint="eastAsia"/>
          <w:color w:val="auto"/>
          <w:sz w:val="30"/>
          <w:szCs w:val="30"/>
          <w:highlight w:val="none"/>
        </w:rPr>
        <w:t xml:space="preserve">    （四）完成策勒县农用地定级及基准地价工作报告和技术报告；</w:t>
      </w:r>
      <w:r>
        <w:rPr>
          <w:rFonts w:hint="eastAsia"/>
          <w:color w:val="auto"/>
          <w:sz w:val="30"/>
          <w:szCs w:val="30"/>
          <w:highlight w:val="none"/>
        </w:rPr>
        <w:cr/>
      </w:r>
      <w:r>
        <w:rPr>
          <w:rFonts w:hint="eastAsia"/>
          <w:color w:val="auto"/>
          <w:sz w:val="30"/>
          <w:szCs w:val="30"/>
          <w:highlight w:val="none"/>
        </w:rPr>
        <w:t xml:space="preserve">    （五）完成基准地价成果的听证汇报、按照评审验收意见完成对成果的修改完善。</w:t>
      </w:r>
      <w:r>
        <w:rPr>
          <w:color w:val="auto"/>
          <w:sz w:val="30"/>
          <w:szCs w:val="30"/>
          <w:highlight w:val="none"/>
        </w:rPr>
        <w:cr/>
      </w:r>
    </w:p>
    <w:p>
      <w:pPr>
        <w:pStyle w:val="7"/>
        <w:snapToGrid w:val="0"/>
        <w:spacing w:line="420" w:lineRule="atLeast"/>
        <w:ind w:firstLine="964"/>
        <w:jc w:val="center"/>
        <w:rPr>
          <w:rFonts w:ascii="黑体" w:hAnsi="黑体" w:eastAsia="黑体"/>
          <w:b/>
          <w:bCs/>
          <w:color w:val="auto"/>
          <w:sz w:val="48"/>
          <w:szCs w:val="48"/>
          <w:highlight w:val="none"/>
        </w:rPr>
      </w:pPr>
    </w:p>
    <w:p>
      <w:pPr>
        <w:pStyle w:val="7"/>
        <w:snapToGrid w:val="0"/>
        <w:spacing w:line="420" w:lineRule="atLeast"/>
        <w:ind w:firstLine="883"/>
        <w:jc w:val="center"/>
        <w:rPr>
          <w:rFonts w:ascii="黑体" w:hAnsi="黑体" w:eastAsia="黑体"/>
          <w:b/>
          <w:bCs/>
          <w:color w:val="auto"/>
          <w:sz w:val="44"/>
          <w:highlight w:val="none"/>
        </w:rPr>
      </w:pPr>
    </w:p>
    <w:p>
      <w:pPr>
        <w:pStyle w:val="7"/>
        <w:snapToGrid w:val="0"/>
        <w:spacing w:line="420" w:lineRule="atLeast"/>
        <w:ind w:firstLine="883"/>
        <w:jc w:val="center"/>
        <w:rPr>
          <w:rFonts w:ascii="黑体" w:hAnsi="黑体" w:eastAsia="黑体"/>
          <w:b/>
          <w:bCs/>
          <w:color w:val="auto"/>
          <w:sz w:val="44"/>
          <w:highlight w:val="none"/>
        </w:rPr>
      </w:pPr>
    </w:p>
    <w:p>
      <w:pPr>
        <w:spacing w:line="360" w:lineRule="exact"/>
        <w:rPr>
          <w:rFonts w:ascii="Tahoma" w:hAnsi="Tahoma" w:cs="Tahoma"/>
          <w:b/>
          <w:bCs/>
          <w:color w:val="auto"/>
          <w:sz w:val="28"/>
          <w:szCs w:val="28"/>
          <w:highlight w:val="none"/>
        </w:rPr>
      </w:pPr>
    </w:p>
    <w:p>
      <w:pPr>
        <w:spacing w:line="360" w:lineRule="exact"/>
        <w:rPr>
          <w:rFonts w:ascii="Tahoma" w:hAnsi="Tahoma" w:cs="Tahoma"/>
          <w:b/>
          <w:bCs/>
          <w:color w:val="auto"/>
          <w:sz w:val="28"/>
          <w:szCs w:val="28"/>
          <w:highlight w:val="none"/>
        </w:rPr>
      </w:pPr>
    </w:p>
    <w:p>
      <w:pPr>
        <w:autoSpaceDE w:val="0"/>
        <w:autoSpaceDN w:val="0"/>
        <w:adjustRightInd w:val="0"/>
        <w:spacing w:line="360" w:lineRule="exact"/>
        <w:ind w:right="172"/>
        <w:jc w:val="center"/>
        <w:rPr>
          <w:rFonts w:ascii="Tahoma" w:hAnsi="Tahoma" w:cs="Tahoma"/>
          <w:b/>
          <w:bCs/>
          <w:color w:val="auto"/>
          <w:sz w:val="28"/>
          <w:szCs w:val="28"/>
          <w:highlight w:val="none"/>
        </w:rPr>
      </w:pPr>
    </w:p>
    <w:p>
      <w:pPr>
        <w:autoSpaceDE w:val="0"/>
        <w:autoSpaceDN w:val="0"/>
        <w:adjustRightInd w:val="0"/>
        <w:spacing w:line="360" w:lineRule="exact"/>
        <w:ind w:right="172"/>
        <w:jc w:val="center"/>
        <w:rPr>
          <w:rFonts w:ascii="Tahoma" w:hAnsi="Tahoma" w:cs="Tahoma"/>
          <w:b/>
          <w:bCs/>
          <w:color w:val="auto"/>
          <w:sz w:val="28"/>
          <w:szCs w:val="28"/>
          <w:highlight w:val="none"/>
        </w:rPr>
      </w:pPr>
    </w:p>
    <w:p>
      <w:pPr>
        <w:autoSpaceDE w:val="0"/>
        <w:autoSpaceDN w:val="0"/>
        <w:adjustRightInd w:val="0"/>
        <w:spacing w:line="360" w:lineRule="exact"/>
        <w:ind w:right="172"/>
        <w:jc w:val="center"/>
        <w:rPr>
          <w:rFonts w:ascii="Tahoma" w:hAnsi="Tahoma" w:cs="Tahoma"/>
          <w:b/>
          <w:bCs/>
          <w:color w:val="auto"/>
          <w:sz w:val="28"/>
          <w:szCs w:val="28"/>
          <w:highlight w:val="none"/>
        </w:rPr>
      </w:pPr>
    </w:p>
    <w:p>
      <w:pPr>
        <w:autoSpaceDE w:val="0"/>
        <w:autoSpaceDN w:val="0"/>
        <w:adjustRightInd w:val="0"/>
        <w:spacing w:line="360" w:lineRule="exact"/>
        <w:ind w:right="172"/>
        <w:jc w:val="center"/>
        <w:rPr>
          <w:rFonts w:ascii="Tahoma" w:hAnsi="Tahoma" w:cs="Tahoma"/>
          <w:b/>
          <w:bCs/>
          <w:color w:val="auto"/>
          <w:sz w:val="28"/>
          <w:szCs w:val="28"/>
          <w:highlight w:val="none"/>
        </w:rPr>
      </w:pPr>
    </w:p>
    <w:p>
      <w:pPr>
        <w:autoSpaceDE w:val="0"/>
        <w:autoSpaceDN w:val="0"/>
        <w:adjustRightInd w:val="0"/>
        <w:spacing w:line="360" w:lineRule="exact"/>
        <w:ind w:right="172"/>
        <w:jc w:val="center"/>
        <w:rPr>
          <w:rFonts w:ascii="Tahoma" w:hAnsi="Tahoma" w:cs="Tahoma"/>
          <w:b/>
          <w:bCs/>
          <w:color w:val="auto"/>
          <w:sz w:val="28"/>
          <w:szCs w:val="28"/>
          <w:highlight w:val="none"/>
        </w:rPr>
      </w:pPr>
    </w:p>
    <w:p>
      <w:pPr>
        <w:pStyle w:val="7"/>
        <w:snapToGrid w:val="0"/>
        <w:spacing w:line="420" w:lineRule="atLeast"/>
        <w:jc w:val="center"/>
        <w:rPr>
          <w:rFonts w:ascii="Tahoma" w:hAnsi="Tahoma" w:cs="Tahoma"/>
          <w:color w:val="auto"/>
          <w:szCs w:val="21"/>
          <w:highlight w:val="none"/>
        </w:rPr>
      </w:pPr>
    </w:p>
    <w:p>
      <w:pPr>
        <w:pStyle w:val="7"/>
        <w:snapToGrid w:val="0"/>
        <w:spacing w:line="420" w:lineRule="atLeast"/>
        <w:jc w:val="center"/>
        <w:rPr>
          <w:rFonts w:ascii="Tahoma" w:hAnsi="Tahoma" w:cs="Tahoma"/>
          <w:color w:val="000000"/>
          <w:szCs w:val="21"/>
        </w:rPr>
      </w:pPr>
    </w:p>
    <w:p>
      <w:pPr>
        <w:pStyle w:val="3"/>
        <w:jc w:val="center"/>
        <w:rPr>
          <w:szCs w:val="36"/>
          <w:highlight w:val="white"/>
        </w:rPr>
      </w:pPr>
      <w:r>
        <w:rPr>
          <w:rFonts w:hint="eastAsia"/>
          <w:szCs w:val="36"/>
          <w:highlight w:val="white"/>
        </w:rPr>
        <w:t>第四章  合同格式及合同条款</w:t>
      </w:r>
      <w:bookmarkEnd w:id="72"/>
    </w:p>
    <w:p>
      <w:pPr>
        <w:rPr>
          <w:highlight w:val="red"/>
        </w:rPr>
      </w:pPr>
    </w:p>
    <w:p>
      <w:pPr>
        <w:rPr>
          <w:rFonts w:ascii="宋体" w:hAnsi="宋体"/>
          <w:color w:val="000000"/>
          <w:sz w:val="36"/>
          <w:szCs w:val="36"/>
        </w:rPr>
      </w:pPr>
    </w:p>
    <w:p>
      <w:pPr>
        <w:jc w:val="center"/>
        <w:rPr>
          <w:rFonts w:ascii="宋体" w:hAnsi="宋体" w:cs="宋体"/>
          <w:b/>
          <w:bCs/>
          <w:sz w:val="36"/>
          <w:szCs w:val="36"/>
        </w:rPr>
      </w:pPr>
      <w:r>
        <w:rPr>
          <w:rFonts w:hint="eastAsia" w:ascii="宋体" w:hAnsi="宋体" w:cs="宋体"/>
          <w:b/>
          <w:bCs/>
          <w:color w:val="000000"/>
          <w:sz w:val="36"/>
          <w:szCs w:val="36"/>
        </w:rPr>
        <w:t>采购合同</w:t>
      </w:r>
    </w:p>
    <w:p>
      <w:pPr>
        <w:adjustRightInd w:val="0"/>
        <w:snapToGrid w:val="0"/>
        <w:spacing w:line="400" w:lineRule="exact"/>
        <w:ind w:right="420" w:firstLine="420"/>
        <w:jc w:val="right"/>
        <w:rPr>
          <w:rFonts w:ascii="宋体" w:hAnsi="宋体" w:cs="宋体"/>
          <w:color w:val="000000"/>
          <w:sz w:val="24"/>
        </w:rPr>
      </w:pPr>
    </w:p>
    <w:p>
      <w:pPr>
        <w:adjustRightInd w:val="0"/>
        <w:snapToGrid w:val="0"/>
        <w:spacing w:line="400" w:lineRule="exact"/>
        <w:ind w:right="420" w:firstLine="420"/>
        <w:jc w:val="center"/>
        <w:rPr>
          <w:rFonts w:ascii="宋体" w:hAnsi="宋体" w:cs="宋体"/>
          <w:sz w:val="28"/>
          <w:szCs w:val="28"/>
          <w:highlight w:val="white"/>
        </w:rPr>
      </w:pPr>
      <w:r>
        <w:rPr>
          <w:rFonts w:hint="eastAsia" w:ascii="宋体" w:hAnsi="宋体" w:cs="宋体"/>
          <w:sz w:val="28"/>
          <w:szCs w:val="28"/>
          <w:highlight w:val="white"/>
        </w:rPr>
        <w:t xml:space="preserve">                                    合同编号：</w:t>
      </w:r>
    </w:p>
    <w:p>
      <w:pPr>
        <w:pStyle w:val="59"/>
        <w:adjustRightInd w:val="0"/>
        <w:snapToGrid w:val="0"/>
        <w:spacing w:line="400" w:lineRule="exact"/>
        <w:ind w:left="652" w:leftChars="200" w:hanging="232" w:hangingChars="83"/>
        <w:rPr>
          <w:rFonts w:ascii="宋体" w:hAnsi="宋体" w:cs="宋体"/>
          <w:kern w:val="2"/>
          <w:sz w:val="28"/>
          <w:szCs w:val="28"/>
          <w:highlight w:val="white"/>
        </w:rPr>
      </w:pPr>
      <w:r>
        <w:rPr>
          <w:rFonts w:hint="eastAsia" w:ascii="宋体" w:hAnsi="宋体" w:cs="宋体"/>
          <w:kern w:val="2"/>
          <w:sz w:val="28"/>
          <w:szCs w:val="28"/>
          <w:highlight w:val="white"/>
        </w:rPr>
        <w:t>甲方：</w:t>
      </w:r>
    </w:p>
    <w:p>
      <w:pPr>
        <w:pStyle w:val="59"/>
        <w:adjustRightInd w:val="0"/>
        <w:snapToGrid w:val="0"/>
        <w:spacing w:line="400" w:lineRule="exact"/>
        <w:ind w:left="652" w:leftChars="200" w:hanging="232" w:hangingChars="83"/>
        <w:rPr>
          <w:rFonts w:ascii="宋体" w:hAnsi="宋体" w:cs="宋体"/>
          <w:kern w:val="2"/>
          <w:sz w:val="28"/>
          <w:szCs w:val="28"/>
          <w:highlight w:val="white"/>
        </w:rPr>
      </w:pPr>
      <w:r>
        <w:rPr>
          <w:rFonts w:hint="eastAsia" w:ascii="宋体" w:hAnsi="宋体" w:cs="宋体"/>
          <w:kern w:val="2"/>
          <w:sz w:val="28"/>
          <w:szCs w:val="28"/>
          <w:highlight w:val="white"/>
        </w:rPr>
        <w:t>电话：</w:t>
      </w:r>
    </w:p>
    <w:p>
      <w:pPr>
        <w:pStyle w:val="59"/>
        <w:adjustRightInd w:val="0"/>
        <w:snapToGrid w:val="0"/>
        <w:spacing w:line="400" w:lineRule="exact"/>
        <w:ind w:left="652" w:leftChars="200" w:hanging="232" w:hangingChars="83"/>
        <w:rPr>
          <w:rFonts w:ascii="宋体" w:hAnsi="宋体" w:cs="宋体"/>
          <w:kern w:val="2"/>
          <w:sz w:val="28"/>
          <w:szCs w:val="28"/>
          <w:highlight w:val="white"/>
        </w:rPr>
      </w:pPr>
      <w:r>
        <w:rPr>
          <w:rFonts w:hint="eastAsia" w:ascii="宋体" w:hAnsi="宋体" w:cs="宋体"/>
          <w:kern w:val="2"/>
          <w:sz w:val="28"/>
          <w:szCs w:val="28"/>
          <w:highlight w:val="white"/>
        </w:rPr>
        <w:t>邮编：</w:t>
      </w:r>
    </w:p>
    <w:p>
      <w:pPr>
        <w:pStyle w:val="59"/>
        <w:adjustRightInd w:val="0"/>
        <w:snapToGrid w:val="0"/>
        <w:spacing w:line="400" w:lineRule="exact"/>
        <w:ind w:left="266" w:hanging="266" w:hangingChars="95"/>
        <w:rPr>
          <w:rFonts w:ascii="宋体" w:hAnsi="宋体" w:cs="宋体"/>
          <w:kern w:val="2"/>
          <w:sz w:val="28"/>
          <w:szCs w:val="28"/>
          <w:highlight w:val="white"/>
        </w:rPr>
      </w:pPr>
    </w:p>
    <w:p>
      <w:pPr>
        <w:pStyle w:val="59"/>
        <w:adjustRightInd w:val="0"/>
        <w:snapToGrid w:val="0"/>
        <w:spacing w:line="400" w:lineRule="exact"/>
        <w:ind w:left="652" w:leftChars="200" w:hanging="232" w:hangingChars="83"/>
        <w:rPr>
          <w:rFonts w:ascii="宋体" w:hAnsi="宋体" w:cs="宋体"/>
          <w:kern w:val="2"/>
          <w:sz w:val="28"/>
          <w:szCs w:val="28"/>
          <w:highlight w:val="white"/>
        </w:rPr>
      </w:pPr>
      <w:r>
        <w:rPr>
          <w:rFonts w:hint="eastAsia" w:ascii="宋体" w:hAnsi="宋体" w:cs="宋体"/>
          <w:kern w:val="2"/>
          <w:sz w:val="28"/>
          <w:szCs w:val="28"/>
          <w:highlight w:val="white"/>
        </w:rPr>
        <w:t>乙方：</w:t>
      </w:r>
    </w:p>
    <w:p>
      <w:pPr>
        <w:pStyle w:val="59"/>
        <w:adjustRightInd w:val="0"/>
        <w:snapToGrid w:val="0"/>
        <w:spacing w:line="400" w:lineRule="exact"/>
        <w:ind w:left="652" w:leftChars="200" w:hanging="232" w:hangingChars="83"/>
        <w:rPr>
          <w:rFonts w:ascii="宋体" w:hAnsi="宋体" w:cs="宋体"/>
          <w:kern w:val="2"/>
          <w:sz w:val="28"/>
          <w:szCs w:val="28"/>
          <w:highlight w:val="white"/>
        </w:rPr>
      </w:pPr>
      <w:r>
        <w:rPr>
          <w:rFonts w:hint="eastAsia" w:ascii="宋体" w:hAnsi="宋体" w:cs="宋体"/>
          <w:kern w:val="2"/>
          <w:sz w:val="28"/>
          <w:szCs w:val="28"/>
          <w:highlight w:val="white"/>
        </w:rPr>
        <w:t>地址：</w:t>
      </w:r>
    </w:p>
    <w:p>
      <w:pPr>
        <w:pStyle w:val="59"/>
        <w:adjustRightInd w:val="0"/>
        <w:snapToGrid w:val="0"/>
        <w:spacing w:line="400" w:lineRule="exact"/>
        <w:ind w:left="652" w:leftChars="200" w:hanging="232" w:hangingChars="83"/>
        <w:rPr>
          <w:rFonts w:ascii="宋体" w:hAnsi="宋体" w:cs="宋体"/>
          <w:kern w:val="2"/>
          <w:sz w:val="28"/>
          <w:szCs w:val="28"/>
          <w:highlight w:val="white"/>
        </w:rPr>
      </w:pPr>
      <w:r>
        <w:rPr>
          <w:rFonts w:hint="eastAsia" w:ascii="宋体" w:hAnsi="宋体" w:cs="宋体"/>
          <w:kern w:val="2"/>
          <w:sz w:val="28"/>
          <w:szCs w:val="28"/>
          <w:highlight w:val="white"/>
        </w:rPr>
        <w:t>联系人：</w:t>
      </w:r>
    </w:p>
    <w:p>
      <w:pPr>
        <w:pStyle w:val="59"/>
        <w:adjustRightInd w:val="0"/>
        <w:snapToGrid w:val="0"/>
        <w:spacing w:line="400" w:lineRule="exact"/>
        <w:ind w:left="652" w:leftChars="200" w:hanging="232" w:hangingChars="83"/>
        <w:rPr>
          <w:rFonts w:ascii="宋体" w:hAnsi="宋体" w:cs="宋体"/>
          <w:kern w:val="2"/>
          <w:sz w:val="28"/>
          <w:szCs w:val="28"/>
          <w:highlight w:val="white"/>
        </w:rPr>
      </w:pPr>
      <w:r>
        <w:rPr>
          <w:rFonts w:hint="eastAsia" w:ascii="宋体" w:hAnsi="宋体" w:cs="宋体"/>
          <w:kern w:val="2"/>
          <w:sz w:val="28"/>
          <w:szCs w:val="28"/>
          <w:highlight w:val="white"/>
        </w:rPr>
        <w:t>电话：</w:t>
      </w:r>
    </w:p>
    <w:p>
      <w:pPr>
        <w:pStyle w:val="59"/>
        <w:adjustRightInd w:val="0"/>
        <w:snapToGrid w:val="0"/>
        <w:spacing w:line="400" w:lineRule="exact"/>
        <w:ind w:left="652" w:leftChars="200" w:hanging="232" w:hangingChars="83"/>
        <w:rPr>
          <w:rFonts w:ascii="宋体" w:hAnsi="宋体" w:cs="宋体"/>
          <w:kern w:val="2"/>
          <w:sz w:val="28"/>
          <w:szCs w:val="28"/>
          <w:highlight w:val="white"/>
        </w:rPr>
      </w:pPr>
      <w:r>
        <w:rPr>
          <w:rFonts w:hint="eastAsia" w:ascii="宋体" w:hAnsi="宋体" w:cs="宋体"/>
          <w:kern w:val="2"/>
          <w:sz w:val="28"/>
          <w:szCs w:val="28"/>
          <w:highlight w:val="white"/>
        </w:rPr>
        <w:t>邮编：</w:t>
      </w:r>
    </w:p>
    <w:p>
      <w:pPr>
        <w:pStyle w:val="18"/>
        <w:adjustRightInd w:val="0"/>
        <w:spacing w:line="400" w:lineRule="exact"/>
        <w:ind w:firstLine="420"/>
        <w:rPr>
          <w:rFonts w:ascii="宋体" w:hAnsi="宋体" w:cs="宋体"/>
          <w:sz w:val="28"/>
          <w:szCs w:val="28"/>
          <w:highlight w:val="white"/>
        </w:rPr>
      </w:pPr>
    </w:p>
    <w:p>
      <w:pPr>
        <w:pStyle w:val="18"/>
        <w:rPr>
          <w:rFonts w:ascii="宋体" w:hAnsi="宋体" w:cs="宋体"/>
          <w:sz w:val="28"/>
          <w:szCs w:val="28"/>
          <w:highlight w:val="white"/>
        </w:rPr>
      </w:pPr>
      <w:r>
        <w:rPr>
          <w:rFonts w:hint="eastAsia" w:ascii="宋体" w:hAnsi="宋体" w:cs="宋体"/>
          <w:sz w:val="28"/>
          <w:szCs w:val="28"/>
          <w:highlight w:val="white"/>
        </w:rPr>
        <w:t xml:space="preserve">    根据《民法典》以及政府采购法等相关法律法规的规定，合同双方就策勒县农用地定级与基准地价评估工作事宜协商达成一致，订立本合同。</w:t>
      </w:r>
    </w:p>
    <w:p>
      <w:pPr>
        <w:pStyle w:val="59"/>
        <w:adjustRightInd w:val="0"/>
        <w:snapToGrid w:val="0"/>
        <w:spacing w:line="400" w:lineRule="exact"/>
        <w:ind w:left="0" w:firstLine="0" w:firstLineChars="0"/>
        <w:rPr>
          <w:rFonts w:ascii="宋体" w:hAnsi="宋体" w:cs="宋体"/>
          <w:kern w:val="2"/>
          <w:sz w:val="28"/>
          <w:szCs w:val="28"/>
          <w:highlight w:val="white"/>
        </w:rPr>
      </w:pPr>
      <w:r>
        <w:rPr>
          <w:rFonts w:hint="eastAsia" w:ascii="宋体" w:hAnsi="宋体" w:cs="宋体"/>
          <w:kern w:val="2"/>
          <w:sz w:val="28"/>
          <w:szCs w:val="28"/>
          <w:highlight w:val="white"/>
        </w:rPr>
        <w:t>一、定义</w:t>
      </w:r>
    </w:p>
    <w:p>
      <w:pPr>
        <w:pStyle w:val="18"/>
        <w:adjustRightInd w:val="0"/>
        <w:spacing w:line="400" w:lineRule="exact"/>
        <w:ind w:firstLine="560" w:firstLineChars="200"/>
        <w:rPr>
          <w:rFonts w:ascii="宋体" w:hAnsi="宋体" w:cs="宋体"/>
          <w:sz w:val="28"/>
          <w:szCs w:val="28"/>
          <w:highlight w:val="white"/>
        </w:rPr>
      </w:pPr>
      <w:r>
        <w:rPr>
          <w:rFonts w:hint="eastAsia" w:ascii="宋体" w:hAnsi="宋体" w:cs="宋体"/>
          <w:sz w:val="28"/>
          <w:szCs w:val="28"/>
          <w:highlight w:val="white"/>
        </w:rPr>
        <w:t>（一）“合同”指本合同及其附件。</w:t>
      </w:r>
    </w:p>
    <w:p>
      <w:pPr>
        <w:pStyle w:val="18"/>
        <w:adjustRightInd w:val="0"/>
        <w:spacing w:line="400" w:lineRule="exact"/>
        <w:ind w:firstLine="560" w:firstLineChars="200"/>
        <w:rPr>
          <w:rFonts w:ascii="宋体" w:hAnsi="宋体" w:cs="宋体"/>
          <w:sz w:val="28"/>
          <w:szCs w:val="28"/>
          <w:highlight w:val="white"/>
        </w:rPr>
      </w:pPr>
      <w:r>
        <w:rPr>
          <w:rFonts w:hint="eastAsia" w:ascii="宋体" w:hAnsi="宋体" w:cs="宋体"/>
          <w:sz w:val="28"/>
          <w:szCs w:val="28"/>
          <w:highlight w:val="white"/>
        </w:rPr>
        <w:t>（二）除有特别说明外，“天”、“日”均指日历日。</w:t>
      </w:r>
    </w:p>
    <w:p>
      <w:pPr>
        <w:pStyle w:val="59"/>
        <w:adjustRightInd w:val="0"/>
        <w:snapToGrid w:val="0"/>
        <w:spacing w:line="400" w:lineRule="exact"/>
        <w:ind w:left="263" w:hanging="263" w:hangingChars="94"/>
        <w:rPr>
          <w:rFonts w:ascii="宋体" w:hAnsi="宋体" w:cs="宋体"/>
          <w:kern w:val="2"/>
          <w:sz w:val="28"/>
          <w:szCs w:val="28"/>
          <w:highlight w:val="white"/>
        </w:rPr>
      </w:pPr>
      <w:r>
        <w:rPr>
          <w:rFonts w:hint="eastAsia" w:ascii="宋体" w:hAnsi="宋体" w:cs="宋体"/>
          <w:kern w:val="2"/>
          <w:sz w:val="28"/>
          <w:szCs w:val="28"/>
          <w:highlight w:val="white"/>
        </w:rPr>
        <w:t>二、合同的组成</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以下文件是本合同不可分割的组成部分，如果不同文件的条款之间有冲突，文件之间的优先效力顺序如下：</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（一）本合同及其附件；</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（二）成交通知书（含乙方承诺函等）；</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（三）乙方提供的响应文件（采购编号：       ）（含澄清文件、最终报价及承诺等）；</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（四）甲方发出的采购文件（采购编号：        ）（含采购补充文件等）。</w:t>
      </w:r>
    </w:p>
    <w:p>
      <w:pPr>
        <w:pStyle w:val="59"/>
        <w:adjustRightInd w:val="0"/>
        <w:snapToGrid w:val="0"/>
        <w:spacing w:line="400" w:lineRule="exact"/>
        <w:ind w:left="263" w:hanging="263" w:hangingChars="94"/>
        <w:rPr>
          <w:rFonts w:ascii="宋体" w:hAnsi="宋体" w:cs="宋体"/>
          <w:kern w:val="2"/>
          <w:sz w:val="28"/>
          <w:szCs w:val="28"/>
          <w:highlight w:val="white"/>
        </w:rPr>
      </w:pPr>
      <w:r>
        <w:rPr>
          <w:rFonts w:hint="eastAsia" w:ascii="宋体" w:hAnsi="宋体" w:cs="宋体"/>
          <w:kern w:val="2"/>
          <w:sz w:val="28"/>
          <w:szCs w:val="28"/>
          <w:highlight w:val="white"/>
        </w:rPr>
        <w:t>三、服务范围及要求</w:t>
      </w:r>
    </w:p>
    <w:p>
      <w:pPr>
        <w:pStyle w:val="18"/>
        <w:adjustRightInd w:val="0"/>
        <w:spacing w:line="400" w:lineRule="exact"/>
        <w:ind w:firstLine="280" w:firstLineChars="100"/>
        <w:rPr>
          <w:rFonts w:ascii="宋体" w:hAnsi="宋体" w:cs="宋体"/>
          <w:sz w:val="28"/>
          <w:szCs w:val="28"/>
          <w:highlight w:val="white"/>
        </w:rPr>
      </w:pPr>
      <w:r>
        <w:rPr>
          <w:rFonts w:hint="eastAsia" w:ascii="宋体" w:hAnsi="宋体" w:cs="宋体"/>
          <w:sz w:val="28"/>
          <w:szCs w:val="28"/>
          <w:highlight w:val="white"/>
        </w:rPr>
        <w:t>详见采购文件第三部分“策勒县农用地定级与基准地价评估工作”（作为合同附件）。</w:t>
      </w:r>
    </w:p>
    <w:p>
      <w:pPr>
        <w:pStyle w:val="59"/>
        <w:adjustRightInd w:val="0"/>
        <w:snapToGrid w:val="0"/>
        <w:spacing w:line="400" w:lineRule="exact"/>
        <w:ind w:left="263" w:hanging="263" w:hangingChars="94"/>
        <w:rPr>
          <w:rFonts w:ascii="宋体" w:hAnsi="宋体" w:cs="宋体"/>
          <w:kern w:val="2"/>
          <w:sz w:val="28"/>
          <w:szCs w:val="28"/>
          <w:highlight w:val="white"/>
        </w:rPr>
      </w:pPr>
      <w:r>
        <w:rPr>
          <w:rFonts w:hint="eastAsia" w:ascii="宋体" w:hAnsi="宋体" w:cs="宋体"/>
          <w:kern w:val="2"/>
          <w:sz w:val="28"/>
          <w:szCs w:val="28"/>
          <w:highlight w:val="white"/>
        </w:rPr>
        <w:t>四、甲乙双方权利与义务</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（一）甲方权利与义务</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1、根据乙方采购响应文件中的服务承诺和本合同的服务要求内容，监督乙方的服务质量。</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2、根据乙方提供的项目方案，向乙方提供有关资料和必要的工作配合。</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3、根据本合同的支付条件，及时审核支付服务费用。</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4、甲方发现乙方完成的服务与甲方的要求不相符合时，甲方有权要求乙方进行更正，并有权要求乙方承担相应的赔偿责任。</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5、在本合同有效期内，乙方应保证服务的质量及服务连续性。如乙方出现不符合甲方要求、无正当理由拒绝完成甲方交付的服务工作，甲方有权要求乙方更正其行为，或采取其他补救措施，由此给甲方造成损失的，由乙方承担赔偿责任。</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（二） 乙方权利与义务</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1、乙方应严格遵守执业规则和职业道德，在甲方要求的时间内，保质保量独立完成采购工作，未经甲方书面许可不得以任何形式将任务再委托其他机构。</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5、严格按照采购响应文件中的服务承诺和本合同的采购要求实施采购，并根据本项目要求向甲方提供相应的工作成果和增值服务。</w:t>
      </w:r>
    </w:p>
    <w:p>
      <w:pPr>
        <w:pStyle w:val="59"/>
        <w:adjustRightInd w:val="0"/>
        <w:snapToGrid w:val="0"/>
        <w:spacing w:line="400" w:lineRule="exact"/>
        <w:ind w:left="240" w:leftChars="57" w:hanging="120" w:hangingChars="43"/>
        <w:rPr>
          <w:rFonts w:ascii="宋体" w:hAnsi="宋体" w:cs="宋体"/>
          <w:kern w:val="2"/>
          <w:sz w:val="28"/>
          <w:szCs w:val="28"/>
          <w:highlight w:val="white"/>
        </w:rPr>
      </w:pPr>
      <w:r>
        <w:rPr>
          <w:rFonts w:hint="eastAsia" w:ascii="宋体" w:hAnsi="宋体" w:cs="宋体"/>
          <w:kern w:val="2"/>
          <w:sz w:val="28"/>
          <w:szCs w:val="28"/>
          <w:highlight w:val="white"/>
        </w:rPr>
        <w:t>五、支付方式</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1、付款方式：</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（1）本合同中甲乙双方之间发生的一切费用以人民币转账方式进行结算。</w:t>
      </w:r>
    </w:p>
    <w:p>
      <w:pPr>
        <w:pStyle w:val="18"/>
        <w:adjustRightInd w:val="0"/>
        <w:spacing w:line="400" w:lineRule="exact"/>
        <w:ind w:firstLine="560" w:firstLineChars="200"/>
        <w:rPr>
          <w:rFonts w:ascii="宋体" w:hAnsi="宋体" w:cs="宋体"/>
          <w:sz w:val="28"/>
          <w:szCs w:val="28"/>
          <w:highlight w:val="white"/>
        </w:rPr>
      </w:pPr>
      <w:r>
        <w:rPr>
          <w:rFonts w:hint="eastAsia" w:ascii="宋体" w:hAnsi="宋体" w:cs="宋体"/>
          <w:sz w:val="28"/>
          <w:szCs w:val="28"/>
          <w:highlight w:val="white"/>
        </w:rPr>
        <w:t>2、乙方账户信息</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结算账户开户银行：</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结算账户户名：</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结算账户账号：</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3、特别约定</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在本项目实施过程中，乙方除按双方约定收取服务费用外，不得以任何理由要求甲方增加任何费用，并不得以项目时间延长或费用超出预期等任何其他理由中止、中断提供服务。</w:t>
      </w:r>
    </w:p>
    <w:p>
      <w:pPr>
        <w:pStyle w:val="59"/>
        <w:adjustRightInd w:val="0"/>
        <w:snapToGrid w:val="0"/>
        <w:spacing w:line="400" w:lineRule="exact"/>
        <w:ind w:left="0" w:firstLine="476" w:firstLineChars="170"/>
        <w:rPr>
          <w:rFonts w:ascii="宋体" w:hAnsi="宋体" w:cs="宋体"/>
          <w:kern w:val="2"/>
          <w:sz w:val="28"/>
          <w:szCs w:val="28"/>
          <w:highlight w:val="white"/>
        </w:rPr>
      </w:pPr>
      <w:r>
        <w:rPr>
          <w:rFonts w:hint="eastAsia" w:ascii="宋体" w:hAnsi="宋体" w:cs="宋体"/>
          <w:kern w:val="2"/>
          <w:sz w:val="28"/>
          <w:szCs w:val="28"/>
          <w:highlight w:val="white"/>
        </w:rPr>
        <w:t>六、合同期限</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本合同自双方法定代表人或授权代理人签字或盖章之日起生效，有效期   年。</w:t>
      </w:r>
    </w:p>
    <w:p>
      <w:pPr>
        <w:pStyle w:val="59"/>
        <w:adjustRightInd w:val="0"/>
        <w:snapToGrid w:val="0"/>
        <w:spacing w:line="400" w:lineRule="exact"/>
        <w:ind w:left="0" w:firstLine="476" w:firstLineChars="170"/>
        <w:rPr>
          <w:rFonts w:ascii="宋体" w:hAnsi="宋体" w:cs="宋体"/>
          <w:kern w:val="2"/>
          <w:sz w:val="28"/>
          <w:szCs w:val="28"/>
          <w:highlight w:val="white"/>
        </w:rPr>
      </w:pPr>
      <w:r>
        <w:rPr>
          <w:rFonts w:hint="eastAsia" w:ascii="宋体" w:hAnsi="宋体" w:cs="宋体"/>
          <w:kern w:val="2"/>
          <w:sz w:val="28"/>
          <w:szCs w:val="28"/>
          <w:highlight w:val="white"/>
        </w:rPr>
        <w:t>七、知识产权与保密</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一）乙方声明和保证：其向甲方提供本合同项下服务及交付成果不侵犯任何第三方权利；甲方接受乙方服务或使用接受乙方服务所得成果时，不会遭受第三方提出的侵犯其知识产权或其他权益的任何权利主张。如果第三方因乙方服务向甲方提出任何权利主张，由乙方负责处理纠纷的相关事宜，给甲方造成损失的，由乙方负责赔偿。赔偿范围包括但不限于：甲方损失、诉讼费或仲裁费、律师费、与诉讼或仲裁相关的其他费用。</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（二）乙方提供本合同项下服务所得成果及甲方接受乙方服务所得成果的知识产权归甲方所有；未经甲方书面同意，乙方不得为甲方项目之外的目的而使用、转让或以其他任何方式处分上述成果及知识产权。</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三）乙方应对执行业务过程中知悉的甲方保密信息（包括但不限于甲方的员工信息、员工健康信息和其他递交时约定为保密信息的资料等）负有永久保密责任，除履行合同义务的必要或有法律、法规规定应披露的之外，不得以任何方式向第三人披露和不正当使用，否则，应当赔偿因泄露保密信息给对方造成的损失。</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（四）合同因履行完毕、提前解除或其他原因终止后的一定期间内，乙方应归还甲方提供的所有信息和资料，并不得再继续使用或擅自许可任何第三方使用。</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（五）保密条款有效期：本合同的无效、被撤销、解除、变更或终止等均不影响本条的效力，乙方在本合同下的保密义务将永久有效。</w:t>
      </w:r>
    </w:p>
    <w:p>
      <w:pPr>
        <w:pStyle w:val="59"/>
        <w:adjustRightInd w:val="0"/>
        <w:snapToGrid w:val="0"/>
        <w:spacing w:line="400" w:lineRule="exact"/>
        <w:ind w:left="0" w:firstLine="478" w:firstLineChars="171"/>
        <w:rPr>
          <w:rFonts w:ascii="宋体" w:hAnsi="宋体" w:cs="宋体"/>
          <w:kern w:val="2"/>
          <w:sz w:val="28"/>
          <w:szCs w:val="28"/>
          <w:highlight w:val="white"/>
        </w:rPr>
      </w:pPr>
      <w:r>
        <w:rPr>
          <w:rFonts w:hint="eastAsia" w:ascii="宋体" w:hAnsi="宋体" w:cs="宋体"/>
          <w:kern w:val="2"/>
          <w:sz w:val="28"/>
          <w:szCs w:val="28"/>
          <w:highlight w:val="white"/>
        </w:rPr>
        <w:t>八、违约责任</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（一）因乙方或其代表、代理人、雇员违反乙方在本合同中任何义务、陈述或保证而给甲方造成损失，乙方应赔偿甲方因此承担或遭受的任何损失、权利主张、赔偿金、支出和费用，包括合理的律师费。</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（二）除上述情形外，如因乙方原因或交付的工作经甲方验收不合格造成不能按照合同约定时间完成工作，每延迟一天应向甲方支付相当于年服务费总额0.1%的违约金。</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（三）有下列情形之一者，甲方可以立即以书面通知乙方终止合同，且有权要求乙方承担因此给造成甲方的损失：</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1、乙方出现违反本合同第五条所列义务并且未按甲方要求及时更正的情形；</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5、依据本条第（二）项约定乙方延迟时间达到20天；</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6、乙方违反本合同规定的保密义务；</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7、乙方未经甲方同意，擅自代理与甲方利益存在或可能有冲突的任何其他当事人的事务。</w:t>
      </w:r>
    </w:p>
    <w:p>
      <w:pPr>
        <w:pStyle w:val="59"/>
        <w:spacing w:line="400" w:lineRule="exact"/>
        <w:ind w:left="980" w:leftChars="200" w:hanging="560"/>
        <w:rPr>
          <w:rFonts w:ascii="宋体" w:hAnsi="宋体" w:cs="宋体"/>
          <w:kern w:val="2"/>
          <w:sz w:val="28"/>
          <w:szCs w:val="28"/>
          <w:highlight w:val="white"/>
        </w:rPr>
      </w:pPr>
      <w:r>
        <w:rPr>
          <w:rFonts w:hint="eastAsia" w:ascii="宋体" w:hAnsi="宋体" w:cs="宋体"/>
          <w:kern w:val="2"/>
          <w:sz w:val="28"/>
          <w:szCs w:val="28"/>
          <w:highlight w:val="white"/>
        </w:rPr>
        <w:t>九、不可抗力</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一）由于发生不能预见、不能避免并不能克服的不可抗力情形，致使直接影响本合同的履行或不能按照本合同项下之约定履行时，遇有不可抗力的一方应当立即书面通知对方，并在发生不可抗力之日起30天内，提供不可抗力详情及合同不能履行或部分不能履行、或需要延期履行理由的有效书面证明，该项证明文件应当由不可抗力发生地的公证机关出具。</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（二）根据不可抗力对本合同的影响程度，双方应当协商是否解除本合同或部分、全部免除履行本合同的责任，或变更、延期履行本合同。</w:t>
      </w:r>
    </w:p>
    <w:p>
      <w:pPr>
        <w:pStyle w:val="59"/>
        <w:spacing w:line="400" w:lineRule="exact"/>
        <w:ind w:left="420" w:leftChars="200" w:firstLine="0" w:firstLineChars="0"/>
        <w:rPr>
          <w:rFonts w:ascii="宋体" w:hAnsi="宋体" w:cs="宋体"/>
          <w:kern w:val="2"/>
          <w:sz w:val="28"/>
          <w:szCs w:val="28"/>
          <w:highlight w:val="white"/>
        </w:rPr>
      </w:pPr>
      <w:r>
        <w:rPr>
          <w:rFonts w:hint="eastAsia" w:ascii="宋体" w:hAnsi="宋体" w:cs="宋体"/>
          <w:kern w:val="2"/>
          <w:sz w:val="28"/>
          <w:szCs w:val="28"/>
          <w:highlight w:val="white"/>
        </w:rPr>
        <w:t>十、合同纠纷的解决</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本合同履行中发生争议，可由双方协商解决，协商不成，可提交仲裁委员会按其仲裁规则进行仲裁。在仲裁期间，本合同不涉及争议的条款仍须履行。</w:t>
      </w:r>
    </w:p>
    <w:p>
      <w:pPr>
        <w:pStyle w:val="59"/>
        <w:spacing w:line="400" w:lineRule="exact"/>
        <w:ind w:left="980" w:leftChars="200" w:hanging="560"/>
        <w:rPr>
          <w:rFonts w:ascii="宋体" w:hAnsi="宋体" w:cs="宋体"/>
          <w:kern w:val="2"/>
          <w:sz w:val="28"/>
          <w:szCs w:val="28"/>
          <w:highlight w:val="white"/>
        </w:rPr>
      </w:pPr>
      <w:r>
        <w:rPr>
          <w:rFonts w:hint="eastAsia" w:ascii="宋体" w:hAnsi="宋体" w:cs="宋体"/>
          <w:kern w:val="2"/>
          <w:sz w:val="28"/>
          <w:szCs w:val="28"/>
          <w:highlight w:val="white"/>
        </w:rPr>
        <w:t>十一、其他</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一）合同双方都不得单方面修改合同内容。拟修改合同内容的一方应当就修改事项列明拟修改条款以书面形式通知对方。双方经讨论并同意对合同的相关条款进行修改后，应就修改条款签订补充协议。对本合同作任何更改或补充，必须经双方法定代表人或授权代理人签字或加盖公章后方可生效。补充协议为合同的组成部分，一经签署即具有法律效力。</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（二）本合同有效期内，乙方如发生资产重组、并购等情形时，应于工商登记之日起七日内通知甲方。</w:t>
      </w:r>
    </w:p>
    <w:p>
      <w:pPr>
        <w:pStyle w:val="18"/>
        <w:adjustRightInd w:val="0"/>
        <w:spacing w:line="400" w:lineRule="exact"/>
        <w:ind w:firstLine="420"/>
        <w:rPr>
          <w:rFonts w:ascii="宋体" w:hAnsi="宋体" w:cs="宋体"/>
          <w:sz w:val="28"/>
          <w:szCs w:val="28"/>
          <w:highlight w:val="white"/>
        </w:rPr>
      </w:pPr>
      <w:r>
        <w:rPr>
          <w:rFonts w:hint="eastAsia" w:ascii="宋体" w:hAnsi="宋体" w:cs="宋体"/>
          <w:sz w:val="28"/>
          <w:szCs w:val="28"/>
          <w:highlight w:val="white"/>
        </w:rPr>
        <w:t>（三）本合同一式伍份，甲方执叁份，乙方执贰份。</w:t>
      </w:r>
    </w:p>
    <w:p>
      <w:pPr>
        <w:pStyle w:val="59"/>
        <w:spacing w:line="400" w:lineRule="exact"/>
        <w:ind w:left="980" w:leftChars="200" w:hanging="560"/>
        <w:rPr>
          <w:rFonts w:ascii="宋体" w:hAnsi="宋体" w:cs="宋体"/>
          <w:kern w:val="2"/>
          <w:sz w:val="28"/>
          <w:szCs w:val="28"/>
          <w:highlight w:val="white"/>
        </w:rPr>
      </w:pPr>
    </w:p>
    <w:p>
      <w:pPr>
        <w:pStyle w:val="59"/>
        <w:spacing w:line="400" w:lineRule="exact"/>
        <w:ind w:left="980" w:leftChars="200" w:hanging="560"/>
        <w:rPr>
          <w:rFonts w:ascii="宋体" w:hAnsi="宋体" w:cs="宋体"/>
          <w:kern w:val="2"/>
          <w:sz w:val="28"/>
          <w:szCs w:val="28"/>
          <w:highlight w:val="white"/>
        </w:rPr>
      </w:pPr>
    </w:p>
    <w:p>
      <w:pPr>
        <w:pStyle w:val="59"/>
        <w:spacing w:line="400" w:lineRule="exact"/>
        <w:ind w:left="980" w:leftChars="200" w:hanging="560"/>
        <w:rPr>
          <w:rFonts w:ascii="宋体" w:hAnsi="宋体" w:cs="宋体"/>
          <w:kern w:val="2"/>
          <w:sz w:val="28"/>
          <w:szCs w:val="28"/>
          <w:highlight w:val="white"/>
        </w:rPr>
      </w:pPr>
    </w:p>
    <w:p>
      <w:pPr>
        <w:spacing w:line="360" w:lineRule="auto"/>
        <w:ind w:right="2"/>
        <w:rPr>
          <w:rFonts w:ascii="宋体" w:hAnsi="宋体" w:cs="宋体"/>
          <w:sz w:val="28"/>
          <w:szCs w:val="28"/>
          <w:highlight w:val="white"/>
        </w:rPr>
      </w:pPr>
      <w:r>
        <w:rPr>
          <w:rFonts w:hint="eastAsia" w:ascii="宋体" w:hAnsi="宋体" w:cs="宋体"/>
          <w:sz w:val="28"/>
          <w:szCs w:val="28"/>
          <w:highlight w:val="white"/>
        </w:rPr>
        <w:t>甲方（盖章）：                 乙方（盖章）：</w:t>
      </w:r>
    </w:p>
    <w:p>
      <w:pPr>
        <w:spacing w:line="360" w:lineRule="auto"/>
        <w:ind w:right="2"/>
        <w:rPr>
          <w:rFonts w:ascii="宋体" w:hAnsi="宋体" w:cs="宋体"/>
          <w:sz w:val="28"/>
          <w:szCs w:val="28"/>
          <w:highlight w:val="white"/>
        </w:rPr>
      </w:pPr>
      <w:r>
        <w:rPr>
          <w:rFonts w:hint="eastAsia" w:ascii="宋体" w:hAnsi="宋体" w:cs="宋体"/>
          <w:sz w:val="28"/>
          <w:szCs w:val="28"/>
          <w:highlight w:val="white"/>
        </w:rPr>
        <w:t>甲方授权代理人（签字）：         乙方法定代表人或授权代理人（签字）：                                        签字日期：                      签字日期：</w:t>
      </w:r>
    </w:p>
    <w:p>
      <w:pPr>
        <w:pStyle w:val="66"/>
        <w:widowControl/>
        <w:jc w:val="left"/>
        <w:rPr>
          <w:rFonts w:ascii="仿宋" w:hAnsi="仿宋" w:eastAsia="仿宋" w:cs="仿宋"/>
          <w:b/>
          <w:spacing w:val="120"/>
          <w:kern w:val="0"/>
          <w:sz w:val="36"/>
          <w:szCs w:val="36"/>
        </w:rPr>
      </w:pPr>
    </w:p>
    <w:p>
      <w:pPr>
        <w:adjustRightInd w:val="0"/>
        <w:snapToGrid w:val="0"/>
        <w:spacing w:line="480" w:lineRule="auto"/>
        <w:rPr>
          <w:rFonts w:ascii="仿宋" w:hAnsi="仿宋" w:eastAsia="仿宋" w:cs="仿宋"/>
          <w:sz w:val="28"/>
          <w:szCs w:val="28"/>
        </w:rPr>
      </w:pPr>
    </w:p>
    <w:p>
      <w:pPr>
        <w:rPr>
          <w:rFonts w:ascii="宋体" w:hAnsi="宋体" w:cs="宋体"/>
          <w:b/>
          <w:sz w:val="44"/>
          <w:szCs w:val="44"/>
        </w:rPr>
      </w:pPr>
      <w:r>
        <w:rPr>
          <w:rFonts w:hint="eastAsia" w:ascii="仿宋" w:hAnsi="仿宋" w:eastAsia="仿宋" w:cs="仿宋"/>
        </w:rPr>
        <w:br w:type="page"/>
      </w:r>
      <w:bookmarkEnd w:id="73"/>
      <w:bookmarkStart w:id="76" w:name="_Toc12372"/>
      <w:bookmarkStart w:id="77" w:name="_Toc7259"/>
      <w:bookmarkStart w:id="78" w:name="_Toc28171"/>
      <w:bookmarkStart w:id="79" w:name="_Toc23011"/>
      <w:bookmarkStart w:id="80" w:name="_Toc18603"/>
      <w:bookmarkStart w:id="81" w:name="_Toc381970843"/>
      <w:bookmarkStart w:id="82" w:name="_Toc20988"/>
      <w:bookmarkStart w:id="83" w:name="_Toc18512"/>
      <w:r>
        <w:rPr>
          <w:rFonts w:hint="eastAsia" w:ascii="仿宋" w:hAnsi="仿宋" w:eastAsia="仿宋" w:cs="仿宋"/>
        </w:rPr>
        <w:t xml:space="preserve">     </w:t>
      </w:r>
      <w:r>
        <w:rPr>
          <w:rFonts w:hint="eastAsia" w:ascii="宋体" w:hAnsi="宋体" w:cs="宋体"/>
          <w:b/>
          <w:sz w:val="44"/>
          <w:szCs w:val="44"/>
        </w:rPr>
        <w:t xml:space="preserve">          第五章 投标文件格式</w:t>
      </w:r>
      <w:bookmarkEnd w:id="76"/>
      <w:bookmarkEnd w:id="77"/>
      <w:bookmarkEnd w:id="78"/>
      <w:bookmarkEnd w:id="79"/>
      <w:bookmarkEnd w:id="80"/>
      <w:bookmarkEnd w:id="81"/>
      <w:bookmarkEnd w:id="82"/>
    </w:p>
    <w:tbl>
      <w:tblPr>
        <w:tblStyle w:val="33"/>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5" w:hRule="atLeast"/>
        </w:trPr>
        <w:tc>
          <w:tcPr>
            <w:tcW w:w="720" w:type="dxa"/>
            <w:vAlign w:val="center"/>
          </w:tcPr>
          <w:p>
            <w:pPr>
              <w:spacing w:line="360" w:lineRule="auto"/>
              <w:jc w:val="center"/>
              <w:rPr>
                <w:rFonts w:ascii="宋体" w:hAnsi="宋体" w:cs="宋体"/>
                <w:b/>
                <w:sz w:val="24"/>
              </w:rPr>
            </w:pPr>
            <w:r>
              <w:rPr>
                <w:rFonts w:hint="eastAsia" w:ascii="宋体" w:hAnsi="宋体" w:cs="宋体"/>
                <w:b/>
                <w:sz w:val="24"/>
              </w:rPr>
              <w:t>正/副本</w:t>
            </w:r>
          </w:p>
        </w:tc>
      </w:tr>
    </w:tbl>
    <w:p>
      <w:pPr>
        <w:spacing w:line="360" w:lineRule="auto"/>
        <w:rPr>
          <w:rFonts w:ascii="宋体" w:hAnsi="宋体" w:cs="宋体"/>
        </w:rPr>
      </w:pPr>
      <w:r>
        <w:rPr>
          <w:rFonts w:hint="eastAsia" w:ascii="宋体" w:hAnsi="宋体" w:cs="宋体"/>
        </w:rPr>
        <w:t xml:space="preserve">                                                                        </w:t>
      </w:r>
    </w:p>
    <w:p>
      <w:pPr>
        <w:spacing w:line="360" w:lineRule="auto"/>
        <w:rPr>
          <w:rFonts w:ascii="宋体" w:hAnsi="宋体" w:cs="宋体"/>
        </w:rPr>
      </w:pPr>
    </w:p>
    <w:p>
      <w:pPr>
        <w:spacing w:line="360" w:lineRule="auto"/>
        <w:rPr>
          <w:rFonts w:ascii="宋体" w:hAnsi="宋体" w:cs="宋体"/>
        </w:rPr>
      </w:pPr>
    </w:p>
    <w:p>
      <w:pPr>
        <w:spacing w:line="360" w:lineRule="auto"/>
        <w:ind w:firstLine="960" w:firstLineChars="400"/>
        <w:rPr>
          <w:rFonts w:ascii="宋体" w:hAnsi="宋体" w:cs="宋体"/>
          <w:sz w:val="24"/>
        </w:rPr>
      </w:pPr>
    </w:p>
    <w:p>
      <w:pPr>
        <w:spacing w:line="360" w:lineRule="auto"/>
        <w:ind w:firstLine="1120" w:firstLineChars="400"/>
        <w:rPr>
          <w:rFonts w:ascii="宋体" w:hAnsi="宋体" w:cs="宋体"/>
          <w:sz w:val="28"/>
          <w:szCs w:val="28"/>
        </w:rPr>
      </w:pPr>
    </w:p>
    <w:p>
      <w:pPr>
        <w:spacing w:line="360" w:lineRule="auto"/>
        <w:ind w:firstLine="1120" w:firstLineChars="400"/>
        <w:rPr>
          <w:rFonts w:ascii="宋体" w:hAnsi="宋体" w:cs="宋体"/>
          <w:sz w:val="28"/>
          <w:szCs w:val="28"/>
          <w:u w:val="single"/>
        </w:rPr>
      </w:pPr>
      <w:r>
        <w:rPr>
          <w:rFonts w:hint="eastAsia" w:ascii="宋体" w:hAnsi="宋体" w:cs="宋体"/>
          <w:sz w:val="28"/>
          <w:szCs w:val="28"/>
        </w:rPr>
        <w:t xml:space="preserve">项目名称：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 xml:space="preserve">       </w:t>
      </w:r>
    </w:p>
    <w:p>
      <w:pPr>
        <w:spacing w:line="360" w:lineRule="auto"/>
        <w:ind w:firstLine="1120" w:firstLineChars="400"/>
        <w:rPr>
          <w:rFonts w:ascii="宋体" w:hAnsi="宋体" w:cs="宋体"/>
          <w:sz w:val="28"/>
          <w:szCs w:val="28"/>
        </w:rPr>
      </w:pPr>
      <w:r>
        <w:rPr>
          <w:rFonts w:hint="eastAsia" w:ascii="宋体" w:hAnsi="宋体" w:cs="宋体"/>
          <w:sz w:val="28"/>
          <w:szCs w:val="28"/>
        </w:rPr>
        <w:t>项目编号：</w:t>
      </w:r>
      <w:r>
        <w:rPr>
          <w:rFonts w:hint="eastAsia" w:ascii="宋体" w:hAnsi="宋体" w:cs="宋体"/>
          <w:sz w:val="28"/>
          <w:szCs w:val="28"/>
          <w:u w:val="single"/>
        </w:rPr>
        <w:t xml:space="preserve">                        </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jc w:val="center"/>
        <w:rPr>
          <w:rFonts w:ascii="宋体" w:hAnsi="宋体" w:cs="宋体"/>
          <w:b/>
          <w:sz w:val="36"/>
          <w:szCs w:val="36"/>
        </w:rPr>
      </w:pPr>
      <w:r>
        <w:rPr>
          <w:rFonts w:hint="eastAsia" w:ascii="宋体" w:hAnsi="宋体" w:cs="宋体"/>
          <w:b/>
          <w:sz w:val="36"/>
          <w:szCs w:val="36"/>
        </w:rPr>
        <w:t>投  标  文  件</w:t>
      </w: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ind w:firstLine="960" w:firstLineChars="400"/>
        <w:rPr>
          <w:rFonts w:ascii="宋体" w:hAnsi="宋体" w:cs="宋体"/>
          <w:sz w:val="24"/>
        </w:rPr>
      </w:pPr>
    </w:p>
    <w:p>
      <w:pPr>
        <w:spacing w:line="360" w:lineRule="auto"/>
        <w:ind w:firstLine="1120" w:firstLineChars="400"/>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（单位公章）</w:t>
      </w: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年      月      日</w:t>
      </w:r>
    </w:p>
    <w:p>
      <w:pPr>
        <w:jc w:val="center"/>
        <w:rPr>
          <w:rFonts w:ascii="宋体" w:hAnsi="宋体" w:cs="宋体"/>
          <w:b/>
          <w:sz w:val="28"/>
          <w:szCs w:val="28"/>
        </w:rPr>
      </w:pPr>
      <w:bookmarkStart w:id="84" w:name="_Toc30075_WPSOffice_Level2"/>
    </w:p>
    <w:p>
      <w:pPr>
        <w:jc w:val="center"/>
        <w:rPr>
          <w:rFonts w:ascii="宋体" w:hAnsi="宋体" w:cs="宋体"/>
          <w:b/>
          <w:sz w:val="30"/>
          <w:szCs w:val="30"/>
        </w:rPr>
      </w:pPr>
      <w:r>
        <w:rPr>
          <w:rFonts w:hint="eastAsia" w:ascii="宋体" w:hAnsi="宋体" w:cs="宋体"/>
          <w:b/>
          <w:sz w:val="28"/>
          <w:szCs w:val="28"/>
        </w:rPr>
        <w:t>一、承诺函</w:t>
      </w:r>
      <w:bookmarkEnd w:id="84"/>
    </w:p>
    <w:p>
      <w:pPr>
        <w:spacing w:line="360" w:lineRule="auto"/>
        <w:ind w:firstLine="480" w:firstLineChars="200"/>
        <w:rPr>
          <w:rFonts w:ascii="宋体" w:hAnsi="宋体" w:cs="宋体"/>
          <w:sz w:val="24"/>
        </w:rPr>
      </w:pPr>
      <w:r>
        <w:rPr>
          <w:rFonts w:hint="eastAsia" w:ascii="宋体" w:hAnsi="宋体" w:cs="宋体"/>
          <w:sz w:val="24"/>
          <w:u w:val="single"/>
        </w:rPr>
        <w:t xml:space="preserve">（采购人）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我方收到贵方 </w:t>
      </w:r>
      <w:r>
        <w:rPr>
          <w:rFonts w:hint="eastAsia" w:ascii="宋体" w:hAnsi="宋体" w:cs="宋体"/>
          <w:sz w:val="24"/>
          <w:u w:val="single"/>
        </w:rPr>
        <w:t xml:space="preserve">       </w:t>
      </w:r>
      <w:r>
        <w:rPr>
          <w:rFonts w:hint="eastAsia" w:ascii="宋体" w:hAnsi="宋体" w:cs="宋体"/>
          <w:sz w:val="24"/>
        </w:rPr>
        <w:t>（项目称、项目编号）的磋商文件，经仔细阅读和研究，我方决定加投标。</w:t>
      </w:r>
    </w:p>
    <w:p>
      <w:pPr>
        <w:spacing w:line="360" w:lineRule="auto"/>
        <w:ind w:firstLine="480" w:firstLineChars="200"/>
        <w:rPr>
          <w:rFonts w:ascii="宋体" w:hAnsi="宋体" w:cs="宋体"/>
          <w:sz w:val="24"/>
        </w:rPr>
      </w:pPr>
      <w:r>
        <w:rPr>
          <w:rFonts w:hint="eastAsia" w:ascii="宋体" w:hAnsi="宋体" w:cs="宋体"/>
          <w:sz w:val="24"/>
        </w:rPr>
        <w:t>l、我方愿意按照磋商文件的一切要求，提供本项目的服务，愿以以下价格完成本项目（元）：</w:t>
      </w:r>
      <w:r>
        <w:rPr>
          <w:rFonts w:hint="eastAsia" w:ascii="宋体" w:hAnsi="宋体" w:cs="宋体"/>
          <w:sz w:val="24"/>
          <w:u w:val="single"/>
        </w:rPr>
        <w:t xml:space="preserve"> 大写：           小写：        </w:t>
      </w:r>
    </w:p>
    <w:p>
      <w:pPr>
        <w:spacing w:line="360" w:lineRule="auto"/>
        <w:ind w:firstLine="480" w:firstLineChars="200"/>
        <w:rPr>
          <w:rFonts w:ascii="宋体" w:hAnsi="宋体" w:cs="宋体"/>
          <w:sz w:val="24"/>
        </w:rPr>
      </w:pPr>
      <w:r>
        <w:rPr>
          <w:rFonts w:hint="eastAsia" w:ascii="宋体" w:hAnsi="宋体" w:cs="宋体"/>
          <w:sz w:val="24"/>
        </w:rPr>
        <w:t>2、如果我方的响应文件被接受，我方将严格履行磋商文件中规定的每一项要求，按期、按质、按量履行供货义务，并在</w:t>
      </w:r>
      <w:r>
        <w:rPr>
          <w:rFonts w:hint="eastAsia" w:ascii="宋体" w:hAnsi="宋体" w:cs="宋体"/>
          <w:sz w:val="24"/>
          <w:u w:val="single"/>
        </w:rPr>
        <w:t xml:space="preserve">         </w:t>
      </w:r>
      <w:r>
        <w:rPr>
          <w:rFonts w:hint="eastAsia" w:ascii="宋体" w:hAnsi="宋体" w:cs="宋体"/>
          <w:sz w:val="24"/>
        </w:rPr>
        <w:t xml:space="preserve"> 期限内完成本项目，并保证本项目的质量等级为：</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3、我方已详细阅读并理解了磋商文件的全部，包括修改文件(如有的话)。我方完全理解并同意放弃对这方面有不明及误解的权利。</w:t>
      </w:r>
    </w:p>
    <w:p>
      <w:pPr>
        <w:spacing w:line="360" w:lineRule="auto"/>
        <w:ind w:firstLine="480" w:firstLineChars="200"/>
        <w:rPr>
          <w:rFonts w:ascii="宋体" w:hAnsi="宋体" w:cs="宋体"/>
          <w:sz w:val="24"/>
        </w:rPr>
      </w:pPr>
      <w:r>
        <w:rPr>
          <w:rFonts w:hint="eastAsia" w:ascii="宋体" w:hAnsi="宋体" w:cs="宋体"/>
          <w:sz w:val="24"/>
        </w:rPr>
        <w:t>4、我方同意按磋商文件中的规定，本响应文件的有效期限为开标后</w:t>
      </w:r>
      <w:r>
        <w:rPr>
          <w:rFonts w:hint="eastAsia" w:ascii="宋体" w:hAnsi="宋体" w:cs="宋体"/>
          <w:sz w:val="24"/>
          <w:u w:val="single"/>
        </w:rPr>
        <w:t xml:space="preserve"> 90</w:t>
      </w:r>
      <w:r>
        <w:rPr>
          <w:rFonts w:hint="eastAsia" w:ascii="宋体" w:hAnsi="宋体" w:cs="宋体"/>
          <w:sz w:val="24"/>
        </w:rPr>
        <w:t>天，遵守本响应文件中的承诺且在此期满之前均具有约束力。</w:t>
      </w:r>
    </w:p>
    <w:p>
      <w:pPr>
        <w:spacing w:line="360" w:lineRule="auto"/>
        <w:ind w:firstLine="480" w:firstLineChars="200"/>
        <w:rPr>
          <w:rFonts w:ascii="宋体" w:hAnsi="宋体" w:cs="宋体"/>
          <w:sz w:val="24"/>
        </w:rPr>
      </w:pPr>
      <w:r>
        <w:rPr>
          <w:rFonts w:hint="eastAsia" w:ascii="宋体" w:hAnsi="宋体" w:cs="宋体"/>
          <w:sz w:val="24"/>
        </w:rPr>
        <w:t>5、我方愿意提供采购人在磋商文件中要求的所有资料。</w:t>
      </w:r>
    </w:p>
    <w:p>
      <w:pPr>
        <w:spacing w:line="360" w:lineRule="auto"/>
        <w:ind w:firstLine="480" w:firstLineChars="200"/>
        <w:rPr>
          <w:rFonts w:ascii="宋体" w:hAnsi="宋体" w:cs="宋体"/>
          <w:sz w:val="24"/>
        </w:rPr>
      </w:pPr>
      <w:r>
        <w:rPr>
          <w:rFonts w:hint="eastAsia" w:ascii="宋体" w:hAnsi="宋体" w:cs="宋体"/>
          <w:sz w:val="24"/>
        </w:rPr>
        <w:t>6、我方愿意遵守磋商文件中所列的收费标准。</w:t>
      </w:r>
    </w:p>
    <w:p>
      <w:pPr>
        <w:spacing w:line="360" w:lineRule="auto"/>
        <w:ind w:firstLine="480" w:firstLineChars="200"/>
        <w:rPr>
          <w:rFonts w:ascii="宋体" w:hAnsi="宋体" w:cs="宋体"/>
          <w:sz w:val="24"/>
        </w:rPr>
      </w:pPr>
      <w:r>
        <w:rPr>
          <w:rFonts w:hint="eastAsia" w:ascii="宋体" w:hAnsi="宋体" w:cs="宋体"/>
          <w:sz w:val="24"/>
        </w:rPr>
        <w:t>7、在规定的磋商时间后，如果在投标有效期内撤回投标，同意投标保证金将被贵方没收。</w:t>
      </w:r>
    </w:p>
    <w:p>
      <w:pPr>
        <w:spacing w:line="360" w:lineRule="auto"/>
        <w:ind w:firstLine="480" w:firstLineChars="200"/>
        <w:rPr>
          <w:rFonts w:ascii="宋体" w:hAnsi="宋体" w:cs="宋体"/>
          <w:sz w:val="24"/>
        </w:rPr>
      </w:pPr>
      <w:r>
        <w:rPr>
          <w:rFonts w:hint="eastAsia" w:ascii="宋体" w:hAnsi="宋体" w:cs="宋体"/>
          <w:sz w:val="24"/>
        </w:rPr>
        <w:t>8、我方完全理解贵方不一定接受最低价的投标或收到的任何投标的约定。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9、我方愿意向贵方提供任何与本项投标有关的数据、情况和技术资料。若贵方需要，我方愿意提供我方作出的一切承诺的证明材料。</w:t>
      </w:r>
    </w:p>
    <w:p>
      <w:pPr>
        <w:spacing w:line="360" w:lineRule="auto"/>
        <w:ind w:firstLine="480" w:firstLineChars="200"/>
        <w:rPr>
          <w:rFonts w:ascii="宋体" w:hAnsi="宋体" w:cs="宋体"/>
          <w:sz w:val="24"/>
        </w:rPr>
      </w:pPr>
      <w:r>
        <w:rPr>
          <w:rFonts w:hint="eastAsia" w:ascii="宋体" w:hAnsi="宋体" w:cs="宋体"/>
          <w:sz w:val="24"/>
        </w:rPr>
        <w:t>10、我方在响应文件和投标中所作的承诺在开标后保持有效，不作任何更改和变动。</w:t>
      </w:r>
    </w:p>
    <w:p>
      <w:pPr>
        <w:spacing w:line="360" w:lineRule="auto"/>
        <w:ind w:firstLine="480" w:firstLineChars="200"/>
        <w:rPr>
          <w:rFonts w:ascii="宋体" w:hAnsi="宋体" w:cs="宋体"/>
          <w:sz w:val="24"/>
        </w:rPr>
      </w:pPr>
      <w:r>
        <w:rPr>
          <w:rFonts w:hint="eastAsia" w:ascii="宋体" w:hAnsi="宋体" w:cs="宋体"/>
          <w:sz w:val="24"/>
        </w:rPr>
        <w:t>11、我方愿意按磋商文件的规定交纳</w:t>
      </w:r>
      <w:r>
        <w:rPr>
          <w:rFonts w:hint="eastAsia" w:ascii="宋体" w:hAnsi="宋体" w:cs="宋体"/>
          <w:sz w:val="24"/>
          <w:u w:val="single"/>
        </w:rPr>
        <w:t xml:space="preserve">     </w:t>
      </w:r>
      <w:r>
        <w:rPr>
          <w:rFonts w:hint="eastAsia" w:ascii="宋体" w:hAnsi="宋体" w:cs="宋体"/>
          <w:sz w:val="24"/>
        </w:rPr>
        <w:t>元的投标保证金。</w:t>
      </w:r>
    </w:p>
    <w:p>
      <w:pPr>
        <w:spacing w:line="360" w:lineRule="auto"/>
        <w:ind w:firstLine="480" w:firstLineChars="200"/>
        <w:rPr>
          <w:rFonts w:ascii="宋体" w:hAnsi="宋体" w:cs="宋体"/>
          <w:sz w:val="24"/>
        </w:rPr>
      </w:pPr>
      <w:r>
        <w:rPr>
          <w:rFonts w:hint="eastAsia" w:ascii="宋体" w:hAnsi="宋体" w:cs="宋体"/>
          <w:sz w:val="24"/>
        </w:rPr>
        <w:t>12、若我方获得中标，我方保证按有关规定向贵方支付服务费。我方承诺接受磋商文件及澄清修改部分（如有）的全部条款（包括响应文件递交截止时间、保证金、资格评审条件、中标标准以及采购需求等其他所有条款）且无任何异议，现向贵公司提出承诺报价。</w:t>
      </w:r>
    </w:p>
    <w:p>
      <w:pPr>
        <w:spacing w:line="360" w:lineRule="auto"/>
        <w:ind w:firstLine="480" w:firstLineChars="200"/>
        <w:rPr>
          <w:rFonts w:ascii="宋体" w:hAnsi="宋体" w:cs="宋体"/>
          <w:sz w:val="24"/>
        </w:rPr>
      </w:pPr>
      <w:r>
        <w:rPr>
          <w:rFonts w:hint="eastAsia" w:ascii="宋体" w:hAnsi="宋体" w:cs="宋体"/>
          <w:sz w:val="24"/>
        </w:rPr>
        <w:t>所有有关标书的函电，请按下列地址联系：</w:t>
      </w:r>
    </w:p>
    <w:p>
      <w:pPr>
        <w:spacing w:line="360" w:lineRule="auto"/>
        <w:ind w:firstLine="480" w:firstLineChars="20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供应商（盖章）： </w:t>
      </w:r>
    </w:p>
    <w:p>
      <w:pPr>
        <w:spacing w:line="360" w:lineRule="auto"/>
        <w:ind w:firstLine="480" w:firstLineChars="200"/>
        <w:rPr>
          <w:rFonts w:ascii="宋体" w:hAnsi="宋体" w:cs="宋体"/>
          <w:sz w:val="24"/>
        </w:rPr>
      </w:pPr>
      <w:r>
        <w:rPr>
          <w:rFonts w:hint="eastAsia" w:ascii="宋体" w:hAnsi="宋体" w:cs="宋体"/>
          <w:sz w:val="24"/>
        </w:rPr>
        <w:t>供应商法定代表人或授权委托人（盖章或签字）：</w:t>
      </w:r>
    </w:p>
    <w:p>
      <w:pPr>
        <w:spacing w:line="360" w:lineRule="auto"/>
        <w:ind w:firstLine="480" w:firstLineChars="200"/>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rPr>
          <w:rFonts w:ascii="宋体" w:hAnsi="宋体" w:cs="宋体"/>
          <w:b/>
          <w:sz w:val="28"/>
          <w:szCs w:val="28"/>
        </w:rPr>
      </w:pPr>
    </w:p>
    <w:p>
      <w:pPr>
        <w:ind w:firstLine="2530" w:firstLineChars="900"/>
        <w:rPr>
          <w:rFonts w:ascii="宋体" w:hAnsi="宋体" w:cs="宋体"/>
          <w:b/>
          <w:sz w:val="28"/>
          <w:szCs w:val="28"/>
        </w:rPr>
      </w:pPr>
      <w:r>
        <w:rPr>
          <w:rFonts w:hint="eastAsia" w:ascii="宋体" w:hAnsi="宋体" w:cs="宋体"/>
          <w:b/>
          <w:sz w:val="28"/>
          <w:szCs w:val="28"/>
        </w:rPr>
        <w:t>二、法定代表人身份证明书</w:t>
      </w:r>
    </w:p>
    <w:p>
      <w:pPr>
        <w:spacing w:line="360" w:lineRule="auto"/>
        <w:ind w:firstLine="480" w:firstLineChars="200"/>
        <w:rPr>
          <w:rFonts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企业类型：</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营业限：</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成立时间</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系 </w:t>
      </w:r>
      <w:r>
        <w:rPr>
          <w:rFonts w:hint="eastAsia" w:ascii="宋体" w:hAnsi="宋体" w:cs="宋体"/>
          <w:sz w:val="24"/>
          <w:u w:val="single"/>
        </w:rPr>
        <w:t xml:space="preserve">         （投标单位名称）               </w:t>
      </w:r>
      <w:r>
        <w:rPr>
          <w:rFonts w:hint="eastAsia" w:ascii="宋体" w:hAnsi="宋体" w:cs="宋体"/>
          <w:sz w:val="24"/>
        </w:rPr>
        <w:t>的法定代表人。</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特此证明。</w:t>
      </w:r>
    </w:p>
    <w:tbl>
      <w:tblPr>
        <w:tblStyle w:val="33"/>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2" w:hRule="atLeast"/>
        </w:trPr>
        <w:tc>
          <w:tcPr>
            <w:tcW w:w="3652" w:type="dxa"/>
          </w:tcPr>
          <w:p>
            <w:pPr>
              <w:spacing w:line="360" w:lineRule="auto"/>
              <w:ind w:firstLine="600" w:firstLineChars="250"/>
              <w:rPr>
                <w:rFonts w:ascii="宋体" w:hAnsi="宋体" w:cs="宋体"/>
                <w:sz w:val="24"/>
              </w:rPr>
            </w:pPr>
            <w:r>
              <w:rPr>
                <w:rFonts w:hint="eastAsia" w:ascii="宋体" w:hAnsi="宋体" w:cs="宋体"/>
                <w:sz w:val="24"/>
              </w:rPr>
              <w:t>法人身份证正面</w:t>
            </w:r>
          </w:p>
        </w:tc>
        <w:tc>
          <w:tcPr>
            <w:tcW w:w="3652" w:type="dxa"/>
          </w:tcPr>
          <w:p>
            <w:pPr>
              <w:spacing w:line="360" w:lineRule="auto"/>
              <w:ind w:firstLine="600" w:firstLineChars="250"/>
              <w:rPr>
                <w:rFonts w:ascii="宋体" w:hAnsi="宋体" w:cs="宋体"/>
                <w:sz w:val="24"/>
              </w:rPr>
            </w:pPr>
            <w:r>
              <w:rPr>
                <w:rFonts w:hint="eastAsia" w:ascii="宋体" w:hAnsi="宋体" w:cs="宋体"/>
                <w:sz w:val="24"/>
              </w:rPr>
              <w:t>法人身份证反面</w:t>
            </w:r>
          </w:p>
        </w:tc>
      </w:tr>
    </w:tbl>
    <w:p>
      <w:pPr>
        <w:wordWrap w:val="0"/>
        <w:spacing w:line="360" w:lineRule="auto"/>
        <w:ind w:firstLine="480" w:firstLineChars="200"/>
        <w:jc w:val="right"/>
        <w:rPr>
          <w:rFonts w:ascii="宋体" w:hAnsi="宋体" w:cs="宋体"/>
          <w:sz w:val="24"/>
        </w:rPr>
      </w:pPr>
    </w:p>
    <w:p>
      <w:pPr>
        <w:wordWrap w:val="0"/>
        <w:spacing w:line="360" w:lineRule="auto"/>
        <w:ind w:firstLine="480" w:firstLineChars="200"/>
        <w:rPr>
          <w:rFonts w:ascii="宋体" w:hAnsi="宋体" w:cs="宋体"/>
          <w:sz w:val="24"/>
        </w:rPr>
      </w:pPr>
      <w:r>
        <w:rPr>
          <w:rFonts w:hint="eastAsia" w:ascii="宋体" w:hAnsi="宋体" w:cs="宋体"/>
          <w:sz w:val="24"/>
        </w:rPr>
        <w:t>供应商（盖章）：</w:t>
      </w:r>
      <w:r>
        <w:rPr>
          <w:rFonts w:hint="eastAsia" w:ascii="宋体" w:hAnsi="宋体" w:cs="宋体"/>
          <w:sz w:val="24"/>
          <w:u w:val="single"/>
        </w:rPr>
        <w:t xml:space="preserve">                      </w:t>
      </w:r>
    </w:p>
    <w:p>
      <w:pPr>
        <w:pStyle w:val="2"/>
        <w:tabs>
          <w:tab w:val="left" w:pos="540"/>
        </w:tabs>
        <w:ind w:firstLine="480" w:firstLineChars="200"/>
        <w:rPr>
          <w:lang w:eastAsia="zh-CN"/>
        </w:rPr>
      </w:pPr>
      <w:r>
        <w:rPr>
          <w:rFonts w:hint="eastAsia" w:ascii="宋体" w:hAnsi="宋体" w:cs="宋体"/>
          <w:b w:val="0"/>
          <w:kern w:val="2"/>
          <w:sz w:val="24"/>
          <w:szCs w:val="24"/>
          <w:lang w:eastAsia="zh-CN"/>
        </w:rPr>
        <w:t>法定代表人（签字或盖章）：</w:t>
      </w:r>
      <w:r>
        <w:rPr>
          <w:rFonts w:hint="eastAsia" w:ascii="宋体" w:hAnsi="宋体" w:cs="宋体"/>
          <w:sz w:val="24"/>
          <w:u w:val="single"/>
          <w:lang w:eastAsia="zh-CN"/>
        </w:rPr>
        <w:t xml:space="preserve">          </w:t>
      </w:r>
    </w:p>
    <w:p>
      <w:pPr>
        <w:spacing w:line="360" w:lineRule="auto"/>
        <w:ind w:firstLine="480" w:firstLineChars="200"/>
        <w:rPr>
          <w:rFonts w:ascii="宋体" w:hAnsi="宋体" w:cs="宋体"/>
          <w:sz w:val="24"/>
        </w:rPr>
      </w:pPr>
      <w:r>
        <w:rPr>
          <w:rFonts w:hint="eastAsia" w:ascii="宋体" w:hAnsi="宋体" w:cs="宋体"/>
          <w:sz w:val="24"/>
        </w:rPr>
        <w:t>日  期：20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ind w:firstLine="480" w:firstLineChars="200"/>
        <w:rPr>
          <w:rFonts w:ascii="宋体" w:hAnsi="宋体" w:cs="宋体"/>
          <w:bCs/>
        </w:rPr>
      </w:pPr>
      <w:r>
        <w:rPr>
          <w:rFonts w:hint="eastAsia" w:ascii="宋体" w:hAnsi="宋体" w:cs="宋体"/>
          <w:bCs/>
        </w:rPr>
        <w:t>注：1、需单独打印手持一份供现场监督查验；</w:t>
      </w:r>
    </w:p>
    <w:p>
      <w:pPr>
        <w:ind w:firstLine="480" w:firstLineChars="200"/>
        <w:rPr>
          <w:rFonts w:ascii="宋体" w:hAnsi="宋体" w:cs="宋体"/>
          <w:bCs/>
          <w:sz w:val="30"/>
          <w:szCs w:val="30"/>
        </w:rPr>
      </w:pPr>
      <w:r>
        <w:rPr>
          <w:rFonts w:hint="eastAsia" w:ascii="宋体" w:hAnsi="宋体" w:cs="宋体"/>
          <w:bCs/>
          <w:sz w:val="24"/>
        </w:rPr>
        <w:t>2、法定代表人参与投标后附近三个月由本单位社保缴费凭证及个人明细。</w:t>
      </w: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三、法人代表授权书格式</w:t>
      </w:r>
    </w:p>
    <w:p>
      <w:pPr>
        <w:spacing w:line="360" w:lineRule="auto"/>
        <w:ind w:firstLine="480" w:firstLineChars="200"/>
        <w:rPr>
          <w:rFonts w:ascii="宋体" w:hAnsi="宋体" w:cs="宋体"/>
          <w:sz w:val="24"/>
        </w:rPr>
      </w:pPr>
      <w:r>
        <w:rPr>
          <w:rFonts w:hint="eastAsia" w:ascii="宋体" w:hAnsi="宋体" w:cs="宋体"/>
          <w:sz w:val="24"/>
        </w:rPr>
        <w:t>本授权书声明：</w:t>
      </w:r>
      <w:r>
        <w:rPr>
          <w:rFonts w:hint="eastAsia" w:ascii="宋体" w:hAnsi="宋体" w:cs="宋体"/>
          <w:sz w:val="24"/>
          <w:u w:val="single"/>
        </w:rPr>
        <w:t>（注册于地区的名称）</w:t>
      </w:r>
      <w:r>
        <w:rPr>
          <w:rFonts w:hint="eastAsia" w:ascii="宋体" w:hAnsi="宋体" w:cs="宋体"/>
          <w:sz w:val="24"/>
        </w:rPr>
        <w:t>的（</w:t>
      </w:r>
      <w:r>
        <w:rPr>
          <w:rFonts w:hint="eastAsia" w:ascii="宋体" w:hAnsi="宋体" w:cs="宋体"/>
          <w:sz w:val="24"/>
          <w:u w:val="single"/>
        </w:rPr>
        <w:t>单位名称），</w:t>
      </w:r>
      <w:r>
        <w:rPr>
          <w:rFonts w:hint="eastAsia" w:ascii="宋体" w:hAnsi="宋体" w:cs="宋体"/>
          <w:sz w:val="24"/>
        </w:rPr>
        <w:t>在下面签字的法人代表</w:t>
      </w:r>
      <w:r>
        <w:rPr>
          <w:rFonts w:hint="eastAsia" w:ascii="宋体" w:hAnsi="宋体" w:cs="宋体"/>
          <w:sz w:val="24"/>
          <w:u w:val="single"/>
        </w:rPr>
        <w:t>（姓名、职务、身份证号码），</w:t>
      </w:r>
      <w:r>
        <w:rPr>
          <w:rFonts w:hint="eastAsia" w:ascii="宋体" w:hAnsi="宋体" w:cs="宋体"/>
          <w:sz w:val="24"/>
        </w:rPr>
        <w:t>代表本公司授权在下面签字的</w:t>
      </w:r>
      <w:r>
        <w:rPr>
          <w:rFonts w:hint="eastAsia" w:ascii="宋体" w:hAnsi="宋体" w:cs="宋体"/>
          <w:sz w:val="24"/>
          <w:u w:val="single"/>
        </w:rPr>
        <w:t>（被授权人的姓名、职务、身份证号码）</w:t>
      </w:r>
      <w:r>
        <w:rPr>
          <w:rFonts w:hint="eastAsia" w:ascii="宋体" w:hAnsi="宋体" w:cs="宋体"/>
          <w:sz w:val="24"/>
        </w:rPr>
        <w:t>为本公司的合法代理人，就</w:t>
      </w:r>
      <w:r>
        <w:rPr>
          <w:rFonts w:hint="eastAsia" w:ascii="宋体" w:hAnsi="宋体" w:cs="宋体"/>
          <w:sz w:val="24"/>
          <w:u w:val="single"/>
        </w:rPr>
        <w:t>（项目名称/编号）</w:t>
      </w:r>
      <w:r>
        <w:rPr>
          <w:rFonts w:hint="eastAsia" w:ascii="宋体" w:hAnsi="宋体" w:cs="宋体"/>
          <w:sz w:val="24"/>
        </w:rPr>
        <w:t>的投标，以本公司的名义处理一切与之有关的事务。</w:t>
      </w:r>
    </w:p>
    <w:p>
      <w:pPr>
        <w:spacing w:line="360" w:lineRule="auto"/>
        <w:ind w:firstLine="480" w:firstLineChars="200"/>
        <w:rPr>
          <w:rFonts w:ascii="宋体" w:hAnsi="宋体" w:cs="宋体"/>
          <w:sz w:val="24"/>
        </w:rPr>
      </w:pPr>
      <w:r>
        <w:rPr>
          <w:rFonts w:hint="eastAsia" w:ascii="宋体" w:hAnsi="宋体" w:cs="宋体"/>
          <w:sz w:val="24"/>
        </w:rPr>
        <w:t>本授权书于20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tbl>
      <w:tblPr>
        <w:tblStyle w:val="33"/>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2" w:hRule="atLeast"/>
        </w:trPr>
        <w:tc>
          <w:tcPr>
            <w:tcW w:w="3652" w:type="dxa"/>
          </w:tcPr>
          <w:p>
            <w:pPr>
              <w:spacing w:line="360" w:lineRule="auto"/>
              <w:ind w:firstLine="600" w:firstLineChars="250"/>
              <w:rPr>
                <w:rFonts w:ascii="宋体" w:hAnsi="宋体" w:cs="宋体"/>
                <w:sz w:val="24"/>
              </w:rPr>
            </w:pPr>
            <w:r>
              <w:rPr>
                <w:rFonts w:hint="eastAsia" w:ascii="宋体" w:hAnsi="宋体" w:cs="宋体"/>
                <w:sz w:val="24"/>
              </w:rPr>
              <w:t>法人身份证正面</w:t>
            </w:r>
          </w:p>
        </w:tc>
        <w:tc>
          <w:tcPr>
            <w:tcW w:w="3652" w:type="dxa"/>
          </w:tcPr>
          <w:p>
            <w:pPr>
              <w:spacing w:line="360" w:lineRule="auto"/>
              <w:ind w:firstLine="600" w:firstLineChars="250"/>
              <w:rPr>
                <w:rFonts w:ascii="宋体" w:hAnsi="宋体" w:cs="宋体"/>
                <w:sz w:val="24"/>
              </w:rPr>
            </w:pPr>
            <w:r>
              <w:rPr>
                <w:rFonts w:hint="eastAsia" w:ascii="宋体" w:hAnsi="宋体" w:cs="宋体"/>
                <w:sz w:val="24"/>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02" w:hRule="atLeast"/>
        </w:trPr>
        <w:tc>
          <w:tcPr>
            <w:tcW w:w="3652" w:type="dxa"/>
          </w:tcPr>
          <w:p>
            <w:pPr>
              <w:spacing w:line="360" w:lineRule="auto"/>
              <w:ind w:firstLine="600" w:firstLineChars="250"/>
              <w:rPr>
                <w:rFonts w:ascii="宋体" w:hAnsi="宋体" w:cs="宋体"/>
                <w:sz w:val="24"/>
              </w:rPr>
            </w:pPr>
            <w:r>
              <w:rPr>
                <w:rFonts w:hint="eastAsia" w:ascii="宋体" w:hAnsi="宋体" w:cs="宋体"/>
                <w:sz w:val="24"/>
              </w:rPr>
              <w:t>授权人身份证正面</w:t>
            </w:r>
          </w:p>
        </w:tc>
        <w:tc>
          <w:tcPr>
            <w:tcW w:w="3652" w:type="dxa"/>
          </w:tcPr>
          <w:p>
            <w:pPr>
              <w:spacing w:line="360" w:lineRule="auto"/>
              <w:ind w:firstLine="600" w:firstLineChars="250"/>
              <w:rPr>
                <w:rFonts w:ascii="宋体" w:hAnsi="宋体" w:cs="宋体"/>
                <w:sz w:val="24"/>
              </w:rPr>
            </w:pPr>
            <w:r>
              <w:rPr>
                <w:rFonts w:hint="eastAsia" w:ascii="宋体" w:hAnsi="宋体" w:cs="宋体"/>
                <w:sz w:val="24"/>
              </w:rPr>
              <w:t>授权人身份证反面</w:t>
            </w:r>
          </w:p>
        </w:tc>
      </w:tr>
    </w:tbl>
    <w:p>
      <w:pPr>
        <w:spacing w:line="360" w:lineRule="auto"/>
        <w:ind w:firstLine="480" w:firstLineChars="200"/>
        <w:rPr>
          <w:rFonts w:ascii="宋体" w:hAnsi="宋体" w:cs="宋体"/>
          <w:sz w:val="24"/>
        </w:rPr>
      </w:pPr>
      <w:r>
        <w:rPr>
          <w:rFonts w:hint="eastAsia" w:ascii="宋体" w:hAnsi="宋体" w:cs="宋体"/>
          <w:sz w:val="24"/>
        </w:rPr>
        <w:t>供应商（盖章）：</w:t>
      </w:r>
    </w:p>
    <w:p>
      <w:pPr>
        <w:spacing w:line="360" w:lineRule="auto"/>
        <w:ind w:firstLine="480" w:firstLineChars="200"/>
        <w:rPr>
          <w:rFonts w:ascii="宋体" w:hAnsi="宋体" w:cs="宋体"/>
          <w:sz w:val="24"/>
          <w:u w:val="single"/>
        </w:rPr>
      </w:pPr>
      <w:r>
        <w:rPr>
          <w:rFonts w:hint="eastAsia" w:ascii="宋体" w:hAnsi="宋体" w:cs="宋体"/>
          <w:sz w:val="24"/>
        </w:rPr>
        <w:t>法定代表人或授权委托人（签字或盖章）：</w:t>
      </w:r>
    </w:p>
    <w:p>
      <w:pPr>
        <w:spacing w:line="360" w:lineRule="auto"/>
        <w:ind w:firstLine="480" w:firstLineChars="200"/>
        <w:jc w:val="center"/>
        <w:rPr>
          <w:rFonts w:ascii="宋体" w:hAnsi="宋体" w:cs="宋体"/>
          <w:sz w:val="24"/>
        </w:rPr>
      </w:pPr>
    </w:p>
    <w:p>
      <w:pPr>
        <w:spacing w:line="360" w:lineRule="auto"/>
        <w:ind w:firstLine="480" w:firstLineChars="200"/>
        <w:rPr>
          <w:rFonts w:ascii="宋体" w:hAnsi="宋体" w:cs="宋体"/>
          <w:sz w:val="24"/>
          <w:u w:val="single"/>
        </w:rPr>
      </w:pPr>
      <w:r>
        <w:rPr>
          <w:rFonts w:hint="eastAsia" w:ascii="宋体" w:hAnsi="宋体" w:cs="宋体"/>
          <w:sz w:val="24"/>
        </w:rPr>
        <w:t>授权日期：20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0" w:firstLineChars="200"/>
        <w:rPr>
          <w:rFonts w:ascii="宋体" w:hAnsi="宋体" w:cs="宋体"/>
          <w:bCs/>
          <w:sz w:val="24"/>
        </w:rPr>
      </w:pPr>
    </w:p>
    <w:p>
      <w:pPr>
        <w:ind w:firstLine="480" w:firstLineChars="200"/>
        <w:rPr>
          <w:rFonts w:ascii="宋体" w:hAnsi="宋体" w:cs="宋体"/>
          <w:bCs/>
          <w:sz w:val="24"/>
        </w:rPr>
      </w:pPr>
      <w:r>
        <w:rPr>
          <w:rFonts w:hint="eastAsia" w:ascii="宋体" w:hAnsi="宋体" w:cs="宋体"/>
          <w:bCs/>
          <w:sz w:val="24"/>
        </w:rPr>
        <w:t>注：1、需单独打印手持一份供现场监督查验；</w:t>
      </w:r>
    </w:p>
    <w:p>
      <w:pPr>
        <w:ind w:firstLine="480" w:firstLineChars="200"/>
        <w:rPr>
          <w:rFonts w:ascii="宋体" w:hAnsi="宋体" w:cs="宋体"/>
          <w:bCs/>
          <w:sz w:val="24"/>
        </w:rPr>
      </w:pPr>
    </w:p>
    <w:p>
      <w:pPr>
        <w:ind w:firstLine="960" w:firstLineChars="400"/>
      </w:pPr>
      <w:r>
        <w:rPr>
          <w:rFonts w:hint="eastAsia" w:ascii="宋体" w:hAnsi="宋体" w:cs="宋体"/>
          <w:bCs/>
          <w:sz w:val="24"/>
        </w:rPr>
        <w:t>2、授权委托人参与投标后附近三个月由本单位社保缴费凭证及个人明细。</w:t>
      </w:r>
    </w:p>
    <w:p>
      <w:pPr>
        <w:widowControl/>
        <w:ind w:firstLine="562" w:firstLineChars="200"/>
        <w:jc w:val="center"/>
        <w:rPr>
          <w:rFonts w:ascii="宋体" w:hAnsi="宋体" w:cs="宋体"/>
          <w:b/>
          <w:sz w:val="28"/>
          <w:szCs w:val="28"/>
        </w:rPr>
      </w:pPr>
    </w:p>
    <w:p>
      <w:pPr>
        <w:widowControl/>
        <w:ind w:firstLine="562" w:firstLineChars="200"/>
        <w:jc w:val="center"/>
        <w:rPr>
          <w:rFonts w:ascii="宋体" w:hAnsi="宋体" w:cs="宋体"/>
          <w:b/>
          <w:sz w:val="28"/>
          <w:szCs w:val="28"/>
        </w:rPr>
      </w:pPr>
    </w:p>
    <w:p>
      <w:pPr>
        <w:widowControl/>
        <w:ind w:firstLine="562" w:firstLineChars="200"/>
        <w:jc w:val="center"/>
        <w:rPr>
          <w:rFonts w:ascii="宋体" w:hAnsi="宋体" w:cs="宋体"/>
          <w:b/>
          <w:sz w:val="28"/>
          <w:szCs w:val="28"/>
        </w:rPr>
      </w:pPr>
    </w:p>
    <w:p>
      <w:pPr>
        <w:widowControl/>
        <w:rPr>
          <w:rFonts w:ascii="宋体" w:hAnsi="宋体" w:cs="宋体"/>
          <w:b/>
          <w:sz w:val="28"/>
          <w:szCs w:val="28"/>
        </w:rPr>
      </w:pPr>
    </w:p>
    <w:p>
      <w:pPr>
        <w:widowControl/>
        <w:jc w:val="center"/>
        <w:rPr>
          <w:rFonts w:ascii="宋体" w:hAnsi="宋体"/>
          <w:b/>
          <w:bCs/>
          <w:sz w:val="28"/>
          <w:szCs w:val="28"/>
        </w:rPr>
      </w:pPr>
      <w:r>
        <w:rPr>
          <w:rFonts w:hint="eastAsia" w:ascii="宋体" w:hAnsi="宋体" w:cs="宋体"/>
          <w:b/>
          <w:sz w:val="28"/>
          <w:szCs w:val="28"/>
        </w:rPr>
        <w:t>四、</w:t>
      </w:r>
      <w:r>
        <w:rPr>
          <w:rFonts w:hint="eastAsia" w:ascii="宋体" w:hAnsi="宋体"/>
          <w:b/>
          <w:bCs/>
          <w:kern w:val="0"/>
          <w:sz w:val="28"/>
          <w:szCs w:val="28"/>
        </w:rPr>
        <w:t>报价一览表</w:t>
      </w:r>
    </w:p>
    <w:tbl>
      <w:tblPr>
        <w:tblStyle w:val="33"/>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Layout w:type="fixed"/>
          <w:tblCellMar>
            <w:top w:w="0" w:type="dxa"/>
            <w:left w:w="108" w:type="dxa"/>
            <w:bottom w:w="0" w:type="dxa"/>
            <w:right w:w="108" w:type="dxa"/>
          </w:tblCellMar>
        </w:tblPrEx>
        <w:trPr>
          <w:cantSplit/>
          <w:trHeight w:val="767"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rPr>
            </w:pPr>
          </w:p>
        </w:tc>
      </w:tr>
      <w:tr>
        <w:tblPrEx>
          <w:tblLayout w:type="fixed"/>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rPr>
            </w:pPr>
          </w:p>
        </w:tc>
      </w:tr>
      <w:tr>
        <w:tblPrEx>
          <w:tblLayout w:type="fixed"/>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rPr>
            </w:pPr>
            <w:r>
              <w:rPr>
                <w:rFonts w:hint="eastAsia" w:ascii="宋体" w:hAnsi="宋体"/>
                <w:sz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rPr>
            </w:pPr>
          </w:p>
        </w:tc>
      </w:tr>
      <w:tr>
        <w:tblPrEx>
          <w:tblLayout w:type="fixed"/>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rPr>
            </w:pPr>
            <w:r>
              <w:rPr>
                <w:rFonts w:hint="eastAsia" w:ascii="宋体" w:hAnsi="宋体"/>
                <w:sz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rPr>
            </w:pPr>
          </w:p>
        </w:tc>
      </w:tr>
      <w:tr>
        <w:tblPrEx>
          <w:tblLayout w:type="fixed"/>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rPr>
            </w:pP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人民币（大写）：</w:t>
            </w:r>
          </w:p>
        </w:tc>
      </w:tr>
      <w:tr>
        <w:tblPrEx>
          <w:tblLayout w:type="fixed"/>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供货期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rPr>
            </w:pPr>
            <w:r>
              <w:rPr>
                <w:rFonts w:hint="eastAsia" w:ascii="宋体" w:hAnsi="宋体"/>
                <w:sz w:val="24"/>
              </w:rPr>
              <w:t> </w:t>
            </w:r>
          </w:p>
        </w:tc>
      </w:tr>
      <w:tr>
        <w:tblPrEx>
          <w:tblLayout w:type="fixed"/>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rPr>
            </w:pPr>
            <w:r>
              <w:rPr>
                <w:rFonts w:hint="eastAsia" w:ascii="宋体" w:hAnsi="宋体" w:cs="宋体"/>
                <w:bCs/>
                <w:kern w:val="0"/>
                <w:sz w:val="24"/>
              </w:rPr>
              <w:t>质量要求：</w:t>
            </w:r>
            <w:r>
              <w:rPr>
                <w:rFonts w:hint="eastAsia" w:ascii="宋体" w:hAnsi="宋体" w:cs="宋体"/>
                <w:bCs/>
                <w:kern w:val="0"/>
                <w:sz w:val="24"/>
                <w:u w:val="single"/>
              </w:rPr>
              <w:t xml:space="preserve">                 </w:t>
            </w:r>
            <w:r>
              <w:rPr>
                <w:rFonts w:hint="eastAsia" w:ascii="宋体" w:hAnsi="宋体" w:cs="宋体"/>
                <w:bCs/>
                <w:kern w:val="0"/>
                <w:sz w:val="24"/>
              </w:rPr>
              <w:t>（质保期：</w:t>
            </w:r>
            <w:r>
              <w:rPr>
                <w:rFonts w:hint="eastAsia" w:ascii="宋体" w:hAnsi="宋体" w:cs="宋体"/>
                <w:bCs/>
                <w:kern w:val="0"/>
                <w:sz w:val="24"/>
                <w:u w:val="single"/>
              </w:rPr>
              <w:t xml:space="preserve">              </w:t>
            </w:r>
            <w:r>
              <w:rPr>
                <w:rFonts w:hint="eastAsia" w:ascii="宋体" w:hAnsi="宋体" w:cs="宋体"/>
                <w:bCs/>
                <w:kern w:val="0"/>
                <w:sz w:val="24"/>
              </w:rPr>
              <w:t>）</w:t>
            </w:r>
          </w:p>
        </w:tc>
      </w:tr>
    </w:tbl>
    <w:p>
      <w:pPr>
        <w:adjustRightInd w:val="0"/>
        <w:snapToGrid w:val="0"/>
        <w:spacing w:line="360" w:lineRule="auto"/>
        <w:ind w:right="-733" w:rightChars="-349" w:firstLine="480" w:firstLineChars="200"/>
        <w:jc w:val="left"/>
        <w:rPr>
          <w:rFonts w:ascii="宋体" w:hAnsi="宋体"/>
          <w:sz w:val="24"/>
        </w:rPr>
      </w:pPr>
      <w:r>
        <w:rPr>
          <w:rFonts w:hint="eastAsia" w:ascii="宋体" w:hAnsi="宋体"/>
          <w:sz w:val="24"/>
        </w:rPr>
        <w:t>注：投标货币为人民币。本项目为总价合同，在数量不发生变化时，不得变动价格。</w:t>
      </w:r>
    </w:p>
    <w:p>
      <w:pPr>
        <w:snapToGrid w:val="0"/>
        <w:spacing w:line="360" w:lineRule="auto"/>
        <w:ind w:firstLine="480" w:firstLineChars="200"/>
        <w:rPr>
          <w:rFonts w:ascii="宋体" w:hAnsi="宋体"/>
          <w:sz w:val="24"/>
        </w:rPr>
      </w:pPr>
      <w:r>
        <w:rPr>
          <w:rFonts w:hint="eastAsia" w:ascii="宋体" w:hAnsi="宋体"/>
          <w:sz w:val="24"/>
        </w:rPr>
        <w:t xml:space="preserve">供应商的报价应包括所投设备及辅材费用、安装费用、整体调试费用、免费维保期内维保服务、运输、保险、相关税费、规费、利润等相关用。 </w:t>
      </w:r>
    </w:p>
    <w:p>
      <w:pPr>
        <w:spacing w:line="360" w:lineRule="auto"/>
        <w:ind w:firstLine="480" w:firstLineChars="200"/>
        <w:rPr>
          <w:rFonts w:ascii="宋体" w:hAnsi="宋体" w:cs="宋体"/>
          <w:sz w:val="24"/>
        </w:rPr>
      </w:pPr>
      <w:r>
        <w:rPr>
          <w:rFonts w:hint="eastAsia" w:ascii="宋体" w:hAnsi="宋体" w:cs="宋体"/>
          <w:sz w:val="24"/>
        </w:rPr>
        <w:t xml:space="preserve">供应商（盖章）： </w:t>
      </w:r>
    </w:p>
    <w:p>
      <w:pPr>
        <w:spacing w:line="360" w:lineRule="auto"/>
        <w:ind w:firstLine="480" w:firstLineChars="200"/>
        <w:rPr>
          <w:rFonts w:ascii="宋体" w:hAnsi="宋体" w:cs="宋体"/>
          <w:sz w:val="24"/>
        </w:rPr>
      </w:pPr>
      <w:r>
        <w:rPr>
          <w:rFonts w:hint="eastAsia" w:ascii="宋体" w:hAnsi="宋体" w:cs="宋体"/>
          <w:sz w:val="24"/>
        </w:rPr>
        <w:t>供应商法定代表人或授权委托人（盖章或签字）：</w:t>
      </w:r>
    </w:p>
    <w:p>
      <w:pPr>
        <w:spacing w:line="360" w:lineRule="auto"/>
        <w:ind w:firstLine="480" w:firstLineChars="200"/>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482" w:firstLineChars="200"/>
        <w:rPr>
          <w:rFonts w:ascii="宋体" w:hAnsi="宋体" w:cs="宋体"/>
          <w:b/>
          <w:sz w:val="24"/>
        </w:rPr>
      </w:pPr>
      <w:r>
        <w:rPr>
          <w:rFonts w:hint="eastAsia" w:ascii="宋体" w:hAnsi="宋体" w:cs="宋体"/>
          <w:b/>
          <w:sz w:val="24"/>
        </w:rPr>
        <w:t>注：此表需单独封装一份，单独提交供唱标时使用</w:t>
      </w:r>
    </w:p>
    <w:p>
      <w:pPr>
        <w:spacing w:line="360" w:lineRule="auto"/>
        <w:ind w:firstLine="562" w:firstLineChars="200"/>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rPr>
          <w:rFonts w:ascii="宋体" w:hAnsi="宋体" w:cs="宋体"/>
          <w:b/>
          <w:sz w:val="28"/>
          <w:szCs w:val="28"/>
        </w:rPr>
      </w:pPr>
    </w:p>
    <w:p>
      <w:pPr>
        <w:spacing w:line="360" w:lineRule="auto"/>
        <w:jc w:val="center"/>
        <w:rPr>
          <w:rFonts w:ascii="新宋体" w:hAnsi="新宋体" w:eastAsia="新宋体"/>
          <w:b/>
          <w:bCs/>
          <w:color w:val="auto"/>
          <w:sz w:val="28"/>
          <w:szCs w:val="28"/>
          <w:highlight w:val="none"/>
        </w:rPr>
      </w:pPr>
      <w:r>
        <w:rPr>
          <w:rFonts w:hint="eastAsia" w:ascii="宋体" w:hAnsi="宋体" w:cs="宋体"/>
          <w:b/>
          <w:color w:val="auto"/>
          <w:sz w:val="28"/>
          <w:szCs w:val="28"/>
          <w:highlight w:val="none"/>
        </w:rPr>
        <w:t>五、</w:t>
      </w:r>
      <w:r>
        <w:rPr>
          <w:rFonts w:hint="eastAsia" w:ascii="新宋体" w:hAnsi="新宋体" w:eastAsia="新宋体"/>
          <w:b/>
          <w:bCs/>
          <w:color w:val="auto"/>
          <w:sz w:val="28"/>
          <w:szCs w:val="28"/>
          <w:highlight w:val="none"/>
        </w:rPr>
        <w:t>公司简介</w:t>
      </w:r>
    </w:p>
    <w:p>
      <w:pPr>
        <w:spacing w:line="360" w:lineRule="auto"/>
        <w:ind w:firstLine="480" w:firstLineChars="200"/>
        <w:rPr>
          <w:rFonts w:ascii="新宋体" w:hAnsi="新宋体" w:eastAsia="新宋体"/>
          <w:sz w:val="24"/>
        </w:rPr>
      </w:pPr>
      <w:r>
        <w:rPr>
          <w:rFonts w:hint="eastAsia" w:ascii="新宋体" w:hAnsi="新宋体" w:eastAsia="新宋体"/>
          <w:sz w:val="24"/>
        </w:rPr>
        <w:t>投标单位自行编制公司简介</w:t>
      </w:r>
    </w:p>
    <w:p>
      <w:pPr>
        <w:spacing w:line="360" w:lineRule="auto"/>
        <w:ind w:firstLine="480" w:firstLineChars="200"/>
        <w:rPr>
          <w:rFonts w:ascii="新宋体" w:hAnsi="新宋体" w:eastAsia="新宋体"/>
          <w:sz w:val="24"/>
        </w:rPr>
      </w:pPr>
      <w:r>
        <w:rPr>
          <w:rFonts w:hint="eastAsia" w:ascii="新宋体" w:hAnsi="新宋体" w:eastAsia="新宋体"/>
          <w:sz w:val="24"/>
        </w:rPr>
        <w:t>后附营业执照、投标保证金缴纳凭证、信用信息查询截图、获奖证明材料截图等能反映企综合实力的相关资料。</w:t>
      </w:r>
    </w:p>
    <w:p>
      <w:pPr>
        <w:spacing w:line="360" w:lineRule="auto"/>
        <w:ind w:firstLine="480" w:firstLineChars="200"/>
        <w:rPr>
          <w:rFonts w:ascii="宋体" w:hAnsi="宋体" w:cs="宋体"/>
          <w:sz w:val="24"/>
        </w:rPr>
      </w:pPr>
      <w:r>
        <w:rPr>
          <w:rFonts w:hint="eastAsia" w:ascii="宋体" w:hAnsi="宋体" w:cs="宋体"/>
          <w:sz w:val="24"/>
        </w:rPr>
        <w:t xml:space="preserve">供应商（盖章）： </w:t>
      </w:r>
    </w:p>
    <w:p>
      <w:pPr>
        <w:spacing w:line="360" w:lineRule="auto"/>
        <w:ind w:firstLine="480" w:firstLineChars="200"/>
        <w:rPr>
          <w:rFonts w:ascii="宋体" w:hAnsi="宋体" w:cs="宋体"/>
          <w:sz w:val="24"/>
        </w:rPr>
      </w:pPr>
      <w:r>
        <w:rPr>
          <w:rFonts w:hint="eastAsia" w:ascii="宋体" w:hAnsi="宋体" w:cs="宋体"/>
          <w:sz w:val="24"/>
        </w:rPr>
        <w:t>供应商法定代表人或授权委托人（盖章或签字）：</w:t>
      </w:r>
    </w:p>
    <w:p>
      <w:pPr>
        <w:spacing w:line="360" w:lineRule="auto"/>
        <w:ind w:firstLine="480" w:firstLineChars="200"/>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602" w:firstLineChars="200"/>
        <w:jc w:val="center"/>
        <w:rPr>
          <w:rFonts w:ascii="宋体" w:hAnsi="宋体" w:cs="宋体"/>
          <w:b/>
          <w:sz w:val="28"/>
          <w:szCs w:val="28"/>
        </w:rPr>
      </w:pPr>
      <w:r>
        <w:rPr>
          <w:rFonts w:hint="eastAsia" w:ascii="宋体" w:hAnsi="宋体" w:cs="宋体"/>
          <w:b/>
          <w:sz w:val="30"/>
          <w:szCs w:val="30"/>
        </w:rPr>
        <w:br w:type="page"/>
      </w:r>
      <w:r>
        <w:rPr>
          <w:rFonts w:hint="eastAsia" w:ascii="宋体" w:hAnsi="宋体" w:cs="宋体"/>
          <w:b/>
          <w:sz w:val="28"/>
          <w:szCs w:val="28"/>
        </w:rPr>
        <w:t>六、关于资格的声明函</w:t>
      </w:r>
    </w:p>
    <w:p>
      <w:pPr>
        <w:spacing w:line="360" w:lineRule="auto"/>
        <w:ind w:firstLine="480" w:firstLineChars="200"/>
        <w:rPr>
          <w:rFonts w:ascii="宋体" w:hAnsi="宋体" w:cs="宋体"/>
          <w:sz w:val="24"/>
          <w:u w:val="single"/>
        </w:rPr>
      </w:pPr>
      <w:r>
        <w:rPr>
          <w:rFonts w:hint="eastAsia" w:ascii="宋体" w:hAnsi="宋体" w:cs="宋体"/>
          <w:sz w:val="24"/>
        </w:rPr>
        <w:t>采购人</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关于贵方20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日第（项目编号）招标公告关于</w:t>
      </w:r>
      <w:r>
        <w:rPr>
          <w:rFonts w:hint="eastAsia" w:ascii="宋体" w:hAnsi="宋体" w:cs="宋体"/>
          <w:sz w:val="24"/>
          <w:u w:val="single"/>
        </w:rPr>
        <w:t>“     ”</w:t>
      </w:r>
      <w:r>
        <w:rPr>
          <w:rFonts w:hint="eastAsia" w:ascii="宋体" w:hAnsi="宋体" w:cs="宋体"/>
          <w:sz w:val="24"/>
        </w:rPr>
        <w:t>项目，本签字人愿意参加投标，并有能力提供</w:t>
      </w:r>
      <w:r>
        <w:rPr>
          <w:rFonts w:hint="eastAsia" w:ascii="宋体" w:hAnsi="宋体" w:cs="宋体"/>
          <w:sz w:val="24"/>
          <w:u w:val="single"/>
        </w:rPr>
        <w:t>（项目名称）</w:t>
      </w:r>
      <w:r>
        <w:rPr>
          <w:rFonts w:hint="eastAsia" w:ascii="宋体" w:hAnsi="宋体" w:cs="宋体"/>
          <w:sz w:val="24"/>
        </w:rPr>
        <w:t>项目中的</w:t>
      </w:r>
      <w:r>
        <w:rPr>
          <w:rFonts w:hint="eastAsia" w:ascii="宋体" w:hAnsi="宋体" w:cs="宋体"/>
          <w:sz w:val="24"/>
          <w:u w:val="single"/>
        </w:rPr>
        <w:t>（分包编号及货物名称）</w:t>
      </w:r>
      <w:r>
        <w:rPr>
          <w:rFonts w:hint="eastAsia" w:ascii="宋体" w:hAnsi="宋体" w:cs="宋体"/>
          <w:sz w:val="24"/>
        </w:rPr>
        <w:t>货物及相关服务，并保证所提交的所有文件和说明是真实和准确的。</w:t>
      </w:r>
    </w:p>
    <w:p>
      <w:pPr>
        <w:spacing w:line="360" w:lineRule="auto"/>
        <w:ind w:firstLine="480" w:firstLineChars="200"/>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签字人姓名、职务：</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授权签署本资格文件人：</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传真：</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邮编：</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供应商（盖章）： </w:t>
      </w:r>
    </w:p>
    <w:p>
      <w:pPr>
        <w:spacing w:line="360" w:lineRule="auto"/>
        <w:ind w:firstLine="480" w:firstLineChars="200"/>
        <w:rPr>
          <w:rFonts w:ascii="宋体" w:hAnsi="宋体" w:cs="宋体"/>
          <w:sz w:val="24"/>
        </w:rPr>
      </w:pPr>
      <w:r>
        <w:rPr>
          <w:rFonts w:hint="eastAsia" w:ascii="宋体" w:hAnsi="宋体" w:cs="宋体"/>
          <w:sz w:val="24"/>
        </w:rPr>
        <w:t>供应商法定代表人或授权委托人（盖章或签字）：</w:t>
      </w:r>
    </w:p>
    <w:p>
      <w:pPr>
        <w:spacing w:line="360" w:lineRule="auto"/>
        <w:ind w:firstLine="480" w:firstLineChars="200"/>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七、反商业贿赂承诺书</w:t>
      </w:r>
    </w:p>
    <w:p>
      <w:pPr>
        <w:pStyle w:val="11"/>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我公司承诺在</w:t>
      </w:r>
      <w:r>
        <w:rPr>
          <w:rFonts w:hint="eastAsia" w:ascii="宋体" w:hAnsi="宋体" w:eastAsia="宋体" w:cs="宋体"/>
          <w:sz w:val="28"/>
          <w:szCs w:val="28"/>
          <w:u w:val="single"/>
        </w:rPr>
        <w:t>（项目名称、项目编号、合同包号）</w:t>
      </w:r>
      <w:r>
        <w:rPr>
          <w:rFonts w:hint="eastAsia" w:ascii="宋体" w:hAnsi="宋体" w:eastAsia="宋体" w:cs="宋体"/>
          <w:sz w:val="28"/>
          <w:szCs w:val="28"/>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480" w:firstLineChars="200"/>
        <w:rPr>
          <w:rFonts w:ascii="宋体" w:hAnsi="宋体" w:cs="宋体"/>
          <w:sz w:val="24"/>
        </w:rPr>
      </w:pPr>
      <w:r>
        <w:rPr>
          <w:rFonts w:hint="eastAsia" w:ascii="宋体" w:hAnsi="宋体" w:cs="宋体"/>
          <w:sz w:val="24"/>
        </w:rPr>
        <w:t xml:space="preserve">供应商（盖章）： </w:t>
      </w:r>
    </w:p>
    <w:p>
      <w:pPr>
        <w:spacing w:line="360" w:lineRule="auto"/>
        <w:ind w:firstLine="480" w:firstLineChars="200"/>
        <w:rPr>
          <w:rFonts w:ascii="宋体" w:hAnsi="宋体" w:cs="宋体"/>
          <w:sz w:val="24"/>
        </w:rPr>
      </w:pPr>
      <w:r>
        <w:rPr>
          <w:rFonts w:hint="eastAsia" w:ascii="宋体" w:hAnsi="宋体" w:cs="宋体"/>
          <w:sz w:val="24"/>
        </w:rPr>
        <w:t>供应商法定代表人或授权委托人（盖章或签字）：</w:t>
      </w:r>
    </w:p>
    <w:p>
      <w:pPr>
        <w:spacing w:line="360" w:lineRule="auto"/>
        <w:ind w:firstLine="480" w:firstLineChars="200"/>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602" w:firstLineChars="200"/>
        <w:rPr>
          <w:rFonts w:ascii="宋体" w:hAnsi="宋体" w:cs="宋体"/>
          <w:b/>
          <w:sz w:val="28"/>
          <w:szCs w:val="28"/>
        </w:rPr>
      </w:pPr>
      <w:r>
        <w:rPr>
          <w:rFonts w:hint="eastAsia" w:ascii="宋体" w:hAnsi="宋体" w:cs="宋体"/>
          <w:b/>
          <w:sz w:val="30"/>
          <w:szCs w:val="30"/>
        </w:rPr>
        <w:br w:type="page"/>
      </w:r>
      <w:r>
        <w:rPr>
          <w:rFonts w:hint="eastAsia" w:ascii="宋体" w:hAnsi="宋体" w:cs="宋体"/>
          <w:b/>
          <w:sz w:val="30"/>
          <w:szCs w:val="30"/>
        </w:rPr>
        <w:t xml:space="preserve">       </w:t>
      </w:r>
      <w:r>
        <w:rPr>
          <w:rFonts w:hint="eastAsia" w:ascii="宋体" w:hAnsi="宋体" w:cs="宋体"/>
          <w:b/>
          <w:sz w:val="28"/>
          <w:szCs w:val="28"/>
        </w:rPr>
        <w:t>八、近三年（2019年至今）业绩证明文件</w:t>
      </w:r>
    </w:p>
    <w:p>
      <w:pPr>
        <w:pStyle w:val="15"/>
        <w:tabs>
          <w:tab w:val="left" w:pos="6300"/>
        </w:tabs>
        <w:snapToGrid w:val="0"/>
        <w:spacing w:line="500" w:lineRule="exact"/>
        <w:ind w:left="0" w:leftChars="0" w:firstLine="480" w:firstLineChars="200"/>
      </w:pPr>
      <w:r>
        <w:rPr>
          <w:rFonts w:hint="eastAsia" w:ascii="新宋体" w:hAnsi="新宋体" w:eastAsia="新宋体"/>
          <w:sz w:val="24"/>
        </w:rPr>
        <w:t>项目名称：</w:t>
      </w:r>
    </w:p>
    <w:tbl>
      <w:tblPr>
        <w:tblStyle w:val="33"/>
        <w:tblW w:w="80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r>
              <w:rPr>
                <w:rFonts w:hint="eastAsia" w:ascii="宋体" w:hAnsi="宋体" w:cs="宋体"/>
                <w:sz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r>
              <w:rPr>
                <w:rFonts w:hint="eastAsia" w:ascii="宋体" w:hAnsi="宋体" w:cs="宋体"/>
                <w:sz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宋体" w:hAnsi="宋体" w:cs="宋体"/>
                <w:sz w:val="24"/>
              </w:rPr>
            </w:pPr>
            <w:r>
              <w:rPr>
                <w:rFonts w:hint="eastAsia" w:ascii="宋体" w:hAnsi="宋体" w:cs="宋体"/>
                <w:sz w:val="24"/>
              </w:rPr>
              <w:t>合同</w:t>
            </w:r>
          </w:p>
          <w:p>
            <w:pPr>
              <w:snapToGrid w:val="0"/>
              <w:ind w:firstLine="480" w:firstLineChars="200"/>
              <w:jc w:val="center"/>
              <w:rPr>
                <w:rFonts w:ascii="宋体" w:hAnsi="宋体" w:cs="宋体"/>
                <w:sz w:val="24"/>
              </w:rPr>
            </w:pPr>
            <w:r>
              <w:rPr>
                <w:rFonts w:hint="eastAsia" w:ascii="宋体" w:hAnsi="宋体" w:cs="宋体"/>
                <w:sz w:val="24"/>
              </w:rPr>
              <w:t>金额</w:t>
            </w:r>
          </w:p>
          <w:p>
            <w:pPr>
              <w:snapToGrid w:val="0"/>
              <w:ind w:firstLine="480" w:firstLineChars="200"/>
              <w:jc w:val="center"/>
              <w:rPr>
                <w:rFonts w:ascii="宋体" w:hAnsi="宋体" w:cs="宋体"/>
                <w:sz w:val="24"/>
              </w:rPr>
            </w:pPr>
            <w:r>
              <w:rPr>
                <w:rFonts w:hint="eastAsia" w:ascii="宋体" w:hAnsi="宋体" w:cs="宋体"/>
                <w:sz w:val="24"/>
              </w:rPr>
              <w:t>（万元）</w:t>
            </w:r>
          </w:p>
        </w:tc>
        <w:tc>
          <w:tcPr>
            <w:tcW w:w="280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宋体" w:hAnsi="宋体" w:cs="宋体"/>
                <w:sz w:val="24"/>
              </w:rPr>
            </w:pPr>
            <w:r>
              <w:rPr>
                <w:rFonts w:hint="eastAsia" w:ascii="宋体" w:hAnsi="宋体" w:cs="宋体"/>
                <w:sz w:val="24"/>
              </w:rPr>
              <w:t>采购单联人</w:t>
            </w:r>
          </w:p>
          <w:p>
            <w:pPr>
              <w:snapToGrid w:val="0"/>
              <w:ind w:firstLine="480" w:firstLineChars="200"/>
              <w:jc w:val="center"/>
              <w:rPr>
                <w:rFonts w:ascii="宋体" w:hAnsi="宋体" w:cs="宋体"/>
                <w:sz w:val="24"/>
              </w:rPr>
            </w:pPr>
            <w:r>
              <w:rPr>
                <w:rFonts w:hint="eastAsia" w:ascii="宋体" w:hAnsi="宋体" w:cs="宋体"/>
                <w:sz w:val="24"/>
              </w:rPr>
              <w:t>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sz w:val="24"/>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sz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sz w:val="24"/>
              </w:rPr>
            </w:pPr>
          </w:p>
        </w:tc>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c>
          <w:tcPr>
            <w:tcW w:w="28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c>
          <w:tcPr>
            <w:tcW w:w="28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r>
              <w:rPr>
                <w:rFonts w:hint="eastAsia" w:ascii="宋体" w:hAnsi="宋体" w:cs="宋体"/>
                <w:sz w:val="24"/>
              </w:rPr>
              <w:t>…</w:t>
            </w: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c>
          <w:tcPr>
            <w:tcW w:w="28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p>
        </w:tc>
      </w:tr>
    </w:tbl>
    <w:p>
      <w:pPr>
        <w:spacing w:line="360" w:lineRule="auto"/>
        <w:ind w:firstLine="480" w:firstLineChars="200"/>
        <w:rPr>
          <w:rFonts w:ascii="宋体" w:hAnsi="宋体" w:cs="宋体"/>
          <w:sz w:val="24"/>
        </w:rPr>
      </w:pPr>
      <w:r>
        <w:rPr>
          <w:rFonts w:hint="eastAsia" w:ascii="宋体" w:hAnsi="宋体" w:cs="宋体"/>
          <w:sz w:val="24"/>
        </w:rPr>
        <w:t>后附:项目合同和中标通知书印件证明材料</w:t>
      </w:r>
    </w:p>
    <w:p>
      <w:pPr>
        <w:spacing w:line="360" w:lineRule="auto"/>
        <w:ind w:firstLine="480" w:firstLineChars="200"/>
        <w:rPr>
          <w:rFonts w:ascii="宋体" w:hAnsi="宋体" w:cs="宋体"/>
          <w:sz w:val="24"/>
        </w:rPr>
      </w:pPr>
      <w:r>
        <w:rPr>
          <w:rFonts w:hint="eastAsia" w:ascii="宋体" w:hAnsi="宋体" w:cs="宋体"/>
          <w:sz w:val="24"/>
        </w:rPr>
        <w:t xml:space="preserve">供应商（盖章）： </w:t>
      </w:r>
    </w:p>
    <w:p>
      <w:pPr>
        <w:spacing w:line="360" w:lineRule="auto"/>
        <w:ind w:firstLine="480" w:firstLineChars="200"/>
        <w:rPr>
          <w:rFonts w:ascii="宋体" w:hAnsi="宋体" w:cs="宋体"/>
          <w:sz w:val="24"/>
        </w:rPr>
      </w:pPr>
      <w:r>
        <w:rPr>
          <w:rFonts w:hint="eastAsia" w:ascii="宋体" w:hAnsi="宋体" w:cs="宋体"/>
          <w:sz w:val="24"/>
        </w:rPr>
        <w:t>供应商法定代表人或授权委托人（盖章或签字）：</w:t>
      </w:r>
    </w:p>
    <w:p>
      <w:pPr>
        <w:spacing w:line="360" w:lineRule="auto"/>
        <w:ind w:firstLine="480" w:firstLineChars="200"/>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9"/>
        <w:rPr>
          <w:rFonts w:ascii="宋体" w:hAnsi="宋体" w:cs="宋体"/>
        </w:rPr>
      </w:pPr>
    </w:p>
    <w:p>
      <w:pPr>
        <w:rPr>
          <w:rFonts w:ascii="宋体" w:hAnsi="宋体" w:cs="宋体"/>
          <w:sz w:val="24"/>
        </w:rPr>
      </w:pPr>
    </w:p>
    <w:p>
      <w:pPr>
        <w:pStyle w:val="9"/>
        <w:rPr>
          <w:rFonts w:ascii="宋体" w:hAnsi="宋体" w:cs="宋体"/>
        </w:rPr>
      </w:pPr>
    </w:p>
    <w:p>
      <w:pPr>
        <w:rPr>
          <w:rFonts w:ascii="宋体" w:hAnsi="宋体" w:cs="宋体"/>
          <w:sz w:val="24"/>
        </w:rPr>
      </w:pPr>
    </w:p>
    <w:p>
      <w:pPr>
        <w:pStyle w:val="9"/>
        <w:rPr>
          <w:rFonts w:ascii="宋体" w:hAnsi="宋体" w:cs="宋体"/>
        </w:rPr>
      </w:pPr>
    </w:p>
    <w:p>
      <w:pPr>
        <w:rPr>
          <w:rFonts w:ascii="宋体" w:hAnsi="宋体" w:cs="宋体"/>
          <w:sz w:val="24"/>
        </w:rPr>
      </w:pPr>
    </w:p>
    <w:p>
      <w:pPr>
        <w:pStyle w:val="9"/>
        <w:rPr>
          <w:rFonts w:ascii="宋体" w:hAnsi="宋体" w:cs="宋体"/>
        </w:rPr>
      </w:pPr>
    </w:p>
    <w:p>
      <w:pPr>
        <w:rPr>
          <w:rFonts w:ascii="宋体" w:hAnsi="宋体" w:cs="宋体"/>
          <w:sz w:val="24"/>
        </w:rPr>
      </w:pPr>
    </w:p>
    <w:p>
      <w:pPr>
        <w:pStyle w:val="9"/>
        <w:rPr>
          <w:rFonts w:ascii="宋体" w:hAnsi="宋体" w:cs="宋体"/>
        </w:rPr>
      </w:pPr>
    </w:p>
    <w:p>
      <w:pPr>
        <w:rPr>
          <w:rFonts w:ascii="宋体" w:hAnsi="宋体" w:cs="宋体"/>
          <w:sz w:val="24"/>
        </w:rPr>
      </w:pPr>
    </w:p>
    <w:p>
      <w:pPr>
        <w:pStyle w:val="9"/>
        <w:rPr>
          <w:rFonts w:ascii="宋体" w:hAnsi="宋体" w:cs="宋体"/>
        </w:rPr>
      </w:pPr>
    </w:p>
    <w:p>
      <w:pPr>
        <w:rPr>
          <w:rFonts w:ascii="宋体" w:hAnsi="宋体" w:cs="宋体"/>
          <w:sz w:val="24"/>
        </w:rPr>
      </w:pPr>
    </w:p>
    <w:p>
      <w:pPr>
        <w:pStyle w:val="9"/>
        <w:rPr>
          <w:rFonts w:ascii="宋体" w:hAnsi="宋体" w:cs="宋体"/>
        </w:rPr>
      </w:pPr>
    </w:p>
    <w:p>
      <w:pPr>
        <w:rPr>
          <w:rFonts w:ascii="宋体" w:hAnsi="宋体" w:cs="宋体"/>
          <w:sz w:val="24"/>
        </w:rPr>
      </w:pPr>
    </w:p>
    <w:p>
      <w:pPr>
        <w:pStyle w:val="9"/>
        <w:rPr>
          <w:rFonts w:ascii="宋体" w:hAnsi="宋体" w:cs="宋体"/>
        </w:rPr>
      </w:pPr>
    </w:p>
    <w:p>
      <w:pPr>
        <w:rPr>
          <w:rFonts w:ascii="宋体" w:hAnsi="宋体" w:cs="宋体"/>
          <w:sz w:val="24"/>
        </w:rPr>
      </w:pPr>
    </w:p>
    <w:p>
      <w:pPr>
        <w:pStyle w:val="9"/>
        <w:rPr>
          <w:rFonts w:ascii="宋体" w:hAnsi="宋体" w:cs="宋体"/>
        </w:rPr>
      </w:pPr>
    </w:p>
    <w:p/>
    <w:p>
      <w:pPr>
        <w:rPr>
          <w:rFonts w:ascii="宋体" w:hAnsi="宋体" w:cs="宋体"/>
          <w:sz w:val="24"/>
        </w:rPr>
      </w:pPr>
    </w:p>
    <w:p>
      <w:pPr>
        <w:pStyle w:val="9"/>
        <w:rPr>
          <w:rFonts w:ascii="宋体" w:hAnsi="宋体" w:cs="宋体"/>
        </w:rPr>
      </w:pPr>
    </w:p>
    <w:p>
      <w:pPr>
        <w:rPr>
          <w:rFonts w:ascii="宋体" w:hAnsi="宋体" w:cs="宋体"/>
          <w:sz w:val="24"/>
        </w:rPr>
      </w:pPr>
    </w:p>
    <w:p>
      <w:pPr>
        <w:pStyle w:val="9"/>
      </w:pPr>
    </w:p>
    <w:p>
      <w:pPr>
        <w:jc w:val="center"/>
        <w:rPr>
          <w:rFonts w:ascii="宋体" w:hAnsi="宋体" w:cs="宋体"/>
          <w:b/>
          <w:sz w:val="28"/>
          <w:szCs w:val="28"/>
        </w:rPr>
      </w:pPr>
      <w:r>
        <w:rPr>
          <w:rFonts w:hint="eastAsia" w:ascii="宋体" w:hAnsi="宋体" w:cs="宋体"/>
          <w:b/>
          <w:sz w:val="28"/>
          <w:szCs w:val="28"/>
        </w:rPr>
        <w:t>九、项目拟投入的主要人员一览表</w:t>
      </w:r>
    </w:p>
    <w:p>
      <w:pPr>
        <w:pStyle w:val="15"/>
        <w:tabs>
          <w:tab w:val="left" w:pos="6300"/>
        </w:tabs>
        <w:snapToGrid w:val="0"/>
        <w:spacing w:line="500" w:lineRule="exact"/>
        <w:ind w:left="0" w:leftChars="0" w:firstLine="480" w:firstLineChars="200"/>
      </w:pPr>
      <w:r>
        <w:rPr>
          <w:rFonts w:hint="eastAsia" w:ascii="新宋体" w:hAnsi="新宋体" w:eastAsia="新宋体"/>
          <w:sz w:val="24"/>
        </w:rPr>
        <w:t>项目名称：</w:t>
      </w:r>
    </w:p>
    <w:tbl>
      <w:tblPr>
        <w:tblStyle w:val="33"/>
        <w:tblW w:w="928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1859"/>
        <w:gridCol w:w="1636"/>
        <w:gridCol w:w="1439"/>
        <w:gridCol w:w="1632"/>
        <w:gridCol w:w="13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3" w:hRule="atLeast"/>
          <w:jc w:val="center"/>
        </w:trPr>
        <w:tc>
          <w:tcPr>
            <w:tcW w:w="1361" w:type="dxa"/>
            <w:tcBorders>
              <w:top w:val="single" w:color="auto" w:sz="4" w:space="0"/>
              <w:left w:val="single" w:color="auto" w:sz="4" w:space="0"/>
              <w:bottom w:val="single" w:color="auto" w:sz="6" w:space="0"/>
              <w:right w:val="single" w:color="auto" w:sz="6" w:space="0"/>
            </w:tcBorders>
          </w:tcPr>
          <w:p>
            <w:pPr>
              <w:pStyle w:val="79"/>
              <w:jc w:val="center"/>
              <w:rPr>
                <w:rFonts w:ascii="宋体" w:hAnsi="宋体" w:cs="宋体"/>
                <w:sz w:val="24"/>
              </w:rPr>
            </w:pPr>
            <w:r>
              <w:rPr>
                <w:rFonts w:hint="eastAsia" w:ascii="宋体" w:hAnsi="宋体" w:cs="宋体"/>
                <w:sz w:val="24"/>
              </w:rPr>
              <w:t>序号</w:t>
            </w:r>
          </w:p>
        </w:tc>
        <w:tc>
          <w:tcPr>
            <w:tcW w:w="1859" w:type="dxa"/>
            <w:tcBorders>
              <w:top w:val="single" w:color="auto" w:sz="4" w:space="0"/>
              <w:left w:val="single" w:color="auto" w:sz="6" w:space="0"/>
              <w:bottom w:val="single" w:color="auto" w:sz="6" w:space="0"/>
              <w:right w:val="single" w:color="auto" w:sz="6" w:space="0"/>
            </w:tcBorders>
          </w:tcPr>
          <w:p>
            <w:pPr>
              <w:pStyle w:val="79"/>
              <w:jc w:val="center"/>
              <w:rPr>
                <w:rFonts w:ascii="宋体" w:hAnsi="宋体" w:cs="宋体"/>
                <w:sz w:val="24"/>
              </w:rPr>
            </w:pPr>
            <w:r>
              <w:rPr>
                <w:rFonts w:hint="eastAsia" w:ascii="宋体" w:hAnsi="宋体" w:cs="宋体"/>
                <w:sz w:val="24"/>
              </w:rPr>
              <w:t>姓名</w:t>
            </w:r>
          </w:p>
        </w:tc>
        <w:tc>
          <w:tcPr>
            <w:tcW w:w="1636" w:type="dxa"/>
            <w:tcBorders>
              <w:top w:val="single" w:color="auto" w:sz="4" w:space="0"/>
              <w:left w:val="single" w:color="auto" w:sz="6" w:space="0"/>
              <w:bottom w:val="single" w:color="auto" w:sz="6" w:space="0"/>
              <w:right w:val="single" w:color="auto" w:sz="6" w:space="0"/>
            </w:tcBorders>
          </w:tcPr>
          <w:p>
            <w:pPr>
              <w:pStyle w:val="79"/>
              <w:jc w:val="center"/>
              <w:rPr>
                <w:rFonts w:ascii="宋体" w:hAnsi="宋体" w:cs="宋体"/>
                <w:sz w:val="24"/>
              </w:rPr>
            </w:pPr>
            <w:r>
              <w:rPr>
                <w:rFonts w:hint="eastAsia" w:ascii="宋体" w:hAnsi="宋体" w:cs="宋体"/>
                <w:sz w:val="24"/>
              </w:rPr>
              <w:t>性别</w:t>
            </w:r>
          </w:p>
        </w:tc>
        <w:tc>
          <w:tcPr>
            <w:tcW w:w="1439" w:type="dxa"/>
            <w:tcBorders>
              <w:top w:val="single" w:color="auto" w:sz="4" w:space="0"/>
              <w:left w:val="single" w:color="auto" w:sz="6" w:space="0"/>
              <w:bottom w:val="single" w:color="auto" w:sz="6" w:space="0"/>
              <w:right w:val="single" w:color="auto" w:sz="6" w:space="0"/>
            </w:tcBorders>
          </w:tcPr>
          <w:p>
            <w:pPr>
              <w:pStyle w:val="79"/>
              <w:jc w:val="center"/>
              <w:rPr>
                <w:rFonts w:ascii="宋体" w:hAnsi="宋体" w:cs="宋体"/>
                <w:sz w:val="24"/>
              </w:rPr>
            </w:pPr>
            <w:r>
              <w:rPr>
                <w:rFonts w:hint="eastAsia" w:ascii="宋体" w:hAnsi="宋体" w:cs="宋体"/>
                <w:sz w:val="24"/>
              </w:rPr>
              <w:t>年龄</w:t>
            </w:r>
          </w:p>
        </w:tc>
        <w:tc>
          <w:tcPr>
            <w:tcW w:w="1632" w:type="dxa"/>
            <w:tcBorders>
              <w:top w:val="single" w:color="auto" w:sz="4" w:space="0"/>
              <w:left w:val="single" w:color="auto" w:sz="6" w:space="0"/>
              <w:bottom w:val="single" w:color="auto" w:sz="6" w:space="0"/>
              <w:right w:val="single" w:color="auto" w:sz="6" w:space="0"/>
            </w:tcBorders>
          </w:tcPr>
          <w:p>
            <w:pPr>
              <w:pStyle w:val="79"/>
              <w:ind w:firstLine="480" w:firstLineChars="200"/>
              <w:jc w:val="center"/>
              <w:rPr>
                <w:rFonts w:ascii="宋体" w:hAnsi="宋体" w:cs="宋体"/>
                <w:sz w:val="24"/>
              </w:rPr>
            </w:pPr>
            <w:r>
              <w:rPr>
                <w:rFonts w:hint="eastAsia" w:ascii="宋体" w:hAnsi="宋体" w:cs="宋体"/>
                <w:sz w:val="24"/>
              </w:rPr>
              <w:t>经验</w:t>
            </w:r>
          </w:p>
          <w:p>
            <w:pPr>
              <w:pStyle w:val="79"/>
              <w:ind w:firstLine="480" w:firstLineChars="200"/>
              <w:jc w:val="center"/>
              <w:rPr>
                <w:rFonts w:ascii="宋体" w:hAnsi="宋体" w:cs="宋体"/>
                <w:sz w:val="24"/>
              </w:rPr>
            </w:pPr>
            <w:r>
              <w:rPr>
                <w:rFonts w:hint="eastAsia" w:ascii="宋体" w:hAnsi="宋体" w:cs="宋体"/>
                <w:sz w:val="24"/>
              </w:rPr>
              <w:t>年限</w:t>
            </w:r>
          </w:p>
        </w:tc>
        <w:tc>
          <w:tcPr>
            <w:tcW w:w="1353" w:type="dxa"/>
            <w:tcBorders>
              <w:top w:val="single" w:color="auto" w:sz="4" w:space="0"/>
              <w:left w:val="single" w:color="auto" w:sz="6" w:space="0"/>
              <w:bottom w:val="single" w:color="auto" w:sz="6" w:space="0"/>
              <w:right w:val="single" w:color="auto" w:sz="4" w:space="0"/>
            </w:tcBorders>
          </w:tcPr>
          <w:p>
            <w:pPr>
              <w:pStyle w:val="79"/>
              <w:jc w:val="center"/>
              <w:rPr>
                <w:rFonts w:ascii="宋体" w:hAnsi="宋体" w:cs="宋体"/>
                <w:sz w:val="24"/>
              </w:rPr>
            </w:pPr>
            <w:r>
              <w:rPr>
                <w:rFonts w:hint="eastAsia" w:ascii="宋体" w:hAnsi="宋体" w:cs="宋体"/>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6" w:hRule="atLeast"/>
          <w:jc w:val="center"/>
        </w:trPr>
        <w:tc>
          <w:tcPr>
            <w:tcW w:w="1361" w:type="dxa"/>
            <w:tcBorders>
              <w:top w:val="single" w:color="auto" w:sz="6" w:space="0"/>
              <w:left w:val="single" w:color="auto" w:sz="4" w:space="0"/>
              <w:bottom w:val="single" w:color="auto" w:sz="6" w:space="0"/>
              <w:right w:val="single" w:color="auto" w:sz="6" w:space="0"/>
            </w:tcBorders>
          </w:tcPr>
          <w:p>
            <w:pPr>
              <w:pStyle w:val="79"/>
              <w:spacing w:line="360" w:lineRule="auto"/>
              <w:jc w:val="center"/>
              <w:rPr>
                <w:rFonts w:ascii="宋体" w:hAnsi="宋体" w:cs="宋体"/>
                <w:sz w:val="24"/>
              </w:rPr>
            </w:pPr>
            <w:r>
              <w:rPr>
                <w:rFonts w:hint="eastAsia" w:ascii="宋体" w:hAnsi="宋体" w:cs="宋体"/>
                <w:sz w:val="24"/>
              </w:rPr>
              <w:t>1</w:t>
            </w:r>
          </w:p>
        </w:tc>
        <w:tc>
          <w:tcPr>
            <w:tcW w:w="1859"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636"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439"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632"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353" w:type="dxa"/>
            <w:tcBorders>
              <w:top w:val="single" w:color="auto" w:sz="6" w:space="0"/>
              <w:left w:val="single" w:color="auto" w:sz="6" w:space="0"/>
              <w:bottom w:val="single" w:color="auto" w:sz="6" w:space="0"/>
              <w:right w:val="single" w:color="auto" w:sz="4" w:space="0"/>
            </w:tcBorders>
          </w:tcPr>
          <w:p>
            <w:pPr>
              <w:pStyle w:val="79"/>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6" w:hRule="atLeast"/>
          <w:jc w:val="center"/>
        </w:trPr>
        <w:tc>
          <w:tcPr>
            <w:tcW w:w="1361" w:type="dxa"/>
            <w:tcBorders>
              <w:top w:val="single" w:color="auto" w:sz="6" w:space="0"/>
              <w:left w:val="single" w:color="auto" w:sz="4" w:space="0"/>
              <w:bottom w:val="single" w:color="auto" w:sz="6" w:space="0"/>
              <w:right w:val="single" w:color="auto" w:sz="6" w:space="0"/>
            </w:tcBorders>
          </w:tcPr>
          <w:p>
            <w:pPr>
              <w:pStyle w:val="79"/>
              <w:spacing w:line="360" w:lineRule="auto"/>
              <w:jc w:val="center"/>
              <w:rPr>
                <w:rFonts w:ascii="宋体" w:hAnsi="宋体" w:cs="宋体"/>
                <w:sz w:val="24"/>
              </w:rPr>
            </w:pPr>
            <w:r>
              <w:rPr>
                <w:rFonts w:hint="eastAsia" w:ascii="宋体" w:hAnsi="宋体" w:cs="宋体"/>
                <w:sz w:val="24"/>
              </w:rPr>
              <w:t>2</w:t>
            </w:r>
          </w:p>
        </w:tc>
        <w:tc>
          <w:tcPr>
            <w:tcW w:w="1859"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636"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439"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632"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353" w:type="dxa"/>
            <w:tcBorders>
              <w:top w:val="single" w:color="auto" w:sz="6" w:space="0"/>
              <w:left w:val="single" w:color="auto" w:sz="6" w:space="0"/>
              <w:bottom w:val="single" w:color="auto" w:sz="6" w:space="0"/>
              <w:right w:val="single" w:color="auto" w:sz="4" w:space="0"/>
            </w:tcBorders>
          </w:tcPr>
          <w:p>
            <w:pPr>
              <w:pStyle w:val="79"/>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2" w:hRule="atLeast"/>
          <w:jc w:val="center"/>
        </w:trPr>
        <w:tc>
          <w:tcPr>
            <w:tcW w:w="1361" w:type="dxa"/>
            <w:tcBorders>
              <w:top w:val="single" w:color="auto" w:sz="6" w:space="0"/>
              <w:left w:val="single" w:color="auto" w:sz="4" w:space="0"/>
              <w:bottom w:val="single" w:color="auto" w:sz="6" w:space="0"/>
              <w:right w:val="single" w:color="auto" w:sz="6" w:space="0"/>
            </w:tcBorders>
          </w:tcPr>
          <w:p>
            <w:pPr>
              <w:pStyle w:val="79"/>
              <w:spacing w:line="360" w:lineRule="auto"/>
              <w:jc w:val="center"/>
              <w:rPr>
                <w:rFonts w:ascii="宋体" w:hAnsi="宋体" w:cs="宋体"/>
                <w:sz w:val="24"/>
              </w:rPr>
            </w:pPr>
            <w:r>
              <w:rPr>
                <w:rFonts w:hint="eastAsia" w:ascii="宋体" w:hAnsi="宋体" w:cs="宋体"/>
                <w:sz w:val="24"/>
              </w:rPr>
              <w:t>3</w:t>
            </w:r>
          </w:p>
        </w:tc>
        <w:tc>
          <w:tcPr>
            <w:tcW w:w="1859"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636"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439"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632"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353" w:type="dxa"/>
            <w:tcBorders>
              <w:top w:val="single" w:color="auto" w:sz="6" w:space="0"/>
              <w:left w:val="single" w:color="auto" w:sz="6" w:space="0"/>
              <w:bottom w:val="single" w:color="auto" w:sz="6" w:space="0"/>
              <w:right w:val="single" w:color="auto" w:sz="4" w:space="0"/>
            </w:tcBorders>
          </w:tcPr>
          <w:p>
            <w:pPr>
              <w:pStyle w:val="79"/>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2" w:hRule="atLeast"/>
          <w:jc w:val="center"/>
        </w:trPr>
        <w:tc>
          <w:tcPr>
            <w:tcW w:w="1361" w:type="dxa"/>
            <w:tcBorders>
              <w:top w:val="single" w:color="auto" w:sz="6" w:space="0"/>
              <w:left w:val="single" w:color="auto" w:sz="4" w:space="0"/>
              <w:bottom w:val="single" w:color="auto" w:sz="6" w:space="0"/>
              <w:right w:val="single" w:color="auto" w:sz="6" w:space="0"/>
            </w:tcBorders>
          </w:tcPr>
          <w:p>
            <w:pPr>
              <w:pStyle w:val="79"/>
              <w:spacing w:line="360" w:lineRule="auto"/>
              <w:jc w:val="center"/>
              <w:rPr>
                <w:rFonts w:ascii="宋体" w:hAnsi="宋体" w:cs="宋体"/>
                <w:sz w:val="24"/>
              </w:rPr>
            </w:pPr>
            <w:r>
              <w:rPr>
                <w:rFonts w:hint="eastAsia" w:ascii="宋体" w:hAnsi="宋体" w:cs="宋体"/>
                <w:sz w:val="24"/>
              </w:rPr>
              <w:t>4</w:t>
            </w:r>
          </w:p>
        </w:tc>
        <w:tc>
          <w:tcPr>
            <w:tcW w:w="1859"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636"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439"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632" w:type="dxa"/>
            <w:tcBorders>
              <w:top w:val="single" w:color="auto" w:sz="6" w:space="0"/>
              <w:left w:val="single" w:color="auto" w:sz="6" w:space="0"/>
              <w:bottom w:val="single" w:color="auto" w:sz="6" w:space="0"/>
              <w:right w:val="single" w:color="auto" w:sz="6" w:space="0"/>
            </w:tcBorders>
          </w:tcPr>
          <w:p>
            <w:pPr>
              <w:pStyle w:val="79"/>
              <w:spacing w:line="360" w:lineRule="auto"/>
              <w:rPr>
                <w:rFonts w:ascii="宋体" w:hAnsi="宋体" w:cs="宋体"/>
                <w:sz w:val="24"/>
              </w:rPr>
            </w:pPr>
          </w:p>
        </w:tc>
        <w:tc>
          <w:tcPr>
            <w:tcW w:w="1353" w:type="dxa"/>
            <w:tcBorders>
              <w:top w:val="single" w:color="auto" w:sz="6" w:space="0"/>
              <w:left w:val="single" w:color="auto" w:sz="6" w:space="0"/>
              <w:bottom w:val="single" w:color="auto" w:sz="6" w:space="0"/>
              <w:right w:val="single" w:color="auto" w:sz="4" w:space="0"/>
            </w:tcBorders>
          </w:tcPr>
          <w:p>
            <w:pPr>
              <w:pStyle w:val="79"/>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2" w:hRule="atLeast"/>
          <w:jc w:val="center"/>
        </w:trPr>
        <w:tc>
          <w:tcPr>
            <w:tcW w:w="1361" w:type="dxa"/>
            <w:tcBorders>
              <w:top w:val="single" w:color="auto" w:sz="6" w:space="0"/>
              <w:left w:val="single" w:color="auto" w:sz="4" w:space="0"/>
              <w:bottom w:val="single" w:color="auto" w:sz="4" w:space="0"/>
              <w:right w:val="single" w:color="auto" w:sz="6" w:space="0"/>
            </w:tcBorders>
          </w:tcPr>
          <w:p>
            <w:pPr>
              <w:pStyle w:val="79"/>
              <w:spacing w:line="360" w:lineRule="auto"/>
              <w:jc w:val="center"/>
              <w:rPr>
                <w:rFonts w:ascii="宋体" w:hAnsi="宋体" w:cs="宋体"/>
                <w:sz w:val="24"/>
              </w:rPr>
            </w:pPr>
            <w:r>
              <w:rPr>
                <w:rFonts w:hint="eastAsia" w:ascii="宋体" w:hAnsi="宋体" w:cs="宋体"/>
                <w:sz w:val="24"/>
              </w:rPr>
              <w:t>……</w:t>
            </w:r>
          </w:p>
        </w:tc>
        <w:tc>
          <w:tcPr>
            <w:tcW w:w="1859" w:type="dxa"/>
            <w:tcBorders>
              <w:top w:val="single" w:color="auto" w:sz="6" w:space="0"/>
              <w:left w:val="single" w:color="auto" w:sz="6" w:space="0"/>
              <w:bottom w:val="single" w:color="auto" w:sz="4" w:space="0"/>
              <w:right w:val="single" w:color="auto" w:sz="6" w:space="0"/>
            </w:tcBorders>
          </w:tcPr>
          <w:p>
            <w:pPr>
              <w:pStyle w:val="79"/>
              <w:spacing w:line="360" w:lineRule="auto"/>
              <w:rPr>
                <w:rFonts w:ascii="宋体" w:hAnsi="宋体" w:cs="宋体"/>
                <w:sz w:val="24"/>
              </w:rPr>
            </w:pPr>
          </w:p>
        </w:tc>
        <w:tc>
          <w:tcPr>
            <w:tcW w:w="1636" w:type="dxa"/>
            <w:tcBorders>
              <w:top w:val="single" w:color="auto" w:sz="6" w:space="0"/>
              <w:left w:val="single" w:color="auto" w:sz="6" w:space="0"/>
              <w:bottom w:val="single" w:color="auto" w:sz="4" w:space="0"/>
              <w:right w:val="single" w:color="auto" w:sz="6" w:space="0"/>
            </w:tcBorders>
          </w:tcPr>
          <w:p>
            <w:pPr>
              <w:pStyle w:val="79"/>
              <w:spacing w:line="360" w:lineRule="auto"/>
              <w:rPr>
                <w:rFonts w:ascii="宋体" w:hAnsi="宋体" w:cs="宋体"/>
                <w:sz w:val="24"/>
              </w:rPr>
            </w:pPr>
          </w:p>
        </w:tc>
        <w:tc>
          <w:tcPr>
            <w:tcW w:w="1439" w:type="dxa"/>
            <w:tcBorders>
              <w:top w:val="single" w:color="auto" w:sz="6" w:space="0"/>
              <w:left w:val="single" w:color="auto" w:sz="6" w:space="0"/>
              <w:bottom w:val="single" w:color="auto" w:sz="4" w:space="0"/>
              <w:right w:val="single" w:color="auto" w:sz="6" w:space="0"/>
            </w:tcBorders>
          </w:tcPr>
          <w:p>
            <w:pPr>
              <w:pStyle w:val="79"/>
              <w:spacing w:line="360" w:lineRule="auto"/>
              <w:rPr>
                <w:rFonts w:ascii="宋体" w:hAnsi="宋体" w:cs="宋体"/>
                <w:sz w:val="24"/>
              </w:rPr>
            </w:pPr>
          </w:p>
        </w:tc>
        <w:tc>
          <w:tcPr>
            <w:tcW w:w="1632" w:type="dxa"/>
            <w:tcBorders>
              <w:top w:val="single" w:color="auto" w:sz="6" w:space="0"/>
              <w:left w:val="single" w:color="auto" w:sz="6" w:space="0"/>
              <w:bottom w:val="single" w:color="auto" w:sz="4" w:space="0"/>
              <w:right w:val="single" w:color="auto" w:sz="6" w:space="0"/>
            </w:tcBorders>
          </w:tcPr>
          <w:p>
            <w:pPr>
              <w:pStyle w:val="79"/>
              <w:spacing w:line="360" w:lineRule="auto"/>
              <w:rPr>
                <w:rFonts w:ascii="宋体" w:hAnsi="宋体" w:cs="宋体"/>
                <w:sz w:val="24"/>
              </w:rPr>
            </w:pPr>
          </w:p>
        </w:tc>
        <w:tc>
          <w:tcPr>
            <w:tcW w:w="1353" w:type="dxa"/>
            <w:tcBorders>
              <w:top w:val="single" w:color="auto" w:sz="6" w:space="0"/>
              <w:left w:val="single" w:color="auto" w:sz="6" w:space="0"/>
              <w:bottom w:val="single" w:color="auto" w:sz="4" w:space="0"/>
              <w:right w:val="single" w:color="auto" w:sz="4" w:space="0"/>
            </w:tcBorders>
          </w:tcPr>
          <w:p>
            <w:pPr>
              <w:pStyle w:val="79"/>
              <w:spacing w:line="360" w:lineRule="auto"/>
              <w:rPr>
                <w:rFonts w:ascii="宋体" w:hAnsi="宋体" w:cs="宋体"/>
                <w:sz w:val="24"/>
              </w:rPr>
            </w:pPr>
          </w:p>
        </w:tc>
      </w:tr>
    </w:tbl>
    <w:p>
      <w:pPr>
        <w:tabs>
          <w:tab w:val="left" w:pos="6375"/>
        </w:tabs>
        <w:spacing w:line="360" w:lineRule="auto"/>
        <w:ind w:firstLine="480" w:firstLineChars="200"/>
        <w:rPr>
          <w:rFonts w:ascii="宋体" w:hAnsi="宋体" w:cs="宋体"/>
          <w:bCs/>
          <w:sz w:val="24"/>
        </w:rPr>
      </w:pPr>
      <w:r>
        <w:rPr>
          <w:rFonts w:hint="eastAsia" w:ascii="宋体" w:hAnsi="宋体" w:cs="宋体"/>
          <w:sz w:val="24"/>
        </w:rPr>
        <w:t>要求：</w:t>
      </w:r>
      <w:r>
        <w:rPr>
          <w:rFonts w:hint="eastAsia" w:ascii="宋体" w:hAnsi="宋体" w:cs="宋体"/>
          <w:bCs/>
          <w:sz w:val="24"/>
        </w:rPr>
        <w:t>后附相关员证件等磋商文件要求的相关资料复印件加盖鲜章</w:t>
      </w:r>
    </w:p>
    <w:p>
      <w:pPr>
        <w:spacing w:line="360" w:lineRule="auto"/>
        <w:ind w:firstLine="480" w:firstLineChars="200"/>
        <w:rPr>
          <w:rFonts w:ascii="宋体" w:hAnsi="宋体" w:cs="宋体"/>
          <w:sz w:val="24"/>
        </w:rPr>
      </w:pPr>
      <w:r>
        <w:rPr>
          <w:rFonts w:hint="eastAsia" w:ascii="宋体" w:hAnsi="宋体" w:cs="宋体"/>
          <w:sz w:val="24"/>
        </w:rPr>
        <w:t xml:space="preserve">供应商（盖章）： </w:t>
      </w:r>
    </w:p>
    <w:p>
      <w:pPr>
        <w:spacing w:line="360" w:lineRule="auto"/>
        <w:ind w:firstLine="480" w:firstLineChars="200"/>
        <w:rPr>
          <w:rFonts w:ascii="宋体" w:hAnsi="宋体" w:cs="宋体"/>
          <w:sz w:val="24"/>
        </w:rPr>
      </w:pPr>
      <w:r>
        <w:rPr>
          <w:rFonts w:hint="eastAsia" w:ascii="宋体" w:hAnsi="宋体" w:cs="宋体"/>
          <w:sz w:val="24"/>
        </w:rPr>
        <w:t>供应商法定代表人或授权委托人（盖章或签字）：</w:t>
      </w:r>
    </w:p>
    <w:p>
      <w:pPr>
        <w:spacing w:line="360" w:lineRule="auto"/>
        <w:ind w:firstLine="480" w:firstLineChars="200"/>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562" w:firstLineChars="200"/>
        <w:jc w:val="center"/>
        <w:rPr>
          <w:rFonts w:ascii="宋体" w:hAnsi="宋体" w:cs="宋体"/>
          <w:b/>
          <w:bCs/>
          <w:sz w:val="28"/>
          <w:szCs w:val="28"/>
        </w:rPr>
      </w:pPr>
    </w:p>
    <w:p>
      <w:pPr>
        <w:tabs>
          <w:tab w:val="left" w:pos="6300"/>
        </w:tabs>
        <w:snapToGrid w:val="0"/>
        <w:spacing w:line="500" w:lineRule="exact"/>
        <w:ind w:firstLine="3092" w:firstLineChars="1100"/>
        <w:rPr>
          <w:rFonts w:ascii="宋体" w:hAnsi="宋体" w:cs="宋体"/>
          <w:sz w:val="32"/>
          <w:szCs w:val="32"/>
        </w:rPr>
      </w:pPr>
      <w:r>
        <w:rPr>
          <w:rFonts w:hint="eastAsia" w:ascii="宋体" w:hAnsi="宋体" w:cs="宋体"/>
          <w:b/>
          <w:bCs/>
          <w:sz w:val="28"/>
          <w:szCs w:val="28"/>
        </w:rPr>
        <w:t>十、 商务标偏离表</w:t>
      </w:r>
    </w:p>
    <w:p>
      <w:pPr>
        <w:pStyle w:val="15"/>
        <w:tabs>
          <w:tab w:val="left" w:pos="6300"/>
        </w:tabs>
        <w:snapToGrid w:val="0"/>
        <w:spacing w:line="500" w:lineRule="exact"/>
        <w:ind w:left="0" w:leftChars="0" w:firstLine="480" w:firstLineChars="200"/>
        <w:rPr>
          <w:rFonts w:ascii="新宋体" w:hAnsi="新宋体" w:eastAsia="新宋体"/>
          <w:sz w:val="24"/>
        </w:rPr>
      </w:pPr>
      <w:r>
        <w:rPr>
          <w:rFonts w:hint="eastAsia" w:ascii="新宋体" w:hAnsi="新宋体" w:eastAsia="新宋体"/>
          <w:sz w:val="24"/>
        </w:rPr>
        <w:t>项目名称：</w:t>
      </w:r>
    </w:p>
    <w:tbl>
      <w:tblPr>
        <w:tblStyle w:val="3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序号</w:t>
            </w:r>
          </w:p>
        </w:tc>
        <w:tc>
          <w:tcPr>
            <w:tcW w:w="2969" w:type="dxa"/>
            <w:vAlign w:val="center"/>
          </w:tcPr>
          <w:p>
            <w:pPr>
              <w:spacing w:line="360" w:lineRule="auto"/>
              <w:jc w:val="center"/>
              <w:rPr>
                <w:rFonts w:ascii="宋体" w:hAnsi="宋体" w:cs="宋体"/>
                <w:szCs w:val="21"/>
              </w:rPr>
            </w:pPr>
            <w:r>
              <w:rPr>
                <w:rFonts w:hint="eastAsia" w:ascii="新宋体" w:hAnsi="新宋体" w:eastAsia="新宋体"/>
                <w:sz w:val="24"/>
              </w:rPr>
              <w:t>磋商文件内容</w:t>
            </w:r>
          </w:p>
        </w:tc>
        <w:tc>
          <w:tcPr>
            <w:tcW w:w="3081" w:type="dxa"/>
            <w:vAlign w:val="center"/>
          </w:tcPr>
          <w:p>
            <w:pPr>
              <w:spacing w:line="360" w:lineRule="auto"/>
              <w:jc w:val="center"/>
              <w:rPr>
                <w:rFonts w:ascii="宋体" w:hAnsi="宋体" w:cs="宋体"/>
                <w:szCs w:val="21"/>
              </w:rPr>
            </w:pPr>
            <w:r>
              <w:rPr>
                <w:rFonts w:hint="eastAsia" w:ascii="新宋体" w:hAnsi="新宋体" w:eastAsia="新宋体"/>
                <w:sz w:val="24"/>
              </w:rPr>
              <w:t>响应文件内容</w:t>
            </w:r>
          </w:p>
        </w:tc>
        <w:tc>
          <w:tcPr>
            <w:tcW w:w="2308" w:type="dxa"/>
            <w:vAlign w:val="center"/>
          </w:tcPr>
          <w:p>
            <w:pPr>
              <w:spacing w:line="360" w:lineRule="auto"/>
              <w:jc w:val="center"/>
              <w:rPr>
                <w:rFonts w:ascii="宋体" w:hAnsi="宋体" w:cs="宋体"/>
                <w:szCs w:val="21"/>
              </w:rPr>
            </w:pPr>
            <w:r>
              <w:rPr>
                <w:rFonts w:hint="eastAsia" w:ascii="新宋体" w:hAnsi="新宋体" w:eastAsia="新宋体"/>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bl>
    <w:p>
      <w:pPr>
        <w:spacing w:line="360" w:lineRule="auto"/>
        <w:ind w:firstLine="480" w:firstLineChars="200"/>
        <w:rPr>
          <w:rFonts w:ascii="宋体" w:hAnsi="宋体" w:cs="宋体"/>
          <w:sz w:val="24"/>
        </w:rPr>
      </w:pPr>
      <w:r>
        <w:rPr>
          <w:rFonts w:hint="eastAsia" w:ascii="宋体" w:hAnsi="宋体" w:cs="宋体"/>
          <w:sz w:val="24"/>
        </w:rPr>
        <w:t xml:space="preserve">供应商（盖章）： </w:t>
      </w:r>
    </w:p>
    <w:p>
      <w:pPr>
        <w:spacing w:line="360" w:lineRule="auto"/>
        <w:ind w:firstLine="480" w:firstLineChars="200"/>
        <w:rPr>
          <w:rFonts w:ascii="宋体" w:hAnsi="宋体" w:cs="宋体"/>
          <w:sz w:val="24"/>
        </w:rPr>
      </w:pPr>
      <w:r>
        <w:rPr>
          <w:rFonts w:hint="eastAsia" w:ascii="宋体" w:hAnsi="宋体" w:cs="宋体"/>
          <w:sz w:val="24"/>
        </w:rPr>
        <w:t>供应商法定代表人或授权委托人（盖章或签字）：</w:t>
      </w:r>
    </w:p>
    <w:p>
      <w:pPr>
        <w:spacing w:line="360" w:lineRule="auto"/>
        <w:ind w:firstLine="480" w:firstLineChars="200"/>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480" w:firstLineChars="200"/>
        <w:rPr>
          <w:rFonts w:ascii="新宋体" w:hAnsi="新宋体" w:eastAsia="新宋体"/>
          <w:sz w:val="24"/>
        </w:rPr>
      </w:pPr>
      <w:r>
        <w:rPr>
          <w:rFonts w:hint="eastAsia" w:ascii="新宋体" w:hAnsi="新宋体" w:eastAsia="新宋体"/>
          <w:sz w:val="24"/>
        </w:rPr>
        <w:t>注：凡响应文件中商务条款（包括合同履行期限、付款、合同条款以及其它所有商务内容）与磋商文件有偏差的，均应在此表中列出（内容较多的可以标注见响应文件第几页，偏差包括正偏差和负偏差），未在此表中列出的视同完全满足招标文件要求。</w:t>
      </w:r>
    </w:p>
    <w:bookmarkEnd w:id="83"/>
    <w:p>
      <w:pPr>
        <w:spacing w:line="360" w:lineRule="auto"/>
        <w:ind w:firstLine="562" w:firstLineChars="200"/>
        <w:jc w:val="center"/>
        <w:rPr>
          <w:rFonts w:ascii="新宋体" w:hAnsi="新宋体" w:eastAsia="新宋体"/>
          <w:b/>
          <w:sz w:val="28"/>
          <w:szCs w:val="28"/>
        </w:rPr>
      </w:pPr>
    </w:p>
    <w:p>
      <w:pPr>
        <w:spacing w:line="360" w:lineRule="auto"/>
        <w:ind w:firstLine="562" w:firstLineChars="200"/>
        <w:jc w:val="center"/>
        <w:rPr>
          <w:rFonts w:ascii="新宋体" w:hAnsi="新宋体" w:eastAsia="新宋体"/>
          <w:b/>
          <w:sz w:val="28"/>
          <w:szCs w:val="28"/>
        </w:rPr>
      </w:pPr>
    </w:p>
    <w:p>
      <w:pPr>
        <w:spacing w:line="360" w:lineRule="auto"/>
        <w:ind w:firstLine="562" w:firstLineChars="200"/>
        <w:jc w:val="center"/>
        <w:rPr>
          <w:rFonts w:ascii="新宋体" w:hAnsi="新宋体" w:eastAsia="新宋体"/>
          <w:b/>
          <w:sz w:val="28"/>
          <w:szCs w:val="28"/>
        </w:rPr>
      </w:pPr>
    </w:p>
    <w:p>
      <w:pPr>
        <w:spacing w:line="360" w:lineRule="auto"/>
        <w:ind w:firstLine="562" w:firstLineChars="200"/>
        <w:jc w:val="center"/>
        <w:rPr>
          <w:rFonts w:ascii="新宋体" w:hAnsi="新宋体" w:eastAsia="新宋体"/>
          <w:b/>
          <w:sz w:val="28"/>
          <w:szCs w:val="28"/>
        </w:rPr>
      </w:pPr>
    </w:p>
    <w:p>
      <w:pPr>
        <w:spacing w:line="360" w:lineRule="auto"/>
        <w:ind w:firstLine="562" w:firstLineChars="200"/>
        <w:jc w:val="center"/>
        <w:rPr>
          <w:rFonts w:ascii="新宋体" w:hAnsi="新宋体" w:eastAsia="新宋体"/>
          <w:b/>
          <w:sz w:val="28"/>
          <w:szCs w:val="28"/>
        </w:rPr>
      </w:pPr>
    </w:p>
    <w:p>
      <w:pPr>
        <w:spacing w:line="360" w:lineRule="auto"/>
        <w:ind w:firstLine="562" w:firstLineChars="200"/>
        <w:jc w:val="center"/>
        <w:rPr>
          <w:rFonts w:ascii="新宋体" w:hAnsi="新宋体" w:eastAsia="新宋体"/>
          <w:b/>
          <w:sz w:val="28"/>
          <w:szCs w:val="28"/>
        </w:rPr>
      </w:pPr>
    </w:p>
    <w:p>
      <w:pPr>
        <w:spacing w:line="360" w:lineRule="auto"/>
        <w:ind w:firstLine="562" w:firstLineChars="200"/>
        <w:jc w:val="center"/>
        <w:rPr>
          <w:rFonts w:ascii="新宋体" w:hAnsi="新宋体" w:eastAsia="新宋体"/>
          <w:b/>
          <w:sz w:val="28"/>
          <w:szCs w:val="28"/>
        </w:rPr>
      </w:pPr>
    </w:p>
    <w:p>
      <w:pPr>
        <w:spacing w:line="360" w:lineRule="auto"/>
        <w:ind w:firstLine="562" w:firstLineChars="200"/>
        <w:jc w:val="center"/>
        <w:rPr>
          <w:rFonts w:ascii="新宋体" w:hAnsi="新宋体" w:eastAsia="新宋体"/>
          <w:b/>
          <w:sz w:val="28"/>
          <w:szCs w:val="28"/>
        </w:rPr>
      </w:pPr>
    </w:p>
    <w:p>
      <w:pPr>
        <w:spacing w:line="360" w:lineRule="auto"/>
        <w:ind w:firstLine="562" w:firstLineChars="200"/>
        <w:jc w:val="center"/>
        <w:rPr>
          <w:rFonts w:ascii="新宋体" w:hAnsi="新宋体" w:eastAsia="新宋体"/>
          <w:b/>
          <w:sz w:val="28"/>
          <w:szCs w:val="28"/>
        </w:rPr>
      </w:pPr>
    </w:p>
    <w:p>
      <w:pPr>
        <w:spacing w:line="360" w:lineRule="auto"/>
        <w:ind w:firstLine="562" w:firstLineChars="200"/>
        <w:jc w:val="center"/>
        <w:rPr>
          <w:rFonts w:ascii="新宋体" w:hAnsi="新宋体" w:eastAsia="新宋体"/>
          <w:b/>
          <w:sz w:val="28"/>
          <w:szCs w:val="28"/>
        </w:rPr>
      </w:pPr>
      <w:r>
        <w:rPr>
          <w:rFonts w:hint="eastAsia" w:ascii="新宋体" w:hAnsi="新宋体" w:eastAsia="新宋体"/>
          <w:b/>
          <w:sz w:val="28"/>
          <w:szCs w:val="28"/>
        </w:rPr>
        <w:t>十一、技术条款偏差表</w:t>
      </w:r>
    </w:p>
    <w:p>
      <w:pPr>
        <w:pStyle w:val="15"/>
        <w:tabs>
          <w:tab w:val="left" w:pos="6300"/>
        </w:tabs>
        <w:snapToGrid w:val="0"/>
        <w:spacing w:line="500" w:lineRule="exact"/>
        <w:ind w:left="0" w:leftChars="0" w:firstLine="480" w:firstLineChars="200"/>
      </w:pPr>
      <w:r>
        <w:rPr>
          <w:rFonts w:hint="eastAsia" w:ascii="新宋体" w:hAnsi="新宋体" w:eastAsia="新宋体"/>
          <w:sz w:val="24"/>
        </w:rPr>
        <w:t>项目名称：</w:t>
      </w:r>
    </w:p>
    <w:tbl>
      <w:tblPr>
        <w:tblStyle w:val="3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序号</w:t>
            </w:r>
          </w:p>
        </w:tc>
        <w:tc>
          <w:tcPr>
            <w:tcW w:w="2969" w:type="dxa"/>
            <w:vAlign w:val="center"/>
          </w:tcPr>
          <w:p>
            <w:pPr>
              <w:spacing w:line="360" w:lineRule="auto"/>
              <w:jc w:val="center"/>
              <w:rPr>
                <w:rFonts w:ascii="宋体" w:hAnsi="宋体" w:cs="宋体"/>
                <w:szCs w:val="21"/>
              </w:rPr>
            </w:pPr>
            <w:r>
              <w:rPr>
                <w:rFonts w:hint="eastAsia" w:ascii="新宋体" w:hAnsi="新宋体" w:eastAsia="新宋体"/>
                <w:sz w:val="24"/>
              </w:rPr>
              <w:t>磋商文件内容</w:t>
            </w:r>
          </w:p>
        </w:tc>
        <w:tc>
          <w:tcPr>
            <w:tcW w:w="3081" w:type="dxa"/>
            <w:vAlign w:val="center"/>
          </w:tcPr>
          <w:p>
            <w:pPr>
              <w:spacing w:line="360" w:lineRule="auto"/>
              <w:jc w:val="center"/>
              <w:rPr>
                <w:rFonts w:ascii="宋体" w:hAnsi="宋体" w:cs="宋体"/>
                <w:szCs w:val="21"/>
              </w:rPr>
            </w:pPr>
            <w:r>
              <w:rPr>
                <w:rFonts w:hint="eastAsia" w:ascii="新宋体" w:hAnsi="新宋体" w:eastAsia="新宋体"/>
                <w:sz w:val="24"/>
              </w:rPr>
              <w:t>响应文件内容</w:t>
            </w:r>
          </w:p>
        </w:tc>
        <w:tc>
          <w:tcPr>
            <w:tcW w:w="2308" w:type="dxa"/>
            <w:vAlign w:val="center"/>
          </w:tcPr>
          <w:p>
            <w:pPr>
              <w:spacing w:line="360" w:lineRule="auto"/>
              <w:jc w:val="center"/>
              <w:rPr>
                <w:rFonts w:ascii="宋体" w:hAnsi="宋体" w:cs="宋体"/>
                <w:szCs w:val="21"/>
              </w:rPr>
            </w:pPr>
            <w:r>
              <w:rPr>
                <w:rFonts w:hint="eastAsia" w:ascii="新宋体" w:hAnsi="新宋体" w:eastAsia="新宋体"/>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70" w:type="dxa"/>
            <w:vAlign w:val="center"/>
          </w:tcPr>
          <w:p>
            <w:pPr>
              <w:tabs>
                <w:tab w:val="left" w:pos="6300"/>
              </w:tabs>
              <w:snapToGrid w:val="0"/>
              <w:spacing w:line="500" w:lineRule="exact"/>
              <w:jc w:val="center"/>
              <w:outlineLvl w:val="0"/>
              <w:rPr>
                <w:rFonts w:ascii="宋体" w:hAnsi="宋体" w:cs="宋体"/>
                <w:szCs w:val="21"/>
              </w:rPr>
            </w:pPr>
          </w:p>
        </w:tc>
        <w:tc>
          <w:tcPr>
            <w:tcW w:w="2969" w:type="dxa"/>
            <w:vAlign w:val="center"/>
          </w:tcPr>
          <w:p>
            <w:pPr>
              <w:tabs>
                <w:tab w:val="left" w:pos="6300"/>
              </w:tabs>
              <w:snapToGrid w:val="0"/>
              <w:spacing w:line="500" w:lineRule="exact"/>
              <w:jc w:val="center"/>
              <w:outlineLvl w:val="0"/>
              <w:rPr>
                <w:rFonts w:ascii="宋体" w:hAnsi="宋体" w:cs="宋体"/>
                <w:szCs w:val="21"/>
              </w:rPr>
            </w:pPr>
          </w:p>
        </w:tc>
        <w:tc>
          <w:tcPr>
            <w:tcW w:w="3081" w:type="dxa"/>
            <w:vAlign w:val="center"/>
          </w:tcPr>
          <w:p>
            <w:pPr>
              <w:tabs>
                <w:tab w:val="left" w:pos="6300"/>
              </w:tabs>
              <w:snapToGrid w:val="0"/>
              <w:spacing w:line="500" w:lineRule="exact"/>
              <w:jc w:val="center"/>
              <w:outlineLvl w:val="0"/>
              <w:rPr>
                <w:rFonts w:ascii="宋体" w:hAnsi="宋体" w:cs="宋体"/>
                <w:szCs w:val="21"/>
              </w:rPr>
            </w:pPr>
          </w:p>
        </w:tc>
        <w:tc>
          <w:tcPr>
            <w:tcW w:w="2308" w:type="dxa"/>
            <w:vAlign w:val="center"/>
          </w:tcPr>
          <w:p>
            <w:pPr>
              <w:tabs>
                <w:tab w:val="left" w:pos="6300"/>
              </w:tabs>
              <w:snapToGrid w:val="0"/>
              <w:spacing w:line="500" w:lineRule="exact"/>
              <w:jc w:val="center"/>
              <w:outlineLvl w:val="0"/>
              <w:rPr>
                <w:rFonts w:ascii="宋体" w:hAnsi="宋体" w:cs="宋体"/>
                <w:szCs w:val="21"/>
              </w:rPr>
            </w:pPr>
          </w:p>
        </w:tc>
      </w:tr>
    </w:tbl>
    <w:p>
      <w:pPr>
        <w:spacing w:line="360" w:lineRule="auto"/>
        <w:ind w:firstLine="480" w:firstLineChars="200"/>
        <w:rPr>
          <w:rFonts w:ascii="宋体" w:hAnsi="宋体" w:cs="宋体"/>
          <w:sz w:val="24"/>
        </w:rPr>
      </w:pPr>
      <w:r>
        <w:rPr>
          <w:rFonts w:hint="eastAsia" w:ascii="宋体" w:hAnsi="宋体" w:cs="宋体"/>
          <w:sz w:val="24"/>
        </w:rPr>
        <w:t xml:space="preserve">供应商（盖章）： </w:t>
      </w:r>
    </w:p>
    <w:p>
      <w:pPr>
        <w:spacing w:line="360" w:lineRule="auto"/>
        <w:ind w:firstLine="480" w:firstLineChars="200"/>
        <w:rPr>
          <w:rFonts w:ascii="宋体" w:hAnsi="宋体" w:cs="宋体"/>
          <w:sz w:val="24"/>
        </w:rPr>
      </w:pPr>
      <w:r>
        <w:rPr>
          <w:rFonts w:hint="eastAsia" w:ascii="宋体" w:hAnsi="宋体" w:cs="宋体"/>
          <w:sz w:val="24"/>
        </w:rPr>
        <w:t>供应商法定代表人或授权委托人（盖章或签字）：</w:t>
      </w:r>
    </w:p>
    <w:p>
      <w:pPr>
        <w:spacing w:line="360" w:lineRule="auto"/>
        <w:ind w:firstLine="480" w:firstLineChars="200"/>
        <w:rPr>
          <w:rFonts w:ascii="宋体" w:hAnsi="宋体" w:cs="宋体"/>
          <w:sz w:val="24"/>
        </w:rPr>
      </w:pPr>
      <w:r>
        <w:rPr>
          <w:rFonts w:hint="eastAsia" w:ascii="宋体" w:hAnsi="宋体" w:cs="宋体"/>
          <w:sz w:val="24"/>
        </w:rPr>
        <w:t>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480" w:firstLineChars="200"/>
        <w:rPr>
          <w:rFonts w:ascii="新宋体" w:hAnsi="新宋体" w:eastAsia="新宋体"/>
          <w:sz w:val="24"/>
        </w:rPr>
      </w:pPr>
      <w:r>
        <w:rPr>
          <w:rFonts w:hint="eastAsia" w:ascii="新宋体" w:hAnsi="新宋体" w:eastAsia="新宋体"/>
          <w:sz w:val="24"/>
        </w:rPr>
        <w:t>注：凡响应文件中所投货物数量、规格型号、技术参数及质量标准与磋商文件有偏差的（包括正偏差和负偏差），均应在此表中列出（内容较多的可以标注见响应文件第几页），未在此表中列出的视同完全满足招标文件要求。</w:t>
      </w:r>
    </w:p>
    <w:p>
      <w:pPr>
        <w:pStyle w:val="7"/>
        <w:ind w:firstLine="643"/>
        <w:jc w:val="center"/>
        <w:rPr>
          <w:rFonts w:ascii="宋体" w:hAnsi="宋体" w:cs="宋体"/>
          <w:b/>
          <w:bCs/>
          <w:kern w:val="0"/>
          <w:sz w:val="32"/>
          <w:szCs w:val="32"/>
        </w:rPr>
      </w:pPr>
    </w:p>
    <w:p>
      <w:pPr>
        <w:pStyle w:val="7"/>
        <w:ind w:firstLine="643"/>
        <w:jc w:val="center"/>
        <w:rPr>
          <w:rFonts w:ascii="宋体" w:hAnsi="宋体" w:cs="宋体"/>
          <w:b/>
          <w:bCs/>
          <w:kern w:val="0"/>
          <w:sz w:val="32"/>
          <w:szCs w:val="32"/>
        </w:rPr>
      </w:pPr>
    </w:p>
    <w:p>
      <w:pPr>
        <w:spacing w:line="420" w:lineRule="auto"/>
        <w:rPr>
          <w:rFonts w:ascii="宋体" w:hAnsi="宋体" w:cs="宋体"/>
          <w:b/>
          <w:bCs/>
          <w:kern w:val="0"/>
          <w:sz w:val="28"/>
          <w:szCs w:val="28"/>
        </w:rPr>
      </w:pPr>
    </w:p>
    <w:p>
      <w:pPr>
        <w:spacing w:line="420" w:lineRule="auto"/>
        <w:ind w:firstLine="562" w:firstLineChars="200"/>
        <w:jc w:val="center"/>
        <w:rPr>
          <w:rFonts w:ascii="宋体" w:hAnsi="宋体" w:cs="宋体"/>
          <w:b/>
          <w:bCs/>
          <w:kern w:val="0"/>
          <w:sz w:val="28"/>
          <w:szCs w:val="28"/>
        </w:rPr>
      </w:pPr>
    </w:p>
    <w:p>
      <w:pPr>
        <w:spacing w:line="420" w:lineRule="auto"/>
        <w:ind w:firstLine="562" w:firstLineChars="200"/>
        <w:jc w:val="center"/>
        <w:rPr>
          <w:rFonts w:ascii="宋体" w:hAnsi="宋体" w:cs="宋体"/>
          <w:b/>
          <w:bCs/>
          <w:kern w:val="0"/>
          <w:sz w:val="28"/>
          <w:szCs w:val="28"/>
        </w:rPr>
      </w:pPr>
    </w:p>
    <w:p>
      <w:pPr>
        <w:spacing w:line="420" w:lineRule="auto"/>
        <w:ind w:firstLine="562" w:firstLineChars="200"/>
        <w:jc w:val="center"/>
        <w:rPr>
          <w:rFonts w:ascii="宋体" w:hAnsi="宋体" w:cs="宋体"/>
          <w:b/>
          <w:bCs/>
          <w:kern w:val="0"/>
          <w:sz w:val="28"/>
          <w:szCs w:val="28"/>
        </w:rPr>
      </w:pPr>
    </w:p>
    <w:p>
      <w:pPr>
        <w:spacing w:line="420" w:lineRule="auto"/>
        <w:ind w:firstLine="562" w:firstLineChars="200"/>
        <w:jc w:val="center"/>
        <w:rPr>
          <w:rFonts w:ascii="宋体" w:hAnsi="宋体" w:cs="宋体"/>
          <w:b/>
          <w:bCs/>
          <w:kern w:val="0"/>
          <w:sz w:val="28"/>
          <w:szCs w:val="28"/>
        </w:rPr>
      </w:pPr>
    </w:p>
    <w:p>
      <w:pPr>
        <w:spacing w:line="420" w:lineRule="auto"/>
        <w:ind w:firstLine="562" w:firstLineChars="200"/>
        <w:jc w:val="center"/>
        <w:rPr>
          <w:rFonts w:ascii="宋体" w:hAnsi="宋体" w:cs="宋体"/>
          <w:b/>
          <w:bCs/>
          <w:kern w:val="0"/>
          <w:sz w:val="28"/>
          <w:szCs w:val="28"/>
        </w:rPr>
      </w:pPr>
    </w:p>
    <w:p>
      <w:pPr>
        <w:spacing w:line="420" w:lineRule="auto"/>
        <w:ind w:firstLine="562" w:firstLineChars="200"/>
        <w:jc w:val="center"/>
        <w:rPr>
          <w:rFonts w:ascii="宋体" w:hAnsi="宋体" w:cs="宋体"/>
          <w:b/>
          <w:bCs/>
          <w:kern w:val="0"/>
          <w:sz w:val="28"/>
          <w:szCs w:val="28"/>
        </w:rPr>
      </w:pPr>
    </w:p>
    <w:p>
      <w:pPr>
        <w:spacing w:line="420" w:lineRule="auto"/>
        <w:jc w:val="center"/>
        <w:rPr>
          <w:rFonts w:ascii="宋体" w:hAnsi="宋体" w:cs="宋体"/>
          <w:b/>
          <w:bCs/>
          <w:kern w:val="0"/>
          <w:sz w:val="36"/>
          <w:szCs w:val="36"/>
        </w:rPr>
      </w:pPr>
      <w:r>
        <w:rPr>
          <w:rFonts w:hint="eastAsia" w:ascii="宋体" w:hAnsi="宋体" w:cs="宋体"/>
          <w:b/>
          <w:bCs/>
          <w:kern w:val="0"/>
          <w:sz w:val="28"/>
          <w:szCs w:val="28"/>
        </w:rPr>
        <w:t>十二、中小企业声明函（如有）</w:t>
      </w:r>
    </w:p>
    <w:p>
      <w:pPr>
        <w:pStyle w:val="27"/>
        <w:shd w:val="clear" w:color="auto" w:fill="FFFFFF"/>
        <w:spacing w:before="0" w:beforeAutospacing="0" w:after="240" w:afterAutospacing="0"/>
        <w:ind w:firstLine="592" w:firstLineChars="200"/>
        <w:rPr>
          <w:color w:val="444444"/>
          <w:spacing w:val="8"/>
          <w:sz w:val="28"/>
          <w:szCs w:val="28"/>
          <w:shd w:val="clear" w:color="auto" w:fill="FFFFFF"/>
        </w:rPr>
      </w:pPr>
      <w:r>
        <w:rPr>
          <w:rFonts w:hint="eastAsia"/>
          <w:color w:val="444444"/>
          <w:spacing w:val="8"/>
          <w:sz w:val="28"/>
          <w:szCs w:val="28"/>
          <w:shd w:val="clear" w:color="auto" w:fill="FFFFFF"/>
        </w:rPr>
        <w:t>本公司郑重声明，根据《政府采购促进中小企业发展暂行办法》(财库[2020]46号)的规定，本公司为</w:t>
      </w:r>
      <w:r>
        <w:rPr>
          <w:rFonts w:hint="eastAsia"/>
          <w:color w:val="444444"/>
          <w:spacing w:val="8"/>
          <w:sz w:val="28"/>
          <w:szCs w:val="28"/>
          <w:u w:val="single"/>
          <w:shd w:val="clear" w:color="auto" w:fill="FFFFFF"/>
        </w:rPr>
        <w:t xml:space="preserve">            </w:t>
      </w:r>
      <w:r>
        <w:rPr>
          <w:rFonts w:hint="eastAsia"/>
          <w:color w:val="444444"/>
          <w:spacing w:val="8"/>
          <w:sz w:val="28"/>
          <w:szCs w:val="28"/>
          <w:shd w:val="clear" w:color="auto" w:fill="FFFFFF"/>
        </w:rPr>
        <w:t>微型(请填写:中型、小型、微型)企业。即，本公司同时满足以下条件:</w:t>
      </w:r>
    </w:p>
    <w:p>
      <w:pPr>
        <w:pStyle w:val="27"/>
        <w:numPr>
          <w:ilvl w:val="0"/>
          <w:numId w:val="6"/>
        </w:numPr>
        <w:shd w:val="clear" w:color="auto" w:fill="FFFFFF"/>
        <w:spacing w:before="0" w:beforeAutospacing="0" w:after="240" w:afterAutospacing="0"/>
        <w:ind w:firstLine="592" w:firstLineChars="200"/>
        <w:rPr>
          <w:color w:val="444444"/>
          <w:spacing w:val="8"/>
          <w:sz w:val="28"/>
          <w:szCs w:val="28"/>
          <w:shd w:val="clear" w:color="auto" w:fill="FFFFFF"/>
        </w:rPr>
      </w:pPr>
      <w:r>
        <w:rPr>
          <w:rFonts w:hint="eastAsia"/>
          <w:color w:val="444444"/>
          <w:spacing w:val="8"/>
          <w:sz w:val="28"/>
          <w:szCs w:val="28"/>
          <w:shd w:val="clear" w:color="auto" w:fill="FFFFFF"/>
        </w:rPr>
        <w:t>根据《工业和信息化部、国家统计局、国家发展和改革委员会、财政部关于印发中小企业划型标准规定的通知》(工信部联企业[2011]300号)规定的划分标准，本公司为</w:t>
      </w:r>
      <w:r>
        <w:rPr>
          <w:rFonts w:hint="eastAsia"/>
          <w:color w:val="444444"/>
          <w:spacing w:val="8"/>
          <w:sz w:val="28"/>
          <w:szCs w:val="28"/>
          <w:u w:val="single"/>
          <w:shd w:val="clear" w:color="auto" w:fill="FFFFFF"/>
        </w:rPr>
        <w:t xml:space="preserve">         </w:t>
      </w:r>
      <w:r>
        <w:rPr>
          <w:rFonts w:hint="eastAsia"/>
          <w:color w:val="444444"/>
          <w:spacing w:val="8"/>
          <w:sz w:val="28"/>
          <w:szCs w:val="28"/>
          <w:shd w:val="clear" w:color="auto" w:fill="FFFFFF"/>
        </w:rPr>
        <w:t>(请填写:中型、小型、微型)企业。</w:t>
      </w:r>
    </w:p>
    <w:p>
      <w:pPr>
        <w:pStyle w:val="27"/>
        <w:numPr>
          <w:ilvl w:val="0"/>
          <w:numId w:val="6"/>
        </w:numPr>
        <w:shd w:val="clear" w:color="auto" w:fill="FFFFFF"/>
        <w:spacing w:before="0" w:beforeAutospacing="0" w:after="240" w:afterAutospacing="0"/>
        <w:ind w:firstLine="592" w:firstLineChars="200"/>
        <w:rPr>
          <w:color w:val="444444"/>
          <w:spacing w:val="8"/>
          <w:sz w:val="28"/>
          <w:szCs w:val="28"/>
          <w:shd w:val="clear" w:color="auto" w:fill="FFFFFF"/>
        </w:rPr>
      </w:pPr>
      <w:r>
        <w:rPr>
          <w:rFonts w:hint="eastAsia"/>
          <w:color w:val="444444"/>
          <w:spacing w:val="8"/>
          <w:sz w:val="28"/>
          <w:szCs w:val="28"/>
          <w:shd w:val="clear" w:color="auto" w:fill="FFFFFF"/>
        </w:rPr>
        <w:t>本公司参加</w:t>
      </w:r>
      <w:r>
        <w:rPr>
          <w:rFonts w:hint="eastAsia"/>
          <w:color w:val="444444"/>
          <w:spacing w:val="8"/>
          <w:sz w:val="28"/>
          <w:szCs w:val="28"/>
          <w:u w:val="single"/>
          <w:shd w:val="clear" w:color="auto" w:fill="FFFFFF"/>
        </w:rPr>
        <w:t xml:space="preserve">         </w:t>
      </w:r>
      <w:r>
        <w:rPr>
          <w:rFonts w:hint="eastAsia"/>
          <w:color w:val="444444"/>
          <w:spacing w:val="8"/>
          <w:sz w:val="28"/>
          <w:szCs w:val="28"/>
          <w:shd w:val="clear" w:color="auto" w:fill="FFFFFF"/>
        </w:rPr>
        <w:t>单位的</w:t>
      </w:r>
      <w:r>
        <w:rPr>
          <w:rFonts w:hint="eastAsia"/>
          <w:color w:val="444444"/>
          <w:spacing w:val="8"/>
          <w:sz w:val="28"/>
          <w:szCs w:val="28"/>
          <w:u w:val="single"/>
          <w:shd w:val="clear" w:color="auto" w:fill="FFFFFF"/>
        </w:rPr>
        <w:t xml:space="preserve">               </w:t>
      </w:r>
      <w:r>
        <w:rPr>
          <w:rFonts w:hint="eastAsia"/>
          <w:color w:val="444444"/>
          <w:spacing w:val="8"/>
          <w:sz w:val="28"/>
          <w:szCs w:val="28"/>
          <w:shd w:val="clear" w:color="auto" w:fill="FFFFFF"/>
        </w:rPr>
        <w:t>项目采购活动提供本企业制造的货物，由本企业承担工程、提供服务，或者提供其他</w:t>
      </w:r>
      <w:r>
        <w:rPr>
          <w:rFonts w:hint="eastAsia"/>
          <w:color w:val="444444"/>
          <w:spacing w:val="8"/>
          <w:sz w:val="28"/>
          <w:szCs w:val="28"/>
          <w:u w:val="single"/>
          <w:shd w:val="clear" w:color="auto" w:fill="FFFFFF"/>
        </w:rPr>
        <w:t xml:space="preserve">       </w:t>
      </w:r>
      <w:r>
        <w:rPr>
          <w:rFonts w:hint="eastAsia"/>
          <w:color w:val="444444"/>
          <w:spacing w:val="8"/>
          <w:sz w:val="28"/>
          <w:szCs w:val="28"/>
          <w:shd w:val="clear" w:color="auto" w:fill="FFFFFF"/>
        </w:rPr>
        <w:t>(请填写:中型、小型、微型)企业制造的货物。本条所称货物不包括使用大型企业注册商标的货物。</w:t>
      </w:r>
    </w:p>
    <w:p>
      <w:pPr>
        <w:pStyle w:val="27"/>
        <w:shd w:val="clear" w:color="auto" w:fill="FFFFFF"/>
        <w:spacing w:before="0" w:beforeAutospacing="0" w:after="240" w:afterAutospacing="0"/>
        <w:ind w:firstLine="592" w:firstLineChars="200"/>
        <w:rPr>
          <w:color w:val="444444"/>
          <w:spacing w:val="8"/>
          <w:sz w:val="28"/>
          <w:szCs w:val="28"/>
        </w:rPr>
      </w:pPr>
      <w:r>
        <w:rPr>
          <w:rFonts w:hint="eastAsia"/>
          <w:color w:val="444444"/>
          <w:spacing w:val="8"/>
          <w:sz w:val="28"/>
          <w:szCs w:val="28"/>
          <w:shd w:val="clear" w:color="auto" w:fill="FFFFFF"/>
        </w:rPr>
        <w:t>公司对上述声明的真实性负责。如有虚假，将依法承担相应责任。</w:t>
      </w:r>
    </w:p>
    <w:p>
      <w:pPr>
        <w:pStyle w:val="27"/>
        <w:shd w:val="clear" w:color="auto" w:fill="FFFFFF"/>
        <w:spacing w:before="0" w:beforeAutospacing="0" w:after="240" w:afterAutospacing="0"/>
        <w:ind w:firstLine="592" w:firstLineChars="200"/>
        <w:rPr>
          <w:color w:val="444444"/>
          <w:spacing w:val="8"/>
          <w:sz w:val="28"/>
          <w:szCs w:val="28"/>
        </w:rPr>
      </w:pPr>
      <w:r>
        <w:rPr>
          <w:rFonts w:hint="eastAsia"/>
          <w:color w:val="444444"/>
          <w:spacing w:val="8"/>
          <w:sz w:val="28"/>
          <w:szCs w:val="28"/>
          <w:shd w:val="clear" w:color="auto" w:fill="FFFFFF"/>
        </w:rPr>
        <w:t>企业名称(盖章):</w:t>
      </w:r>
    </w:p>
    <w:p>
      <w:pPr>
        <w:pStyle w:val="27"/>
        <w:shd w:val="clear" w:color="auto" w:fill="FFFFFF"/>
        <w:spacing w:before="0" w:beforeAutospacing="0" w:after="240" w:afterAutospacing="0"/>
        <w:ind w:firstLine="592" w:firstLineChars="200"/>
        <w:rPr>
          <w:color w:val="444444"/>
          <w:spacing w:val="8"/>
          <w:sz w:val="28"/>
          <w:szCs w:val="28"/>
        </w:rPr>
      </w:pPr>
      <w:r>
        <w:rPr>
          <w:rFonts w:hint="eastAsia"/>
          <w:color w:val="444444"/>
          <w:spacing w:val="8"/>
          <w:sz w:val="28"/>
          <w:szCs w:val="28"/>
          <w:shd w:val="clear" w:color="auto" w:fill="FFFFFF"/>
        </w:rPr>
        <w:t>日  期:</w:t>
      </w:r>
    </w:p>
    <w:p>
      <w:pPr>
        <w:spacing w:line="420" w:lineRule="auto"/>
        <w:ind w:firstLine="562" w:firstLineChars="200"/>
        <w:jc w:val="center"/>
        <w:rPr>
          <w:rFonts w:ascii="宋体" w:hAnsi="宋体" w:cs="宋体"/>
          <w:b/>
          <w:bCs/>
          <w:kern w:val="0"/>
          <w:sz w:val="28"/>
          <w:szCs w:val="28"/>
        </w:rPr>
      </w:pPr>
    </w:p>
    <w:p>
      <w:pPr>
        <w:spacing w:line="420" w:lineRule="auto"/>
        <w:ind w:firstLine="562" w:firstLineChars="200"/>
        <w:jc w:val="center"/>
        <w:rPr>
          <w:rFonts w:ascii="宋体" w:hAnsi="宋体" w:cs="宋体"/>
          <w:b/>
          <w:bCs/>
          <w:kern w:val="0"/>
          <w:sz w:val="28"/>
          <w:szCs w:val="28"/>
        </w:rPr>
      </w:pPr>
    </w:p>
    <w:p>
      <w:pPr>
        <w:spacing w:line="420" w:lineRule="auto"/>
        <w:ind w:firstLine="562" w:firstLineChars="200"/>
        <w:jc w:val="center"/>
        <w:rPr>
          <w:rFonts w:ascii="宋体" w:hAnsi="宋体" w:cs="宋体"/>
          <w:b/>
          <w:bCs/>
          <w:kern w:val="0"/>
          <w:sz w:val="28"/>
          <w:szCs w:val="28"/>
        </w:rPr>
      </w:pPr>
    </w:p>
    <w:p>
      <w:pPr>
        <w:spacing w:line="420" w:lineRule="auto"/>
        <w:ind w:firstLine="562" w:firstLineChars="200"/>
        <w:jc w:val="center"/>
        <w:rPr>
          <w:rFonts w:ascii="宋体" w:hAnsi="宋体" w:cs="宋体"/>
          <w:b/>
          <w:bCs/>
          <w:kern w:val="0"/>
          <w:sz w:val="28"/>
          <w:szCs w:val="28"/>
        </w:rPr>
      </w:pPr>
    </w:p>
    <w:p>
      <w:pPr>
        <w:spacing w:line="420" w:lineRule="auto"/>
        <w:rPr>
          <w:rFonts w:ascii="宋体" w:hAnsi="宋体" w:cs="宋体"/>
          <w:b/>
          <w:bCs/>
          <w:kern w:val="0"/>
          <w:sz w:val="28"/>
          <w:szCs w:val="28"/>
        </w:rPr>
      </w:pPr>
      <w:r>
        <w:rPr>
          <w:rFonts w:hint="eastAsia" w:ascii="宋体" w:hAnsi="宋体" w:cs="宋体"/>
          <w:b/>
          <w:bCs/>
          <w:kern w:val="0"/>
          <w:sz w:val="28"/>
          <w:szCs w:val="28"/>
        </w:rPr>
        <w:t xml:space="preserve">                       </w:t>
      </w:r>
    </w:p>
    <w:p>
      <w:pPr>
        <w:pStyle w:val="7"/>
        <w:ind w:firstLine="0" w:firstLineChars="0"/>
        <w:jc w:val="center"/>
        <w:rPr>
          <w:rFonts w:ascii="宋体" w:hAnsi="宋体" w:cs="宋体"/>
          <w:b/>
          <w:color w:val="333333"/>
          <w:sz w:val="28"/>
          <w:szCs w:val="28"/>
        </w:rPr>
      </w:pPr>
      <w:r>
        <w:rPr>
          <w:rFonts w:hint="eastAsia" w:ascii="宋体" w:hAnsi="宋体" w:cs="宋体"/>
          <w:b/>
          <w:color w:val="333333"/>
          <w:sz w:val="28"/>
          <w:szCs w:val="28"/>
        </w:rPr>
        <w:t>十三、供应商反商业贿赂承诺书</w:t>
      </w:r>
    </w:p>
    <w:p>
      <w:pPr>
        <w:pStyle w:val="7"/>
        <w:ind w:firstLine="0" w:firstLineChars="0"/>
        <w:rPr>
          <w:rFonts w:ascii="宋体" w:hAnsi="宋体" w:cs="宋体"/>
          <w:b/>
          <w:color w:val="333333"/>
          <w:sz w:val="28"/>
          <w:szCs w:val="28"/>
        </w:rPr>
      </w:pPr>
    </w:p>
    <w:p>
      <w:pPr>
        <w:pStyle w:val="7"/>
        <w:ind w:firstLine="0" w:firstLineChars="0"/>
        <w:rPr>
          <w:rFonts w:ascii="宋体" w:hAnsi="宋体" w:cs="宋体"/>
          <w:b/>
          <w:color w:val="333333"/>
          <w:sz w:val="28"/>
          <w:szCs w:val="28"/>
        </w:rPr>
      </w:pPr>
    </w:p>
    <w:p>
      <w:pPr>
        <w:pStyle w:val="7"/>
        <w:ind w:firstLine="0" w:firstLineChars="0"/>
        <w:rPr>
          <w:rFonts w:ascii="宋体" w:hAnsi="宋体" w:cs="宋体"/>
          <w:b/>
          <w:color w:val="333333"/>
          <w:sz w:val="28"/>
          <w:szCs w:val="28"/>
        </w:rPr>
      </w:pPr>
      <w:r>
        <w:rPr>
          <w:rFonts w:hint="eastAsia" w:ascii="宋体" w:hAnsi="宋体" w:cs="宋体"/>
          <w:b/>
          <w:color w:val="auto"/>
          <w:sz w:val="28"/>
          <w:szCs w:val="28"/>
          <w:highlight w:val="none"/>
        </w:rPr>
        <w:t>十四、技术服务</w:t>
      </w:r>
      <w:r>
        <w:rPr>
          <w:rFonts w:hint="eastAsia" w:ascii="宋体" w:hAnsi="宋体" w:cs="宋体"/>
          <w:b/>
          <w:color w:val="333333"/>
          <w:sz w:val="28"/>
          <w:szCs w:val="28"/>
        </w:rPr>
        <w:t>方案（包括不限于本项目技术评分表要求的内容，格式自拟格式自拟）</w:t>
      </w:r>
    </w:p>
    <w:p>
      <w:pPr>
        <w:pStyle w:val="7"/>
        <w:ind w:firstLine="0" w:firstLineChars="0"/>
        <w:rPr>
          <w:rFonts w:ascii="宋体" w:hAnsi="宋体" w:cs="宋体"/>
          <w:b/>
          <w:color w:val="333333"/>
          <w:sz w:val="28"/>
          <w:szCs w:val="28"/>
        </w:rPr>
      </w:pPr>
    </w:p>
    <w:p>
      <w:pPr>
        <w:pStyle w:val="7"/>
        <w:ind w:firstLine="0" w:firstLineChars="0"/>
        <w:rPr>
          <w:rFonts w:ascii="宋体" w:hAnsi="宋体" w:cs="宋体"/>
          <w:b/>
          <w:color w:val="333333"/>
          <w:sz w:val="28"/>
          <w:szCs w:val="28"/>
        </w:rPr>
      </w:pPr>
    </w:p>
    <w:p>
      <w:pPr>
        <w:pStyle w:val="7"/>
        <w:ind w:firstLine="0" w:firstLineChars="0"/>
        <w:rPr>
          <w:rFonts w:ascii="宋体" w:hAnsi="宋体" w:cs="宋体"/>
          <w:b/>
          <w:color w:val="333333"/>
          <w:sz w:val="28"/>
          <w:szCs w:val="28"/>
        </w:rPr>
      </w:pPr>
      <w:r>
        <w:rPr>
          <w:rFonts w:hint="eastAsia" w:ascii="宋体" w:hAnsi="宋体" w:cs="宋体"/>
          <w:b/>
          <w:color w:val="333333"/>
          <w:sz w:val="28"/>
          <w:szCs w:val="28"/>
        </w:rPr>
        <w:t>十五、供应商认为需要提交的其他材料</w:t>
      </w:r>
    </w:p>
    <w:p>
      <w:pPr>
        <w:rPr>
          <w:rFonts w:ascii="宋体" w:hAnsi="宋体" w:cs="宋体"/>
          <w:b/>
          <w:color w:val="333333"/>
          <w:sz w:val="28"/>
          <w:szCs w:val="28"/>
        </w:rPr>
      </w:pPr>
    </w:p>
    <w:p>
      <w:pPr>
        <w:pStyle w:val="9"/>
        <w:rPr>
          <w:rFonts w:ascii="宋体" w:hAnsi="宋体" w:cs="宋体"/>
          <w:b/>
          <w:color w:val="333333"/>
          <w:sz w:val="28"/>
          <w:szCs w:val="28"/>
        </w:rPr>
      </w:pPr>
    </w:p>
    <w:p>
      <w:pPr>
        <w:rPr>
          <w:rFonts w:ascii="宋体" w:hAnsi="宋体" w:cs="宋体"/>
          <w:b/>
          <w:color w:val="333333"/>
          <w:sz w:val="28"/>
          <w:szCs w:val="28"/>
        </w:rPr>
      </w:pPr>
    </w:p>
    <w:p>
      <w:pPr>
        <w:pStyle w:val="9"/>
        <w:rPr>
          <w:rFonts w:ascii="宋体" w:hAnsi="宋体" w:cs="宋体"/>
          <w:b/>
          <w:color w:val="333333"/>
          <w:sz w:val="28"/>
          <w:szCs w:val="28"/>
        </w:rPr>
      </w:pPr>
    </w:p>
    <w:p>
      <w:pPr>
        <w:rPr>
          <w:rFonts w:ascii="宋体" w:hAnsi="宋体" w:cs="宋体"/>
          <w:b/>
          <w:color w:val="333333"/>
          <w:sz w:val="28"/>
          <w:szCs w:val="28"/>
        </w:rPr>
      </w:pPr>
    </w:p>
    <w:p>
      <w:pPr>
        <w:pStyle w:val="9"/>
        <w:rPr>
          <w:rFonts w:ascii="宋体" w:hAnsi="宋体" w:cs="宋体"/>
          <w:b/>
          <w:color w:val="333333"/>
          <w:sz w:val="28"/>
          <w:szCs w:val="28"/>
        </w:rPr>
      </w:pPr>
    </w:p>
    <w:p>
      <w:pPr>
        <w:rPr>
          <w:rFonts w:ascii="宋体" w:hAnsi="宋体" w:cs="宋体"/>
          <w:b/>
          <w:color w:val="333333"/>
          <w:sz w:val="28"/>
          <w:szCs w:val="28"/>
        </w:rPr>
      </w:pPr>
    </w:p>
    <w:p>
      <w:pPr>
        <w:pStyle w:val="9"/>
        <w:rPr>
          <w:rFonts w:ascii="宋体" w:hAnsi="宋体" w:cs="宋体"/>
          <w:b/>
          <w:color w:val="333333"/>
          <w:sz w:val="28"/>
          <w:szCs w:val="28"/>
        </w:rPr>
      </w:pPr>
    </w:p>
    <w:p>
      <w:pPr>
        <w:rPr>
          <w:rFonts w:ascii="宋体" w:hAnsi="宋体" w:cs="宋体"/>
          <w:b/>
          <w:color w:val="333333"/>
          <w:sz w:val="28"/>
          <w:szCs w:val="28"/>
        </w:rPr>
      </w:pPr>
    </w:p>
    <w:p>
      <w:pPr>
        <w:pStyle w:val="9"/>
        <w:rPr>
          <w:rFonts w:ascii="宋体" w:hAnsi="宋体" w:cs="宋体"/>
          <w:b/>
          <w:color w:val="333333"/>
          <w:sz w:val="28"/>
          <w:szCs w:val="28"/>
        </w:rPr>
      </w:pPr>
    </w:p>
    <w:p>
      <w:pPr>
        <w:widowControl/>
        <w:rPr>
          <w:rFonts w:ascii="宋体" w:hAnsi="宋体"/>
          <w:b/>
          <w:bCs/>
          <w:kern w:val="0"/>
          <w:sz w:val="28"/>
          <w:szCs w:val="28"/>
        </w:rPr>
      </w:pPr>
    </w:p>
    <w:p>
      <w:pPr>
        <w:widowControl/>
        <w:ind w:firstLine="562" w:firstLineChars="200"/>
        <w:jc w:val="center"/>
        <w:rPr>
          <w:rFonts w:ascii="宋体" w:hAnsi="宋体"/>
          <w:b/>
          <w:bCs/>
          <w:kern w:val="0"/>
          <w:sz w:val="28"/>
          <w:szCs w:val="28"/>
        </w:rPr>
      </w:pPr>
    </w:p>
    <w:p>
      <w:pPr>
        <w:spacing w:line="360" w:lineRule="auto"/>
        <w:ind w:right="17"/>
        <w:jc w:val="left"/>
      </w:pPr>
    </w:p>
    <w:sectPr>
      <w:headerReference r:id="rId9" w:type="first"/>
      <w:footerReference r:id="rId12" w:type="first"/>
      <w:headerReference r:id="rId8" w:type="default"/>
      <w:footerReference r:id="rId10" w:type="default"/>
      <w:footerReference r:id="rId11" w:type="even"/>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Calibri Light">
    <w:altName w:val="Segoe Print"/>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1"/>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1"/>
        <w:tab w:val="clear" w:pos="4153"/>
      </w:tabs>
    </w:pPr>
    <w:r>
      <w:pict>
        <v:shape id="_x0000_s3086" o:spid="_x0000_s308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w:r>
    <w:r>
      <w:rPr>
        <w:rFonts w:hint="eastAsia"/>
      </w:rPr>
      <w:tab/>
    </w: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5"/>
      </w:rPr>
    </w:pPr>
    <w:r>
      <w:pict>
        <v:shape id="_x0000_s3074" o:spid="_x0000_s3074" o:spt="202" type="#_x0000_t202" style="position:absolute;left:0pt;margin-top:0pt;height:12pt;width:13.1pt;mso-position-horizontal:center;mso-position-horizontal-relative:margin;z-index:251657216;mso-width-relative:page;mso-height-relative:page;" filled="f" stroked="f" coordsize="21600,21600">
          <v:path/>
          <v:fill on="f" focussize="0,0"/>
          <v:stroke on="f" joinstyle="miter"/>
          <v:imagedata o:title=""/>
          <o:lock v:ext="edit"/>
          <v:textbox inset="0mm,0mm,0mm,0mm">
            <w:txbxContent>
              <w:p>
                <w:pPr>
                  <w:spacing w:before="12"/>
                  <w:ind w:left="40"/>
                  <w:jc w:val="left"/>
                  <w:rPr>
                    <w:sz w:val="18"/>
                  </w:rPr>
                </w:pPr>
                <w:r>
                  <w:fldChar w:fldCharType="begin"/>
                </w:r>
                <w:r>
                  <w:rPr>
                    <w:sz w:val="18"/>
                  </w:rPr>
                  <w:instrText xml:space="preserve"> PAGE </w:instrText>
                </w:r>
                <w:r>
                  <w:fldChar w:fldCharType="separate"/>
                </w:r>
                <w:r>
                  <w:rPr>
                    <w:sz w:val="18"/>
                  </w:rPr>
                  <w:t>23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84" o:spid="_x0000_s3084"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48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85" o:spid="_x0000_s308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3" o:spid="_x0000_s3073" o:spt="32" type="#_x0000_t32" style="position:absolute;left:0pt;margin-left:68.55pt;margin-top:67.55pt;height:0.1pt;width:460.7pt;mso-position-horizontal-relative:page;mso-position-vertical-relative:page;z-index:-251660288;mso-width-relative:page;mso-height-relative:page;" filled="f" coordsize="21600,21600">
          <v:path arrowok="t"/>
          <v:fill on="f" focussize="0,0"/>
          <v:stroke weight="0.48pt"/>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912D6F"/>
    <w:multiLevelType w:val="singleLevel"/>
    <w:tmpl w:val="F3912D6F"/>
    <w:lvl w:ilvl="0" w:tentative="0">
      <w:start w:val="1"/>
      <w:numFmt w:val="decimal"/>
      <w:suff w:val="nothing"/>
      <w:lvlText w:val="（%1）"/>
      <w:lvlJc w:val="left"/>
    </w:lvl>
  </w:abstractNum>
  <w:abstractNum w:abstractNumId="1">
    <w:nsid w:val="F4B5D9F5"/>
    <w:multiLevelType w:val="multilevel"/>
    <w:tmpl w:val="F4B5D9F5"/>
    <w:lvl w:ilvl="0" w:tentative="0">
      <w:start w:val="1"/>
      <w:numFmt w:val="decimal"/>
      <w:lvlText w:val="%1."/>
      <w:lvlJc w:val="left"/>
      <w:pPr>
        <w:ind w:left="437" w:hanging="181"/>
      </w:pPr>
      <w:rPr>
        <w:rFonts w:hint="default" w:ascii="Times New Roman" w:hAnsi="Times New Roman" w:eastAsia="Times New Roman" w:cs="Times New Roman"/>
        <w:w w:val="100"/>
        <w:sz w:val="22"/>
        <w:szCs w:val="22"/>
        <w:lang w:val="zh-CN" w:eastAsia="zh-CN" w:bidi="zh-CN"/>
      </w:rPr>
    </w:lvl>
    <w:lvl w:ilvl="1" w:tentative="0">
      <w:start w:val="1"/>
      <w:numFmt w:val="decimal"/>
      <w:lvlText w:val="%2."/>
      <w:lvlJc w:val="left"/>
      <w:pPr>
        <w:ind w:left="1506" w:hanging="361"/>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2356" w:hanging="361"/>
      </w:pPr>
      <w:rPr>
        <w:rFonts w:hint="default"/>
        <w:lang w:val="zh-CN" w:eastAsia="zh-CN" w:bidi="zh-CN"/>
      </w:rPr>
    </w:lvl>
    <w:lvl w:ilvl="3" w:tentative="0">
      <w:start w:val="0"/>
      <w:numFmt w:val="bullet"/>
      <w:lvlText w:val="•"/>
      <w:lvlJc w:val="left"/>
      <w:pPr>
        <w:ind w:left="3212" w:hanging="361"/>
      </w:pPr>
      <w:rPr>
        <w:rFonts w:hint="default"/>
        <w:lang w:val="zh-CN" w:eastAsia="zh-CN" w:bidi="zh-CN"/>
      </w:rPr>
    </w:lvl>
    <w:lvl w:ilvl="4" w:tentative="0">
      <w:start w:val="0"/>
      <w:numFmt w:val="bullet"/>
      <w:lvlText w:val="•"/>
      <w:lvlJc w:val="left"/>
      <w:pPr>
        <w:ind w:left="4068" w:hanging="361"/>
      </w:pPr>
      <w:rPr>
        <w:rFonts w:hint="default"/>
        <w:lang w:val="zh-CN" w:eastAsia="zh-CN" w:bidi="zh-CN"/>
      </w:rPr>
    </w:lvl>
    <w:lvl w:ilvl="5" w:tentative="0">
      <w:start w:val="0"/>
      <w:numFmt w:val="bullet"/>
      <w:lvlText w:val="•"/>
      <w:lvlJc w:val="left"/>
      <w:pPr>
        <w:ind w:left="4924" w:hanging="361"/>
      </w:pPr>
      <w:rPr>
        <w:rFonts w:hint="default"/>
        <w:lang w:val="zh-CN" w:eastAsia="zh-CN" w:bidi="zh-CN"/>
      </w:rPr>
    </w:lvl>
    <w:lvl w:ilvl="6" w:tentative="0">
      <w:start w:val="0"/>
      <w:numFmt w:val="bullet"/>
      <w:lvlText w:val="•"/>
      <w:lvlJc w:val="left"/>
      <w:pPr>
        <w:ind w:left="5781" w:hanging="361"/>
      </w:pPr>
      <w:rPr>
        <w:rFonts w:hint="default"/>
        <w:lang w:val="zh-CN" w:eastAsia="zh-CN" w:bidi="zh-CN"/>
      </w:rPr>
    </w:lvl>
    <w:lvl w:ilvl="7" w:tentative="0">
      <w:start w:val="0"/>
      <w:numFmt w:val="bullet"/>
      <w:lvlText w:val="•"/>
      <w:lvlJc w:val="left"/>
      <w:pPr>
        <w:ind w:left="6637" w:hanging="361"/>
      </w:pPr>
      <w:rPr>
        <w:rFonts w:hint="default"/>
        <w:lang w:val="zh-CN" w:eastAsia="zh-CN" w:bidi="zh-CN"/>
      </w:rPr>
    </w:lvl>
    <w:lvl w:ilvl="8" w:tentative="0">
      <w:start w:val="0"/>
      <w:numFmt w:val="bullet"/>
      <w:lvlText w:val="•"/>
      <w:lvlJc w:val="left"/>
      <w:pPr>
        <w:ind w:left="7493" w:hanging="361"/>
      </w:pPr>
      <w:rPr>
        <w:rFonts w:hint="default"/>
        <w:lang w:val="zh-CN" w:eastAsia="zh-CN" w:bidi="zh-CN"/>
      </w:rPr>
    </w:lvl>
  </w:abstractNum>
  <w:abstractNum w:abstractNumId="2">
    <w:nsid w:val="05097A0B"/>
    <w:multiLevelType w:val="singleLevel"/>
    <w:tmpl w:val="05097A0B"/>
    <w:lvl w:ilvl="0" w:tentative="0">
      <w:start w:val="1"/>
      <w:numFmt w:val="decimal"/>
      <w:suff w:val="nothing"/>
      <w:lvlText w:val="（%1）"/>
      <w:lvlJc w:val="left"/>
    </w:lvl>
  </w:abstractNum>
  <w:abstractNum w:abstractNumId="3">
    <w:nsid w:val="081940CA"/>
    <w:multiLevelType w:val="singleLevel"/>
    <w:tmpl w:val="081940CA"/>
    <w:lvl w:ilvl="0" w:tentative="0">
      <w:start w:val="6"/>
      <w:numFmt w:val="chineseCounting"/>
      <w:suff w:val="nothing"/>
      <w:lvlText w:val="%1、"/>
      <w:lvlJc w:val="left"/>
      <w:rPr>
        <w:rFonts w:hint="eastAsia"/>
      </w:rPr>
    </w:lvl>
  </w:abstractNum>
  <w:abstractNum w:abstractNumId="4">
    <w:nsid w:val="11FF6C49"/>
    <w:multiLevelType w:val="singleLevel"/>
    <w:tmpl w:val="11FF6C49"/>
    <w:lvl w:ilvl="0" w:tentative="0">
      <w:start w:val="2"/>
      <w:numFmt w:val="chineseCounting"/>
      <w:suff w:val="nothing"/>
      <w:lvlText w:val="%1、"/>
      <w:lvlJc w:val="left"/>
      <w:rPr>
        <w:rFonts w:hint="eastAsia"/>
      </w:rPr>
    </w:lvl>
  </w:abstractNum>
  <w:abstractNum w:abstractNumId="5">
    <w:nsid w:val="7A75B5A0"/>
    <w:multiLevelType w:val="singleLevel"/>
    <w:tmpl w:val="7A75B5A0"/>
    <w:lvl w:ilvl="0" w:tentative="0">
      <w:start w:val="1"/>
      <w:numFmt w:val="decimal"/>
      <w:lvlText w:val="%1."/>
      <w:lvlJc w:val="left"/>
      <w:pPr>
        <w:tabs>
          <w:tab w:val="left" w:pos="312"/>
        </w:tabs>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
      <o:rules v:ext="edit">
        <o:r id="V:Rule1" type="connector" idref="#_x0000_s307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E9D"/>
    <w:rsid w:val="00012549"/>
    <w:rsid w:val="00013C25"/>
    <w:rsid w:val="00015E0B"/>
    <w:rsid w:val="00022425"/>
    <w:rsid w:val="00023864"/>
    <w:rsid w:val="00033C83"/>
    <w:rsid w:val="00033E4E"/>
    <w:rsid w:val="00041CE7"/>
    <w:rsid w:val="000439C5"/>
    <w:rsid w:val="00044FBC"/>
    <w:rsid w:val="000479E7"/>
    <w:rsid w:val="00056812"/>
    <w:rsid w:val="00065094"/>
    <w:rsid w:val="00070A46"/>
    <w:rsid w:val="00072A4F"/>
    <w:rsid w:val="00074820"/>
    <w:rsid w:val="00075EB2"/>
    <w:rsid w:val="0007735B"/>
    <w:rsid w:val="000801F1"/>
    <w:rsid w:val="00095016"/>
    <w:rsid w:val="000B79CE"/>
    <w:rsid w:val="000D0095"/>
    <w:rsid w:val="000D3B37"/>
    <w:rsid w:val="000E0CB7"/>
    <w:rsid w:val="000F1870"/>
    <w:rsid w:val="001039D0"/>
    <w:rsid w:val="0011207E"/>
    <w:rsid w:val="00113FE5"/>
    <w:rsid w:val="0012374A"/>
    <w:rsid w:val="00130004"/>
    <w:rsid w:val="00132585"/>
    <w:rsid w:val="00144AB8"/>
    <w:rsid w:val="00155EC9"/>
    <w:rsid w:val="00166860"/>
    <w:rsid w:val="00167175"/>
    <w:rsid w:val="00172A27"/>
    <w:rsid w:val="0017307D"/>
    <w:rsid w:val="0017471B"/>
    <w:rsid w:val="00176D04"/>
    <w:rsid w:val="00182FFB"/>
    <w:rsid w:val="00195C99"/>
    <w:rsid w:val="001961BB"/>
    <w:rsid w:val="001A08A8"/>
    <w:rsid w:val="001B1D4F"/>
    <w:rsid w:val="001C3FE6"/>
    <w:rsid w:val="001E1037"/>
    <w:rsid w:val="001E1B7A"/>
    <w:rsid w:val="001E5BC8"/>
    <w:rsid w:val="001E608D"/>
    <w:rsid w:val="001F7766"/>
    <w:rsid w:val="002054B6"/>
    <w:rsid w:val="00212FB2"/>
    <w:rsid w:val="00212FB8"/>
    <w:rsid w:val="00224099"/>
    <w:rsid w:val="00224B5C"/>
    <w:rsid w:val="00227CFF"/>
    <w:rsid w:val="002406D4"/>
    <w:rsid w:val="002438C2"/>
    <w:rsid w:val="0024456D"/>
    <w:rsid w:val="00247109"/>
    <w:rsid w:val="00247960"/>
    <w:rsid w:val="0025102C"/>
    <w:rsid w:val="00252FCE"/>
    <w:rsid w:val="00255992"/>
    <w:rsid w:val="00262576"/>
    <w:rsid w:val="00276ED0"/>
    <w:rsid w:val="00284A17"/>
    <w:rsid w:val="002A36B6"/>
    <w:rsid w:val="002A61E2"/>
    <w:rsid w:val="002B6B60"/>
    <w:rsid w:val="002C2BBC"/>
    <w:rsid w:val="002C45C1"/>
    <w:rsid w:val="002D059E"/>
    <w:rsid w:val="002D6BB4"/>
    <w:rsid w:val="002F3B36"/>
    <w:rsid w:val="00305CAF"/>
    <w:rsid w:val="003115A3"/>
    <w:rsid w:val="003128B8"/>
    <w:rsid w:val="00314AA6"/>
    <w:rsid w:val="00320E57"/>
    <w:rsid w:val="00323F83"/>
    <w:rsid w:val="00324D55"/>
    <w:rsid w:val="00325F05"/>
    <w:rsid w:val="0032795B"/>
    <w:rsid w:val="003339FE"/>
    <w:rsid w:val="00341FEE"/>
    <w:rsid w:val="00347D0D"/>
    <w:rsid w:val="00351FD0"/>
    <w:rsid w:val="00356547"/>
    <w:rsid w:val="00364D87"/>
    <w:rsid w:val="00367C6C"/>
    <w:rsid w:val="003749ED"/>
    <w:rsid w:val="003770FC"/>
    <w:rsid w:val="00381FC8"/>
    <w:rsid w:val="00386A93"/>
    <w:rsid w:val="0038761F"/>
    <w:rsid w:val="0039284E"/>
    <w:rsid w:val="0039374D"/>
    <w:rsid w:val="003A1073"/>
    <w:rsid w:val="003A3CE5"/>
    <w:rsid w:val="003B4EA3"/>
    <w:rsid w:val="003D4F37"/>
    <w:rsid w:val="003E3BEA"/>
    <w:rsid w:val="003E577E"/>
    <w:rsid w:val="003F5A1B"/>
    <w:rsid w:val="00404BAD"/>
    <w:rsid w:val="00424932"/>
    <w:rsid w:val="00424F57"/>
    <w:rsid w:val="004343AA"/>
    <w:rsid w:val="00437FFE"/>
    <w:rsid w:val="004429EC"/>
    <w:rsid w:val="004473A5"/>
    <w:rsid w:val="00473620"/>
    <w:rsid w:val="00475A71"/>
    <w:rsid w:val="004777E5"/>
    <w:rsid w:val="004903FC"/>
    <w:rsid w:val="00495D2D"/>
    <w:rsid w:val="004A0232"/>
    <w:rsid w:val="004A2195"/>
    <w:rsid w:val="004A3F33"/>
    <w:rsid w:val="004A5BF8"/>
    <w:rsid w:val="004B0976"/>
    <w:rsid w:val="004B1050"/>
    <w:rsid w:val="004D28DE"/>
    <w:rsid w:val="004D5C34"/>
    <w:rsid w:val="004E19B0"/>
    <w:rsid w:val="004E52FB"/>
    <w:rsid w:val="004F1A37"/>
    <w:rsid w:val="004F394E"/>
    <w:rsid w:val="004F5995"/>
    <w:rsid w:val="004F60EC"/>
    <w:rsid w:val="004F6DB0"/>
    <w:rsid w:val="004F6ECA"/>
    <w:rsid w:val="004F718A"/>
    <w:rsid w:val="005139AD"/>
    <w:rsid w:val="00522BD0"/>
    <w:rsid w:val="0052664F"/>
    <w:rsid w:val="00543AF0"/>
    <w:rsid w:val="00544004"/>
    <w:rsid w:val="005457D3"/>
    <w:rsid w:val="00552ED9"/>
    <w:rsid w:val="00562055"/>
    <w:rsid w:val="0056608C"/>
    <w:rsid w:val="00572AFF"/>
    <w:rsid w:val="0057383A"/>
    <w:rsid w:val="00574158"/>
    <w:rsid w:val="00581400"/>
    <w:rsid w:val="005854B3"/>
    <w:rsid w:val="00585DFA"/>
    <w:rsid w:val="005A2E75"/>
    <w:rsid w:val="005A3B20"/>
    <w:rsid w:val="005B5004"/>
    <w:rsid w:val="005C1EE8"/>
    <w:rsid w:val="005C2DEB"/>
    <w:rsid w:val="005D32BB"/>
    <w:rsid w:val="005D67BC"/>
    <w:rsid w:val="005E0920"/>
    <w:rsid w:val="005E59BF"/>
    <w:rsid w:val="005E5B87"/>
    <w:rsid w:val="005F35A9"/>
    <w:rsid w:val="005F5E35"/>
    <w:rsid w:val="006018A0"/>
    <w:rsid w:val="00602164"/>
    <w:rsid w:val="0060313A"/>
    <w:rsid w:val="00605342"/>
    <w:rsid w:val="00606574"/>
    <w:rsid w:val="006124BC"/>
    <w:rsid w:val="0062676E"/>
    <w:rsid w:val="006330AC"/>
    <w:rsid w:val="00640450"/>
    <w:rsid w:val="006436A5"/>
    <w:rsid w:val="00654ADF"/>
    <w:rsid w:val="006630BF"/>
    <w:rsid w:val="00680D0C"/>
    <w:rsid w:val="00681293"/>
    <w:rsid w:val="006902F7"/>
    <w:rsid w:val="00691BA8"/>
    <w:rsid w:val="006952DB"/>
    <w:rsid w:val="00696FD2"/>
    <w:rsid w:val="006A3549"/>
    <w:rsid w:val="006A6DB3"/>
    <w:rsid w:val="006B30E3"/>
    <w:rsid w:val="006B39A4"/>
    <w:rsid w:val="006B682F"/>
    <w:rsid w:val="006B7B2F"/>
    <w:rsid w:val="006C28CF"/>
    <w:rsid w:val="006D2315"/>
    <w:rsid w:val="006D5D42"/>
    <w:rsid w:val="006D6D45"/>
    <w:rsid w:val="006E13D6"/>
    <w:rsid w:val="006E2474"/>
    <w:rsid w:val="006E4862"/>
    <w:rsid w:val="006E5338"/>
    <w:rsid w:val="006F05C5"/>
    <w:rsid w:val="006F157F"/>
    <w:rsid w:val="006F2CBF"/>
    <w:rsid w:val="007066C4"/>
    <w:rsid w:val="00706F7F"/>
    <w:rsid w:val="00723B7F"/>
    <w:rsid w:val="00724A03"/>
    <w:rsid w:val="00731628"/>
    <w:rsid w:val="007329FB"/>
    <w:rsid w:val="007340A5"/>
    <w:rsid w:val="00737B68"/>
    <w:rsid w:val="007411A7"/>
    <w:rsid w:val="007416B2"/>
    <w:rsid w:val="00741F77"/>
    <w:rsid w:val="007447FB"/>
    <w:rsid w:val="00764401"/>
    <w:rsid w:val="0077092A"/>
    <w:rsid w:val="007743C7"/>
    <w:rsid w:val="00784F3B"/>
    <w:rsid w:val="007875D1"/>
    <w:rsid w:val="00795667"/>
    <w:rsid w:val="007A17EA"/>
    <w:rsid w:val="007A6432"/>
    <w:rsid w:val="007A6D14"/>
    <w:rsid w:val="007B11C2"/>
    <w:rsid w:val="007C0F9B"/>
    <w:rsid w:val="007E1F75"/>
    <w:rsid w:val="007F0DA0"/>
    <w:rsid w:val="007F32B9"/>
    <w:rsid w:val="007F5AB0"/>
    <w:rsid w:val="00800ECC"/>
    <w:rsid w:val="00816638"/>
    <w:rsid w:val="00816ED6"/>
    <w:rsid w:val="008179BD"/>
    <w:rsid w:val="00822BFC"/>
    <w:rsid w:val="0082539F"/>
    <w:rsid w:val="00832E86"/>
    <w:rsid w:val="00850F95"/>
    <w:rsid w:val="0085458B"/>
    <w:rsid w:val="00860C21"/>
    <w:rsid w:val="00861580"/>
    <w:rsid w:val="00862DAF"/>
    <w:rsid w:val="00872934"/>
    <w:rsid w:val="0087303C"/>
    <w:rsid w:val="00876E55"/>
    <w:rsid w:val="00886F93"/>
    <w:rsid w:val="00890FD5"/>
    <w:rsid w:val="008914DD"/>
    <w:rsid w:val="00893651"/>
    <w:rsid w:val="00897CA2"/>
    <w:rsid w:val="008B0C8A"/>
    <w:rsid w:val="008B25E3"/>
    <w:rsid w:val="008C2E4F"/>
    <w:rsid w:val="008D1A01"/>
    <w:rsid w:val="008D3636"/>
    <w:rsid w:val="008D58DA"/>
    <w:rsid w:val="008D62E2"/>
    <w:rsid w:val="008E4A66"/>
    <w:rsid w:val="008E7554"/>
    <w:rsid w:val="008F1BB5"/>
    <w:rsid w:val="008F721A"/>
    <w:rsid w:val="00905BEC"/>
    <w:rsid w:val="0091092E"/>
    <w:rsid w:val="00913B7D"/>
    <w:rsid w:val="00915B3A"/>
    <w:rsid w:val="00920323"/>
    <w:rsid w:val="00921A75"/>
    <w:rsid w:val="00922D60"/>
    <w:rsid w:val="00923967"/>
    <w:rsid w:val="00926A0E"/>
    <w:rsid w:val="00941AB2"/>
    <w:rsid w:val="00941EB1"/>
    <w:rsid w:val="00946572"/>
    <w:rsid w:val="00955E05"/>
    <w:rsid w:val="0096135A"/>
    <w:rsid w:val="0097366C"/>
    <w:rsid w:val="0097542D"/>
    <w:rsid w:val="00984B19"/>
    <w:rsid w:val="00991E64"/>
    <w:rsid w:val="00994E52"/>
    <w:rsid w:val="00995105"/>
    <w:rsid w:val="009A14BF"/>
    <w:rsid w:val="009A3F6F"/>
    <w:rsid w:val="009A420C"/>
    <w:rsid w:val="009B710E"/>
    <w:rsid w:val="009C22FE"/>
    <w:rsid w:val="009D00F4"/>
    <w:rsid w:val="009E090D"/>
    <w:rsid w:val="009E32A8"/>
    <w:rsid w:val="009F1C53"/>
    <w:rsid w:val="009F2363"/>
    <w:rsid w:val="009F661D"/>
    <w:rsid w:val="009F7947"/>
    <w:rsid w:val="00A00019"/>
    <w:rsid w:val="00A11C0A"/>
    <w:rsid w:val="00A13712"/>
    <w:rsid w:val="00A1392B"/>
    <w:rsid w:val="00A157D2"/>
    <w:rsid w:val="00A17E31"/>
    <w:rsid w:val="00A23600"/>
    <w:rsid w:val="00A25DB6"/>
    <w:rsid w:val="00A27B0F"/>
    <w:rsid w:val="00A37748"/>
    <w:rsid w:val="00A403D1"/>
    <w:rsid w:val="00A54C8E"/>
    <w:rsid w:val="00A5651F"/>
    <w:rsid w:val="00A936AE"/>
    <w:rsid w:val="00A94B62"/>
    <w:rsid w:val="00AA44A8"/>
    <w:rsid w:val="00AB035C"/>
    <w:rsid w:val="00AB29ED"/>
    <w:rsid w:val="00AB724F"/>
    <w:rsid w:val="00AC2103"/>
    <w:rsid w:val="00AC23D3"/>
    <w:rsid w:val="00AD0FCC"/>
    <w:rsid w:val="00AD2CA6"/>
    <w:rsid w:val="00AD5994"/>
    <w:rsid w:val="00AE317B"/>
    <w:rsid w:val="00AF2D33"/>
    <w:rsid w:val="00AF2F0B"/>
    <w:rsid w:val="00AF3748"/>
    <w:rsid w:val="00AF3A4E"/>
    <w:rsid w:val="00B035D0"/>
    <w:rsid w:val="00B054AA"/>
    <w:rsid w:val="00B06C11"/>
    <w:rsid w:val="00B10F16"/>
    <w:rsid w:val="00B1132F"/>
    <w:rsid w:val="00B129C6"/>
    <w:rsid w:val="00B241CD"/>
    <w:rsid w:val="00B31858"/>
    <w:rsid w:val="00B35AF8"/>
    <w:rsid w:val="00B4401A"/>
    <w:rsid w:val="00B4564C"/>
    <w:rsid w:val="00B469C6"/>
    <w:rsid w:val="00B52396"/>
    <w:rsid w:val="00B64590"/>
    <w:rsid w:val="00B65068"/>
    <w:rsid w:val="00B665BC"/>
    <w:rsid w:val="00B76400"/>
    <w:rsid w:val="00B8428A"/>
    <w:rsid w:val="00B915BB"/>
    <w:rsid w:val="00BA2C7C"/>
    <w:rsid w:val="00BA595E"/>
    <w:rsid w:val="00BB137F"/>
    <w:rsid w:val="00BB24A5"/>
    <w:rsid w:val="00BB62BD"/>
    <w:rsid w:val="00BB6F0C"/>
    <w:rsid w:val="00BD3237"/>
    <w:rsid w:val="00BF28ED"/>
    <w:rsid w:val="00C05A31"/>
    <w:rsid w:val="00C147F8"/>
    <w:rsid w:val="00C351D3"/>
    <w:rsid w:val="00C62234"/>
    <w:rsid w:val="00C822EA"/>
    <w:rsid w:val="00C935E9"/>
    <w:rsid w:val="00C96383"/>
    <w:rsid w:val="00C96505"/>
    <w:rsid w:val="00CB325D"/>
    <w:rsid w:val="00CC6B63"/>
    <w:rsid w:val="00CC77EF"/>
    <w:rsid w:val="00CD0011"/>
    <w:rsid w:val="00CE219B"/>
    <w:rsid w:val="00CE7B97"/>
    <w:rsid w:val="00CF044A"/>
    <w:rsid w:val="00CF7287"/>
    <w:rsid w:val="00D01EF6"/>
    <w:rsid w:val="00D04A4D"/>
    <w:rsid w:val="00D16297"/>
    <w:rsid w:val="00D22F6E"/>
    <w:rsid w:val="00D23B33"/>
    <w:rsid w:val="00D243A8"/>
    <w:rsid w:val="00D24E40"/>
    <w:rsid w:val="00D3601C"/>
    <w:rsid w:val="00D5232C"/>
    <w:rsid w:val="00D57B9F"/>
    <w:rsid w:val="00D66189"/>
    <w:rsid w:val="00D70F53"/>
    <w:rsid w:val="00D7215F"/>
    <w:rsid w:val="00D756D1"/>
    <w:rsid w:val="00D816AE"/>
    <w:rsid w:val="00D825AB"/>
    <w:rsid w:val="00D94536"/>
    <w:rsid w:val="00D955C6"/>
    <w:rsid w:val="00DA222B"/>
    <w:rsid w:val="00DA4C81"/>
    <w:rsid w:val="00DB019E"/>
    <w:rsid w:val="00DB11DC"/>
    <w:rsid w:val="00DB4113"/>
    <w:rsid w:val="00DC216C"/>
    <w:rsid w:val="00DC6B18"/>
    <w:rsid w:val="00DD4DB8"/>
    <w:rsid w:val="00DE1383"/>
    <w:rsid w:val="00DE48F8"/>
    <w:rsid w:val="00DE56BC"/>
    <w:rsid w:val="00DF0E83"/>
    <w:rsid w:val="00DF3173"/>
    <w:rsid w:val="00E16486"/>
    <w:rsid w:val="00E17C07"/>
    <w:rsid w:val="00E24C02"/>
    <w:rsid w:val="00E26C41"/>
    <w:rsid w:val="00E3638C"/>
    <w:rsid w:val="00E4186E"/>
    <w:rsid w:val="00E4460C"/>
    <w:rsid w:val="00E47053"/>
    <w:rsid w:val="00E55637"/>
    <w:rsid w:val="00E62F95"/>
    <w:rsid w:val="00E649B7"/>
    <w:rsid w:val="00E66283"/>
    <w:rsid w:val="00E66480"/>
    <w:rsid w:val="00E7190C"/>
    <w:rsid w:val="00E75E26"/>
    <w:rsid w:val="00E80094"/>
    <w:rsid w:val="00EB4A0D"/>
    <w:rsid w:val="00EB7246"/>
    <w:rsid w:val="00EB72DE"/>
    <w:rsid w:val="00EC13CE"/>
    <w:rsid w:val="00EC15CE"/>
    <w:rsid w:val="00EC32A3"/>
    <w:rsid w:val="00EC6577"/>
    <w:rsid w:val="00EC7321"/>
    <w:rsid w:val="00ED0D51"/>
    <w:rsid w:val="00ED238A"/>
    <w:rsid w:val="00ED2537"/>
    <w:rsid w:val="00ED4C58"/>
    <w:rsid w:val="00ED716C"/>
    <w:rsid w:val="00EE0F71"/>
    <w:rsid w:val="00EE145A"/>
    <w:rsid w:val="00EE5C10"/>
    <w:rsid w:val="00EF1CCA"/>
    <w:rsid w:val="00EF4AA7"/>
    <w:rsid w:val="00F00633"/>
    <w:rsid w:val="00F019E5"/>
    <w:rsid w:val="00F03804"/>
    <w:rsid w:val="00F11614"/>
    <w:rsid w:val="00F2606D"/>
    <w:rsid w:val="00F269A0"/>
    <w:rsid w:val="00F416C3"/>
    <w:rsid w:val="00F42570"/>
    <w:rsid w:val="00F518E1"/>
    <w:rsid w:val="00F533A9"/>
    <w:rsid w:val="00F558FB"/>
    <w:rsid w:val="00F60B1B"/>
    <w:rsid w:val="00F65322"/>
    <w:rsid w:val="00F66DA1"/>
    <w:rsid w:val="00F72B69"/>
    <w:rsid w:val="00F76EA3"/>
    <w:rsid w:val="00F9059F"/>
    <w:rsid w:val="00F90C65"/>
    <w:rsid w:val="00F9276C"/>
    <w:rsid w:val="00F958B2"/>
    <w:rsid w:val="00FB07E0"/>
    <w:rsid w:val="00FB4B18"/>
    <w:rsid w:val="00FB5A4A"/>
    <w:rsid w:val="00FB7E49"/>
    <w:rsid w:val="00FC1C6F"/>
    <w:rsid w:val="00FC582F"/>
    <w:rsid w:val="00FF378B"/>
    <w:rsid w:val="00FF71B4"/>
    <w:rsid w:val="00FF7A1A"/>
    <w:rsid w:val="01004A1F"/>
    <w:rsid w:val="018E4BD6"/>
    <w:rsid w:val="01995E38"/>
    <w:rsid w:val="01AD0CB9"/>
    <w:rsid w:val="023948F9"/>
    <w:rsid w:val="0268776C"/>
    <w:rsid w:val="02943A5C"/>
    <w:rsid w:val="02BD021B"/>
    <w:rsid w:val="0318497E"/>
    <w:rsid w:val="03355353"/>
    <w:rsid w:val="0388420D"/>
    <w:rsid w:val="03D965CE"/>
    <w:rsid w:val="03E21E11"/>
    <w:rsid w:val="03FD5653"/>
    <w:rsid w:val="041F3F80"/>
    <w:rsid w:val="04622E2D"/>
    <w:rsid w:val="0470220D"/>
    <w:rsid w:val="04A76E08"/>
    <w:rsid w:val="04B12A26"/>
    <w:rsid w:val="04C005A7"/>
    <w:rsid w:val="04CC57A4"/>
    <w:rsid w:val="0518241B"/>
    <w:rsid w:val="05184AB9"/>
    <w:rsid w:val="053E20FC"/>
    <w:rsid w:val="058E0D9C"/>
    <w:rsid w:val="059F3E9B"/>
    <w:rsid w:val="05A30C49"/>
    <w:rsid w:val="05C20259"/>
    <w:rsid w:val="05DD4BB2"/>
    <w:rsid w:val="05F36190"/>
    <w:rsid w:val="06093708"/>
    <w:rsid w:val="0609748E"/>
    <w:rsid w:val="06420522"/>
    <w:rsid w:val="06CB577E"/>
    <w:rsid w:val="06D85CEA"/>
    <w:rsid w:val="06DD67AC"/>
    <w:rsid w:val="06EA3BC7"/>
    <w:rsid w:val="06FF3EC8"/>
    <w:rsid w:val="073F4FD8"/>
    <w:rsid w:val="0748610D"/>
    <w:rsid w:val="076B3510"/>
    <w:rsid w:val="07834437"/>
    <w:rsid w:val="07AC1028"/>
    <w:rsid w:val="07C71FF9"/>
    <w:rsid w:val="081C13FC"/>
    <w:rsid w:val="0823222D"/>
    <w:rsid w:val="083844E5"/>
    <w:rsid w:val="084C38DA"/>
    <w:rsid w:val="08570A08"/>
    <w:rsid w:val="08AD6D2E"/>
    <w:rsid w:val="08D77B6F"/>
    <w:rsid w:val="08DB6856"/>
    <w:rsid w:val="08E15F2C"/>
    <w:rsid w:val="08EC2F0B"/>
    <w:rsid w:val="09342882"/>
    <w:rsid w:val="09493E77"/>
    <w:rsid w:val="095124B6"/>
    <w:rsid w:val="09BF1E8A"/>
    <w:rsid w:val="09CC5188"/>
    <w:rsid w:val="09EA08C2"/>
    <w:rsid w:val="0A1D1AB3"/>
    <w:rsid w:val="0A4E393A"/>
    <w:rsid w:val="0A70032E"/>
    <w:rsid w:val="0A833268"/>
    <w:rsid w:val="0AA7129C"/>
    <w:rsid w:val="0AA92E57"/>
    <w:rsid w:val="0ACE33BA"/>
    <w:rsid w:val="0B2E7328"/>
    <w:rsid w:val="0B8561B6"/>
    <w:rsid w:val="0B882838"/>
    <w:rsid w:val="0BC50E17"/>
    <w:rsid w:val="0BF15EED"/>
    <w:rsid w:val="0C2D03B3"/>
    <w:rsid w:val="0C565EA2"/>
    <w:rsid w:val="0C803B53"/>
    <w:rsid w:val="0C887B6A"/>
    <w:rsid w:val="0CB9263B"/>
    <w:rsid w:val="0D0308B5"/>
    <w:rsid w:val="0D0310AE"/>
    <w:rsid w:val="0D1D1C55"/>
    <w:rsid w:val="0D7855AA"/>
    <w:rsid w:val="0DBC0693"/>
    <w:rsid w:val="0DC6431B"/>
    <w:rsid w:val="0DEA618C"/>
    <w:rsid w:val="0DEB7307"/>
    <w:rsid w:val="0E1F1160"/>
    <w:rsid w:val="0EB0343D"/>
    <w:rsid w:val="0ECF140C"/>
    <w:rsid w:val="0EE8588F"/>
    <w:rsid w:val="0F443553"/>
    <w:rsid w:val="0F53480B"/>
    <w:rsid w:val="0F594185"/>
    <w:rsid w:val="0F6E05DA"/>
    <w:rsid w:val="0F80752C"/>
    <w:rsid w:val="0F8D1426"/>
    <w:rsid w:val="0F950A66"/>
    <w:rsid w:val="0FA43322"/>
    <w:rsid w:val="0FD45C07"/>
    <w:rsid w:val="0FDB5963"/>
    <w:rsid w:val="10380A55"/>
    <w:rsid w:val="10496C84"/>
    <w:rsid w:val="105853DF"/>
    <w:rsid w:val="10621666"/>
    <w:rsid w:val="10A127E7"/>
    <w:rsid w:val="10CA64A7"/>
    <w:rsid w:val="10DB2BDA"/>
    <w:rsid w:val="111128AA"/>
    <w:rsid w:val="11252001"/>
    <w:rsid w:val="11A332C8"/>
    <w:rsid w:val="11A71B81"/>
    <w:rsid w:val="11BC5AD0"/>
    <w:rsid w:val="11DD31DA"/>
    <w:rsid w:val="120A60A9"/>
    <w:rsid w:val="120B3A47"/>
    <w:rsid w:val="122370ED"/>
    <w:rsid w:val="122E4051"/>
    <w:rsid w:val="12326942"/>
    <w:rsid w:val="12370766"/>
    <w:rsid w:val="12571928"/>
    <w:rsid w:val="128E1CC4"/>
    <w:rsid w:val="12C778AC"/>
    <w:rsid w:val="13003AE0"/>
    <w:rsid w:val="131F2C9D"/>
    <w:rsid w:val="13574276"/>
    <w:rsid w:val="139B2280"/>
    <w:rsid w:val="13AA0F2E"/>
    <w:rsid w:val="13E1581F"/>
    <w:rsid w:val="145E0C1D"/>
    <w:rsid w:val="15276C05"/>
    <w:rsid w:val="15342804"/>
    <w:rsid w:val="15802E15"/>
    <w:rsid w:val="15A5791F"/>
    <w:rsid w:val="15CD4CF1"/>
    <w:rsid w:val="15FA1192"/>
    <w:rsid w:val="16111574"/>
    <w:rsid w:val="16B56AEF"/>
    <w:rsid w:val="16BC6D34"/>
    <w:rsid w:val="16C13622"/>
    <w:rsid w:val="16C861C7"/>
    <w:rsid w:val="16F2564D"/>
    <w:rsid w:val="176F0CB4"/>
    <w:rsid w:val="178A43A5"/>
    <w:rsid w:val="179C63C1"/>
    <w:rsid w:val="17C148C8"/>
    <w:rsid w:val="17CB3DE6"/>
    <w:rsid w:val="17EC5589"/>
    <w:rsid w:val="17FB0D9E"/>
    <w:rsid w:val="18022E64"/>
    <w:rsid w:val="18035CC4"/>
    <w:rsid w:val="18174EB8"/>
    <w:rsid w:val="18277E87"/>
    <w:rsid w:val="18450A85"/>
    <w:rsid w:val="184D2F2A"/>
    <w:rsid w:val="18553EC6"/>
    <w:rsid w:val="18741AAA"/>
    <w:rsid w:val="18807179"/>
    <w:rsid w:val="188E3A9B"/>
    <w:rsid w:val="18D206B5"/>
    <w:rsid w:val="191D28E9"/>
    <w:rsid w:val="19295166"/>
    <w:rsid w:val="1A2E587B"/>
    <w:rsid w:val="1AC00E35"/>
    <w:rsid w:val="1AFB6754"/>
    <w:rsid w:val="1B1E6BFC"/>
    <w:rsid w:val="1B311875"/>
    <w:rsid w:val="1B3D4EA8"/>
    <w:rsid w:val="1B9242D8"/>
    <w:rsid w:val="1BC361A2"/>
    <w:rsid w:val="1BEE2243"/>
    <w:rsid w:val="1C247518"/>
    <w:rsid w:val="1C3E1334"/>
    <w:rsid w:val="1CE033CB"/>
    <w:rsid w:val="1D181B85"/>
    <w:rsid w:val="1D477165"/>
    <w:rsid w:val="1D963CB4"/>
    <w:rsid w:val="1D9974E6"/>
    <w:rsid w:val="1DE7773C"/>
    <w:rsid w:val="1E642047"/>
    <w:rsid w:val="1E9D4A6C"/>
    <w:rsid w:val="1F027852"/>
    <w:rsid w:val="1F4F6FE5"/>
    <w:rsid w:val="1F625836"/>
    <w:rsid w:val="1F9F110E"/>
    <w:rsid w:val="1F9F75C9"/>
    <w:rsid w:val="1FA45952"/>
    <w:rsid w:val="1FD51855"/>
    <w:rsid w:val="20015C12"/>
    <w:rsid w:val="2016279D"/>
    <w:rsid w:val="20211A66"/>
    <w:rsid w:val="202B1BD0"/>
    <w:rsid w:val="203E796F"/>
    <w:rsid w:val="20931227"/>
    <w:rsid w:val="20A958A1"/>
    <w:rsid w:val="20DC7572"/>
    <w:rsid w:val="20DD3991"/>
    <w:rsid w:val="20EC4DFB"/>
    <w:rsid w:val="20F469FC"/>
    <w:rsid w:val="20FF5D14"/>
    <w:rsid w:val="213F55CA"/>
    <w:rsid w:val="215B14AC"/>
    <w:rsid w:val="215C2A49"/>
    <w:rsid w:val="2189573A"/>
    <w:rsid w:val="21B93AE0"/>
    <w:rsid w:val="21D6257E"/>
    <w:rsid w:val="21DA3D95"/>
    <w:rsid w:val="21DB610B"/>
    <w:rsid w:val="2229259D"/>
    <w:rsid w:val="2265586D"/>
    <w:rsid w:val="22764D91"/>
    <w:rsid w:val="22941CAE"/>
    <w:rsid w:val="22965904"/>
    <w:rsid w:val="22F54EC7"/>
    <w:rsid w:val="235D4208"/>
    <w:rsid w:val="2375458A"/>
    <w:rsid w:val="237E7851"/>
    <w:rsid w:val="238B7A36"/>
    <w:rsid w:val="239B517E"/>
    <w:rsid w:val="23DA058E"/>
    <w:rsid w:val="23DB592B"/>
    <w:rsid w:val="23ED4BCB"/>
    <w:rsid w:val="245C6AD0"/>
    <w:rsid w:val="248A00EC"/>
    <w:rsid w:val="249E0C13"/>
    <w:rsid w:val="24E421FF"/>
    <w:rsid w:val="251A23D6"/>
    <w:rsid w:val="25283319"/>
    <w:rsid w:val="255D6CFF"/>
    <w:rsid w:val="259816FA"/>
    <w:rsid w:val="26404A98"/>
    <w:rsid w:val="26453C0D"/>
    <w:rsid w:val="26671C15"/>
    <w:rsid w:val="26766BB3"/>
    <w:rsid w:val="26983F65"/>
    <w:rsid w:val="26A622ED"/>
    <w:rsid w:val="271C780E"/>
    <w:rsid w:val="274477FD"/>
    <w:rsid w:val="274978CC"/>
    <w:rsid w:val="27663A45"/>
    <w:rsid w:val="27B14018"/>
    <w:rsid w:val="27C41669"/>
    <w:rsid w:val="27C938B3"/>
    <w:rsid w:val="27E1797D"/>
    <w:rsid w:val="27FE740A"/>
    <w:rsid w:val="282658B1"/>
    <w:rsid w:val="2836631F"/>
    <w:rsid w:val="28445F24"/>
    <w:rsid w:val="28A40E75"/>
    <w:rsid w:val="28C35206"/>
    <w:rsid w:val="28FD2EF5"/>
    <w:rsid w:val="29014BE7"/>
    <w:rsid w:val="294A20FC"/>
    <w:rsid w:val="298962E5"/>
    <w:rsid w:val="2A734788"/>
    <w:rsid w:val="2AA82294"/>
    <w:rsid w:val="2AE26636"/>
    <w:rsid w:val="2AE76610"/>
    <w:rsid w:val="2AF4778E"/>
    <w:rsid w:val="2B124147"/>
    <w:rsid w:val="2B3D04CF"/>
    <w:rsid w:val="2B565541"/>
    <w:rsid w:val="2B8C78FE"/>
    <w:rsid w:val="2B942D1F"/>
    <w:rsid w:val="2BD06678"/>
    <w:rsid w:val="2C137FE1"/>
    <w:rsid w:val="2C1B184E"/>
    <w:rsid w:val="2C475E98"/>
    <w:rsid w:val="2C8C7532"/>
    <w:rsid w:val="2CEA52EC"/>
    <w:rsid w:val="2D734AAD"/>
    <w:rsid w:val="2D8275FF"/>
    <w:rsid w:val="2DC003C5"/>
    <w:rsid w:val="2E1313EA"/>
    <w:rsid w:val="2E344345"/>
    <w:rsid w:val="2E540B33"/>
    <w:rsid w:val="2E733B25"/>
    <w:rsid w:val="2E9E6955"/>
    <w:rsid w:val="2EA80FBB"/>
    <w:rsid w:val="2EB61DDB"/>
    <w:rsid w:val="2F1F62EF"/>
    <w:rsid w:val="2F221578"/>
    <w:rsid w:val="2F5F6A49"/>
    <w:rsid w:val="2FCB5C15"/>
    <w:rsid w:val="2FD61B58"/>
    <w:rsid w:val="2FEE30A2"/>
    <w:rsid w:val="2FFF357E"/>
    <w:rsid w:val="30406F02"/>
    <w:rsid w:val="305F38FB"/>
    <w:rsid w:val="30A365D2"/>
    <w:rsid w:val="30C65728"/>
    <w:rsid w:val="3172736B"/>
    <w:rsid w:val="31756F2E"/>
    <w:rsid w:val="319475D5"/>
    <w:rsid w:val="32345989"/>
    <w:rsid w:val="325A4CAF"/>
    <w:rsid w:val="32662C08"/>
    <w:rsid w:val="32A87713"/>
    <w:rsid w:val="32AA2DA3"/>
    <w:rsid w:val="32CC3408"/>
    <w:rsid w:val="331A6B72"/>
    <w:rsid w:val="331D35FA"/>
    <w:rsid w:val="335814F8"/>
    <w:rsid w:val="335C2374"/>
    <w:rsid w:val="33D23870"/>
    <w:rsid w:val="33E54C50"/>
    <w:rsid w:val="34002ADC"/>
    <w:rsid w:val="346D235F"/>
    <w:rsid w:val="34730E28"/>
    <w:rsid w:val="348C4192"/>
    <w:rsid w:val="34BD5DC0"/>
    <w:rsid w:val="3529411B"/>
    <w:rsid w:val="35382AF9"/>
    <w:rsid w:val="35756575"/>
    <w:rsid w:val="357B7096"/>
    <w:rsid w:val="3590245B"/>
    <w:rsid w:val="35B53FBD"/>
    <w:rsid w:val="361D2E3B"/>
    <w:rsid w:val="36373D14"/>
    <w:rsid w:val="364762F1"/>
    <w:rsid w:val="36817FCA"/>
    <w:rsid w:val="368952A5"/>
    <w:rsid w:val="36C52798"/>
    <w:rsid w:val="36D41B08"/>
    <w:rsid w:val="378A52B2"/>
    <w:rsid w:val="37BC1633"/>
    <w:rsid w:val="380E59BD"/>
    <w:rsid w:val="3820263F"/>
    <w:rsid w:val="382B35D6"/>
    <w:rsid w:val="385A50D1"/>
    <w:rsid w:val="385B2C68"/>
    <w:rsid w:val="38C54A93"/>
    <w:rsid w:val="3909073E"/>
    <w:rsid w:val="3924646C"/>
    <w:rsid w:val="39326E2A"/>
    <w:rsid w:val="39357695"/>
    <w:rsid w:val="393A4851"/>
    <w:rsid w:val="39510104"/>
    <w:rsid w:val="395B757C"/>
    <w:rsid w:val="395F496C"/>
    <w:rsid w:val="39A637C8"/>
    <w:rsid w:val="39B80A00"/>
    <w:rsid w:val="39FD15CB"/>
    <w:rsid w:val="3A1F6F77"/>
    <w:rsid w:val="3A2636DC"/>
    <w:rsid w:val="3A3D65F1"/>
    <w:rsid w:val="3ACF6422"/>
    <w:rsid w:val="3ACF78CF"/>
    <w:rsid w:val="3AD2717E"/>
    <w:rsid w:val="3AE076E5"/>
    <w:rsid w:val="3AED0911"/>
    <w:rsid w:val="3AEF1693"/>
    <w:rsid w:val="3AFC22C2"/>
    <w:rsid w:val="3B117167"/>
    <w:rsid w:val="3B196D9D"/>
    <w:rsid w:val="3B38218D"/>
    <w:rsid w:val="3B387C80"/>
    <w:rsid w:val="3B7D32FB"/>
    <w:rsid w:val="3BA67798"/>
    <w:rsid w:val="3BC520F7"/>
    <w:rsid w:val="3BDB1347"/>
    <w:rsid w:val="3BF50158"/>
    <w:rsid w:val="3BF77BCE"/>
    <w:rsid w:val="3C1934F7"/>
    <w:rsid w:val="3C44609B"/>
    <w:rsid w:val="3CC65551"/>
    <w:rsid w:val="3CDB7AF6"/>
    <w:rsid w:val="3CF170B5"/>
    <w:rsid w:val="3CFC1110"/>
    <w:rsid w:val="3D2B5E15"/>
    <w:rsid w:val="3D462CD7"/>
    <w:rsid w:val="3D466CDA"/>
    <w:rsid w:val="3DF83F1F"/>
    <w:rsid w:val="3E027BBC"/>
    <w:rsid w:val="3E0C41AF"/>
    <w:rsid w:val="3E2E7003"/>
    <w:rsid w:val="3E6F5FF0"/>
    <w:rsid w:val="3E711639"/>
    <w:rsid w:val="3E7733C3"/>
    <w:rsid w:val="3EAB66A1"/>
    <w:rsid w:val="3F56236D"/>
    <w:rsid w:val="3F9E1F74"/>
    <w:rsid w:val="3FA00BB8"/>
    <w:rsid w:val="3FB8139F"/>
    <w:rsid w:val="3FBA0D00"/>
    <w:rsid w:val="3FE25D4C"/>
    <w:rsid w:val="3FE61943"/>
    <w:rsid w:val="3FE721CB"/>
    <w:rsid w:val="3FEB3D33"/>
    <w:rsid w:val="3FFB2D06"/>
    <w:rsid w:val="40127D6C"/>
    <w:rsid w:val="40503261"/>
    <w:rsid w:val="40572841"/>
    <w:rsid w:val="40694322"/>
    <w:rsid w:val="4081166C"/>
    <w:rsid w:val="40A6347C"/>
    <w:rsid w:val="40AE11FF"/>
    <w:rsid w:val="40DA0EA6"/>
    <w:rsid w:val="41066137"/>
    <w:rsid w:val="41B356F2"/>
    <w:rsid w:val="41E608BD"/>
    <w:rsid w:val="41F748E2"/>
    <w:rsid w:val="421474B0"/>
    <w:rsid w:val="430322FB"/>
    <w:rsid w:val="43165787"/>
    <w:rsid w:val="43263403"/>
    <w:rsid w:val="43275A42"/>
    <w:rsid w:val="43292842"/>
    <w:rsid w:val="434B7937"/>
    <w:rsid w:val="43910CF8"/>
    <w:rsid w:val="43A04192"/>
    <w:rsid w:val="43B81849"/>
    <w:rsid w:val="43BE34B5"/>
    <w:rsid w:val="43BF6A6C"/>
    <w:rsid w:val="43E93DD4"/>
    <w:rsid w:val="44067385"/>
    <w:rsid w:val="44384C9D"/>
    <w:rsid w:val="44820BD4"/>
    <w:rsid w:val="449A3CC3"/>
    <w:rsid w:val="44A1408B"/>
    <w:rsid w:val="44F31500"/>
    <w:rsid w:val="456D75B1"/>
    <w:rsid w:val="45984F2B"/>
    <w:rsid w:val="45D95301"/>
    <w:rsid w:val="45E87A97"/>
    <w:rsid w:val="45F7510B"/>
    <w:rsid w:val="466D20DF"/>
    <w:rsid w:val="467B07B0"/>
    <w:rsid w:val="467F54D3"/>
    <w:rsid w:val="46824D1B"/>
    <w:rsid w:val="46E3270A"/>
    <w:rsid w:val="470515FC"/>
    <w:rsid w:val="47285D3D"/>
    <w:rsid w:val="473362D4"/>
    <w:rsid w:val="474B1C47"/>
    <w:rsid w:val="47560BF7"/>
    <w:rsid w:val="47944F1E"/>
    <w:rsid w:val="47AA08F8"/>
    <w:rsid w:val="48602047"/>
    <w:rsid w:val="48BF55BC"/>
    <w:rsid w:val="48D103FC"/>
    <w:rsid w:val="48DE5274"/>
    <w:rsid w:val="490E2CC3"/>
    <w:rsid w:val="490E505E"/>
    <w:rsid w:val="49115557"/>
    <w:rsid w:val="4938116D"/>
    <w:rsid w:val="496F5CB6"/>
    <w:rsid w:val="499F4FB9"/>
    <w:rsid w:val="49E6291A"/>
    <w:rsid w:val="49E654A6"/>
    <w:rsid w:val="49EA3CB1"/>
    <w:rsid w:val="49F04CB8"/>
    <w:rsid w:val="4A203CA4"/>
    <w:rsid w:val="4A36313C"/>
    <w:rsid w:val="4A397B67"/>
    <w:rsid w:val="4A4323BF"/>
    <w:rsid w:val="4AEA24B9"/>
    <w:rsid w:val="4AF2645F"/>
    <w:rsid w:val="4B045822"/>
    <w:rsid w:val="4B0C39C7"/>
    <w:rsid w:val="4B2A676E"/>
    <w:rsid w:val="4B38341B"/>
    <w:rsid w:val="4B482955"/>
    <w:rsid w:val="4B6B7FDF"/>
    <w:rsid w:val="4B8544C6"/>
    <w:rsid w:val="4BA17D58"/>
    <w:rsid w:val="4BBF4D72"/>
    <w:rsid w:val="4C056156"/>
    <w:rsid w:val="4CBE5B71"/>
    <w:rsid w:val="4CF4798F"/>
    <w:rsid w:val="4D4E34DC"/>
    <w:rsid w:val="4DB07BB4"/>
    <w:rsid w:val="4DE63B58"/>
    <w:rsid w:val="4DFA0F23"/>
    <w:rsid w:val="4E1C7344"/>
    <w:rsid w:val="4E2731C3"/>
    <w:rsid w:val="4E7E29CE"/>
    <w:rsid w:val="4EA40C60"/>
    <w:rsid w:val="4EB11B87"/>
    <w:rsid w:val="4EB25EDA"/>
    <w:rsid w:val="4F552EF2"/>
    <w:rsid w:val="4F5B15D8"/>
    <w:rsid w:val="4F890607"/>
    <w:rsid w:val="4FCB0E92"/>
    <w:rsid w:val="4FE747CF"/>
    <w:rsid w:val="4FF72CE4"/>
    <w:rsid w:val="500D24C9"/>
    <w:rsid w:val="501A2F43"/>
    <w:rsid w:val="50240585"/>
    <w:rsid w:val="50553943"/>
    <w:rsid w:val="50A22C28"/>
    <w:rsid w:val="50CF2D34"/>
    <w:rsid w:val="50D70916"/>
    <w:rsid w:val="50DC69AD"/>
    <w:rsid w:val="50E8236B"/>
    <w:rsid w:val="50EB3762"/>
    <w:rsid w:val="50F0342F"/>
    <w:rsid w:val="50F80BA4"/>
    <w:rsid w:val="50FB7CE5"/>
    <w:rsid w:val="50FF30A5"/>
    <w:rsid w:val="51015C0E"/>
    <w:rsid w:val="51325034"/>
    <w:rsid w:val="519123FD"/>
    <w:rsid w:val="51A511A2"/>
    <w:rsid w:val="51F461E0"/>
    <w:rsid w:val="52AD105E"/>
    <w:rsid w:val="52C44581"/>
    <w:rsid w:val="533F3DCB"/>
    <w:rsid w:val="536F587B"/>
    <w:rsid w:val="538A357F"/>
    <w:rsid w:val="53B276D5"/>
    <w:rsid w:val="53E627F7"/>
    <w:rsid w:val="542C7268"/>
    <w:rsid w:val="54705828"/>
    <w:rsid w:val="54901A26"/>
    <w:rsid w:val="54E6652D"/>
    <w:rsid w:val="55345B75"/>
    <w:rsid w:val="55980A4A"/>
    <w:rsid w:val="559C15A2"/>
    <w:rsid w:val="55CD2CA5"/>
    <w:rsid w:val="560F33E5"/>
    <w:rsid w:val="56332CDC"/>
    <w:rsid w:val="56505566"/>
    <w:rsid w:val="56815862"/>
    <w:rsid w:val="568F76DC"/>
    <w:rsid w:val="56A745AE"/>
    <w:rsid w:val="56C105BC"/>
    <w:rsid w:val="56E667D8"/>
    <w:rsid w:val="56F75AA0"/>
    <w:rsid w:val="57183C68"/>
    <w:rsid w:val="57547004"/>
    <w:rsid w:val="57631429"/>
    <w:rsid w:val="57686347"/>
    <w:rsid w:val="578D50B4"/>
    <w:rsid w:val="57B230AE"/>
    <w:rsid w:val="581A7CDE"/>
    <w:rsid w:val="58A20A2D"/>
    <w:rsid w:val="58C375A8"/>
    <w:rsid w:val="58D572B4"/>
    <w:rsid w:val="59352B9C"/>
    <w:rsid w:val="59831B59"/>
    <w:rsid w:val="59914276"/>
    <w:rsid w:val="59A53C98"/>
    <w:rsid w:val="59FF5F31"/>
    <w:rsid w:val="5A0F2BFE"/>
    <w:rsid w:val="5A1629CD"/>
    <w:rsid w:val="5A2B2F85"/>
    <w:rsid w:val="5A4B6B1B"/>
    <w:rsid w:val="5A677290"/>
    <w:rsid w:val="5A76346C"/>
    <w:rsid w:val="5A885DFB"/>
    <w:rsid w:val="5A937C42"/>
    <w:rsid w:val="5AA54F10"/>
    <w:rsid w:val="5B14572D"/>
    <w:rsid w:val="5B5B0FE0"/>
    <w:rsid w:val="5B8027F4"/>
    <w:rsid w:val="5B991BA7"/>
    <w:rsid w:val="5BD208C1"/>
    <w:rsid w:val="5BD73F27"/>
    <w:rsid w:val="5BF2255E"/>
    <w:rsid w:val="5BFE1A67"/>
    <w:rsid w:val="5C07582D"/>
    <w:rsid w:val="5C322600"/>
    <w:rsid w:val="5C576978"/>
    <w:rsid w:val="5C8B3C02"/>
    <w:rsid w:val="5CBB5282"/>
    <w:rsid w:val="5CC03FAA"/>
    <w:rsid w:val="5D421944"/>
    <w:rsid w:val="5D5F468B"/>
    <w:rsid w:val="5D6A483F"/>
    <w:rsid w:val="5DB52F89"/>
    <w:rsid w:val="5DD649B4"/>
    <w:rsid w:val="5E0D5F05"/>
    <w:rsid w:val="5E2044B5"/>
    <w:rsid w:val="5E3F3E96"/>
    <w:rsid w:val="5EA548BE"/>
    <w:rsid w:val="5EFD0600"/>
    <w:rsid w:val="5F65716A"/>
    <w:rsid w:val="5F68008D"/>
    <w:rsid w:val="5F877E84"/>
    <w:rsid w:val="5F983C3C"/>
    <w:rsid w:val="5FA466E8"/>
    <w:rsid w:val="5FF268C6"/>
    <w:rsid w:val="5FFA1C4A"/>
    <w:rsid w:val="60030678"/>
    <w:rsid w:val="600E783B"/>
    <w:rsid w:val="60182DE3"/>
    <w:rsid w:val="60200A04"/>
    <w:rsid w:val="603101FD"/>
    <w:rsid w:val="60484180"/>
    <w:rsid w:val="605D5C3C"/>
    <w:rsid w:val="60E063A0"/>
    <w:rsid w:val="610B50E5"/>
    <w:rsid w:val="611C68D1"/>
    <w:rsid w:val="61477F59"/>
    <w:rsid w:val="61590011"/>
    <w:rsid w:val="615E238B"/>
    <w:rsid w:val="617E1AA8"/>
    <w:rsid w:val="617F28DC"/>
    <w:rsid w:val="61955F84"/>
    <w:rsid w:val="61F06D28"/>
    <w:rsid w:val="620650F1"/>
    <w:rsid w:val="623155E0"/>
    <w:rsid w:val="623C705C"/>
    <w:rsid w:val="623F023C"/>
    <w:rsid w:val="62725DF9"/>
    <w:rsid w:val="62FE5E1C"/>
    <w:rsid w:val="63452778"/>
    <w:rsid w:val="63520783"/>
    <w:rsid w:val="636602F6"/>
    <w:rsid w:val="63717BED"/>
    <w:rsid w:val="63B74AF8"/>
    <w:rsid w:val="63CB2D80"/>
    <w:rsid w:val="64066C42"/>
    <w:rsid w:val="64293421"/>
    <w:rsid w:val="64EC55EE"/>
    <w:rsid w:val="652410FC"/>
    <w:rsid w:val="65456AA4"/>
    <w:rsid w:val="654834CB"/>
    <w:rsid w:val="655F1E1A"/>
    <w:rsid w:val="657C1AA7"/>
    <w:rsid w:val="65BE5148"/>
    <w:rsid w:val="65FF07B9"/>
    <w:rsid w:val="661A01A1"/>
    <w:rsid w:val="66224751"/>
    <w:rsid w:val="66324612"/>
    <w:rsid w:val="66414A9A"/>
    <w:rsid w:val="66924D39"/>
    <w:rsid w:val="66AC655F"/>
    <w:rsid w:val="6715336F"/>
    <w:rsid w:val="67364863"/>
    <w:rsid w:val="67506584"/>
    <w:rsid w:val="6759786D"/>
    <w:rsid w:val="675A5551"/>
    <w:rsid w:val="67737443"/>
    <w:rsid w:val="677A1BB0"/>
    <w:rsid w:val="678205D7"/>
    <w:rsid w:val="67AE06E9"/>
    <w:rsid w:val="67E97964"/>
    <w:rsid w:val="685A43CD"/>
    <w:rsid w:val="6870599E"/>
    <w:rsid w:val="68713B77"/>
    <w:rsid w:val="68A970BB"/>
    <w:rsid w:val="68C30283"/>
    <w:rsid w:val="68DF2D08"/>
    <w:rsid w:val="690A7AE2"/>
    <w:rsid w:val="691B0E81"/>
    <w:rsid w:val="692950CA"/>
    <w:rsid w:val="692D1EFC"/>
    <w:rsid w:val="69731BEA"/>
    <w:rsid w:val="69850A0B"/>
    <w:rsid w:val="69A5459F"/>
    <w:rsid w:val="69AE36DE"/>
    <w:rsid w:val="69AE5264"/>
    <w:rsid w:val="69BC0264"/>
    <w:rsid w:val="69C645D7"/>
    <w:rsid w:val="69C66694"/>
    <w:rsid w:val="69CD6B71"/>
    <w:rsid w:val="69D550CD"/>
    <w:rsid w:val="69F820EF"/>
    <w:rsid w:val="6A224C45"/>
    <w:rsid w:val="6A4D2583"/>
    <w:rsid w:val="6A973E55"/>
    <w:rsid w:val="6AA06A0F"/>
    <w:rsid w:val="6B304241"/>
    <w:rsid w:val="6B577EAA"/>
    <w:rsid w:val="6B7D2F2D"/>
    <w:rsid w:val="6B881251"/>
    <w:rsid w:val="6B8D65F3"/>
    <w:rsid w:val="6BDE5695"/>
    <w:rsid w:val="6C62692E"/>
    <w:rsid w:val="6C9B6BB8"/>
    <w:rsid w:val="6CD2751F"/>
    <w:rsid w:val="6CEA1DFC"/>
    <w:rsid w:val="6D7D261A"/>
    <w:rsid w:val="6D9258E0"/>
    <w:rsid w:val="6DA47552"/>
    <w:rsid w:val="6DAC0B3C"/>
    <w:rsid w:val="6DC103FE"/>
    <w:rsid w:val="6DD75241"/>
    <w:rsid w:val="6E615A33"/>
    <w:rsid w:val="6E821AD0"/>
    <w:rsid w:val="6E9B26F3"/>
    <w:rsid w:val="6EA222F8"/>
    <w:rsid w:val="6EAD34A8"/>
    <w:rsid w:val="6EB178F7"/>
    <w:rsid w:val="6ECB36B4"/>
    <w:rsid w:val="6EDA214C"/>
    <w:rsid w:val="6EF748C6"/>
    <w:rsid w:val="6EFF64A4"/>
    <w:rsid w:val="6F412504"/>
    <w:rsid w:val="6F52416F"/>
    <w:rsid w:val="6F53381E"/>
    <w:rsid w:val="6FCF1B97"/>
    <w:rsid w:val="6FD477B8"/>
    <w:rsid w:val="700D048B"/>
    <w:rsid w:val="7055018B"/>
    <w:rsid w:val="70B328CC"/>
    <w:rsid w:val="70BA672D"/>
    <w:rsid w:val="70F826B0"/>
    <w:rsid w:val="715863BC"/>
    <w:rsid w:val="71705377"/>
    <w:rsid w:val="71B9750E"/>
    <w:rsid w:val="71EF4EA0"/>
    <w:rsid w:val="720B7BA7"/>
    <w:rsid w:val="721C7937"/>
    <w:rsid w:val="724229F6"/>
    <w:rsid w:val="73133AF6"/>
    <w:rsid w:val="73286E3E"/>
    <w:rsid w:val="733D1EE9"/>
    <w:rsid w:val="738844E4"/>
    <w:rsid w:val="739438D7"/>
    <w:rsid w:val="73D66DB1"/>
    <w:rsid w:val="73FD7BC7"/>
    <w:rsid w:val="73FE4457"/>
    <w:rsid w:val="745D327B"/>
    <w:rsid w:val="748579A9"/>
    <w:rsid w:val="74B80DF9"/>
    <w:rsid w:val="74DA266E"/>
    <w:rsid w:val="74DC2630"/>
    <w:rsid w:val="74E7492C"/>
    <w:rsid w:val="7567112B"/>
    <w:rsid w:val="75717A2D"/>
    <w:rsid w:val="75A33EED"/>
    <w:rsid w:val="75A979F5"/>
    <w:rsid w:val="760659DE"/>
    <w:rsid w:val="760B3801"/>
    <w:rsid w:val="76501315"/>
    <w:rsid w:val="76533298"/>
    <w:rsid w:val="768A0573"/>
    <w:rsid w:val="769C7723"/>
    <w:rsid w:val="76A71125"/>
    <w:rsid w:val="76AD7DBE"/>
    <w:rsid w:val="77000EC7"/>
    <w:rsid w:val="77070A0C"/>
    <w:rsid w:val="77087B9F"/>
    <w:rsid w:val="772B75E9"/>
    <w:rsid w:val="773503D5"/>
    <w:rsid w:val="77471A98"/>
    <w:rsid w:val="78235A90"/>
    <w:rsid w:val="78261AA0"/>
    <w:rsid w:val="78463590"/>
    <w:rsid w:val="785003DA"/>
    <w:rsid w:val="7871055B"/>
    <w:rsid w:val="78723F23"/>
    <w:rsid w:val="78C20168"/>
    <w:rsid w:val="78DC47E1"/>
    <w:rsid w:val="78F12E51"/>
    <w:rsid w:val="79042CF6"/>
    <w:rsid w:val="79091C23"/>
    <w:rsid w:val="790C526F"/>
    <w:rsid w:val="7927750B"/>
    <w:rsid w:val="79283153"/>
    <w:rsid w:val="793638EC"/>
    <w:rsid w:val="795868CF"/>
    <w:rsid w:val="79BA6AD4"/>
    <w:rsid w:val="79D2080B"/>
    <w:rsid w:val="79FF7D40"/>
    <w:rsid w:val="7A02640E"/>
    <w:rsid w:val="7A24483B"/>
    <w:rsid w:val="7A5832F8"/>
    <w:rsid w:val="7A8D23E0"/>
    <w:rsid w:val="7AB7212A"/>
    <w:rsid w:val="7AEB5A1E"/>
    <w:rsid w:val="7B1B2183"/>
    <w:rsid w:val="7B374616"/>
    <w:rsid w:val="7B4C2F0B"/>
    <w:rsid w:val="7B8E48DC"/>
    <w:rsid w:val="7C2D5908"/>
    <w:rsid w:val="7C473B00"/>
    <w:rsid w:val="7CA2616F"/>
    <w:rsid w:val="7CB97FC1"/>
    <w:rsid w:val="7CC71A01"/>
    <w:rsid w:val="7CEF5A0F"/>
    <w:rsid w:val="7D180313"/>
    <w:rsid w:val="7D2964C4"/>
    <w:rsid w:val="7D3A5873"/>
    <w:rsid w:val="7D6F0955"/>
    <w:rsid w:val="7DB07571"/>
    <w:rsid w:val="7DBA7990"/>
    <w:rsid w:val="7DC84728"/>
    <w:rsid w:val="7DD10993"/>
    <w:rsid w:val="7DE65EF4"/>
    <w:rsid w:val="7E2716CB"/>
    <w:rsid w:val="7E435034"/>
    <w:rsid w:val="7E571590"/>
    <w:rsid w:val="7E8201C2"/>
    <w:rsid w:val="7E857F9E"/>
    <w:rsid w:val="7EBC249C"/>
    <w:rsid w:val="7EC873B0"/>
    <w:rsid w:val="7EC95805"/>
    <w:rsid w:val="7ECC3056"/>
    <w:rsid w:val="7EF22D0D"/>
    <w:rsid w:val="7EF84FD8"/>
    <w:rsid w:val="7F2568C5"/>
    <w:rsid w:val="7FE95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3"/>
    <w:qFormat/>
    <w:uiPriority w:val="0"/>
    <w:pPr>
      <w:spacing w:before="340" w:after="330" w:line="578" w:lineRule="auto"/>
      <w:outlineLvl w:val="0"/>
    </w:pPr>
    <w:rPr>
      <w:b w:val="0"/>
      <w:bCs/>
      <w:kern w:val="44"/>
      <w:sz w:val="44"/>
      <w:szCs w:val="44"/>
    </w:rPr>
  </w:style>
  <w:style w:type="paragraph" w:styleId="4">
    <w:name w:val="heading 2"/>
    <w:basedOn w:val="1"/>
    <w:next w:val="1"/>
    <w:link w:val="54"/>
    <w:qFormat/>
    <w:uiPriority w:val="0"/>
    <w:pPr>
      <w:keepNext/>
      <w:keepLines/>
      <w:spacing w:line="413" w:lineRule="auto"/>
      <w:outlineLvl w:val="1"/>
    </w:pPr>
    <w:rPr>
      <w:rFonts w:ascii="Arial" w:hAnsi="Arial" w:eastAsia="黑体"/>
      <w:b/>
      <w:sz w:val="32"/>
    </w:rPr>
  </w:style>
  <w:style w:type="paragraph" w:styleId="2">
    <w:name w:val="heading 3"/>
    <w:basedOn w:val="1"/>
    <w:next w:val="1"/>
    <w:link w:val="41"/>
    <w:qFormat/>
    <w:uiPriority w:val="0"/>
    <w:pPr>
      <w:keepNext/>
      <w:widowControl/>
      <w:spacing w:before="240" w:after="60"/>
      <w:jc w:val="left"/>
      <w:outlineLvl w:val="2"/>
    </w:pPr>
    <w:rPr>
      <w:rFonts w:ascii="Cambria" w:hAnsi="Cambria"/>
      <w:b/>
      <w:bCs/>
      <w:kern w:val="0"/>
      <w:sz w:val="26"/>
      <w:szCs w:val="26"/>
      <w:lang w:eastAsia="en-US"/>
    </w:rPr>
  </w:style>
  <w:style w:type="character" w:default="1" w:styleId="28">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widowControl/>
      <w:ind w:firstLine="420"/>
      <w:jc w:val="left"/>
    </w:pPr>
    <w:rPr>
      <w:sz w:val="20"/>
    </w:rPr>
  </w:style>
  <w:style w:type="paragraph" w:styleId="6">
    <w:name w:val="Body Text"/>
    <w:basedOn w:val="1"/>
    <w:next w:val="5"/>
    <w:link w:val="50"/>
    <w:qFormat/>
    <w:uiPriority w:val="0"/>
    <w:pPr>
      <w:spacing w:after="120"/>
    </w:pPr>
    <w:rPr>
      <w:kern w:val="0"/>
      <w:sz w:val="24"/>
    </w:rPr>
  </w:style>
  <w:style w:type="paragraph" w:styleId="7">
    <w:name w:val="Normal Indent"/>
    <w:basedOn w:val="1"/>
    <w:next w:val="1"/>
    <w:link w:val="39"/>
    <w:unhideWhenUsed/>
    <w:qFormat/>
    <w:uiPriority w:val="0"/>
    <w:pPr>
      <w:ind w:firstLine="420" w:firstLineChars="200"/>
    </w:pPr>
  </w:style>
  <w:style w:type="paragraph" w:styleId="8">
    <w:name w:val="Document Map"/>
    <w:basedOn w:val="1"/>
    <w:link w:val="53"/>
    <w:qFormat/>
    <w:uiPriority w:val="0"/>
    <w:rPr>
      <w:rFonts w:ascii="宋体"/>
      <w:sz w:val="18"/>
      <w:szCs w:val="18"/>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Body Text Indent"/>
    <w:basedOn w:val="1"/>
    <w:next w:val="12"/>
    <w:link w:val="38"/>
    <w:qFormat/>
    <w:uiPriority w:val="0"/>
    <w:pPr>
      <w:ind w:firstLine="630"/>
    </w:pPr>
    <w:rPr>
      <w:rFonts w:eastAsia="楷体_GB2312"/>
      <w:kern w:val="0"/>
      <w:sz w:val="20"/>
      <w:szCs w:val="20"/>
    </w:rPr>
  </w:style>
  <w:style w:type="paragraph" w:customStyle="1" w:styleId="1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2"/>
    <w:basedOn w:val="1"/>
    <w:qFormat/>
    <w:uiPriority w:val="0"/>
    <w:pPr>
      <w:ind w:left="100" w:leftChars="200" w:hanging="200" w:hangingChars="200"/>
    </w:pPr>
  </w:style>
  <w:style w:type="paragraph" w:styleId="14">
    <w:name w:val="Plain Text"/>
    <w:basedOn w:val="1"/>
    <w:next w:val="1"/>
    <w:link w:val="44"/>
    <w:qFormat/>
    <w:uiPriority w:val="0"/>
    <w:rPr>
      <w:rFonts w:ascii="宋体" w:hAnsi="Courier New"/>
      <w:color w:val="000000"/>
      <w:kern w:val="0"/>
      <w:szCs w:val="20"/>
    </w:rPr>
  </w:style>
  <w:style w:type="paragraph" w:styleId="15">
    <w:name w:val="Date"/>
    <w:basedOn w:val="1"/>
    <w:next w:val="1"/>
    <w:qFormat/>
    <w:uiPriority w:val="0"/>
    <w:pPr>
      <w:ind w:left="100" w:leftChars="2500"/>
    </w:pPr>
  </w:style>
  <w:style w:type="paragraph" w:styleId="16">
    <w:name w:val="Body Text Indent 2"/>
    <w:basedOn w:val="1"/>
    <w:link w:val="57"/>
    <w:unhideWhenUsed/>
    <w:qFormat/>
    <w:uiPriority w:val="99"/>
    <w:pPr>
      <w:spacing w:after="120" w:line="480" w:lineRule="auto"/>
      <w:ind w:left="420" w:leftChars="200"/>
    </w:pPr>
  </w:style>
  <w:style w:type="paragraph" w:styleId="17">
    <w:name w:val="Balloon Text"/>
    <w:basedOn w:val="1"/>
    <w:link w:val="56"/>
    <w:qFormat/>
    <w:uiPriority w:val="0"/>
    <w:rPr>
      <w:kern w:val="0"/>
      <w:sz w:val="18"/>
      <w:szCs w:val="18"/>
    </w:rPr>
  </w:style>
  <w:style w:type="paragraph" w:styleId="18">
    <w:name w:val="footer"/>
    <w:basedOn w:val="1"/>
    <w:next w:val="1"/>
    <w:link w:val="35"/>
    <w:qFormat/>
    <w:uiPriority w:val="0"/>
    <w:pPr>
      <w:tabs>
        <w:tab w:val="center" w:pos="4153"/>
        <w:tab w:val="right" w:pos="8306"/>
      </w:tabs>
      <w:snapToGrid w:val="0"/>
      <w:jc w:val="left"/>
    </w:pPr>
    <w:rPr>
      <w:rFonts w:ascii="Calibri" w:hAnsi="Calibri"/>
      <w:kern w:val="0"/>
      <w:sz w:val="18"/>
      <w:szCs w:val="18"/>
    </w:rPr>
  </w:style>
  <w:style w:type="paragraph" w:styleId="19">
    <w:name w:val="Body Text First Indent 2"/>
    <w:basedOn w:val="11"/>
    <w:qFormat/>
    <w:uiPriority w:val="0"/>
    <w:pPr>
      <w:spacing w:after="120"/>
      <w:ind w:left="420" w:leftChars="200" w:firstLine="420" w:firstLineChars="200"/>
    </w:pPr>
    <w:rPr>
      <w:rFonts w:eastAsia="宋体"/>
    </w:rPr>
  </w:style>
  <w:style w:type="paragraph" w:styleId="20">
    <w:name w:val="header"/>
    <w:basedOn w:val="1"/>
    <w:link w:val="49"/>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qFormat/>
    <w:uiPriority w:val="39"/>
    <w:pPr>
      <w:ind w:firstLine="200" w:firstLineChars="200"/>
    </w:pPr>
    <w:rPr>
      <w:rFonts w:cs="Calibri"/>
      <w:bCs/>
      <w:sz w:val="20"/>
      <w:szCs w:val="20"/>
    </w:rPr>
  </w:style>
  <w:style w:type="paragraph" w:styleId="22">
    <w:name w:val="List"/>
    <w:basedOn w:val="1"/>
    <w:qFormat/>
    <w:uiPriority w:val="0"/>
    <w:pPr>
      <w:ind w:left="200" w:hanging="200" w:hangingChars="200"/>
    </w:pPr>
  </w:style>
  <w:style w:type="paragraph" w:styleId="23">
    <w:name w:val="footnote text"/>
    <w:basedOn w:val="1"/>
    <w:qFormat/>
    <w:uiPriority w:val="99"/>
    <w:pPr>
      <w:snapToGrid w:val="0"/>
      <w:jc w:val="left"/>
    </w:pPr>
    <w:rPr>
      <w:sz w:val="18"/>
    </w:rPr>
  </w:style>
  <w:style w:type="paragraph" w:styleId="24">
    <w:name w:val="Body Text Indent 3"/>
    <w:basedOn w:val="1"/>
    <w:link w:val="47"/>
    <w:qFormat/>
    <w:uiPriority w:val="0"/>
    <w:pPr>
      <w:spacing w:line="440" w:lineRule="exact"/>
      <w:ind w:firstLine="412" w:firstLineChars="200"/>
    </w:pPr>
    <w:rPr>
      <w:rFonts w:ascii="宋体" w:hAnsi="宋体"/>
      <w:kern w:val="0"/>
      <w:sz w:val="20"/>
      <w:szCs w:val="20"/>
    </w:rPr>
  </w:style>
  <w:style w:type="paragraph" w:styleId="25">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6">
    <w:name w:val="List Continue 2"/>
    <w:basedOn w:val="1"/>
    <w:qFormat/>
    <w:uiPriority w:val="0"/>
    <w:pPr>
      <w:spacing w:after="120"/>
      <w:ind w:left="840" w:leftChars="4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9">
    <w:name w:val="Strong"/>
    <w:basedOn w:val="28"/>
    <w:qFormat/>
    <w:uiPriority w:val="0"/>
    <w:rPr>
      <w:b/>
    </w:rPr>
  </w:style>
  <w:style w:type="character" w:styleId="30">
    <w:name w:val="page number"/>
    <w:basedOn w:val="28"/>
    <w:qFormat/>
    <w:uiPriority w:val="0"/>
    <w:rPr>
      <w:rFonts w:cs="Times New Roman"/>
    </w:rPr>
  </w:style>
  <w:style w:type="character" w:styleId="31">
    <w:name w:val="FollowedHyperlink"/>
    <w:qFormat/>
    <w:uiPriority w:val="0"/>
    <w:rPr>
      <w:rFonts w:cs="Times New Roman"/>
      <w:color w:val="800080"/>
      <w:u w:val="single"/>
    </w:rPr>
  </w:style>
  <w:style w:type="character" w:styleId="32">
    <w:name w:val="Hyperlink"/>
    <w:basedOn w:val="28"/>
    <w:qFormat/>
    <w:uiPriority w:val="0"/>
    <w:rPr>
      <w:rFonts w:cs="Times New Roman"/>
      <w:color w:val="0000FF"/>
      <w:u w:val="single"/>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页脚 Char"/>
    <w:link w:val="18"/>
    <w:qFormat/>
    <w:uiPriority w:val="0"/>
    <w:rPr>
      <w:rFonts w:cs="Times New Roman"/>
      <w:sz w:val="18"/>
      <w:szCs w:val="18"/>
    </w:rPr>
  </w:style>
  <w:style w:type="character" w:customStyle="1" w:styleId="36">
    <w:name w:val="样式 样式 样式 样式 内容 + 首行缩进:  2 字符18 + 首行缩进:  5.71 厘米 + 首行缩进:  8.04 厘米... Char Char"/>
    <w:link w:val="37"/>
    <w:qFormat/>
    <w:uiPriority w:val="0"/>
    <w:rPr>
      <w:rFonts w:ascii="Trebuchet MS" w:hAnsi="Trebuchet MS" w:eastAsia="宋体"/>
      <w:b/>
      <w:color w:val="333333"/>
      <w:sz w:val="24"/>
    </w:rPr>
  </w:style>
  <w:style w:type="paragraph" w:customStyle="1" w:styleId="37">
    <w:name w:val="样式 样式 样式 样式 内容 + 首行缩进:  2 字符18 + 首行缩进:  5.71 厘米 + 首行缩进:  8.04 厘米..."/>
    <w:basedOn w:val="1"/>
    <w:link w:val="36"/>
    <w:qFormat/>
    <w:uiPriority w:val="0"/>
    <w:pPr>
      <w:widowControl/>
      <w:spacing w:beforeLines="30" w:line="360" w:lineRule="auto"/>
      <w:ind w:firstLine="482" w:firstLineChars="200"/>
      <w:jc w:val="center"/>
    </w:pPr>
    <w:rPr>
      <w:rFonts w:ascii="Trebuchet MS" w:hAnsi="Trebuchet MS"/>
      <w:b/>
      <w:color w:val="333333"/>
      <w:kern w:val="0"/>
      <w:sz w:val="24"/>
      <w:szCs w:val="20"/>
    </w:rPr>
  </w:style>
  <w:style w:type="character" w:customStyle="1" w:styleId="38">
    <w:name w:val="正文文本缩进 Char"/>
    <w:link w:val="11"/>
    <w:qFormat/>
    <w:uiPriority w:val="0"/>
    <w:rPr>
      <w:rFonts w:ascii="Times New Roman" w:hAnsi="Times New Roman" w:eastAsia="楷体_GB2312" w:cs="Times New Roman"/>
      <w:sz w:val="20"/>
      <w:szCs w:val="20"/>
    </w:rPr>
  </w:style>
  <w:style w:type="character" w:customStyle="1" w:styleId="39">
    <w:name w:val="正文缩进 Char"/>
    <w:link w:val="7"/>
    <w:qFormat/>
    <w:uiPriority w:val="0"/>
    <w:rPr>
      <w:rFonts w:ascii="Times New Roman" w:hAnsi="Times New Roman"/>
      <w:kern w:val="2"/>
      <w:sz w:val="21"/>
      <w:szCs w:val="24"/>
    </w:rPr>
  </w:style>
  <w:style w:type="character" w:customStyle="1" w:styleId="40">
    <w:name w:val="Balloon Text Char"/>
    <w:qFormat/>
    <w:uiPriority w:val="0"/>
    <w:rPr>
      <w:rFonts w:ascii="Times New Roman" w:hAnsi="Times New Roman" w:eastAsia="宋体"/>
      <w:sz w:val="18"/>
    </w:rPr>
  </w:style>
  <w:style w:type="character" w:customStyle="1" w:styleId="41">
    <w:name w:val="标题 3 Char"/>
    <w:link w:val="2"/>
    <w:qFormat/>
    <w:uiPriority w:val="0"/>
    <w:rPr>
      <w:rFonts w:ascii="Cambria" w:hAnsi="Cambria" w:eastAsia="宋体" w:cs="Times New Roman"/>
      <w:b/>
      <w:bCs/>
      <w:kern w:val="0"/>
      <w:sz w:val="26"/>
      <w:szCs w:val="26"/>
      <w:lang w:eastAsia="en-US"/>
    </w:rPr>
  </w:style>
  <w:style w:type="character" w:customStyle="1" w:styleId="42">
    <w:name w:val="NormalCharacter"/>
    <w:semiHidden/>
    <w:qFormat/>
    <w:uiPriority w:val="0"/>
  </w:style>
  <w:style w:type="character" w:customStyle="1" w:styleId="43">
    <w:name w:val="标题 1 Char"/>
    <w:link w:val="3"/>
    <w:qFormat/>
    <w:uiPriority w:val="0"/>
    <w:rPr>
      <w:rFonts w:ascii="Times New Roman" w:hAnsi="Times New Roman"/>
      <w:b/>
      <w:bCs/>
      <w:kern w:val="44"/>
      <w:sz w:val="44"/>
      <w:szCs w:val="44"/>
    </w:rPr>
  </w:style>
  <w:style w:type="character" w:customStyle="1" w:styleId="44">
    <w:name w:val="纯文本 Char"/>
    <w:link w:val="14"/>
    <w:qFormat/>
    <w:uiPriority w:val="0"/>
    <w:rPr>
      <w:rFonts w:ascii="宋体" w:hAnsi="Courier New"/>
      <w:color w:val="000000"/>
      <w:sz w:val="21"/>
    </w:rPr>
  </w:style>
  <w:style w:type="character" w:customStyle="1" w:styleId="45">
    <w:name w:val="apple-converted-space"/>
    <w:basedOn w:val="28"/>
    <w:qFormat/>
    <w:uiPriority w:val="0"/>
  </w:style>
  <w:style w:type="character" w:customStyle="1" w:styleId="46">
    <w:name w:val="标题 2 Char1"/>
    <w:link w:val="4"/>
    <w:qFormat/>
    <w:uiPriority w:val="0"/>
    <w:rPr>
      <w:rFonts w:ascii="Calibri Light" w:hAnsi="Calibri Light"/>
      <w:b/>
      <w:bCs/>
      <w:sz w:val="32"/>
      <w:szCs w:val="32"/>
    </w:rPr>
  </w:style>
  <w:style w:type="character" w:customStyle="1" w:styleId="47">
    <w:name w:val="正文文本缩进 3 Char"/>
    <w:link w:val="24"/>
    <w:qFormat/>
    <w:uiPriority w:val="0"/>
    <w:rPr>
      <w:rFonts w:ascii="宋体" w:hAnsi="宋体" w:eastAsia="宋体" w:cs="Times New Roman"/>
      <w:sz w:val="20"/>
      <w:szCs w:val="20"/>
    </w:rPr>
  </w:style>
  <w:style w:type="character" w:customStyle="1" w:styleId="48">
    <w:name w:val="10_0"/>
    <w:qFormat/>
    <w:uiPriority w:val="0"/>
    <w:rPr>
      <w:rFonts w:hint="default" w:ascii="Times New Roman" w:hAnsi="Times New Roman" w:eastAsia="宋体" w:cs="Times New Roman"/>
    </w:rPr>
  </w:style>
  <w:style w:type="character" w:customStyle="1" w:styleId="49">
    <w:name w:val="页眉 Char"/>
    <w:link w:val="20"/>
    <w:qFormat/>
    <w:uiPriority w:val="0"/>
    <w:rPr>
      <w:rFonts w:cs="Times New Roman"/>
      <w:sz w:val="18"/>
      <w:szCs w:val="18"/>
    </w:rPr>
  </w:style>
  <w:style w:type="character" w:customStyle="1" w:styleId="50">
    <w:name w:val="正文文本 Char"/>
    <w:link w:val="6"/>
    <w:qFormat/>
    <w:uiPriority w:val="0"/>
    <w:rPr>
      <w:rFonts w:ascii="Times New Roman" w:hAnsi="Times New Roman" w:eastAsia="宋体" w:cs="Times New Roman"/>
      <w:sz w:val="24"/>
      <w:szCs w:val="24"/>
    </w:rPr>
  </w:style>
  <w:style w:type="character" w:customStyle="1" w:styleId="51">
    <w:name w:val="表格文字 Char"/>
    <w:link w:val="52"/>
    <w:qFormat/>
    <w:uiPriority w:val="0"/>
    <w:rPr>
      <w:rFonts w:ascii="Times New Roman" w:hAnsi="Times New Roman"/>
      <w:bCs/>
      <w:spacing w:val="10"/>
      <w:sz w:val="24"/>
    </w:rPr>
  </w:style>
  <w:style w:type="paragraph" w:customStyle="1" w:styleId="52">
    <w:name w:val="表格文字"/>
    <w:basedOn w:val="1"/>
    <w:link w:val="51"/>
    <w:qFormat/>
    <w:uiPriority w:val="0"/>
    <w:pPr>
      <w:spacing w:before="25" w:after="25"/>
      <w:jc w:val="left"/>
    </w:pPr>
    <w:rPr>
      <w:bCs/>
      <w:spacing w:val="10"/>
      <w:kern w:val="0"/>
      <w:sz w:val="24"/>
      <w:szCs w:val="20"/>
    </w:rPr>
  </w:style>
  <w:style w:type="character" w:customStyle="1" w:styleId="53">
    <w:name w:val="文档结构图 Char"/>
    <w:link w:val="8"/>
    <w:qFormat/>
    <w:uiPriority w:val="0"/>
    <w:rPr>
      <w:rFonts w:ascii="宋体" w:hAnsi="Times New Roman"/>
      <w:kern w:val="2"/>
      <w:sz w:val="18"/>
      <w:szCs w:val="18"/>
    </w:rPr>
  </w:style>
  <w:style w:type="character" w:customStyle="1" w:styleId="54">
    <w:name w:val="标题 2 Char"/>
    <w:basedOn w:val="28"/>
    <w:link w:val="4"/>
    <w:qFormat/>
    <w:uiPriority w:val="9"/>
    <w:rPr>
      <w:rFonts w:ascii="Arial" w:hAnsi="Arial" w:eastAsia="黑体"/>
      <w:b/>
      <w:sz w:val="32"/>
    </w:rPr>
  </w:style>
  <w:style w:type="character" w:customStyle="1" w:styleId="55">
    <w:name w:val="HTML Markup"/>
    <w:qFormat/>
    <w:uiPriority w:val="0"/>
    <w:rPr>
      <w:vanish/>
      <w:color w:val="FF0000"/>
    </w:rPr>
  </w:style>
  <w:style w:type="character" w:customStyle="1" w:styleId="56">
    <w:name w:val="批注框文本 Char"/>
    <w:link w:val="17"/>
    <w:qFormat/>
    <w:uiPriority w:val="0"/>
    <w:rPr>
      <w:rFonts w:ascii="Times New Roman" w:hAnsi="Times New Roman" w:eastAsia="宋体" w:cs="Times New Roman"/>
      <w:sz w:val="18"/>
      <w:szCs w:val="18"/>
    </w:rPr>
  </w:style>
  <w:style w:type="character" w:customStyle="1" w:styleId="57">
    <w:name w:val="正文文本缩进 2 Char"/>
    <w:link w:val="16"/>
    <w:semiHidden/>
    <w:qFormat/>
    <w:uiPriority w:val="99"/>
    <w:rPr>
      <w:rFonts w:ascii="Times New Roman" w:hAnsi="Times New Roman"/>
      <w:kern w:val="2"/>
      <w:sz w:val="21"/>
      <w:szCs w:val="24"/>
    </w:rPr>
  </w:style>
  <w:style w:type="paragraph" w:customStyle="1" w:styleId="58">
    <w:name w:val="Char"/>
    <w:basedOn w:val="1"/>
    <w:qFormat/>
    <w:uiPriority w:val="0"/>
    <w:rPr>
      <w:szCs w:val="21"/>
    </w:rPr>
  </w:style>
  <w:style w:type="paragraph" w:customStyle="1" w:styleId="59">
    <w:name w:val="样式 左侧:  0.74 厘米"/>
    <w:basedOn w:val="1"/>
    <w:qFormat/>
    <w:uiPriority w:val="0"/>
    <w:pPr>
      <w:spacing w:line="360" w:lineRule="auto"/>
      <w:ind w:left="620" w:hanging="200" w:hangingChars="200"/>
    </w:pPr>
    <w:rPr>
      <w:kern w:val="0"/>
      <w:sz w:val="20"/>
      <w:szCs w:val="20"/>
    </w:rPr>
  </w:style>
  <w:style w:type="paragraph" w:customStyle="1" w:styleId="60">
    <w:name w:val="正文式样"/>
    <w:basedOn w:val="7"/>
    <w:qFormat/>
    <w:uiPriority w:val="0"/>
    <w:pPr>
      <w:ind w:firstLine="601" w:firstLineChars="0"/>
    </w:pPr>
    <w:rPr>
      <w:sz w:val="28"/>
      <w:szCs w:val="20"/>
    </w:rPr>
  </w:style>
  <w:style w:type="paragraph" w:customStyle="1" w:styleId="61">
    <w:name w:val="标题 5（有编号）（绿盟科技）"/>
    <w:basedOn w:val="1"/>
    <w:next w:val="62"/>
    <w:qFormat/>
    <w:uiPriority w:val="0"/>
    <w:pPr>
      <w:keepNext/>
      <w:keepLines/>
      <w:spacing w:before="280" w:after="156" w:line="377" w:lineRule="auto"/>
      <w:jc w:val="left"/>
      <w:outlineLvl w:val="4"/>
    </w:pPr>
    <w:rPr>
      <w:rFonts w:ascii="Arial" w:hAnsi="Arial" w:eastAsia="黑体"/>
      <w:sz w:val="24"/>
      <w:szCs w:val="28"/>
    </w:rPr>
  </w:style>
  <w:style w:type="paragraph" w:customStyle="1" w:styleId="6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3">
    <w:name w:val="列出段落1"/>
    <w:basedOn w:val="1"/>
    <w:qFormat/>
    <w:uiPriority w:val="0"/>
    <w:pPr>
      <w:ind w:firstLine="420" w:firstLineChars="200"/>
    </w:pPr>
  </w:style>
  <w:style w:type="paragraph" w:customStyle="1" w:styleId="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5">
    <w:name w:val="Char Char Char Char"/>
    <w:basedOn w:val="1"/>
    <w:qFormat/>
    <w:uiPriority w:val="0"/>
    <w:rPr>
      <w:szCs w:val="21"/>
    </w:rPr>
  </w:style>
  <w:style w:type="paragraph" w:customStyle="1" w:styleId="66">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文本缩进1"/>
    <w:basedOn w:val="1"/>
    <w:qFormat/>
    <w:uiPriority w:val="0"/>
    <w:pPr>
      <w:ind w:firstLine="630"/>
    </w:pPr>
    <w:rPr>
      <w:rFonts w:eastAsia="楷体_GB2312"/>
      <w:sz w:val="30"/>
      <w:szCs w:val="20"/>
    </w:rPr>
  </w:style>
  <w:style w:type="paragraph" w:customStyle="1" w:styleId="7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1">
    <w:name w:val="正文文本缩进2"/>
    <w:basedOn w:val="1"/>
    <w:qFormat/>
    <w:uiPriority w:val="0"/>
    <w:pPr>
      <w:ind w:firstLine="630"/>
    </w:pPr>
    <w:rPr>
      <w:rFonts w:eastAsia="楷体_GB2312"/>
      <w:kern w:val="0"/>
      <w:sz w:val="30"/>
      <w:szCs w:val="20"/>
    </w:rPr>
  </w:style>
  <w:style w:type="paragraph" w:customStyle="1" w:styleId="72">
    <w:name w:val="Char Char Char Char Char Char Char Char Char Char Char Char"/>
    <w:basedOn w:val="1"/>
    <w:qFormat/>
    <w:uiPriority w:val="0"/>
  </w:style>
  <w:style w:type="paragraph" w:customStyle="1" w:styleId="73">
    <w:name w:val="Body text|1"/>
    <w:basedOn w:val="1"/>
    <w:qFormat/>
    <w:uiPriority w:val="0"/>
    <w:pPr>
      <w:spacing w:line="408" w:lineRule="auto"/>
      <w:ind w:firstLine="400"/>
    </w:pPr>
    <w:rPr>
      <w:rFonts w:ascii="宋体" w:hAnsi="宋体" w:cs="宋体"/>
      <w:sz w:val="26"/>
      <w:szCs w:val="26"/>
      <w:lang w:val="zh-TW" w:eastAsia="zh-TW" w:bidi="zh-TW"/>
    </w:rPr>
  </w:style>
  <w:style w:type="paragraph" w:customStyle="1" w:styleId="7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75">
    <w:name w:val="Table Paragraph"/>
    <w:basedOn w:val="1"/>
    <w:qFormat/>
    <w:uiPriority w:val="1"/>
    <w:rPr>
      <w:rFonts w:ascii="宋体" w:hAnsi="宋体" w:cs="宋体"/>
      <w:lang w:val="zh-CN" w:bidi="zh-CN"/>
    </w:rPr>
  </w:style>
  <w:style w:type="paragraph" w:customStyle="1" w:styleId="76">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7">
    <w:name w:val="xl25"/>
    <w:basedOn w:val="1"/>
    <w:qFormat/>
    <w:uiPriority w:val="0"/>
    <w:pPr>
      <w:widowControl/>
      <w:spacing w:before="100" w:beforeAutospacing="1" w:after="100" w:afterAutospacing="1"/>
      <w:textAlignment w:val="center"/>
    </w:pPr>
    <w:rPr>
      <w:rFonts w:ascii="宋体" w:hAnsi="宋体"/>
      <w:kern w:val="0"/>
      <w:sz w:val="18"/>
      <w:szCs w:val="18"/>
    </w:rPr>
  </w:style>
  <w:style w:type="paragraph" w:customStyle="1" w:styleId="78">
    <w:name w:val="列出段落2"/>
    <w:basedOn w:val="1"/>
    <w:qFormat/>
    <w:uiPriority w:val="0"/>
    <w:pPr>
      <w:ind w:firstLine="420" w:firstLineChars="200"/>
    </w:pPr>
    <w:rPr>
      <w:rFonts w:ascii="Calibri" w:hAnsi="Calibri"/>
      <w:szCs w:val="22"/>
    </w:rPr>
  </w:style>
  <w:style w:type="paragraph" w:customStyle="1" w:styleId="7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81">
    <w:name w:val="正文文本缩进 31"/>
    <w:basedOn w:val="1"/>
    <w:qFormat/>
    <w:uiPriority w:val="0"/>
    <w:pPr>
      <w:spacing w:line="440" w:lineRule="exact"/>
      <w:ind w:firstLine="412" w:firstLineChars="200"/>
    </w:pPr>
    <w:rPr>
      <w:rFonts w:ascii="宋体" w:hAnsi="宋体"/>
      <w:kern w:val="0"/>
      <w:sz w:val="20"/>
      <w:szCs w:val="20"/>
    </w:rPr>
  </w:style>
  <w:style w:type="paragraph" w:customStyle="1" w:styleId="8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table" w:customStyle="1" w:styleId="84">
    <w:name w:val="Table Normal_0"/>
    <w:unhideWhenUsed/>
    <w:qFormat/>
    <w:uiPriority w:val="2"/>
    <w:pPr>
      <w:widowControl w:val="0"/>
    </w:pPr>
    <w:rPr>
      <w:sz w:val="22"/>
      <w:szCs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86"/>
    <customShpInfo spid="_x0000_s3073"/>
    <customShpInfo spid="_x0000_s3074"/>
    <customShpInfo spid="_x0000_s3084"/>
    <customShpInfo spid="_x0000_s3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3809</Words>
  <Characters>21712</Characters>
  <Lines>180</Lines>
  <Paragraphs>50</Paragraphs>
  <TotalTime>0</TotalTime>
  <ScaleCrop>false</ScaleCrop>
  <LinksUpToDate>false</LinksUpToDate>
  <CharactersWithSpaces>25471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2022-01-09T15:48:00Z</dcterms:created>
  <dc:creator>admin</dc:creator>
  <cp:lastModifiedBy>封心锁爱</cp:lastModifiedBy>
  <cp:lastPrinted>2017-05-12T07:35:00Z</cp:lastPrinted>
  <dcterms:modified xsi:type="dcterms:W3CDTF">2022-01-11T10:22:35Z</dcterms:modified>
  <dc:title>设计招标文件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8BEA8E31AC1D4EF3935676D4A04FA141</vt:lpwstr>
  </property>
</Properties>
</file>