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88"/>
          <w:tab w:val="center" w:pos="4216"/>
        </w:tabs>
        <w:spacing w:line="500" w:lineRule="exact"/>
        <w:ind w:firstLine="16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乌苏市(春晓）百信宏新时代广场幼儿园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en-US" w:eastAsia="zh-CN"/>
        </w:rPr>
        <w:t>教学及办公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设备采购项目竞争性磋商公告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乌苏市政府采购中心受乌苏市春晓幼儿园的委托，就乌苏市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春晓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百信宏新时代广场幼儿园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教学及办公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设备采购项目进行竞争性磋商招标。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采购名称：乌苏市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春晓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百信宏新时代广场幼儿园教学及办公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设备采购项目 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采购项目编号：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WSZFCG(CS)202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007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  <w:t>春晓幼儿园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767000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元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采购内容：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教学及办公设备采购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投标人资格：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2.有效的营业执照原件或公证件或加盖公章的复印件（经营范围内含本项目内容）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符合上述资格要求的投标单位请于20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4"/>
          <w:szCs w:val="24"/>
        </w:rPr>
        <w:t>日至20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</w:rPr>
        <w:t>日每天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10:00-1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0，1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50（北京时间，法定节假日除外）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营业执照原件或复印件</w:t>
      </w:r>
      <w:r>
        <w:rPr>
          <w:rFonts w:hint="eastAsia" w:ascii="仿宋_GB2312" w:hAnsi="仿宋_GB2312" w:eastAsia="仿宋_GB2312" w:cs="仿宋_GB2312"/>
          <w:sz w:val="24"/>
          <w:szCs w:val="24"/>
        </w:rPr>
        <w:t>一份（复印件须加盖投标单位公章），到乌苏市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服务中心二楼报名领取招标文件。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九、开标时间、地点及联系方式：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日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17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分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北京时间）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开标地点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236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  <w:t>春晓幼儿园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  <w:t>春晓幼儿园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王蕊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13999727613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采购机构：乌苏市政府采购中心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服务中心二楼）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采购机构（采购项目）联系人：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米格娜依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0992-8507872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80" w:hanging="6480" w:hangingChars="27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乌苏市政府采购中心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 2022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</w:t>
      </w:r>
    </w:p>
    <w:p>
      <w:pP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051B"/>
    <w:rsid w:val="00B225A7"/>
    <w:rsid w:val="5FA10AE6"/>
    <w:rsid w:val="603F051B"/>
    <w:rsid w:val="724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2"/>
    </w:pPr>
    <w:rPr>
      <w:rFonts w:cs="Angsana New"/>
      <w:b/>
      <w:bCs/>
      <w:sz w:val="32"/>
      <w:szCs w:val="32"/>
      <w:lang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 w:cs="Times New Roman"/>
      <w:b/>
      <w:bCs/>
      <w:spacing w:val="20"/>
      <w:kern w:val="52"/>
      <w:sz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2022-03-30T08:10:00Z</dcterms:created>
  <dc:creator>Administrator</dc:creator>
  <cp:lastModifiedBy>Administrator</cp:lastModifiedBy>
  <dcterms:modified xsi:type="dcterms:W3CDTF">2022-03-30T08:45:47Z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