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20" w:lineRule="exact"/>
        <w:jc w:val="center"/>
        <w:textAlignment w:val="auto"/>
        <w:rPr>
          <w:rFonts w:hint="default" w:ascii="华文中宋" w:hAnsi="华文中宋" w:eastAsia="华文中宋"/>
          <w:color w:val="auto"/>
          <w:sz w:val="32"/>
          <w:szCs w:val="40"/>
          <w:lang w:val="en-US" w:eastAsia="zh-CN"/>
        </w:rPr>
      </w:pPr>
      <w:bookmarkStart w:id="0" w:name="_Toc3060"/>
      <w:r>
        <w:rPr>
          <w:rFonts w:hint="default" w:ascii="华文中宋" w:hAnsi="华文中宋" w:eastAsia="华文中宋"/>
          <w:color w:val="auto"/>
          <w:sz w:val="32"/>
          <w:szCs w:val="40"/>
          <w:lang w:val="en-US" w:eastAsia="zh-CN"/>
        </w:rPr>
        <w:t>第二工人疗养院彩钢板建筑建筑消防整改</w:t>
      </w:r>
    </w:p>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20" w:lineRule="exact"/>
        <w:jc w:val="center"/>
        <w:textAlignment w:val="auto"/>
        <w:rPr>
          <w:rFonts w:hint="eastAsia" w:ascii="华文中宋" w:hAnsi="华文中宋" w:eastAsia="华文中宋"/>
          <w:color w:val="auto"/>
          <w:sz w:val="32"/>
          <w:szCs w:val="40"/>
          <w:lang w:eastAsia="zh-CN"/>
        </w:rPr>
      </w:pPr>
      <w:r>
        <w:rPr>
          <w:rFonts w:hint="eastAsia" w:ascii="华文中宋" w:hAnsi="华文中宋" w:eastAsia="华文中宋"/>
          <w:color w:val="auto"/>
          <w:sz w:val="32"/>
          <w:szCs w:val="40"/>
          <w:lang w:val="en-US" w:eastAsia="zh-CN"/>
        </w:rPr>
        <w:t>竞</w:t>
      </w:r>
      <w:r>
        <w:rPr>
          <w:rFonts w:hint="eastAsia" w:ascii="华文中宋" w:hAnsi="华文中宋" w:eastAsia="华文中宋"/>
          <w:color w:val="auto"/>
          <w:sz w:val="32"/>
          <w:szCs w:val="40"/>
          <w:lang w:eastAsia="zh-CN"/>
        </w:rPr>
        <w:t>争性磋商公告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u w:val="none"/>
          <w:lang w:eastAsia="zh-CN"/>
        </w:rPr>
        <w:t>第二工人疗养院彩钢板建筑建筑消防整改的潜在投标人应在新疆政府采购网（http://www.ccgp-xinjiang.gov.cn/）获取磋商文件，并于</w:t>
      </w:r>
      <w:r>
        <w:rPr>
          <w:rFonts w:hint="eastAsia" w:ascii="仿宋" w:hAnsi="仿宋" w:eastAsia="仿宋"/>
          <w:color w:val="auto"/>
          <w:sz w:val="24"/>
          <w:szCs w:val="24"/>
          <w:u w:val="none"/>
          <w:lang w:val="en-US" w:eastAsia="zh-CN"/>
        </w:rPr>
        <w:t>2022</w:t>
      </w:r>
      <w:r>
        <w:rPr>
          <w:rFonts w:hint="eastAsia" w:ascii="仿宋" w:hAnsi="仿宋" w:eastAsia="仿宋"/>
          <w:color w:val="auto"/>
          <w:sz w:val="24"/>
          <w:szCs w:val="24"/>
          <w:u w:val="none"/>
          <w:lang w:eastAsia="zh-CN"/>
        </w:rPr>
        <w:t>年</w:t>
      </w:r>
      <w:r>
        <w:rPr>
          <w:rFonts w:hint="eastAsia" w:ascii="仿宋" w:hAnsi="仿宋" w:eastAsia="仿宋"/>
          <w:color w:val="auto"/>
          <w:sz w:val="24"/>
          <w:szCs w:val="24"/>
          <w:u w:val="none"/>
          <w:lang w:val="en-US" w:eastAsia="zh-CN"/>
        </w:rPr>
        <w:t>4</w:t>
      </w:r>
      <w:r>
        <w:rPr>
          <w:rFonts w:hint="eastAsia" w:ascii="仿宋" w:hAnsi="仿宋" w:eastAsia="仿宋"/>
          <w:color w:val="auto"/>
          <w:sz w:val="24"/>
          <w:szCs w:val="24"/>
          <w:u w:val="none"/>
          <w:lang w:eastAsia="zh-CN"/>
        </w:rPr>
        <w:t>月</w:t>
      </w:r>
      <w:r>
        <w:rPr>
          <w:rFonts w:hint="eastAsia" w:ascii="仿宋" w:hAnsi="仿宋" w:eastAsia="仿宋"/>
          <w:color w:val="auto"/>
          <w:sz w:val="24"/>
          <w:szCs w:val="24"/>
          <w:u w:val="none"/>
          <w:lang w:val="en-US" w:eastAsia="zh-CN"/>
        </w:rPr>
        <w:t>28</w:t>
      </w:r>
      <w:r>
        <w:rPr>
          <w:rFonts w:hint="eastAsia" w:ascii="仿宋" w:hAnsi="仿宋" w:eastAsia="仿宋"/>
          <w:color w:val="auto"/>
          <w:sz w:val="24"/>
          <w:szCs w:val="24"/>
          <w:u w:val="none"/>
          <w:lang w:eastAsia="zh-CN"/>
        </w:rPr>
        <w:t>日</w:t>
      </w:r>
      <w:r>
        <w:rPr>
          <w:rFonts w:hint="eastAsia" w:ascii="仿宋" w:hAnsi="仿宋" w:eastAsia="仿宋"/>
          <w:color w:val="auto"/>
          <w:sz w:val="24"/>
          <w:szCs w:val="24"/>
          <w:u w:val="none"/>
          <w:lang w:val="en-US" w:eastAsia="zh-CN"/>
        </w:rPr>
        <w:t>11</w:t>
      </w:r>
      <w:r>
        <w:rPr>
          <w:rFonts w:hint="eastAsia" w:ascii="仿宋" w:hAnsi="仿宋" w:eastAsia="仿宋"/>
          <w:color w:val="auto"/>
          <w:sz w:val="24"/>
          <w:szCs w:val="24"/>
          <w:u w:val="none"/>
          <w:lang w:eastAsia="zh-CN"/>
        </w:rPr>
        <w:t>点</w:t>
      </w:r>
      <w:r>
        <w:rPr>
          <w:rFonts w:hint="eastAsia" w:ascii="仿宋" w:hAnsi="仿宋" w:eastAsia="仿宋"/>
          <w:color w:val="auto"/>
          <w:sz w:val="24"/>
          <w:szCs w:val="24"/>
          <w:u w:val="none"/>
          <w:lang w:val="en-US" w:eastAsia="zh-CN"/>
        </w:rPr>
        <w:t>00</w:t>
      </w:r>
      <w:r>
        <w:rPr>
          <w:rFonts w:hint="eastAsia" w:ascii="仿宋" w:hAnsi="仿宋" w:eastAsia="仿宋"/>
          <w:color w:val="auto"/>
          <w:sz w:val="24"/>
          <w:szCs w:val="24"/>
          <w:u w:val="none"/>
          <w:lang w:eastAsia="zh-CN"/>
        </w:rPr>
        <w:t>分</w:t>
      </w:r>
      <w:r>
        <w:rPr>
          <w:rFonts w:hint="eastAsia" w:ascii="仿宋" w:hAnsi="仿宋" w:eastAsia="仿宋"/>
          <w:color w:val="0000FF"/>
          <w:sz w:val="24"/>
          <w:szCs w:val="24"/>
          <w:u w:val="none"/>
          <w:lang w:eastAsia="zh-CN"/>
        </w:rPr>
        <w:t>（</w:t>
      </w:r>
      <w:r>
        <w:rPr>
          <w:rFonts w:hint="eastAsia" w:ascii="仿宋" w:hAnsi="仿宋" w:eastAsia="仿宋"/>
          <w:color w:val="auto"/>
          <w:sz w:val="24"/>
          <w:szCs w:val="24"/>
          <w:u w:val="none"/>
          <w:lang w:eastAsia="zh-CN"/>
        </w:rPr>
        <w:t>北京时间）前递交</w:t>
      </w:r>
      <w:r>
        <w:rPr>
          <w:rFonts w:hint="eastAsia" w:ascii="仿宋" w:hAnsi="仿宋" w:eastAsia="仿宋"/>
          <w:color w:val="auto"/>
          <w:sz w:val="24"/>
          <w:szCs w:val="24"/>
          <w:u w:val="none"/>
          <w:lang w:val="en-US" w:eastAsia="zh-CN"/>
        </w:rPr>
        <w:t>响应</w:t>
      </w:r>
      <w:r>
        <w:rPr>
          <w:rFonts w:hint="eastAsia" w:ascii="仿宋" w:hAnsi="仿宋" w:eastAsia="仿宋"/>
          <w:color w:val="auto"/>
          <w:sz w:val="24"/>
          <w:szCs w:val="24"/>
          <w:u w:val="none"/>
          <w:lang w:eastAsia="zh-CN"/>
        </w:rPr>
        <w:t>文件。</w:t>
      </w:r>
    </w:p>
    <w:p>
      <w:pPr>
        <w:pageBreakBefore w:val="0"/>
        <w:widowControl w:val="0"/>
        <w:kinsoku/>
        <w:wordWrap/>
        <w:overflowPunct/>
        <w:topLinePunct w:val="0"/>
        <w:bidi w:val="0"/>
        <w:snapToGrid/>
        <w:spacing w:line="360" w:lineRule="exact"/>
        <w:textAlignment w:val="auto"/>
        <w:rPr>
          <w:rFonts w:hint="eastAsia"/>
          <w:b/>
          <w:bCs/>
          <w:color w:val="auto"/>
          <w:sz w:val="28"/>
          <w:szCs w:val="28"/>
        </w:rPr>
      </w:pPr>
      <w:bookmarkStart w:id="1" w:name="_Toc28359089"/>
      <w:bookmarkStart w:id="2" w:name="_Toc35393629"/>
      <w:bookmarkStart w:id="3" w:name="_Toc35393798"/>
      <w:bookmarkStart w:id="4" w:name="_Toc28359012"/>
      <w:r>
        <w:rPr>
          <w:rFonts w:hint="eastAsia"/>
          <w:b/>
          <w:bCs/>
          <w:color w:val="auto"/>
          <w:sz w:val="28"/>
          <w:szCs w:val="28"/>
        </w:rPr>
        <w:t>一、项目基本情况</w:t>
      </w:r>
      <w:bookmarkEnd w:id="1"/>
      <w:bookmarkEnd w:id="2"/>
      <w:bookmarkEnd w:id="3"/>
      <w:bookmarkEnd w:id="4"/>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highlight w:val="yellow"/>
          <w:lang w:val="en-US" w:eastAsia="zh-CN"/>
        </w:rPr>
      </w:pPr>
      <w:r>
        <w:rPr>
          <w:rFonts w:hint="eastAsia" w:ascii="仿宋" w:hAnsi="仿宋" w:eastAsia="仿宋"/>
          <w:color w:val="auto"/>
          <w:sz w:val="24"/>
          <w:szCs w:val="24"/>
          <w:lang w:val="en-US" w:eastAsia="zh-CN"/>
        </w:rPr>
        <w:t>项目编号</w:t>
      </w:r>
      <w:r>
        <w:rPr>
          <w:rFonts w:hint="eastAsia" w:ascii="仿宋" w:hAnsi="仿宋" w:eastAsia="仿宋"/>
          <w:color w:val="auto"/>
          <w:sz w:val="24"/>
          <w:szCs w:val="24"/>
        </w:rPr>
        <w:t>：</w:t>
      </w:r>
      <w:r>
        <w:rPr>
          <w:rFonts w:hint="eastAsia" w:ascii="仿宋" w:hAnsi="仿宋" w:eastAsia="仿宋"/>
          <w:color w:val="auto"/>
          <w:sz w:val="24"/>
          <w:szCs w:val="24"/>
          <w:lang w:val="en-US" w:eastAsia="zh-CN"/>
        </w:rPr>
        <w:t>新工党纪[2022]7号</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项目名称：</w:t>
      </w:r>
      <w:r>
        <w:rPr>
          <w:rFonts w:hint="eastAsia" w:ascii="仿宋" w:hAnsi="仿宋" w:eastAsia="仿宋"/>
          <w:color w:val="auto"/>
          <w:sz w:val="24"/>
          <w:szCs w:val="24"/>
          <w:lang w:eastAsia="zh-CN"/>
        </w:rPr>
        <w:t>第二工人疗养院彩钢板建筑建筑消防整改</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采购方式：</w:t>
      </w:r>
      <w:r>
        <w:rPr>
          <w:rFonts w:ascii="仿宋" w:hAnsi="仿宋" w:eastAsia="仿宋" w:cs="仿宋"/>
          <w:i w:val="0"/>
          <w:caps w:val="0"/>
          <w:color w:val="auto"/>
          <w:spacing w:val="0"/>
          <w:sz w:val="24"/>
          <w:szCs w:val="24"/>
        </w:rPr>
        <w:t>竞争性</w:t>
      </w:r>
      <w:r>
        <w:rPr>
          <w:rFonts w:hint="eastAsia" w:ascii="仿宋" w:hAnsi="仿宋" w:eastAsia="仿宋" w:cs="仿宋"/>
          <w:i w:val="0"/>
          <w:caps w:val="0"/>
          <w:color w:val="auto"/>
          <w:spacing w:val="0"/>
          <w:sz w:val="24"/>
          <w:szCs w:val="24"/>
          <w:lang w:eastAsia="zh-CN"/>
        </w:rPr>
        <w:t>磋商</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w:t>
      </w:r>
      <w:r>
        <w:rPr>
          <w:rFonts w:hint="eastAsia" w:ascii="仿宋" w:hAnsi="仿宋" w:eastAsia="仿宋"/>
          <w:color w:val="auto"/>
          <w:sz w:val="24"/>
          <w:szCs w:val="24"/>
          <w:lang w:val="en-US" w:eastAsia="zh-CN"/>
        </w:rPr>
        <w:t>198428.6元。</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最高限价：198428.6元。（如超过预算价的报价为无效报价）</w:t>
      </w:r>
    </w:p>
    <w:p>
      <w:pPr>
        <w:pageBreakBefore w:val="0"/>
        <w:widowControl w:val="0"/>
        <w:kinsoku/>
        <w:wordWrap/>
        <w:overflowPunct/>
        <w:topLinePunct w:val="0"/>
        <w:bidi w:val="0"/>
        <w:snapToGrid/>
        <w:spacing w:line="360" w:lineRule="exact"/>
        <w:ind w:firstLine="480" w:firstLineChars="200"/>
        <w:textAlignment w:val="auto"/>
        <w:rPr>
          <w:rFonts w:ascii="仿宋" w:hAnsi="仿宋" w:eastAsia="仿宋"/>
          <w:color w:val="auto"/>
          <w:sz w:val="24"/>
          <w:szCs w:val="24"/>
          <w:u w:val="single"/>
        </w:rPr>
      </w:pPr>
      <w:r>
        <w:rPr>
          <w:rFonts w:hint="eastAsia" w:ascii="仿宋" w:hAnsi="仿宋" w:eastAsia="仿宋"/>
          <w:color w:val="auto"/>
          <w:sz w:val="24"/>
          <w:szCs w:val="24"/>
        </w:rPr>
        <w:t>采购</w:t>
      </w:r>
      <w:r>
        <w:rPr>
          <w:rFonts w:hint="eastAsia" w:ascii="仿宋" w:hAnsi="仿宋" w:eastAsia="仿宋"/>
          <w:color w:val="auto"/>
          <w:sz w:val="24"/>
          <w:szCs w:val="24"/>
          <w:lang w:eastAsia="zh-CN"/>
        </w:rPr>
        <w:t>内容</w:t>
      </w:r>
      <w:r>
        <w:rPr>
          <w:rFonts w:hint="eastAsia" w:ascii="仿宋" w:hAnsi="仿宋" w:eastAsia="仿宋"/>
          <w:color w:val="auto"/>
          <w:sz w:val="24"/>
          <w:szCs w:val="24"/>
        </w:rPr>
        <w:t>：第二工人疗养院彩钢板建筑建筑消防整改</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详见工程量清单</w:t>
      </w:r>
      <w:r>
        <w:rPr>
          <w:rFonts w:hint="eastAsia" w:ascii="仿宋" w:hAnsi="仿宋" w:eastAsia="仿宋"/>
          <w:color w:val="auto"/>
          <w:sz w:val="24"/>
          <w:szCs w:val="24"/>
          <w:lang w:eastAsia="zh-CN"/>
        </w:rPr>
        <w:t>）</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合同履行期限：根据</w:t>
      </w:r>
      <w:r>
        <w:rPr>
          <w:rFonts w:hint="eastAsia" w:ascii="仿宋" w:hAnsi="仿宋" w:eastAsia="仿宋"/>
          <w:color w:val="000000" w:themeColor="text1"/>
          <w:sz w:val="24"/>
          <w:szCs w:val="24"/>
          <w:lang w:val="en-US" w:eastAsia="zh-CN"/>
          <w14:textFill>
            <w14:solidFill>
              <w14:schemeClr w14:val="tx1"/>
            </w14:solidFill>
          </w14:textFill>
        </w:rPr>
        <w:t>业主</w:t>
      </w:r>
      <w:r>
        <w:rPr>
          <w:rFonts w:hint="eastAsia" w:ascii="仿宋" w:hAnsi="仿宋" w:eastAsia="仿宋"/>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lang w:val="en-US" w:eastAsia="zh-CN"/>
          <w14:textFill>
            <w14:solidFill>
              <w14:schemeClr w14:val="tx1"/>
            </w14:solidFill>
          </w14:textFill>
        </w:rPr>
        <w:t>。</w:t>
      </w:r>
    </w:p>
    <w:p>
      <w:pPr>
        <w:pageBreakBefore w:val="0"/>
        <w:widowControl w:val="0"/>
        <w:kinsoku/>
        <w:wordWrap/>
        <w:overflowPunct/>
        <w:topLinePunct w:val="0"/>
        <w:bidi w:val="0"/>
        <w:snapToGrid/>
        <w:spacing w:line="360" w:lineRule="exact"/>
        <w:textAlignment w:val="auto"/>
        <w:rPr>
          <w:rFonts w:hint="eastAsia"/>
          <w:b/>
          <w:bCs/>
          <w:color w:val="auto"/>
          <w:sz w:val="28"/>
          <w:szCs w:val="28"/>
        </w:rPr>
      </w:pPr>
      <w:bookmarkStart w:id="5" w:name="_Toc28359090"/>
      <w:bookmarkStart w:id="6" w:name="_Toc35393799"/>
      <w:bookmarkStart w:id="7" w:name="_Toc28359013"/>
      <w:bookmarkStart w:id="8" w:name="_Toc35393630"/>
      <w:r>
        <w:rPr>
          <w:rFonts w:hint="eastAsia"/>
          <w:b/>
          <w:bCs/>
          <w:color w:val="auto"/>
          <w:sz w:val="28"/>
          <w:szCs w:val="28"/>
        </w:rPr>
        <w:t>二、申请人的资格要求：</w:t>
      </w:r>
      <w:bookmarkEnd w:id="5"/>
      <w:bookmarkEnd w:id="6"/>
      <w:bookmarkEnd w:id="7"/>
      <w:bookmarkEnd w:id="8"/>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bookmarkStart w:id="9" w:name="_Toc28359014"/>
      <w:bookmarkStart w:id="10" w:name="_Toc28359091"/>
      <w:bookmarkStart w:id="11" w:name="_Toc35393800"/>
      <w:bookmarkStart w:id="12" w:name="_Toc35393631"/>
      <w:r>
        <w:rPr>
          <w:rFonts w:hint="eastAsia" w:ascii="仿宋" w:hAnsi="仿宋" w:eastAsia="仿宋" w:cs="Times New Roman"/>
          <w:color w:val="auto"/>
          <w:sz w:val="24"/>
          <w:szCs w:val="24"/>
          <w:lang w:val="en-US" w:eastAsia="zh-CN"/>
        </w:rPr>
        <w:t>1.</w:t>
      </w:r>
      <w:r>
        <w:rPr>
          <w:rFonts w:hint="eastAsia" w:ascii="仿宋" w:hAnsi="仿宋" w:eastAsia="仿宋" w:cs="Times New Roman"/>
          <w:color w:val="auto"/>
          <w:sz w:val="24"/>
          <w:szCs w:val="24"/>
          <w:highlight w:val="none"/>
          <w:lang w:val="en-US" w:eastAsia="zh-CN"/>
        </w:rPr>
        <w:t>满足《中华人民共和国政府采购法》第二十二条规定；</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2.投标人必须提供经年审合格的营业执照副本；</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Times New Roman"/>
          <w:color w:val="auto"/>
          <w:sz w:val="24"/>
          <w:szCs w:val="24"/>
          <w:highlight w:val="none"/>
          <w:lang w:val="en-US" w:eastAsia="zh-CN"/>
        </w:rPr>
        <w:t>3.投标人具有房屋建筑工程施工总承包叁级及以上资质证书，且具备有效的安全生产许可证；投标人所报项目负责人需具备有效的建筑工程贰级及以上建造师执业资格证书和有效的安</w:t>
      </w:r>
      <w:r>
        <w:rPr>
          <w:rFonts w:hint="eastAsia" w:ascii="仿宋" w:hAnsi="仿宋" w:eastAsia="仿宋" w:cs="宋体"/>
          <w:color w:val="auto"/>
          <w:sz w:val="24"/>
          <w:szCs w:val="24"/>
          <w:u w:val="none"/>
          <w:lang w:val="en-US" w:eastAsia="zh-CN"/>
        </w:rPr>
        <w:t>全考核合格证书（B证），提供项目负责人连续近一年依法缴纳社会保障资金的相关证明材料；</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4.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5.法定代表人投标需携带法定代表人证明书及法定代表人身份证或委托代理人投标需携带法定代表人授权委托书及委托代理人身份证，被委托人必须是投标单位法人或正式员工；</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6.供应商提供针对本次项目的《反商业贿赂承诺书》、《近三年内无重大违法记录的承诺书》；</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7</w:t>
      </w:r>
      <w:bookmarkStart w:id="33" w:name="_GoBack"/>
      <w:bookmarkEnd w:id="33"/>
      <w:r>
        <w:rPr>
          <w:rFonts w:hint="eastAsia" w:ascii="仿宋" w:hAnsi="仿宋" w:eastAsia="仿宋" w:cs="宋体"/>
          <w:color w:val="auto"/>
          <w:sz w:val="24"/>
          <w:szCs w:val="24"/>
          <w:u w:val="none"/>
          <w:lang w:val="en-US" w:eastAsia="zh-CN"/>
        </w:rPr>
        <w:t>. 未在“信用中国”网站（ www.creditchina.gov.cn ）、中国政府采购网（www.ccgp.gov.cn）、中国裁判网等渠道列入失信被执行人、重大税收违法案件当事人名单、政府采购严重违法失信行为记录名单（提供公告期内查询结果网页截图）；</w:t>
      </w:r>
    </w:p>
    <w:p>
      <w:pPr>
        <w:pStyle w:val="2"/>
        <w:rPr>
          <w:rFonts w:hint="default"/>
          <w:lang w:val="en-US" w:eastAsia="zh-CN"/>
        </w:rPr>
      </w:pPr>
      <w:r>
        <w:rPr>
          <w:rFonts w:hint="eastAsia" w:ascii="仿宋" w:hAnsi="仿宋" w:eastAsia="仿宋" w:cs="Times New Roman"/>
          <w:color w:val="auto"/>
          <w:sz w:val="24"/>
          <w:szCs w:val="24"/>
          <w:highlight w:val="none"/>
          <w:lang w:val="en-US" w:eastAsia="zh-CN"/>
        </w:rPr>
        <w:t xml:space="preserve">    本项目不接受联合体投标。</w:t>
      </w:r>
    </w:p>
    <w:p>
      <w:pPr>
        <w:pageBreakBefore w:val="0"/>
        <w:widowControl w:val="0"/>
        <w:kinsoku/>
        <w:wordWrap/>
        <w:overflowPunct/>
        <w:topLinePunct w:val="0"/>
        <w:bidi w:val="0"/>
        <w:snapToGrid/>
        <w:spacing w:line="360" w:lineRule="exact"/>
        <w:textAlignment w:val="auto"/>
        <w:rPr>
          <w:rFonts w:hint="eastAsia"/>
          <w:b/>
          <w:bCs/>
          <w:color w:val="auto"/>
          <w:sz w:val="24"/>
          <w:szCs w:val="24"/>
        </w:rPr>
      </w:pPr>
      <w:r>
        <w:rPr>
          <w:rFonts w:hint="eastAsia"/>
          <w:b/>
          <w:bCs/>
          <w:color w:val="auto"/>
          <w:sz w:val="24"/>
          <w:szCs w:val="24"/>
        </w:rPr>
        <w:t>三、获取采购文件</w:t>
      </w:r>
      <w:bookmarkEnd w:id="9"/>
      <w:bookmarkEnd w:id="10"/>
      <w:bookmarkEnd w:id="11"/>
      <w:bookmarkEnd w:id="12"/>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default" w:ascii="仿宋" w:hAnsi="仿宋" w:eastAsia="仿宋" w:cs="宋体"/>
          <w:color w:val="auto"/>
          <w:sz w:val="24"/>
          <w:szCs w:val="24"/>
          <w:u w:val="none"/>
          <w:lang w:val="en-US" w:eastAsia="zh-CN"/>
        </w:rPr>
        <w:t>时间：202</w:t>
      </w:r>
      <w:r>
        <w:rPr>
          <w:rFonts w:hint="eastAsia" w:ascii="仿宋" w:hAnsi="仿宋" w:eastAsia="仿宋" w:cs="宋体"/>
          <w:color w:val="auto"/>
          <w:sz w:val="24"/>
          <w:szCs w:val="24"/>
          <w:u w:val="none"/>
          <w:lang w:val="en-US" w:eastAsia="zh-CN"/>
        </w:rPr>
        <w:t>2</w:t>
      </w:r>
      <w:r>
        <w:rPr>
          <w:rFonts w:hint="default" w:ascii="仿宋" w:hAnsi="仿宋" w:eastAsia="仿宋" w:cs="宋体"/>
          <w:color w:val="auto"/>
          <w:sz w:val="24"/>
          <w:szCs w:val="24"/>
          <w:u w:val="none"/>
          <w:lang w:val="en-US" w:eastAsia="zh-CN"/>
        </w:rPr>
        <w:t>年</w:t>
      </w:r>
      <w:r>
        <w:rPr>
          <w:rFonts w:hint="eastAsia" w:ascii="仿宋" w:hAnsi="仿宋" w:eastAsia="仿宋" w:cs="宋体"/>
          <w:color w:val="auto"/>
          <w:sz w:val="24"/>
          <w:szCs w:val="24"/>
          <w:u w:val="none"/>
          <w:lang w:val="en-US" w:eastAsia="zh-CN"/>
        </w:rPr>
        <w:t>4</w:t>
      </w:r>
      <w:r>
        <w:rPr>
          <w:rFonts w:hint="default" w:ascii="仿宋" w:hAnsi="仿宋" w:eastAsia="仿宋" w:cs="宋体"/>
          <w:color w:val="auto"/>
          <w:sz w:val="24"/>
          <w:szCs w:val="24"/>
          <w:u w:val="none"/>
          <w:lang w:val="en-US" w:eastAsia="zh-CN"/>
        </w:rPr>
        <w:t>月</w:t>
      </w:r>
      <w:r>
        <w:rPr>
          <w:rFonts w:hint="eastAsia" w:ascii="仿宋" w:hAnsi="仿宋" w:eastAsia="仿宋" w:cs="宋体"/>
          <w:color w:val="auto"/>
          <w:sz w:val="24"/>
          <w:szCs w:val="24"/>
          <w:u w:val="none"/>
          <w:lang w:val="en-US" w:eastAsia="zh-CN"/>
        </w:rPr>
        <w:t>18</w:t>
      </w:r>
      <w:r>
        <w:rPr>
          <w:rFonts w:hint="default" w:ascii="仿宋" w:hAnsi="仿宋" w:eastAsia="仿宋" w:cs="宋体"/>
          <w:color w:val="auto"/>
          <w:sz w:val="24"/>
          <w:szCs w:val="24"/>
          <w:u w:val="none"/>
          <w:lang w:val="en-US" w:eastAsia="zh-CN"/>
        </w:rPr>
        <w:t>日至202</w:t>
      </w:r>
      <w:r>
        <w:rPr>
          <w:rFonts w:hint="eastAsia" w:ascii="仿宋" w:hAnsi="仿宋" w:eastAsia="仿宋" w:cs="宋体"/>
          <w:color w:val="auto"/>
          <w:sz w:val="24"/>
          <w:szCs w:val="24"/>
          <w:u w:val="none"/>
          <w:lang w:val="en-US" w:eastAsia="zh-CN"/>
        </w:rPr>
        <w:t>2</w:t>
      </w:r>
      <w:r>
        <w:rPr>
          <w:rFonts w:hint="default" w:ascii="仿宋" w:hAnsi="仿宋" w:eastAsia="仿宋" w:cs="宋体"/>
          <w:color w:val="auto"/>
          <w:sz w:val="24"/>
          <w:szCs w:val="24"/>
          <w:u w:val="none"/>
          <w:lang w:val="en-US" w:eastAsia="zh-CN"/>
        </w:rPr>
        <w:t>年</w:t>
      </w:r>
      <w:r>
        <w:rPr>
          <w:rFonts w:hint="eastAsia" w:ascii="仿宋" w:hAnsi="仿宋" w:eastAsia="仿宋" w:cs="宋体"/>
          <w:color w:val="auto"/>
          <w:sz w:val="24"/>
          <w:szCs w:val="24"/>
          <w:u w:val="none"/>
          <w:lang w:val="en-US" w:eastAsia="zh-CN"/>
        </w:rPr>
        <w:t>4</w:t>
      </w:r>
      <w:r>
        <w:rPr>
          <w:rFonts w:hint="default" w:ascii="仿宋" w:hAnsi="仿宋" w:eastAsia="仿宋" w:cs="宋体"/>
          <w:color w:val="auto"/>
          <w:sz w:val="24"/>
          <w:szCs w:val="24"/>
          <w:u w:val="none"/>
          <w:lang w:val="en-US" w:eastAsia="zh-CN"/>
        </w:rPr>
        <w:t>月</w:t>
      </w:r>
      <w:r>
        <w:rPr>
          <w:rFonts w:hint="eastAsia" w:ascii="仿宋" w:hAnsi="仿宋" w:eastAsia="仿宋" w:cs="宋体"/>
          <w:color w:val="auto"/>
          <w:sz w:val="24"/>
          <w:szCs w:val="24"/>
          <w:u w:val="none"/>
          <w:lang w:val="en-US" w:eastAsia="zh-CN"/>
        </w:rPr>
        <w:t>24</w:t>
      </w:r>
      <w:r>
        <w:rPr>
          <w:rFonts w:hint="default" w:ascii="仿宋" w:hAnsi="仿宋" w:eastAsia="仿宋" w:cs="宋体"/>
          <w:color w:val="auto"/>
          <w:sz w:val="24"/>
          <w:szCs w:val="24"/>
          <w:u w:val="none"/>
          <w:lang w:val="en-US" w:eastAsia="zh-CN"/>
        </w:rPr>
        <w:t>日，每天上午</w:t>
      </w:r>
      <w:r>
        <w:rPr>
          <w:rFonts w:hint="eastAsia" w:ascii="仿宋" w:hAnsi="仿宋" w:eastAsia="仿宋" w:cs="宋体"/>
          <w:color w:val="auto"/>
          <w:sz w:val="24"/>
          <w:szCs w:val="24"/>
          <w:u w:val="none"/>
          <w:lang w:val="en-US" w:eastAsia="zh-CN"/>
        </w:rPr>
        <w:t>1</w:t>
      </w:r>
      <w:r>
        <w:rPr>
          <w:rFonts w:hint="default" w:ascii="仿宋" w:hAnsi="仿宋" w:eastAsia="仿宋" w:cs="宋体"/>
          <w:color w:val="auto"/>
          <w:sz w:val="24"/>
          <w:szCs w:val="24"/>
          <w:u w:val="none"/>
          <w:lang w:val="en-US" w:eastAsia="zh-CN"/>
        </w:rPr>
        <w:t>0:00至12:00，下午12:00至23:59（北京时间，法定节假日除外）</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地点：新疆政府采购网（http://www.ccgp-xinjiang.gov.cn/）</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申领采购文件时需提供以下报名资料：</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1.投标人必须提供经年审合格的营业执照副本；</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Times New Roman"/>
          <w:color w:val="auto"/>
          <w:sz w:val="24"/>
          <w:szCs w:val="24"/>
          <w:highlight w:val="none"/>
          <w:lang w:val="en-US" w:eastAsia="zh-CN"/>
        </w:rPr>
        <w:t>2.投标人具有房屋建筑工程施工总承包叁级及以上资质证书，且具备有效的安全生产许可证；投标人所报项目负责人需具备有效的建筑工程贰级及以上建造师执业资格证书和有效的安</w:t>
      </w:r>
      <w:r>
        <w:rPr>
          <w:rFonts w:hint="eastAsia" w:ascii="仿宋" w:hAnsi="仿宋" w:eastAsia="仿宋" w:cs="宋体"/>
          <w:color w:val="auto"/>
          <w:sz w:val="24"/>
          <w:szCs w:val="24"/>
          <w:u w:val="none"/>
          <w:lang w:val="en-US" w:eastAsia="zh-CN"/>
        </w:rPr>
        <w:t>全考核合格证书（B证），提供项目负责人连续近一年依法缴纳社会保障资金的相关证明材料；</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3.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4.法定代表人投标需携带法定代表人证明书及法定代表人身份证或委托代理人投标需携带法定代表人授权委托书及委托代理人身份证，被委托人必须是投标单位法人或正式员工；</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5.供应商提供针对本次项目的《反商业贿赂承诺书》、《近三年内无重大违法记录的承诺书》；</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6. 未在“信用中国”网站（ www.creditchina.gov.cn ）、中国政府采购网（www.ccgp.gov.cn）、中国裁判网等渠道列入失信被执行人、重大税收违法案件当事人名单、政府采购严重违法失信行为记录名单（提供公告期内查询结果网页截图）；</w:t>
      </w:r>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申领方式：</w:t>
      </w:r>
    </w:p>
    <w:p>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申请人获取招标文件须将报名资料复印并加盖公章扫描上传至邮箱（3142418527@qq.com），并注明单位全称、联系人、手机、邮箱地址、所报项目、项目编号，我单位收到项目公告要求的所有资料并审核通过后视为正式报名。</w:t>
      </w:r>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default" w:ascii="仿宋" w:hAnsi="仿宋" w:eastAsia="仿宋" w:cs="宋体"/>
          <w:color w:val="auto"/>
          <w:sz w:val="24"/>
          <w:szCs w:val="24"/>
          <w:u w:val="none"/>
          <w:lang w:val="en-US" w:eastAsia="zh-CN"/>
        </w:rPr>
        <w:t>售价：200元/份</w:t>
      </w:r>
    </w:p>
    <w:p>
      <w:pPr>
        <w:pageBreakBefore w:val="0"/>
        <w:widowControl w:val="0"/>
        <w:kinsoku/>
        <w:wordWrap/>
        <w:overflowPunct/>
        <w:topLinePunct w:val="0"/>
        <w:bidi w:val="0"/>
        <w:snapToGrid/>
        <w:spacing w:line="360" w:lineRule="exact"/>
        <w:textAlignment w:val="auto"/>
        <w:rPr>
          <w:rFonts w:hint="eastAsia"/>
          <w:b/>
          <w:bCs/>
          <w:color w:val="auto"/>
          <w:sz w:val="24"/>
          <w:szCs w:val="24"/>
          <w:u w:val="none"/>
        </w:rPr>
      </w:pPr>
      <w:bookmarkStart w:id="13" w:name="_Toc28359092"/>
      <w:bookmarkStart w:id="14" w:name="_Toc28359015"/>
      <w:bookmarkStart w:id="15" w:name="_Toc35393632"/>
      <w:bookmarkStart w:id="16" w:name="_Toc35393801"/>
      <w:r>
        <w:rPr>
          <w:rFonts w:hint="eastAsia"/>
          <w:b/>
          <w:bCs/>
          <w:color w:val="auto"/>
          <w:sz w:val="24"/>
          <w:szCs w:val="24"/>
          <w:u w:val="none"/>
        </w:rPr>
        <w:t>四、响应文件提交</w:t>
      </w:r>
      <w:bookmarkEnd w:id="13"/>
      <w:bookmarkEnd w:id="14"/>
      <w:bookmarkEnd w:id="15"/>
      <w:bookmarkEnd w:id="16"/>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bCs/>
          <w:color w:val="auto"/>
          <w:sz w:val="24"/>
          <w:szCs w:val="24"/>
        </w:rPr>
      </w:pPr>
      <w:r>
        <w:rPr>
          <w:rFonts w:hint="eastAsia" w:ascii="仿宋" w:hAnsi="仿宋" w:eastAsia="仿宋"/>
          <w:color w:val="auto"/>
          <w:sz w:val="24"/>
          <w:szCs w:val="24"/>
          <w:u w:val="none"/>
        </w:rPr>
        <w:t>截止时间：</w:t>
      </w:r>
      <w:r>
        <w:rPr>
          <w:rFonts w:hint="eastAsia" w:ascii="仿宋" w:hAnsi="仿宋" w:eastAsia="仿宋"/>
          <w:color w:val="auto"/>
          <w:sz w:val="24"/>
          <w:szCs w:val="24"/>
          <w:u w:val="none"/>
          <w:lang w:val="en-US" w:eastAsia="zh-CN"/>
        </w:rPr>
        <w:t>2022</w:t>
      </w:r>
      <w:r>
        <w:rPr>
          <w:rFonts w:hint="eastAsia" w:ascii="仿宋" w:hAnsi="仿宋" w:eastAsia="仿宋"/>
          <w:bCs/>
          <w:color w:val="auto"/>
          <w:sz w:val="24"/>
          <w:szCs w:val="24"/>
          <w:u w:val="none"/>
        </w:rPr>
        <w:t>年</w:t>
      </w:r>
      <w:r>
        <w:rPr>
          <w:rFonts w:hint="eastAsia" w:ascii="仿宋" w:hAnsi="仿宋" w:eastAsia="仿宋"/>
          <w:bCs/>
          <w:color w:val="auto"/>
          <w:sz w:val="24"/>
          <w:szCs w:val="24"/>
          <w:u w:val="none"/>
          <w:lang w:val="en-US" w:eastAsia="zh-CN"/>
        </w:rPr>
        <w:t>4</w:t>
      </w:r>
      <w:r>
        <w:rPr>
          <w:rFonts w:hint="eastAsia" w:ascii="仿宋" w:hAnsi="仿宋" w:eastAsia="仿宋"/>
          <w:bCs/>
          <w:color w:val="auto"/>
          <w:sz w:val="24"/>
          <w:szCs w:val="24"/>
          <w:u w:val="none"/>
        </w:rPr>
        <w:t>月</w:t>
      </w:r>
      <w:r>
        <w:rPr>
          <w:rFonts w:hint="eastAsia" w:ascii="仿宋" w:hAnsi="仿宋" w:eastAsia="仿宋"/>
          <w:bCs/>
          <w:color w:val="auto"/>
          <w:sz w:val="24"/>
          <w:szCs w:val="24"/>
          <w:u w:val="none"/>
          <w:lang w:val="en-US" w:eastAsia="zh-CN"/>
        </w:rPr>
        <w:t>28</w:t>
      </w:r>
      <w:r>
        <w:rPr>
          <w:rFonts w:hint="eastAsia" w:ascii="仿宋" w:hAnsi="仿宋" w:eastAsia="仿宋"/>
          <w:bCs/>
          <w:color w:val="auto"/>
          <w:sz w:val="24"/>
          <w:szCs w:val="24"/>
          <w:u w:val="none"/>
        </w:rPr>
        <w:t>日</w:t>
      </w:r>
      <w:r>
        <w:rPr>
          <w:rFonts w:hint="eastAsia" w:ascii="仿宋" w:hAnsi="仿宋" w:eastAsia="仿宋"/>
          <w:bCs/>
          <w:color w:val="auto"/>
          <w:sz w:val="24"/>
          <w:szCs w:val="24"/>
          <w:u w:val="none"/>
          <w:lang w:val="en-US" w:eastAsia="zh-CN"/>
        </w:rPr>
        <w:t>11</w:t>
      </w:r>
      <w:r>
        <w:rPr>
          <w:rFonts w:hint="eastAsia" w:ascii="仿宋" w:hAnsi="仿宋" w:eastAsia="仿宋"/>
          <w:bCs/>
          <w:color w:val="auto"/>
          <w:sz w:val="24"/>
          <w:szCs w:val="24"/>
          <w:u w:val="none"/>
        </w:rPr>
        <w:t>点</w:t>
      </w:r>
      <w:r>
        <w:rPr>
          <w:rFonts w:hint="eastAsia" w:ascii="仿宋" w:hAnsi="仿宋" w:eastAsia="仿宋"/>
          <w:bCs/>
          <w:color w:val="auto"/>
          <w:sz w:val="24"/>
          <w:szCs w:val="24"/>
          <w:u w:val="none"/>
          <w:lang w:val="en-US" w:eastAsia="zh-CN"/>
        </w:rPr>
        <w:t>00</w:t>
      </w:r>
      <w:r>
        <w:rPr>
          <w:rFonts w:hint="eastAsia" w:ascii="仿宋" w:hAnsi="仿宋" w:eastAsia="仿宋"/>
          <w:bCs/>
          <w:color w:val="auto"/>
          <w:sz w:val="24"/>
          <w:szCs w:val="24"/>
          <w:u w:val="none"/>
        </w:rPr>
        <w:t>分（北京时间）</w:t>
      </w:r>
      <w:r>
        <w:rPr>
          <w:rFonts w:hint="eastAsia" w:ascii="仿宋" w:hAnsi="仿宋" w:eastAsia="仿宋"/>
          <w:bCs/>
          <w:color w:val="auto"/>
          <w:sz w:val="24"/>
          <w:szCs w:val="24"/>
          <w:u w:val="none"/>
          <w:lang w:eastAsia="zh-CN"/>
        </w:rPr>
        <w:t xml:space="preserve"> </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rPr>
        <w:t>地点：</w:t>
      </w:r>
      <w:bookmarkStart w:id="17" w:name="_Toc28359017"/>
      <w:bookmarkStart w:id="18" w:name="_Toc35393803"/>
      <w:bookmarkStart w:id="19" w:name="_Toc35393634"/>
      <w:bookmarkStart w:id="20" w:name="_Toc28359094"/>
      <w:r>
        <w:rPr>
          <w:rFonts w:hint="eastAsia" w:ascii="仿宋" w:hAnsi="仿宋" w:eastAsia="仿宋"/>
          <w:color w:val="auto"/>
          <w:sz w:val="24"/>
          <w:szCs w:val="24"/>
        </w:rPr>
        <w:t>乌鲁木齐市水磨沟区龙腾路1118号中央公园二期9栋商务办公楼2501室</w:t>
      </w:r>
      <w:r>
        <w:rPr>
          <w:rFonts w:hint="eastAsia" w:ascii="仿宋" w:hAnsi="仿宋" w:eastAsia="仿宋"/>
          <w:color w:val="auto"/>
          <w:sz w:val="24"/>
          <w:szCs w:val="24"/>
          <w:highlight w:val="none"/>
          <w:lang w:val="en-US" w:eastAsia="zh-CN"/>
        </w:rPr>
        <w:t>。</w:t>
      </w:r>
    </w:p>
    <w:p>
      <w:pPr>
        <w:pageBreakBefore w:val="0"/>
        <w:widowControl w:val="0"/>
        <w:kinsoku/>
        <w:wordWrap/>
        <w:overflowPunct/>
        <w:topLinePunct w:val="0"/>
        <w:bidi w:val="0"/>
        <w:snapToGrid/>
        <w:spacing w:line="360" w:lineRule="exact"/>
        <w:textAlignment w:val="auto"/>
        <w:rPr>
          <w:rFonts w:hint="eastAsia"/>
          <w:b/>
          <w:bCs/>
          <w:color w:val="auto"/>
          <w:sz w:val="24"/>
          <w:szCs w:val="24"/>
        </w:rPr>
      </w:pPr>
      <w:r>
        <w:rPr>
          <w:rFonts w:hint="eastAsia"/>
          <w:b/>
          <w:bCs/>
          <w:color w:val="auto"/>
          <w:sz w:val="24"/>
          <w:szCs w:val="24"/>
          <w:lang w:eastAsia="zh-CN"/>
        </w:rPr>
        <w:t>五</w:t>
      </w:r>
      <w:r>
        <w:rPr>
          <w:rFonts w:hint="eastAsia"/>
          <w:b/>
          <w:bCs/>
          <w:color w:val="auto"/>
          <w:sz w:val="24"/>
          <w:szCs w:val="24"/>
        </w:rPr>
        <w:t>、公告期限</w:t>
      </w:r>
      <w:bookmarkEnd w:id="17"/>
      <w:bookmarkEnd w:id="18"/>
      <w:bookmarkEnd w:id="19"/>
      <w:bookmarkEnd w:id="20"/>
    </w:p>
    <w:p>
      <w:pPr>
        <w:pageBreakBefore w:val="0"/>
        <w:widowControl w:val="0"/>
        <w:kinsoku/>
        <w:wordWrap/>
        <w:overflowPunct/>
        <w:topLinePunct w:val="0"/>
        <w:bidi w:val="0"/>
        <w:snapToGrid/>
        <w:spacing w:line="360" w:lineRule="exact"/>
        <w:ind w:firstLine="480" w:firstLineChars="200"/>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自本公告发布之日起</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个工作日。</w:t>
      </w:r>
    </w:p>
    <w:p>
      <w:pPr>
        <w:pageBreakBefore w:val="0"/>
        <w:widowControl w:val="0"/>
        <w:numPr>
          <w:ilvl w:val="0"/>
          <w:numId w:val="1"/>
        </w:numPr>
        <w:kinsoku/>
        <w:wordWrap/>
        <w:overflowPunct/>
        <w:topLinePunct w:val="0"/>
        <w:bidi w:val="0"/>
        <w:snapToGrid/>
        <w:spacing w:line="360" w:lineRule="exact"/>
        <w:textAlignment w:val="auto"/>
        <w:rPr>
          <w:rFonts w:hint="eastAsia"/>
          <w:b/>
          <w:bCs/>
          <w:color w:val="auto"/>
          <w:sz w:val="24"/>
          <w:szCs w:val="24"/>
          <w:lang w:eastAsia="zh-CN"/>
        </w:rPr>
      </w:pPr>
      <w:bookmarkStart w:id="21" w:name="_Toc35393636"/>
      <w:bookmarkStart w:id="22" w:name="_Toc28359018"/>
      <w:bookmarkStart w:id="23" w:name="_Toc35393805"/>
      <w:bookmarkStart w:id="24" w:name="_Toc28359095"/>
      <w:r>
        <w:rPr>
          <w:rFonts w:hint="eastAsia"/>
          <w:b/>
          <w:bCs/>
          <w:color w:val="auto"/>
          <w:sz w:val="24"/>
          <w:szCs w:val="24"/>
          <w:lang w:eastAsia="zh-CN"/>
        </w:rPr>
        <w:t>其他补充事宜</w:t>
      </w:r>
    </w:p>
    <w:p>
      <w:pPr>
        <w:pageBreakBefore w:val="0"/>
        <w:widowControl w:val="0"/>
        <w:kinsoku/>
        <w:wordWrap/>
        <w:overflowPunct/>
        <w:topLinePunct w:val="0"/>
        <w:bidi w:val="0"/>
        <w:snapToGrid/>
        <w:spacing w:line="360" w:lineRule="exact"/>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无</w:t>
      </w:r>
    </w:p>
    <w:p>
      <w:pPr>
        <w:pageBreakBefore w:val="0"/>
        <w:widowControl w:val="0"/>
        <w:kinsoku/>
        <w:wordWrap/>
        <w:overflowPunct/>
        <w:topLinePunct w:val="0"/>
        <w:bidi w:val="0"/>
        <w:snapToGrid/>
        <w:spacing w:line="360" w:lineRule="exact"/>
        <w:textAlignment w:val="auto"/>
        <w:rPr>
          <w:b/>
          <w:bCs/>
          <w:color w:val="auto"/>
          <w:sz w:val="24"/>
          <w:szCs w:val="24"/>
        </w:rPr>
      </w:pPr>
      <w:r>
        <w:rPr>
          <w:rFonts w:hint="eastAsia"/>
          <w:b/>
          <w:bCs/>
          <w:color w:val="auto"/>
          <w:sz w:val="24"/>
          <w:szCs w:val="24"/>
          <w:lang w:eastAsia="zh-CN"/>
        </w:rPr>
        <w:t>七</w:t>
      </w:r>
      <w:r>
        <w:rPr>
          <w:rFonts w:hint="eastAsia"/>
          <w:b/>
          <w:bCs/>
          <w:color w:val="auto"/>
          <w:sz w:val="24"/>
          <w:szCs w:val="24"/>
        </w:rPr>
        <w:t>、凡对本次采购提出询问，请按</w:t>
      </w:r>
      <w:r>
        <w:rPr>
          <w:b/>
          <w:bCs/>
          <w:color w:val="auto"/>
          <w:sz w:val="24"/>
          <w:szCs w:val="24"/>
        </w:rPr>
        <w:t>以下方式</w:t>
      </w:r>
      <w:r>
        <w:rPr>
          <w:rFonts w:hint="eastAsia"/>
          <w:b/>
          <w:bCs/>
          <w:color w:val="auto"/>
          <w:sz w:val="24"/>
          <w:szCs w:val="24"/>
        </w:rPr>
        <w:t>联系。</w:t>
      </w:r>
      <w:bookmarkEnd w:id="21"/>
      <w:bookmarkEnd w:id="22"/>
      <w:bookmarkEnd w:id="23"/>
      <w:bookmarkEnd w:id="24"/>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bookmarkStart w:id="25" w:name="_Toc35393806"/>
      <w:bookmarkStart w:id="26" w:name="_Toc28359096"/>
      <w:bookmarkStart w:id="27" w:name="_Toc28359019"/>
      <w:bookmarkStart w:id="28" w:name="_Toc35393637"/>
      <w:r>
        <w:rPr>
          <w:rFonts w:hint="eastAsia" w:ascii="仿宋" w:hAnsi="仿宋" w:eastAsia="仿宋" w:cs="Times New Roman"/>
          <w:color w:val="auto"/>
          <w:sz w:val="24"/>
          <w:szCs w:val="24"/>
          <w:highlight w:val="none"/>
          <w:lang w:val="en-US" w:eastAsia="zh-CN"/>
        </w:rPr>
        <w:t>1.采购人信息</w:t>
      </w:r>
      <w:bookmarkEnd w:id="25"/>
      <w:bookmarkEnd w:id="26"/>
      <w:bookmarkEnd w:id="27"/>
      <w:bookmarkEnd w:id="28"/>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称：新疆维吾尔自治区总工会　</w:t>
      </w:r>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址：乌市天山区体育馆路101号</w:t>
      </w:r>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联系方式：张亮     15099676393 </w:t>
      </w:r>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bookmarkStart w:id="29" w:name="_Toc35393638"/>
      <w:bookmarkStart w:id="30" w:name="_Toc35393807"/>
      <w:bookmarkStart w:id="31" w:name="_Toc28359020"/>
      <w:bookmarkStart w:id="32" w:name="_Toc28359097"/>
      <w:r>
        <w:rPr>
          <w:rFonts w:hint="eastAsia" w:ascii="仿宋" w:hAnsi="仿宋" w:eastAsia="仿宋" w:cs="Times New Roman"/>
          <w:color w:val="auto"/>
          <w:sz w:val="24"/>
          <w:szCs w:val="24"/>
          <w:highlight w:val="none"/>
          <w:lang w:val="en-US" w:eastAsia="zh-CN"/>
        </w:rPr>
        <w:t>2.采购代理机构信息</w:t>
      </w:r>
      <w:bookmarkEnd w:id="29"/>
      <w:bookmarkEnd w:id="30"/>
      <w:bookmarkEnd w:id="31"/>
      <w:bookmarkEnd w:id="32"/>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称：新疆众诚易盛工程项目管理有限公司</w:t>
      </w:r>
    </w:p>
    <w:p>
      <w:pPr>
        <w:pageBreakBefore w:val="0"/>
        <w:widowControl w:val="0"/>
        <w:kinsoku/>
        <w:wordWrap/>
        <w:overflowPunct/>
        <w:topLinePunct w:val="0"/>
        <w:bidi w:val="0"/>
        <w:snapToGrid/>
        <w:spacing w:line="48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址：新疆乌鲁木齐市水磨沟区丽景中央城10号1505室</w:t>
      </w:r>
    </w:p>
    <w:p>
      <w:pPr>
        <w:pageBreakBefore w:val="0"/>
        <w:widowControl w:val="0"/>
        <w:kinsoku/>
        <w:wordWrap/>
        <w:overflowPunct/>
        <w:topLinePunct w:val="0"/>
        <w:bidi w:val="0"/>
        <w:snapToGrid/>
        <w:spacing w:line="480" w:lineRule="auto"/>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联系方式：</w:t>
      </w:r>
      <w:r>
        <w:rPr>
          <w:rFonts w:hint="eastAsia" w:eastAsia="仿宋"/>
          <w:lang w:val="en-US" w:eastAsia="zh-CN"/>
        </w:rPr>
        <w:t>13629905242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AA6A0"/>
    <w:multiLevelType w:val="singleLevel"/>
    <w:tmpl w:val="96DAA6A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16425"/>
    <w:rsid w:val="72B3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2022-04-18T03:08:00Z</dcterms:created>
  <dc:creator>Administrator</dc:creator>
  <cp:lastModifiedBy>Administrator</cp:lastModifiedBy>
  <dcterms:modified xsi:type="dcterms:W3CDTF">2022-04-18T03:58:53Z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D5714C1AAB80464080CB390CC78EACEF</vt:lpwstr>
  </property>
</Properties>
</file>