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2022年和田县基层干部参观学习交流项目</w:t>
      </w:r>
    </w:p>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spacing w:line="360" w:lineRule="auto"/>
        <w:rPr>
          <w:rFonts w:hint="eastAsia" w:ascii="宋体" w:hAnsi="宋体" w:eastAsia="宋体" w:cs="宋体"/>
          <w:b/>
          <w:sz w:val="30"/>
          <w:szCs w:val="30"/>
        </w:rPr>
      </w:pPr>
    </w:p>
    <w:p>
      <w:pPr>
        <w:spacing w:line="660" w:lineRule="exact"/>
        <w:jc w:val="center"/>
        <w:rPr>
          <w:rFonts w:hint="eastAsia" w:ascii="宋体" w:hAnsi="宋体" w:eastAsia="宋体" w:cs="宋体"/>
          <w:sz w:val="32"/>
          <w:szCs w:val="32"/>
        </w:rPr>
      </w:pPr>
      <w:r>
        <w:rPr>
          <w:rFonts w:hint="eastAsia" w:ascii="宋体" w:hAnsi="宋体" w:eastAsia="宋体" w:cs="宋体"/>
          <w:b/>
          <w:sz w:val="32"/>
          <w:szCs w:val="32"/>
        </w:rPr>
        <w:t>（磋商采购文件编号：</w:t>
      </w:r>
      <w:r>
        <w:rPr>
          <w:rFonts w:hint="eastAsia" w:ascii="宋体" w:hAnsi="宋体" w:eastAsia="宋体" w:cs="宋体"/>
          <w:b/>
          <w:sz w:val="32"/>
          <w:szCs w:val="32"/>
          <w:highlight w:val="none"/>
        </w:rPr>
        <w:t>HTXZFCG(202</w:t>
      </w:r>
      <w:r>
        <w:rPr>
          <w:rFonts w:hint="eastAsia" w:ascii="宋体" w:hAnsi="宋体" w:cs="宋体"/>
          <w:b/>
          <w:sz w:val="32"/>
          <w:szCs w:val="32"/>
          <w:highlight w:val="none"/>
          <w:lang w:val="en-US" w:eastAsia="zh-CN"/>
        </w:rPr>
        <w:t>2</w:t>
      </w:r>
      <w:r>
        <w:rPr>
          <w:rFonts w:hint="eastAsia" w:ascii="宋体" w:hAnsi="宋体" w:eastAsia="宋体" w:cs="宋体"/>
          <w:b/>
          <w:sz w:val="32"/>
          <w:szCs w:val="32"/>
          <w:highlight w:val="none"/>
        </w:rPr>
        <w:t>FS)0</w:t>
      </w:r>
      <w:r>
        <w:rPr>
          <w:rFonts w:hint="eastAsia" w:ascii="宋体" w:hAnsi="宋体" w:cs="宋体"/>
          <w:b/>
          <w:sz w:val="32"/>
          <w:szCs w:val="32"/>
          <w:highlight w:val="none"/>
          <w:lang w:val="en-US" w:eastAsia="zh-CN"/>
        </w:rPr>
        <w:t>30</w:t>
      </w:r>
      <w:r>
        <w:rPr>
          <w:rFonts w:hint="eastAsia" w:ascii="宋体" w:hAnsi="宋体" w:eastAsia="宋体" w:cs="宋体"/>
          <w:b/>
          <w:sz w:val="32"/>
          <w:szCs w:val="32"/>
          <w:highlight w:val="none"/>
        </w:rPr>
        <w:t>号</w:t>
      </w:r>
      <w:r>
        <w:rPr>
          <w:rFonts w:hint="eastAsia" w:ascii="宋体" w:hAnsi="宋体" w:eastAsia="宋体" w:cs="宋体"/>
          <w:b/>
          <w:sz w:val="32"/>
          <w:szCs w:val="32"/>
        </w:rPr>
        <w:t>）</w:t>
      </w:r>
    </w:p>
    <w:p>
      <w:pPr>
        <w:pStyle w:val="10"/>
        <w:rPr>
          <w:rFonts w:hint="eastAsia" w:ascii="宋体" w:hAnsi="宋体" w:eastAsia="宋体" w:cs="宋体"/>
          <w:b/>
          <w:bCs/>
          <w:sz w:val="32"/>
          <w:szCs w:val="32"/>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 购 人：</w:t>
      </w:r>
      <w:r>
        <w:rPr>
          <w:rFonts w:hint="eastAsia" w:ascii="宋体" w:hAnsi="宋体" w:cs="宋体"/>
          <w:b/>
          <w:bCs/>
          <w:sz w:val="32"/>
          <w:szCs w:val="32"/>
          <w:lang w:eastAsia="zh-CN"/>
        </w:rPr>
        <w:t>和田县发展和改革委员会</w:t>
      </w:r>
      <w:r>
        <w:rPr>
          <w:rFonts w:hint="eastAsia" w:ascii="宋体" w:hAnsi="宋体" w:eastAsia="宋体" w:cs="宋体"/>
          <w:b/>
          <w:bCs/>
          <w:sz w:val="32"/>
          <w:szCs w:val="32"/>
        </w:rPr>
        <w:t>（盖单位章）</w:t>
      </w:r>
    </w:p>
    <w:p>
      <w:pPr>
        <w:pStyle w:val="10"/>
        <w:rPr>
          <w:rFonts w:hint="eastAsia" w:ascii="宋体" w:hAnsi="宋体" w:eastAsia="宋体" w:cs="宋体"/>
          <w:sz w:val="32"/>
          <w:szCs w:val="32"/>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采购代理机构：新疆弘伟工程项目管理有限公司（盖单位章）</w:t>
      </w:r>
    </w:p>
    <w:p>
      <w:pPr>
        <w:spacing w:line="360" w:lineRule="auto"/>
        <w:jc w:val="center"/>
        <w:rPr>
          <w:rFonts w:hint="eastAsia" w:ascii="宋体" w:hAnsi="宋体" w:eastAsia="宋体" w:cs="宋体"/>
          <w:b/>
          <w:sz w:val="32"/>
          <w:szCs w:val="32"/>
        </w:rPr>
      </w:pPr>
    </w:p>
    <w:p>
      <w:pPr>
        <w:pStyle w:val="10"/>
        <w:rPr>
          <w:rFonts w:hint="eastAsia" w:ascii="宋体" w:hAnsi="宋体" w:eastAsia="宋体" w:cs="宋体"/>
          <w:sz w:val="32"/>
          <w:szCs w:val="32"/>
        </w:rPr>
      </w:pPr>
    </w:p>
    <w:p>
      <w:pPr>
        <w:spacing w:line="360" w:lineRule="auto"/>
        <w:jc w:val="center"/>
        <w:rPr>
          <w:rFonts w:hint="eastAsia" w:ascii="宋体" w:hAnsi="宋体" w:eastAsia="宋体" w:cs="宋体"/>
          <w:b/>
          <w:sz w:val="32"/>
          <w:szCs w:val="32"/>
        </w:rPr>
        <w:sectPr>
          <w:footerReference r:id="rId3" w:type="default"/>
          <w:pgSz w:w="11906" w:h="16838"/>
          <w:pgMar w:top="1548" w:right="1247" w:bottom="1134" w:left="1247" w:header="851" w:footer="992" w:gutter="227"/>
          <w:pgNumType w:fmt="numberInDash"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4</w:t>
      </w:r>
      <w:r>
        <w:rPr>
          <w:rFonts w:hint="eastAsia" w:ascii="宋体" w:hAnsi="宋体" w:eastAsia="宋体" w:cs="宋体"/>
          <w:b/>
          <w:sz w:val="32"/>
          <w:szCs w:val="32"/>
        </w:rPr>
        <w:t>月</w:t>
      </w:r>
    </w:p>
    <w:p>
      <w:pPr>
        <w:rPr>
          <w:rFonts w:hint="eastAsia" w:ascii="宋体" w:hAnsi="宋体" w:eastAsia="宋体" w:cs="宋体"/>
          <w:b/>
          <w:bCs/>
          <w:sz w:val="28"/>
          <w:szCs w:val="28"/>
        </w:rPr>
      </w:pPr>
      <w:r>
        <w:rPr>
          <w:rFonts w:hint="eastAsia" w:ascii="宋体" w:hAnsi="宋体" w:eastAsia="宋体" w:cs="宋体"/>
          <w:b/>
          <w:bCs/>
          <w:sz w:val="28"/>
          <w:szCs w:val="28"/>
        </w:rPr>
        <w:t>招投标监督管理机构备案登记栏：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jc w:val="center"/>
              <w:rPr>
                <w:rFonts w:hint="eastAsia" w:ascii="宋体" w:hAnsi="宋体" w:eastAsia="宋体" w:cs="宋体"/>
                <w:sz w:val="28"/>
                <w:szCs w:val="28"/>
              </w:rPr>
            </w:pPr>
          </w:p>
          <w:p>
            <w:pPr>
              <w:pStyle w:val="25"/>
              <w:rPr>
                <w:rFonts w:hint="eastAsia" w:ascii="宋体" w:hAnsi="宋体" w:eastAsia="宋体" w:cs="宋体"/>
              </w:rPr>
            </w:pP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本招标文件已报备</w:t>
            </w:r>
          </w:p>
          <w:p>
            <w:pPr>
              <w:jc w:val="center"/>
              <w:rPr>
                <w:rFonts w:hint="eastAsia" w:ascii="宋体" w:hAnsi="宋体" w:eastAsia="宋体" w:cs="宋体"/>
                <w:sz w:val="28"/>
                <w:szCs w:val="28"/>
              </w:rPr>
            </w:pPr>
          </w:p>
          <w:p>
            <w:pPr>
              <w:rPr>
                <w:rFonts w:hint="eastAsia" w:ascii="宋体" w:hAnsi="宋体" w:eastAsia="宋体" w:cs="宋体"/>
                <w:b/>
                <w:bCs/>
                <w:sz w:val="28"/>
                <w:szCs w:val="28"/>
              </w:rPr>
            </w:pPr>
          </w:p>
          <w:p>
            <w:pPr>
              <w:pStyle w:val="25"/>
              <w:ind w:firstLine="0" w:firstLineChars="0"/>
              <w:rPr>
                <w:rFonts w:hint="eastAsia" w:ascii="宋体" w:hAnsi="宋体" w:eastAsia="宋体" w:cs="宋体"/>
                <w:b/>
                <w:bCs/>
                <w:sz w:val="28"/>
                <w:szCs w:val="28"/>
              </w:rPr>
            </w:pPr>
          </w:p>
          <w:p>
            <w:pPr>
              <w:pStyle w:val="25"/>
              <w:ind w:firstLine="562"/>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Cs/>
                <w:sz w:val="28"/>
                <w:szCs w:val="28"/>
                <w:lang w:val="zh-CN"/>
              </w:rPr>
            </w:pPr>
            <w:r>
              <w:rPr>
                <w:rFonts w:hint="eastAsia" w:ascii="宋体" w:hAnsi="宋体" w:eastAsia="宋体" w:cs="宋体"/>
                <w:bCs/>
                <w:sz w:val="28"/>
                <w:szCs w:val="28"/>
                <w:lang w:val="zh-CN"/>
              </w:rPr>
              <w:t>项目名称：</w:t>
            </w:r>
            <w:r>
              <w:rPr>
                <w:rFonts w:hint="eastAsia" w:ascii="宋体" w:hAnsi="宋体" w:cs="宋体"/>
                <w:bCs/>
                <w:sz w:val="28"/>
                <w:szCs w:val="28"/>
                <w:lang w:val="zh-CN"/>
              </w:rPr>
              <w:t>2022年和田县基层干部参观学习交流项目</w:t>
            </w: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备案时间：</w:t>
            </w:r>
          </w:p>
        </w:tc>
      </w:tr>
    </w:tbl>
    <w:p>
      <w:pPr>
        <w:wordWrap w:val="0"/>
        <w:jc w:val="right"/>
        <w:rPr>
          <w:rFonts w:hint="eastAsia" w:ascii="宋体" w:hAnsi="宋体" w:eastAsia="宋体" w:cs="宋体"/>
          <w:b/>
          <w:kern w:val="0"/>
          <w:sz w:val="30"/>
          <w:szCs w:val="30"/>
        </w:rPr>
      </w:pPr>
      <w:r>
        <w:rPr>
          <w:rFonts w:hint="eastAsia" w:ascii="宋体" w:hAnsi="宋体" w:eastAsia="宋体" w:cs="宋体"/>
          <w:b/>
          <w:bCs/>
          <w:sz w:val="28"/>
          <w:szCs w:val="28"/>
        </w:rPr>
        <w:t xml:space="preserve">和田县政府采购管理办公室 </w:t>
      </w:r>
    </w:p>
    <w:p>
      <w:pPr>
        <w:pStyle w:val="8"/>
        <w:rPr>
          <w:rFonts w:hint="eastAsia" w:ascii="宋体" w:hAnsi="宋体" w:eastAsia="宋体" w:cs="宋体"/>
        </w:rPr>
        <w:sectPr>
          <w:pgSz w:w="11906" w:h="16838"/>
          <w:pgMar w:top="1548" w:right="1247" w:bottom="1134" w:left="1247" w:header="851" w:footer="992" w:gutter="227"/>
          <w:pgNumType w:fmt="numberInDash"/>
          <w:cols w:space="720" w:num="1"/>
          <w:docGrid w:type="lines" w:linePitch="312" w:charSpace="0"/>
        </w:sectPr>
      </w:pPr>
    </w:p>
    <w:p>
      <w:pPr>
        <w:pageBreakBefore/>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总  目  录</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第一章、竞争性磋商采购公告</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w:t>
      </w:r>
    </w:p>
    <w:p>
      <w:pPr>
        <w:pStyle w:val="35"/>
        <w:tabs>
          <w:tab w:val="right" w:leader="dot" w:pos="9185"/>
        </w:tabs>
        <w:spacing w:line="600" w:lineRule="auto"/>
        <w:rPr>
          <w:rFonts w:hint="eastAsia" w:ascii="宋体" w:hAnsi="宋体" w:cs="宋体"/>
          <w:b/>
          <w:kern w:val="2"/>
          <w:sz w:val="24"/>
          <w:szCs w:val="24"/>
          <w:lang w:val="en-US" w:eastAsia="zh-CN"/>
        </w:rPr>
      </w:pPr>
      <w:r>
        <w:rPr>
          <w:rFonts w:hint="eastAsia" w:ascii="宋体" w:hAnsi="宋体" w:eastAsia="宋体" w:cs="宋体"/>
          <w:b/>
          <w:kern w:val="2"/>
          <w:sz w:val="24"/>
          <w:szCs w:val="24"/>
        </w:rPr>
        <w:t>第二章、供应商须知</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7</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第三章、项目采购需求</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31</w:t>
      </w:r>
    </w:p>
    <w:p>
      <w:pPr>
        <w:pStyle w:val="35"/>
        <w:tabs>
          <w:tab w:val="right" w:leader="dot" w:pos="9185"/>
        </w:tabs>
        <w:spacing w:line="600" w:lineRule="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rPr>
        <w:t>第四章、合同条款</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2</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第五章、质疑与处理</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4</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第六章、评标标准（综合评估法）响应文件格式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38</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第七章、响应文件格式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45</w:t>
      </w: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tabs>
          <w:tab w:val="left" w:pos="1230"/>
          <w:tab w:val="left" w:pos="1275"/>
        </w:tabs>
        <w:spacing w:line="340" w:lineRule="exact"/>
        <w:jc w:val="center"/>
        <w:rPr>
          <w:rFonts w:hint="eastAsia" w:ascii="宋体" w:hAnsi="宋体" w:eastAsia="宋体" w:cs="宋体"/>
          <w:b/>
          <w:bCs/>
          <w:sz w:val="24"/>
        </w:rPr>
      </w:pPr>
      <w:r>
        <w:rPr>
          <w:rFonts w:hint="eastAsia" w:ascii="宋体" w:hAnsi="宋体" w:eastAsia="宋体" w:cs="宋体"/>
          <w:b/>
          <w:bCs/>
          <w:sz w:val="32"/>
          <w:szCs w:val="32"/>
        </w:rPr>
        <w:br w:type="page"/>
      </w:r>
      <w:r>
        <w:rPr>
          <w:rFonts w:hint="eastAsia" w:ascii="宋体" w:hAnsi="宋体" w:eastAsia="宋体" w:cs="宋体"/>
          <w:b/>
          <w:bCs/>
          <w:sz w:val="32"/>
          <w:szCs w:val="32"/>
        </w:rPr>
        <w:t>第一章、竞争性磋商采购公告</w:t>
      </w:r>
      <w:bookmarkStart w:id="0" w:name="_Toc9033"/>
      <w:r>
        <w:rPr>
          <w:rFonts w:hint="eastAsia" w:ascii="宋体" w:hAnsi="宋体" w:eastAsia="宋体" w:cs="宋体"/>
          <w:b/>
          <w:bCs/>
          <w:sz w:val="24"/>
        </w:rPr>
        <w:t xml:space="preserve">           </w:t>
      </w:r>
      <w:bookmarkEnd w:id="0"/>
      <w:r>
        <w:rPr>
          <w:rFonts w:hint="eastAsia" w:ascii="宋体" w:hAnsi="宋体" w:eastAsia="宋体" w:cs="宋体"/>
          <w:b/>
          <w:bCs/>
          <w:sz w:val="24"/>
        </w:rPr>
        <w:t xml:space="preserve">        </w:t>
      </w:r>
    </w:p>
    <w:p>
      <w:pPr>
        <w:pStyle w:val="5"/>
        <w:keepLines/>
        <w:tabs>
          <w:tab w:val="left" w:pos="0"/>
        </w:tabs>
        <w:autoSpaceDE w:val="0"/>
        <w:autoSpaceDN w:val="0"/>
        <w:snapToGrid w:val="0"/>
        <w:jc w:val="center"/>
        <w:rPr>
          <w:rFonts w:hint="eastAsia" w:ascii="宋体" w:hAnsi="宋体" w:eastAsia="宋体" w:cs="宋体"/>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pStyle w:val="22"/>
              <w:keepNext w:val="0"/>
              <w:keepLines w:val="0"/>
              <w:pageBreakBefore w:val="0"/>
              <w:kinsoku/>
              <w:wordWrap/>
              <w:overflowPunct/>
              <w:topLinePunct w:val="0"/>
              <w:autoSpaceDE/>
              <w:autoSpaceDN/>
              <w:bidi w:val="0"/>
              <w:adjustRightInd/>
              <w:snapToGrid/>
              <w:spacing w:before="68" w:beforeAutospacing="0" w:after="136" w:afterAutospacing="0"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rPr>
                <w:rFonts w:hint="eastAsia"/>
                <w:vertAlign w:val="baseline"/>
              </w:rPr>
            </w:pPr>
            <w:r>
              <w:rPr>
                <w:rStyle w:val="57"/>
                <w:rFonts w:hint="eastAsia" w:ascii="宋体" w:hAnsi="宋体" w:eastAsia="宋体" w:cs="宋体"/>
                <w:color w:val="auto"/>
                <w:sz w:val="24"/>
                <w:szCs w:val="24"/>
              </w:rPr>
              <w:t>关于</w:t>
            </w:r>
            <w:r>
              <w:rPr>
                <w:rFonts w:hint="eastAsia" w:ascii="宋体" w:hAnsi="宋体" w:cs="宋体"/>
                <w:sz w:val="24"/>
                <w:lang w:eastAsia="zh-CN"/>
              </w:rPr>
              <w:t>2022年和田县基层干部参观学习交流项目</w:t>
            </w:r>
            <w:r>
              <w:rPr>
                <w:rFonts w:hint="eastAsia" w:ascii="宋体" w:hAnsi="宋体" w:eastAsia="宋体" w:cs="宋体"/>
                <w:color w:val="auto"/>
                <w:sz w:val="24"/>
                <w:szCs w:val="24"/>
              </w:rPr>
              <w:t>的潜在供应商应在</w:t>
            </w:r>
            <w:r>
              <w:rPr>
                <w:rStyle w:val="57"/>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并于</w:t>
            </w:r>
            <w:r>
              <w:rPr>
                <w:rStyle w:val="57"/>
                <w:rFonts w:hint="eastAsia" w:ascii="宋体" w:hAnsi="宋体" w:eastAsia="宋体" w:cs="宋体"/>
                <w:color w:val="auto"/>
                <w:sz w:val="24"/>
                <w:szCs w:val="24"/>
                <w:highlight w:val="none"/>
              </w:rPr>
              <w:t>202</w:t>
            </w:r>
            <w:r>
              <w:rPr>
                <w:rStyle w:val="57"/>
                <w:rFonts w:hint="eastAsia" w:ascii="宋体" w:hAnsi="宋体" w:eastAsia="宋体" w:cs="宋体"/>
                <w:color w:val="auto"/>
                <w:sz w:val="24"/>
                <w:szCs w:val="24"/>
                <w:highlight w:val="none"/>
                <w:lang w:val="en-US" w:eastAsia="zh-CN"/>
              </w:rPr>
              <w:t>2</w:t>
            </w:r>
            <w:r>
              <w:rPr>
                <w:rStyle w:val="57"/>
                <w:rFonts w:hint="eastAsia" w:ascii="宋体" w:hAnsi="宋体" w:eastAsia="宋体" w:cs="宋体"/>
                <w:color w:val="auto"/>
                <w:sz w:val="24"/>
                <w:szCs w:val="24"/>
                <w:highlight w:val="none"/>
              </w:rPr>
              <w:t>年</w:t>
            </w:r>
            <w:r>
              <w:rPr>
                <w:rStyle w:val="57"/>
                <w:rFonts w:hint="eastAsia" w:ascii="宋体" w:hAnsi="宋体" w:eastAsia="宋体" w:cs="宋体"/>
                <w:color w:val="auto"/>
                <w:sz w:val="24"/>
                <w:szCs w:val="24"/>
                <w:highlight w:val="none"/>
                <w:lang w:val="en-US" w:eastAsia="zh-CN"/>
              </w:rPr>
              <w:t xml:space="preserve"> </w:t>
            </w:r>
            <w:r>
              <w:rPr>
                <w:rStyle w:val="57"/>
                <w:rFonts w:hint="eastAsia" w:ascii="宋体" w:hAnsi="宋体" w:cs="宋体"/>
                <w:color w:val="auto"/>
                <w:sz w:val="24"/>
                <w:szCs w:val="24"/>
                <w:highlight w:val="none"/>
                <w:lang w:val="en-US" w:eastAsia="zh-CN"/>
              </w:rPr>
              <w:t>05</w:t>
            </w:r>
            <w:r>
              <w:rPr>
                <w:rStyle w:val="57"/>
                <w:rFonts w:hint="eastAsia" w:ascii="宋体" w:hAnsi="宋体" w:eastAsia="宋体" w:cs="宋体"/>
                <w:color w:val="auto"/>
                <w:sz w:val="24"/>
                <w:szCs w:val="24"/>
                <w:highlight w:val="none"/>
              </w:rPr>
              <w:t>月</w:t>
            </w:r>
            <w:r>
              <w:rPr>
                <w:rStyle w:val="57"/>
                <w:rFonts w:hint="eastAsia" w:ascii="宋体" w:hAnsi="宋体" w:cs="宋体"/>
                <w:color w:val="auto"/>
                <w:sz w:val="24"/>
                <w:szCs w:val="24"/>
                <w:highlight w:val="none"/>
                <w:lang w:val="en-US" w:eastAsia="zh-CN"/>
              </w:rPr>
              <w:t>05</w:t>
            </w:r>
            <w:r>
              <w:rPr>
                <w:rStyle w:val="57"/>
                <w:rFonts w:hint="eastAsia" w:ascii="宋体" w:hAnsi="宋体" w:eastAsia="宋体" w:cs="宋体"/>
                <w:color w:val="auto"/>
                <w:sz w:val="24"/>
                <w:szCs w:val="24"/>
                <w:highlight w:val="none"/>
              </w:rPr>
              <w:t>日 1</w:t>
            </w:r>
            <w:r>
              <w:rPr>
                <w:rStyle w:val="57"/>
                <w:rFonts w:hint="eastAsia" w:ascii="宋体" w:hAnsi="宋体" w:eastAsia="宋体" w:cs="宋体"/>
                <w:color w:val="auto"/>
                <w:sz w:val="24"/>
                <w:szCs w:val="24"/>
                <w:highlight w:val="none"/>
                <w:lang w:val="en-US" w:eastAsia="zh-CN"/>
              </w:rPr>
              <w:t>1</w:t>
            </w:r>
            <w:r>
              <w:rPr>
                <w:rStyle w:val="57"/>
                <w:rFonts w:hint="eastAsia" w:ascii="宋体" w:hAnsi="宋体" w:eastAsia="宋体" w:cs="宋体"/>
                <w:color w:val="auto"/>
                <w:sz w:val="24"/>
                <w:szCs w:val="24"/>
                <w:highlight w:val="none"/>
              </w:rPr>
              <w:t>:00</w:t>
            </w:r>
            <w:r>
              <w:rPr>
                <w:rFonts w:hint="eastAsia" w:ascii="宋体" w:hAnsi="宋体" w:eastAsia="宋体" w:cs="宋体"/>
                <w:color w:val="auto"/>
                <w:sz w:val="24"/>
                <w:szCs w:val="24"/>
              </w:rPr>
              <w:t>（北京时间）前提交响应文件。</w:t>
            </w:r>
          </w:p>
        </w:tc>
      </w:tr>
    </w:tbl>
    <w:p>
      <w:pPr>
        <w:rPr>
          <w:rFonts w:hint="eastAsia"/>
        </w:rPr>
      </w:pPr>
    </w:p>
    <w:p>
      <w:pPr>
        <w:pStyle w:val="6"/>
        <w:widowControl w:val="0"/>
        <w:snapToGrid w:val="0"/>
        <w:spacing w:line="360" w:lineRule="auto"/>
        <w:rPr>
          <w:rFonts w:hint="eastAsia" w:ascii="宋体" w:hAnsi="宋体" w:eastAsia="宋体" w:cs="宋体"/>
          <w:b/>
          <w:bCs/>
          <w:sz w:val="24"/>
          <w:szCs w:val="24"/>
        </w:rPr>
      </w:pPr>
      <w:bookmarkStart w:id="1" w:name="_Toc28359089"/>
      <w:bookmarkStart w:id="2" w:name="_Toc28359012"/>
      <w:bookmarkStart w:id="3" w:name="_Toc35393629"/>
      <w:bookmarkStart w:id="4" w:name="_Toc11674"/>
      <w:bookmarkStart w:id="5" w:name="_Toc35393798"/>
      <w:bookmarkStart w:id="6" w:name="_Toc14464"/>
      <w:r>
        <w:rPr>
          <w:rFonts w:hint="eastAsia" w:ascii="宋体" w:hAnsi="宋体" w:eastAsia="宋体" w:cs="宋体"/>
          <w:b/>
          <w:bCs/>
          <w:sz w:val="24"/>
          <w:szCs w:val="24"/>
        </w:rPr>
        <w:t>一、项目基本情况</w:t>
      </w:r>
      <w:bookmarkEnd w:id="1"/>
      <w:bookmarkEnd w:id="2"/>
      <w:bookmarkEnd w:id="3"/>
      <w:bookmarkEnd w:id="4"/>
      <w:bookmarkEnd w:id="5"/>
      <w:bookmarkEnd w:id="6"/>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highlight w:val="none"/>
        </w:rPr>
        <w:t>HTXZFCG(202</w:t>
      </w:r>
      <w:r>
        <w:rPr>
          <w:rFonts w:hint="eastAsia" w:ascii="宋体" w:hAnsi="宋体" w:cs="宋体"/>
          <w:sz w:val="24"/>
          <w:highlight w:val="none"/>
          <w:lang w:val="en-US" w:eastAsia="zh-CN"/>
        </w:rPr>
        <w:t>2</w:t>
      </w:r>
      <w:r>
        <w:rPr>
          <w:rFonts w:hint="eastAsia" w:ascii="宋体" w:hAnsi="宋体" w:eastAsia="宋体" w:cs="宋体"/>
          <w:sz w:val="24"/>
          <w:highlight w:val="none"/>
        </w:rPr>
        <w:t>FS)03</w:t>
      </w:r>
      <w:r>
        <w:rPr>
          <w:rFonts w:hint="eastAsia" w:ascii="宋体" w:hAnsi="宋体" w:cs="宋体"/>
          <w:sz w:val="24"/>
          <w:highlight w:val="none"/>
          <w:lang w:val="en-US" w:eastAsia="zh-CN"/>
        </w:rPr>
        <w:t>0</w:t>
      </w:r>
      <w:r>
        <w:rPr>
          <w:rFonts w:hint="eastAsia" w:ascii="宋体" w:hAnsi="宋体" w:eastAsia="宋体" w:cs="宋体"/>
          <w:sz w:val="24"/>
          <w:highlight w:val="none"/>
        </w:rPr>
        <w:t>号</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cs="宋体"/>
          <w:sz w:val="24"/>
          <w:lang w:eastAsia="zh-CN"/>
        </w:rPr>
        <w:t>2022年和田县基层干部参观学习交流项目</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 竞争性磋商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cs="宋体"/>
          <w:sz w:val="24"/>
          <w:lang w:val="en-US" w:eastAsia="zh-CN"/>
        </w:rPr>
        <w:t>1620000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最高限价：</w:t>
      </w:r>
      <w:r>
        <w:rPr>
          <w:rFonts w:hint="eastAsia" w:ascii="宋体" w:hAnsi="宋体" w:cs="宋体"/>
          <w:sz w:val="24"/>
          <w:lang w:val="en-US" w:eastAsia="zh-CN"/>
        </w:rPr>
        <w:t>1620000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采购需求：组织80名县、乡、村三级业务骨干赴援疆省市开展国情教育、红色教育、业务经验交流、参观考察学习、乡村振兴亮点观摩等，与援疆省市相关部门、乡镇村进行业务交流，学习先进经验。分四批进行，每批十天。</w:t>
      </w:r>
      <w:r>
        <w:rPr>
          <w:rFonts w:hint="eastAsia" w:ascii="宋体" w:hAnsi="宋体" w:eastAsia="宋体" w:cs="宋体"/>
          <w:color w:val="000000"/>
          <w:sz w:val="24"/>
        </w:rPr>
        <w:t> </w:t>
      </w:r>
    </w:p>
    <w:p>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合同履行期限：</w:t>
      </w:r>
      <w:r>
        <w:rPr>
          <w:rFonts w:hint="eastAsia" w:ascii="宋体" w:hAnsi="宋体" w:eastAsia="宋体" w:cs="宋体"/>
          <w:color w:val="auto"/>
          <w:sz w:val="24"/>
          <w:szCs w:val="24"/>
          <w:lang w:val="en-US" w:eastAsia="zh-CN"/>
        </w:rPr>
        <w:t>甲乙双方签订合同时约定</w:t>
      </w:r>
    </w:p>
    <w:p>
      <w:pPr>
        <w:pStyle w:val="6"/>
        <w:widowControl w:val="0"/>
        <w:snapToGrid w:val="0"/>
        <w:spacing w:line="360" w:lineRule="auto"/>
        <w:ind w:firstLine="480" w:firstLineChars="200"/>
        <w:rPr>
          <w:rFonts w:hint="eastAsia" w:ascii="宋体" w:hAnsi="宋体" w:eastAsia="宋体" w:cs="宋体"/>
          <w:b w:val="0"/>
          <w:kern w:val="2"/>
          <w:sz w:val="24"/>
          <w:szCs w:val="24"/>
          <w:lang w:val="en-US" w:eastAsia="zh-CN" w:bidi="ar-SA"/>
        </w:rPr>
      </w:pPr>
      <w:bookmarkStart w:id="7" w:name="_Toc10197"/>
      <w:bookmarkStart w:id="8" w:name="_Toc28359090"/>
      <w:bookmarkStart w:id="9" w:name="_Toc3275"/>
      <w:bookmarkStart w:id="10" w:name="_Toc35393630"/>
      <w:bookmarkStart w:id="11" w:name="_Toc35393799"/>
      <w:bookmarkStart w:id="12" w:name="_Toc28359013"/>
      <w:r>
        <w:rPr>
          <w:rFonts w:hint="eastAsia" w:ascii="宋体" w:hAnsi="宋体" w:eastAsia="宋体" w:cs="宋体"/>
          <w:b w:val="0"/>
          <w:kern w:val="2"/>
          <w:sz w:val="24"/>
          <w:szCs w:val="24"/>
          <w:lang w:val="en-US" w:eastAsia="zh-CN" w:bidi="ar-SA"/>
        </w:rPr>
        <w:t>本项目不接受联合体投标。</w:t>
      </w:r>
    </w:p>
    <w:p>
      <w:pPr>
        <w:pStyle w:val="6"/>
        <w:widowControl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7"/>
      <w:bookmarkEnd w:id="8"/>
      <w:bookmarkEnd w:id="9"/>
      <w:bookmarkEnd w:id="10"/>
      <w:bookmarkEnd w:id="11"/>
      <w:bookmarkEnd w:id="12"/>
    </w:p>
    <w:p>
      <w:pPr>
        <w:snapToGrid w:val="0"/>
        <w:spacing w:line="360" w:lineRule="auto"/>
        <w:rPr>
          <w:rFonts w:hint="eastAsia" w:ascii="宋体" w:hAnsi="宋体" w:eastAsia="宋体" w:cs="宋体"/>
          <w:sz w:val="24"/>
        </w:rPr>
      </w:pPr>
      <w:bookmarkStart w:id="13" w:name="_Toc17402"/>
      <w:bookmarkStart w:id="14" w:name="_Toc28359014"/>
      <w:bookmarkStart w:id="15" w:name="_Toc35393800"/>
      <w:bookmarkStart w:id="16" w:name="_Toc28359091"/>
      <w:bookmarkStart w:id="17" w:name="_Toc20889"/>
      <w:bookmarkStart w:id="18" w:name="_Toc35393631"/>
      <w:r>
        <w:rPr>
          <w:rFonts w:hint="eastAsia" w:ascii="宋体" w:hAnsi="宋体" w:eastAsia="宋体" w:cs="宋体"/>
          <w:sz w:val="24"/>
        </w:rPr>
        <w:t>1.满足《中华人民共和国政府采购法》第二十二条规定；</w:t>
      </w:r>
    </w:p>
    <w:p>
      <w:pPr>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sz w:val="24"/>
        </w:rPr>
        <w:t>2.落实政府采购政策需满足的资格要求：</w:t>
      </w:r>
      <w:r>
        <w:rPr>
          <w:rFonts w:hint="eastAsia" w:ascii="宋体" w:hAnsi="宋体" w:eastAsia="宋体" w:cs="宋体"/>
          <w:color w:val="auto"/>
          <w:kern w:val="0"/>
          <w:sz w:val="24"/>
          <w:szCs w:val="24"/>
          <w:lang w:val="en-US" w:eastAsia="zh-CN"/>
        </w:rPr>
        <w:t>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p>
    <w:p>
      <w:pPr>
        <w:snapToGrid w:val="0"/>
        <w:spacing w:line="360" w:lineRule="auto"/>
        <w:rPr>
          <w:rFonts w:hint="eastAsia" w:ascii="宋体" w:hAnsi="宋体" w:eastAsia="宋体" w:cs="宋体"/>
          <w:sz w:val="24"/>
        </w:rPr>
      </w:pPr>
      <w:r>
        <w:rPr>
          <w:rFonts w:hint="eastAsia" w:ascii="宋体" w:hAnsi="宋体" w:eastAsia="宋体" w:cs="宋体"/>
          <w:sz w:val="24"/>
        </w:rPr>
        <w:t>3.资格要求: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lang w:val="en-US" w:eastAsia="zh-CN"/>
        </w:rPr>
      </w:pPr>
      <w:r>
        <w:rPr>
          <w:rFonts w:hint="eastAsia" w:ascii="宋体" w:hAnsi="宋体" w:cs="宋体"/>
          <w:color w:val="auto"/>
          <w:kern w:val="0"/>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法定代表人需提供法定代表人证明书及法定代表人身份证，委托代理人需提供法定代表人授权委托书及委托代理人身份证，并提供</w:t>
      </w:r>
      <w:r>
        <w:rPr>
          <w:rFonts w:hint="eastAsia" w:ascii="宋体" w:hAnsi="宋体" w:cs="宋体"/>
          <w:color w:val="auto"/>
          <w:kern w:val="0"/>
          <w:sz w:val="24"/>
          <w:szCs w:val="24"/>
          <w:lang w:val="en-US" w:eastAsia="zh-CN"/>
        </w:rPr>
        <w:t>法人</w:t>
      </w:r>
      <w:r>
        <w:rPr>
          <w:rFonts w:hint="eastAsia" w:ascii="宋体" w:hAnsi="宋体" w:eastAsia="宋体" w:cs="宋体"/>
          <w:color w:val="auto"/>
          <w:kern w:val="0"/>
          <w:sz w:val="24"/>
          <w:szCs w:val="24"/>
          <w:lang w:val="en-US" w:eastAsia="zh-CN"/>
        </w:rPr>
        <w:t>近三个月社保证明材料（社保缴费凭证及个人明细表）</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（4）投标单位需提供税务机关出具的2021年以来近三个月的完税证明（2021年12月份后成立的公司按实际发生提供）</w:t>
      </w:r>
      <w:r>
        <w:rPr>
          <w:rFonts w:hint="eastAsia" w:ascii="宋体" w:hAnsi="宋体" w:eastAsia="宋体" w:cs="宋体"/>
          <w:color w:val="auto"/>
          <w:kern w:val="0"/>
          <w:sz w:val="24"/>
          <w:szCs w:val="24"/>
          <w:lang w:val="zh-CN" w:eastAsia="zh-CN"/>
        </w:rPr>
        <w:t>；</w:t>
      </w:r>
    </w:p>
    <w:p>
      <w:pPr>
        <w:pStyle w:val="15"/>
        <w:ind w:firstLine="480" w:firstLineChars="200"/>
        <w:rPr>
          <w:rFonts w:hint="eastAsia"/>
          <w:lang w:val="en-US" w:eastAsia="zh-CN"/>
        </w:rPr>
      </w:pPr>
      <w:r>
        <w:rPr>
          <w:rFonts w:hint="eastAsia" w:hAnsi="宋体" w:cs="宋体"/>
          <w:color w:val="auto"/>
          <w:kern w:val="0"/>
          <w:sz w:val="24"/>
          <w:szCs w:val="24"/>
          <w:lang w:val="zh-CN" w:eastAsia="zh-CN"/>
        </w:rPr>
        <w:t>（</w:t>
      </w:r>
      <w:r>
        <w:rPr>
          <w:rFonts w:hint="eastAsia" w:hAnsi="宋体" w:cs="宋体"/>
          <w:color w:val="auto"/>
          <w:kern w:val="0"/>
          <w:sz w:val="24"/>
          <w:szCs w:val="24"/>
          <w:lang w:val="en-US" w:eastAsia="zh-CN"/>
        </w:rPr>
        <w:t>5</w:t>
      </w:r>
      <w:r>
        <w:rPr>
          <w:rFonts w:hint="eastAsia" w:hAnsi="宋体" w:cs="宋体"/>
          <w:color w:val="auto"/>
          <w:kern w:val="0"/>
          <w:sz w:val="24"/>
          <w:szCs w:val="24"/>
          <w:lang w:val="zh-CN" w:eastAsia="zh-CN"/>
        </w:rPr>
        <w:t>）</w:t>
      </w:r>
      <w:r>
        <w:rPr>
          <w:rFonts w:hint="eastAsia" w:ascii="宋体" w:hAnsi="宋体" w:eastAsia="宋体" w:cs="宋体"/>
          <w:color w:val="000000"/>
          <w:spacing w:val="14"/>
          <w:sz w:val="24"/>
          <w:szCs w:val="24"/>
          <w:highlight w:val="none"/>
          <w:lang w:val="en-US" w:eastAsia="zh-CN"/>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（7）单位负责人为同一人或者存在直接控股、管理关系的不同投标人，不得同时参加本次政府采购活动。</w:t>
      </w:r>
    </w:p>
    <w:p>
      <w:pPr>
        <w:pStyle w:val="58"/>
        <w:keepNext w:val="0"/>
        <w:keepLines w:val="0"/>
        <w:pageBreakBefore w:val="0"/>
        <w:kinsoku/>
        <w:wordWrap/>
        <w:topLinePunct w:val="0"/>
        <w:bidi w:val="0"/>
        <w:snapToGrid/>
        <w:spacing w:line="360" w:lineRule="auto"/>
        <w:ind w:firstLine="480" w:firstLineChars="200"/>
        <w:rPr>
          <w:rFonts w:hint="eastAsia" w:eastAsia="宋体"/>
          <w:lang w:val="en-US" w:eastAsia="zh-CN"/>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r>
        <w:rPr>
          <w:rFonts w:hint="eastAsia" w:ascii="宋体" w:hAnsi="宋体" w:eastAsia="宋体" w:cs="宋体"/>
          <w:color w:val="auto"/>
          <w:kern w:val="0"/>
          <w:sz w:val="24"/>
          <w:szCs w:val="24"/>
          <w:lang w:eastAsia="zh-CN"/>
        </w:rPr>
        <w:t>。</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三、获取采购文件</w:t>
      </w:r>
      <w:bookmarkEnd w:id="13"/>
      <w:bookmarkEnd w:id="14"/>
      <w:bookmarkEnd w:id="15"/>
      <w:bookmarkEnd w:id="16"/>
      <w:bookmarkEnd w:id="17"/>
      <w:bookmarkEnd w:id="18"/>
    </w:p>
    <w:p>
      <w:pPr>
        <w:snapToGrid w:val="0"/>
        <w:spacing w:line="360" w:lineRule="auto"/>
        <w:ind w:firstLine="480" w:firstLineChars="200"/>
        <w:rPr>
          <w:rFonts w:hint="eastAsia" w:ascii="宋体" w:hAnsi="宋体" w:eastAsia="宋体" w:cs="宋体"/>
          <w:sz w:val="24"/>
        </w:rPr>
      </w:pPr>
      <w:bookmarkStart w:id="19" w:name="_Toc35393632"/>
      <w:bookmarkStart w:id="20" w:name="_Toc28359015"/>
      <w:bookmarkStart w:id="21" w:name="_Toc22996"/>
      <w:bookmarkStart w:id="22" w:name="_Toc7922"/>
      <w:bookmarkStart w:id="23" w:name="_Toc28359092"/>
      <w:bookmarkStart w:id="24" w:name="_Toc35393801"/>
      <w:r>
        <w:rPr>
          <w:rFonts w:hint="eastAsia" w:ascii="宋体" w:hAnsi="宋体" w:eastAsia="宋体" w:cs="宋体"/>
          <w:sz w:val="24"/>
        </w:rPr>
        <w:t>时间：线上获取法定节假日均可</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地点：新疆政府采购网（http://www.ccgp-xinjiang.gov.cn/）的该采购公告附件中直接下载招标（采购）文件。 </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方式：</w:t>
      </w:r>
      <w:r>
        <w:rPr>
          <w:rFonts w:hint="eastAsia" w:ascii="宋体" w:hAnsi="宋体" w:eastAsia="宋体" w:cs="宋体"/>
          <w:color w:val="auto"/>
          <w:kern w:val="0"/>
          <w:sz w:val="24"/>
          <w:szCs w:val="24"/>
        </w:rPr>
        <w:t>在符合该公告报名条件的前提下，可在该公告附件中自行下载文件并参与投标，不再需要报名，在开标时带原件进行资格审查。</w:t>
      </w:r>
    </w:p>
    <w:p>
      <w:pPr>
        <w:snapToGrid w:val="0"/>
        <w:spacing w:line="360" w:lineRule="auto"/>
        <w:ind w:firstLine="480" w:firstLineChars="200"/>
        <w:rPr>
          <w:rFonts w:hint="default" w:ascii="宋体" w:hAnsi="宋体" w:eastAsia="宋体" w:cs="宋体"/>
          <w:lang w:val="en-US"/>
        </w:rPr>
      </w:pPr>
      <w:r>
        <w:rPr>
          <w:rFonts w:hint="eastAsia" w:ascii="宋体" w:hAnsi="宋体" w:eastAsia="宋体" w:cs="宋体"/>
          <w:sz w:val="24"/>
        </w:rPr>
        <w:t>售价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r>
        <w:rPr>
          <w:rFonts w:hint="eastAsia" w:ascii="宋体" w:hAnsi="宋体" w:eastAsia="宋体" w:cs="宋体"/>
          <w:sz w:val="24"/>
        </w:rPr>
        <w:t>：</w:t>
      </w:r>
      <w:r>
        <w:rPr>
          <w:rFonts w:hint="eastAsia" w:ascii="宋体" w:hAnsi="宋体" w:cs="宋体"/>
          <w:sz w:val="24"/>
          <w:lang w:val="en-US" w:eastAsia="zh-CN"/>
        </w:rPr>
        <w:t>200元</w:t>
      </w:r>
    </w:p>
    <w:bookmarkEnd w:id="19"/>
    <w:bookmarkEnd w:id="20"/>
    <w:bookmarkEnd w:id="21"/>
    <w:bookmarkEnd w:id="22"/>
    <w:bookmarkEnd w:id="23"/>
    <w:bookmarkEnd w:id="24"/>
    <w:p>
      <w:pPr>
        <w:snapToGrid w:val="0"/>
        <w:spacing w:line="360" w:lineRule="auto"/>
        <w:rPr>
          <w:rFonts w:hint="eastAsia" w:ascii="宋体" w:hAnsi="宋体" w:eastAsia="宋体" w:cs="宋体"/>
          <w:sz w:val="24"/>
        </w:rPr>
      </w:pPr>
      <w:r>
        <w:rPr>
          <w:rStyle w:val="29"/>
          <w:rFonts w:hint="eastAsia" w:ascii="宋体" w:hAnsi="宋体" w:eastAsia="宋体" w:cs="宋体"/>
          <w:color w:val="auto"/>
          <w:sz w:val="24"/>
          <w:szCs w:val="24"/>
          <w:highlight w:val="none"/>
          <w:lang w:val="en-US" w:eastAsia="zh-CN"/>
        </w:rPr>
        <w:t>四、</w:t>
      </w:r>
      <w:r>
        <w:rPr>
          <w:rStyle w:val="29"/>
          <w:rFonts w:hint="eastAsia" w:ascii="宋体" w:hAnsi="宋体" w:eastAsia="宋体" w:cs="宋体"/>
          <w:color w:val="auto"/>
          <w:sz w:val="24"/>
          <w:szCs w:val="24"/>
          <w:highlight w:val="none"/>
        </w:rPr>
        <w:t>提交投标文件截止时间、开标时间和地点</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日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日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highlight w:val="none"/>
        </w:rPr>
        <w:t>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lang w:val="en-US" w:eastAsia="zh-CN"/>
        </w:rPr>
        <w:t>五、</w:t>
      </w:r>
      <w:r>
        <w:rPr>
          <w:rStyle w:val="29"/>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  </w:t>
      </w:r>
    </w:p>
    <w:p>
      <w:pPr>
        <w:keepNext w:val="0"/>
        <w:keepLines w:val="0"/>
        <w:pageBreakBefore w:val="0"/>
        <w:widowControl/>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eastAsia="zh-CN"/>
        </w:rPr>
        <w:t>和田县发展和改革委员会</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eastAsia="宋体" w:cs="宋体"/>
          <w:kern w:val="56"/>
          <w:sz w:val="24"/>
          <w:szCs w:val="24"/>
          <w:lang w:val="en-US" w:eastAsia="zh-CN"/>
        </w:rPr>
        <w:t>和田市古江南路6号</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kern w:val="56"/>
          <w:sz w:val="24"/>
          <w:szCs w:val="24"/>
          <w:lang w:val="en-US" w:eastAsia="zh-CN"/>
        </w:rPr>
        <w:t>0903-2021720</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val="en-US" w:eastAsia="zh-CN"/>
        </w:rPr>
        <w:t>新疆弘伟工程项目管理有限公司</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址：和田市肖尔巴格乡库木巴格村 270 号</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宋体" w:hAnsi="宋体" w:eastAsia="宋体" w:cs="宋体"/>
          <w:color w:val="auto"/>
          <w:kern w:val="0"/>
          <w:sz w:val="24"/>
          <w:szCs w:val="24"/>
          <w:lang w:val="en-US" w:eastAsia="zh-CN"/>
        </w:rPr>
        <w:t xml:space="preserve">    项目联系人</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杜女士</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0903-6862333</w:t>
      </w:r>
    </w:p>
    <w:p>
      <w:pPr>
        <w:snapToGrid w:val="0"/>
        <w:ind w:firstLine="720" w:firstLineChars="300"/>
        <w:rPr>
          <w:rFonts w:hint="eastAsia" w:ascii="宋体" w:hAnsi="宋体" w:eastAsia="宋体" w:cs="宋体"/>
          <w:kern w:val="0"/>
          <w:sz w:val="24"/>
        </w:rPr>
      </w:pPr>
      <w:r>
        <w:rPr>
          <w:rFonts w:hint="eastAsia" w:ascii="宋体" w:hAnsi="宋体" w:eastAsia="宋体" w:cs="宋体"/>
          <w:kern w:val="0"/>
          <w:sz w:val="24"/>
        </w:rPr>
        <w:t>　　　</w:t>
      </w:r>
    </w:p>
    <w:p>
      <w:pPr>
        <w:snapToGrid w:val="0"/>
        <w:spacing w:line="216" w:lineRule="auto"/>
        <w:ind w:firstLine="720" w:firstLineChars="300"/>
        <w:rPr>
          <w:rFonts w:hint="eastAsia" w:ascii="宋体" w:hAnsi="宋体" w:eastAsia="宋体" w:cs="宋体"/>
          <w:sz w:val="24"/>
        </w:rPr>
      </w:pPr>
      <w:r>
        <w:rPr>
          <w:rFonts w:hint="eastAsia" w:ascii="宋体" w:hAnsi="宋体" w:eastAsia="宋体" w:cs="宋体"/>
          <w:sz w:val="24"/>
        </w:rPr>
        <w:t>　　</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tabs>
          <w:tab w:val="left" w:pos="1230"/>
          <w:tab w:val="left" w:pos="1275"/>
        </w:tabs>
        <w:spacing w:line="320" w:lineRule="exact"/>
        <w:rPr>
          <w:rFonts w:hint="eastAsia" w:ascii="宋体" w:hAnsi="宋体" w:eastAsia="宋体" w:cs="宋体"/>
          <w:sz w:val="24"/>
        </w:rPr>
      </w:pPr>
      <w:r>
        <w:rPr>
          <w:rFonts w:hint="eastAsia" w:ascii="宋体" w:hAnsi="宋体" w:eastAsia="宋体" w:cs="宋体"/>
          <w:bCs/>
          <w:sz w:val="24"/>
        </w:rPr>
        <w:t> </w:t>
      </w:r>
    </w:p>
    <w:p>
      <w:pPr>
        <w:jc w:val="center"/>
        <w:rPr>
          <w:rFonts w:hint="eastAsia" w:ascii="宋体" w:hAnsi="宋体" w:eastAsia="宋体" w:cs="宋体"/>
        </w:rPr>
      </w:pPr>
      <w:bookmarkStart w:id="25" w:name="_Toc17277_WPSOffice_Level1"/>
      <w:r>
        <w:rPr>
          <w:rFonts w:hint="eastAsia" w:ascii="宋体" w:hAnsi="宋体" w:eastAsia="宋体" w:cs="宋体"/>
          <w:b/>
          <w:bCs/>
          <w:sz w:val="30"/>
          <w:szCs w:val="30"/>
        </w:rPr>
        <w:t>第二章、</w:t>
      </w:r>
      <w:bookmarkEnd w:id="25"/>
      <w:r>
        <w:rPr>
          <w:rFonts w:hint="eastAsia" w:ascii="宋体" w:hAnsi="宋体" w:eastAsia="宋体" w:cs="宋体"/>
          <w:b/>
          <w:bCs/>
          <w:sz w:val="30"/>
          <w:szCs w:val="30"/>
        </w:rPr>
        <w:t>投标人须知前附表</w:t>
      </w:r>
    </w:p>
    <w:tbl>
      <w:tblPr>
        <w:tblStyle w:val="2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cs="宋体"/>
                <w:sz w:val="24"/>
                <w:lang w:eastAsia="zh-CN"/>
              </w:rPr>
              <w:t>2022年和田县基层干部参观学习交流项目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采购内容</w:t>
            </w:r>
          </w:p>
        </w:tc>
        <w:tc>
          <w:tcPr>
            <w:tcW w:w="6509" w:type="dxa"/>
            <w:noWrap w:val="0"/>
            <w:vAlign w:val="center"/>
          </w:tcPr>
          <w:p>
            <w:pPr>
              <w:pStyle w:val="15"/>
              <w:rPr>
                <w:rFonts w:hint="default"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rPr>
              <w:t>组织</w:t>
            </w:r>
            <w:r>
              <w:rPr>
                <w:rFonts w:hint="eastAsia" w:hAnsi="宋体" w:cs="宋体"/>
                <w:color w:val="auto"/>
                <w:sz w:val="24"/>
                <w:szCs w:val="24"/>
                <w:u w:val="none"/>
                <w:lang w:val="en-US" w:eastAsia="zh-CN"/>
              </w:rPr>
              <w:t>80</w:t>
            </w:r>
            <w:r>
              <w:rPr>
                <w:rFonts w:hint="eastAsia" w:ascii="宋体" w:hAnsi="宋体" w:eastAsia="宋体" w:cs="宋体"/>
                <w:color w:val="auto"/>
                <w:sz w:val="24"/>
                <w:szCs w:val="24"/>
                <w:u w:val="none"/>
                <w:lang w:val="en-US" w:eastAsia="zh-CN"/>
              </w:rPr>
              <w:t>名</w:t>
            </w:r>
            <w:r>
              <w:rPr>
                <w:rFonts w:hint="eastAsia" w:hAnsi="宋体" w:cs="宋体"/>
                <w:color w:val="auto"/>
                <w:sz w:val="24"/>
                <w:szCs w:val="24"/>
                <w:u w:val="none"/>
                <w:lang w:val="en-US" w:eastAsia="zh-CN"/>
              </w:rPr>
              <w:t>县、乡、村三级业务骨干赴援疆省市开展国情教育、红色教育、业务经验交流、参观考察学习、乡村振兴亮点观摩等，与援疆省市相关部门、乡镇村进行业务交流，学习先进经验。分四批进行，每批十天。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采购范围</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接待培训及</w:t>
            </w:r>
            <w:r>
              <w:rPr>
                <w:rFonts w:hint="eastAsia" w:ascii="宋体" w:hAnsi="宋体" w:eastAsia="宋体" w:cs="宋体"/>
                <w:color w:val="000000"/>
                <w:sz w:val="24"/>
                <w:szCs w:val="24"/>
                <w:highlight w:val="none"/>
                <w:lang w:eastAsia="zh-CN"/>
              </w:rPr>
              <w:t>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竞争性</w:t>
            </w:r>
            <w:r>
              <w:rPr>
                <w:rFonts w:hint="eastAsia" w:ascii="宋体" w:hAnsi="宋体" w:eastAsia="宋体" w:cs="宋体"/>
                <w:color w:val="000000"/>
                <w:sz w:val="24"/>
                <w:szCs w:val="24"/>
                <w:lang w:val="en-US"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评标办法</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名  称：</w:t>
            </w:r>
            <w:r>
              <w:rPr>
                <w:rFonts w:hint="eastAsia" w:ascii="宋体" w:hAnsi="宋体" w:cs="宋体"/>
                <w:color w:val="000000"/>
                <w:kern w:val="0"/>
                <w:sz w:val="24"/>
                <w:szCs w:val="24"/>
                <w:lang w:eastAsia="zh-CN"/>
              </w:rPr>
              <w:t>和田县发展和改革委员会</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地  址：</w:t>
            </w:r>
            <w:r>
              <w:rPr>
                <w:rFonts w:hint="eastAsia" w:ascii="宋体" w:hAnsi="宋体" w:eastAsia="宋体" w:cs="宋体"/>
                <w:color w:val="000000"/>
                <w:kern w:val="0"/>
                <w:sz w:val="24"/>
                <w:szCs w:val="24"/>
                <w:lang w:val="en-US" w:eastAsia="zh-CN"/>
              </w:rPr>
              <w:t>和田县经济新区</w:t>
            </w:r>
          </w:p>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联系人：</w:t>
            </w:r>
            <w:r>
              <w:rPr>
                <w:rFonts w:hint="eastAsia" w:ascii="宋体" w:hAnsi="宋体" w:cs="宋体"/>
                <w:color w:val="000000"/>
                <w:kern w:val="0"/>
                <w:sz w:val="24"/>
                <w:szCs w:val="24"/>
                <w:lang w:val="en-US" w:eastAsia="zh-CN"/>
              </w:rPr>
              <w:t>赵工</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联系电话:</w:t>
            </w:r>
            <w:r>
              <w:rPr>
                <w:rFonts w:hint="eastAsia" w:ascii="宋体" w:hAnsi="宋体" w:eastAsia="宋体" w:cs="宋体"/>
                <w:kern w:val="56"/>
                <w:sz w:val="24"/>
                <w:szCs w:val="24"/>
                <w:lang w:val="en-US" w:eastAsia="zh-CN"/>
              </w:rPr>
              <w:t>0903-2021720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509" w:type="dxa"/>
            <w:noWrap w:val="0"/>
            <w:vAlign w:val="center"/>
          </w:tcPr>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招标代理机构:新疆弘伟工程项目管理有限公司</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联系人：杜</w:t>
            </w:r>
            <w:r>
              <w:rPr>
                <w:rFonts w:hint="eastAsia" w:hAnsi="宋体" w:cs="宋体"/>
                <w:color w:val="auto"/>
                <w:kern w:val="0"/>
                <w:sz w:val="24"/>
                <w:szCs w:val="24"/>
                <w:lang w:val="en-US" w:eastAsia="zh-CN" w:bidi="ar-SA"/>
              </w:rPr>
              <w:t>女士</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联系电话：</w:t>
            </w:r>
            <w:r>
              <w:rPr>
                <w:rFonts w:hint="eastAsia" w:ascii="宋体" w:hAnsi="宋体" w:eastAsia="宋体" w:cs="宋体"/>
                <w:color w:val="auto"/>
                <w:kern w:val="0"/>
                <w:sz w:val="24"/>
                <w:szCs w:val="24"/>
                <w:lang w:val="en-US" w:eastAsia="zh-CN"/>
              </w:rPr>
              <w:t>0903-6862333</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auto"/>
                <w:kern w:val="0"/>
                <w:sz w:val="24"/>
                <w:szCs w:val="24"/>
                <w:lang w:val="en-US" w:eastAsia="zh-CN" w:bidi="ar-SA"/>
              </w:rPr>
              <w:t>联系地址：和田市肖尔巴格乡库木巴格村 270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投标人资格条件</w:t>
            </w:r>
          </w:p>
        </w:tc>
        <w:tc>
          <w:tcPr>
            <w:tcW w:w="6509" w:type="dxa"/>
            <w:noWrap w:val="0"/>
            <w:vAlign w:val="center"/>
          </w:tcPr>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（1）具有独立承担民事责任的能力；</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（2）具有良好的商业信誉和健全的财务会计制度；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（3）具有履行合同所必需的设备和专业技术能力；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（4）有依法缴纳税收和社会保障资金的良好记录；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（5）参加政府采购活动前三年内，在经营活动中没有重大违法记录；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（6）法律、行政法规规定的其他条件。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投标单位需提供税务机关出具的2021年以来近三个月的完税证明（2021年12月份后成立的公司按实际发生提供）；</w:t>
            </w:r>
          </w:p>
          <w:p>
            <w:pPr>
              <w:pStyle w:val="1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auto"/>
                <w:kern w:val="0"/>
                <w:sz w:val="24"/>
                <w:szCs w:val="24"/>
                <w:lang w:val="en-US" w:eastAsia="zh-CN" w:bidi="ar-SA"/>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exact"/>
              <w:textAlignment w:val="auto"/>
              <w:outlineLvl w:val="9"/>
              <w:rPr>
                <w:rFonts w:hint="eastAsia" w:ascii="宋体" w:hAnsi="宋体" w:eastAsia="宋体" w:cs="宋体"/>
                <w:color w:val="000000"/>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联合体形式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对联合体各方的要求</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现场考察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不组织，投标人自行对项目现场和其周围环境进行考察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投标截止及开标时间</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highlight w:val="none"/>
                <w:lang w:eastAsia="zh-CN"/>
              </w:rPr>
              <w:t>202</w:t>
            </w:r>
            <w:r>
              <w:rPr>
                <w:rFonts w:hint="eastAsia" w:ascii="宋体" w:hAnsi="宋体" w:cs="宋体"/>
                <w:b/>
                <w:bCs/>
                <w:color w:val="000000"/>
                <w:kern w:val="0"/>
                <w:sz w:val="24"/>
                <w:szCs w:val="24"/>
                <w:highlight w:val="none"/>
                <w:lang w:val="en-US" w:eastAsia="zh-CN"/>
              </w:rPr>
              <w:t>2</w:t>
            </w:r>
            <w:r>
              <w:rPr>
                <w:rFonts w:hint="eastAsia" w:ascii="宋体" w:hAnsi="宋体" w:eastAsia="宋体" w:cs="宋体"/>
                <w:b/>
                <w:bCs/>
                <w:color w:val="000000"/>
                <w:kern w:val="0"/>
                <w:sz w:val="24"/>
                <w:szCs w:val="24"/>
                <w:highlight w:val="none"/>
                <w:lang w:eastAsia="zh-CN"/>
              </w:rPr>
              <w:t>年</w:t>
            </w:r>
            <w:r>
              <w:rPr>
                <w:rFonts w:hint="eastAsia" w:ascii="宋体" w:hAnsi="宋体" w:cs="宋体"/>
                <w:b/>
                <w:bCs/>
                <w:color w:val="000000"/>
                <w:kern w:val="0"/>
                <w:sz w:val="24"/>
                <w:szCs w:val="24"/>
                <w:highlight w:val="none"/>
                <w:lang w:val="en-US" w:eastAsia="zh-CN"/>
              </w:rPr>
              <w:t>05</w:t>
            </w:r>
            <w:r>
              <w:rPr>
                <w:rFonts w:hint="eastAsia" w:ascii="宋体" w:hAnsi="宋体" w:eastAsia="宋体" w:cs="宋体"/>
                <w:b/>
                <w:bCs/>
                <w:color w:val="000000"/>
                <w:kern w:val="0"/>
                <w:sz w:val="24"/>
                <w:szCs w:val="24"/>
                <w:highlight w:val="none"/>
                <w:lang w:eastAsia="zh-CN"/>
              </w:rPr>
              <w:t>月</w:t>
            </w:r>
            <w:r>
              <w:rPr>
                <w:rFonts w:hint="eastAsia" w:ascii="宋体" w:hAnsi="宋体" w:cs="宋体"/>
                <w:b/>
                <w:bCs/>
                <w:color w:val="000000"/>
                <w:kern w:val="0"/>
                <w:sz w:val="24"/>
                <w:szCs w:val="24"/>
                <w:highlight w:val="none"/>
                <w:lang w:val="en-US" w:eastAsia="zh-CN"/>
              </w:rPr>
              <w:t>05</w:t>
            </w:r>
            <w:r>
              <w:rPr>
                <w:rFonts w:hint="eastAsia" w:ascii="宋体" w:hAnsi="宋体" w:eastAsia="宋体" w:cs="宋体"/>
                <w:b/>
                <w:bCs/>
                <w:color w:val="000000"/>
                <w:kern w:val="0"/>
                <w:sz w:val="24"/>
                <w:szCs w:val="24"/>
                <w:highlight w:val="none"/>
                <w:lang w:eastAsia="zh-CN"/>
              </w:rPr>
              <w:t>日</w:t>
            </w:r>
            <w:r>
              <w:rPr>
                <w:rFonts w:hint="eastAsia" w:ascii="宋体" w:hAnsi="宋体" w:eastAsia="宋体" w:cs="宋体"/>
                <w:b/>
                <w:bCs/>
                <w:color w:val="000000"/>
                <w:kern w:val="0"/>
                <w:sz w:val="24"/>
                <w:szCs w:val="24"/>
                <w:highlight w:val="none"/>
                <w:lang w:val="en-US" w:eastAsia="zh-CN"/>
              </w:rPr>
              <w:t>11</w:t>
            </w:r>
            <w:r>
              <w:rPr>
                <w:rFonts w:hint="eastAsia" w:ascii="宋体" w:hAnsi="宋体" w:eastAsia="宋体" w:cs="宋体"/>
                <w:b/>
                <w:bCs/>
                <w:color w:val="000000"/>
                <w:kern w:val="0"/>
                <w:sz w:val="24"/>
                <w:szCs w:val="24"/>
                <w:highlight w:val="none"/>
                <w:lang w:eastAsia="zh-CN"/>
              </w:rPr>
              <w:t>时00分</w:t>
            </w:r>
            <w:r>
              <w:rPr>
                <w:rFonts w:hint="eastAsia" w:ascii="宋体" w:hAnsi="宋体" w:eastAsia="宋体" w:cs="宋体"/>
                <w:b/>
                <w:bCs/>
                <w:color w:val="000000"/>
                <w:kern w:val="0"/>
                <w:sz w:val="24"/>
                <w:szCs w:val="24"/>
                <w:highlight w:val="none"/>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采购项目预算</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采购预算价：</w:t>
            </w:r>
            <w:r>
              <w:rPr>
                <w:rFonts w:hint="eastAsia" w:ascii="宋体" w:hAnsi="宋体" w:cs="宋体"/>
                <w:b/>
                <w:bCs w:val="0"/>
                <w:color w:val="000000"/>
                <w:kern w:val="0"/>
                <w:sz w:val="24"/>
                <w:szCs w:val="24"/>
                <w:lang w:val="en-US" w:eastAsia="zh-CN" w:bidi="ar-SA"/>
              </w:rPr>
              <w:t>162</w:t>
            </w:r>
            <w:r>
              <w:rPr>
                <w:rFonts w:hint="eastAsia" w:ascii="宋体" w:hAnsi="宋体" w:eastAsia="宋体" w:cs="宋体"/>
                <w:b/>
                <w:bCs w:val="0"/>
                <w:color w:val="000000"/>
                <w:kern w:val="0"/>
                <w:sz w:val="24"/>
                <w:szCs w:val="24"/>
                <w:lang w:val="en-US" w:eastAsia="zh-CN" w:bidi="ar-SA"/>
              </w:rPr>
              <w:t xml:space="preserve">万元 </w:t>
            </w:r>
            <w:r>
              <w:rPr>
                <w:rFonts w:hint="eastAsia" w:ascii="宋体" w:hAnsi="宋体" w:eastAsia="宋体" w:cs="宋体"/>
                <w:bCs/>
                <w:color w:val="000000"/>
                <w:kern w:val="0"/>
                <w:sz w:val="24"/>
                <w:szCs w:val="24"/>
                <w:lang w:val="en-US" w:eastAsia="zh-CN" w:bidi="ar-SA"/>
              </w:rPr>
              <w:t xml:space="preserve"> (此采购预算为最高限价、如超过预算价的报价为无效报价）</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保证金</w:t>
            </w:r>
          </w:p>
        </w:tc>
        <w:tc>
          <w:tcPr>
            <w:tcW w:w="6509" w:type="dxa"/>
            <w:noWrap w:val="0"/>
            <w:vAlign w:val="center"/>
          </w:tcPr>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投标保证金金额：</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16000</w:t>
            </w:r>
            <w:r>
              <w:rPr>
                <w:rFonts w:hint="eastAsia" w:ascii="宋体" w:hAnsi="宋体" w:eastAsia="宋体" w:cs="宋体"/>
                <w:b w:val="0"/>
                <w:bCs/>
                <w:color w:val="000000"/>
                <w:sz w:val="24"/>
                <w:szCs w:val="24"/>
              </w:rPr>
              <w:t>元（大写：</w:t>
            </w:r>
            <w:r>
              <w:rPr>
                <w:rFonts w:hint="eastAsia" w:ascii="宋体" w:hAnsi="宋体" w:cs="宋体"/>
                <w:b w:val="0"/>
                <w:bCs/>
                <w:color w:val="000000"/>
                <w:sz w:val="24"/>
                <w:szCs w:val="24"/>
                <w:lang w:val="en-US" w:eastAsia="zh-CN"/>
              </w:rPr>
              <w:t>壹万陆仟元整</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投标保证金缴纳账户：</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开户银行：</w:t>
            </w:r>
            <w:r>
              <w:rPr>
                <w:rFonts w:hint="eastAsia" w:ascii="宋体" w:hAnsi="宋体" w:eastAsia="宋体" w:cs="宋体"/>
                <w:b w:val="0"/>
                <w:bCs/>
                <w:color w:val="auto"/>
                <w:sz w:val="24"/>
                <w:szCs w:val="24"/>
                <w:highlight w:val="none"/>
                <w:lang w:val="en-US" w:eastAsia="zh-CN"/>
              </w:rPr>
              <w:t>中国农业银行股份有限公司和田市支行</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户名：</w:t>
            </w:r>
            <w:r>
              <w:rPr>
                <w:rFonts w:hint="eastAsia" w:ascii="宋体" w:hAnsi="宋体" w:eastAsia="宋体" w:cs="宋体"/>
                <w:b w:val="0"/>
                <w:bCs/>
                <w:color w:val="auto"/>
                <w:sz w:val="24"/>
                <w:szCs w:val="24"/>
                <w:highlight w:val="none"/>
              </w:rPr>
              <w:t>和田县</w:t>
            </w:r>
            <w:r>
              <w:rPr>
                <w:rFonts w:hint="eastAsia" w:ascii="宋体" w:hAnsi="宋体" w:eastAsia="宋体" w:cs="宋体"/>
                <w:b w:val="0"/>
                <w:bCs/>
                <w:color w:val="auto"/>
                <w:sz w:val="24"/>
                <w:szCs w:val="24"/>
                <w:highlight w:val="none"/>
                <w:lang w:val="en-US" w:eastAsia="zh-CN"/>
              </w:rPr>
              <w:t>行政</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val="en-US" w:eastAsia="zh-CN"/>
              </w:rPr>
              <w:t>和公共资源交易</w:t>
            </w:r>
            <w:r>
              <w:rPr>
                <w:rFonts w:hint="eastAsia" w:ascii="宋体" w:hAnsi="宋体" w:eastAsia="宋体" w:cs="宋体"/>
                <w:b w:val="0"/>
                <w:bCs/>
                <w:color w:val="auto"/>
                <w:sz w:val="24"/>
                <w:szCs w:val="24"/>
                <w:highlight w:val="none"/>
              </w:rPr>
              <w:t>中心</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银行帐号：</w:t>
            </w:r>
            <w:r>
              <w:rPr>
                <w:rFonts w:hint="eastAsia" w:ascii="宋体" w:hAnsi="宋体" w:eastAsia="宋体" w:cs="宋体"/>
                <w:b w:val="0"/>
                <w:bCs/>
                <w:color w:val="auto"/>
                <w:sz w:val="24"/>
                <w:szCs w:val="24"/>
                <w:highlight w:val="none"/>
                <w:lang w:val="en-US" w:eastAsia="zh-CN"/>
              </w:rPr>
              <w:t>3058 0801 0400 05315</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sz w:val="24"/>
                <w:szCs w:val="24"/>
              </w:rPr>
            </w:pPr>
            <w:r>
              <w:rPr>
                <w:rFonts w:hint="eastAsia" w:ascii="宋体" w:hAnsi="宋体" w:eastAsia="宋体" w:cs="宋体"/>
                <w:b w:val="0"/>
                <w:bCs/>
                <w:color w:val="000000"/>
                <w:sz w:val="24"/>
                <w:szCs w:val="24"/>
              </w:rPr>
              <w:t>注：投标保证金请于</w:t>
            </w:r>
            <w:r>
              <w:rPr>
                <w:rFonts w:hint="eastAsia" w:ascii="宋体" w:hAnsi="宋体" w:eastAsia="宋体" w:cs="宋体"/>
                <w:b/>
                <w:bCs w:val="0"/>
                <w:color w:val="000000"/>
                <w:sz w:val="24"/>
                <w:szCs w:val="24"/>
                <w:highlight w:val="none"/>
              </w:rPr>
              <w:t>202</w:t>
            </w: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年</w:t>
            </w:r>
            <w:r>
              <w:rPr>
                <w:rFonts w:hint="eastAsia" w:ascii="宋体" w:hAnsi="宋体" w:cs="宋体"/>
                <w:b/>
                <w:bCs w:val="0"/>
                <w:color w:val="000000"/>
                <w:sz w:val="24"/>
                <w:szCs w:val="24"/>
                <w:highlight w:val="none"/>
                <w:lang w:val="en-US" w:eastAsia="zh-CN"/>
              </w:rPr>
              <w:t>04</w:t>
            </w:r>
            <w:r>
              <w:rPr>
                <w:rFonts w:hint="eastAsia" w:ascii="宋体" w:hAnsi="宋体" w:eastAsia="宋体" w:cs="宋体"/>
                <w:b/>
                <w:bCs w:val="0"/>
                <w:color w:val="000000"/>
                <w:sz w:val="24"/>
                <w:szCs w:val="24"/>
                <w:highlight w:val="none"/>
              </w:rPr>
              <w:t>月</w:t>
            </w:r>
            <w:r>
              <w:rPr>
                <w:rFonts w:hint="eastAsia" w:ascii="宋体" w:hAnsi="宋体" w:cs="宋体"/>
                <w:b/>
                <w:bCs w:val="0"/>
                <w:color w:val="000000"/>
                <w:sz w:val="24"/>
                <w:szCs w:val="24"/>
                <w:highlight w:val="none"/>
                <w:lang w:val="en-US" w:eastAsia="zh-CN"/>
              </w:rPr>
              <w:t>29</w:t>
            </w:r>
            <w:r>
              <w:rPr>
                <w:rFonts w:hint="eastAsia" w:ascii="宋体" w:hAnsi="宋体" w:eastAsia="宋体" w:cs="宋体"/>
                <w:b/>
                <w:bCs w:val="0"/>
                <w:color w:val="000000"/>
                <w:sz w:val="24"/>
                <w:szCs w:val="24"/>
                <w:highlight w:val="none"/>
              </w:rPr>
              <w:t>日</w:t>
            </w:r>
            <w:r>
              <w:rPr>
                <w:rFonts w:hint="eastAsia" w:ascii="宋体" w:hAnsi="宋体" w:cs="宋体"/>
                <w:b/>
                <w:bCs w:val="0"/>
                <w:color w:val="000000"/>
                <w:sz w:val="24"/>
                <w:szCs w:val="24"/>
                <w:highlight w:val="none"/>
                <w:lang w:val="en-US" w:eastAsia="zh-CN"/>
              </w:rPr>
              <w:t>20</w:t>
            </w:r>
            <w:r>
              <w:rPr>
                <w:rFonts w:hint="eastAsia" w:ascii="宋体" w:hAnsi="宋体" w:eastAsia="宋体" w:cs="宋体"/>
                <w:b/>
                <w:bCs w:val="0"/>
                <w:color w:val="000000"/>
                <w:sz w:val="24"/>
                <w:szCs w:val="24"/>
                <w:highlight w:val="none"/>
              </w:rPr>
              <w:t>:00之前</w:t>
            </w:r>
            <w:r>
              <w:rPr>
                <w:rFonts w:hint="eastAsia" w:ascii="宋体" w:hAnsi="宋体" w:eastAsia="宋体" w:cs="宋体"/>
                <w:b w:val="0"/>
                <w:bCs/>
                <w:color w:val="000000"/>
                <w:sz w:val="24"/>
                <w:szCs w:val="24"/>
              </w:rPr>
              <w:t>（北京时间）缴入指定账户，</w:t>
            </w:r>
            <w:r>
              <w:rPr>
                <w:rFonts w:hint="eastAsia" w:ascii="宋体" w:hAnsi="宋体" w:eastAsia="宋体" w:cs="宋体"/>
                <w:b w:val="0"/>
                <w:bCs/>
                <w:color w:val="000000"/>
                <w:sz w:val="24"/>
                <w:szCs w:val="24"/>
                <w:lang w:val="en-US" w:eastAsia="zh-CN"/>
              </w:rPr>
              <w:t>到</w:t>
            </w:r>
            <w:r>
              <w:rPr>
                <w:rFonts w:hint="eastAsia" w:ascii="宋体" w:hAnsi="宋体" w:eastAsia="宋体" w:cs="宋体"/>
                <w:b w:val="0"/>
                <w:bCs/>
                <w:color w:val="000000"/>
                <w:sz w:val="24"/>
                <w:szCs w:val="24"/>
              </w:rPr>
              <w:t>和田县政务服务中心换取</w:t>
            </w:r>
            <w:r>
              <w:rPr>
                <w:rFonts w:hint="eastAsia" w:ascii="宋体" w:hAnsi="宋体" w:eastAsia="宋体" w:cs="宋体"/>
                <w:b w:val="0"/>
                <w:bCs/>
                <w:color w:val="000000"/>
                <w:sz w:val="24"/>
                <w:szCs w:val="24"/>
                <w:lang w:val="en-US" w:eastAsia="zh-CN"/>
              </w:rPr>
              <w:t>投标保证金</w:t>
            </w:r>
            <w:r>
              <w:rPr>
                <w:rFonts w:hint="eastAsia" w:ascii="宋体" w:hAnsi="宋体" w:eastAsia="宋体" w:cs="宋体"/>
                <w:b w:val="0"/>
                <w:bCs/>
                <w:color w:val="000000"/>
                <w:sz w:val="24"/>
                <w:szCs w:val="24"/>
              </w:rPr>
              <w:t>收据，（换取收据前，</w:t>
            </w:r>
            <w:r>
              <w:rPr>
                <w:rFonts w:hint="eastAsia" w:ascii="宋体" w:hAnsi="宋体" w:eastAsia="宋体" w:cs="宋体"/>
                <w:b w:val="0"/>
                <w:bCs/>
                <w:color w:val="000000"/>
                <w:sz w:val="24"/>
                <w:szCs w:val="24"/>
                <w:lang w:val="en-US" w:eastAsia="zh-CN"/>
              </w:rPr>
              <w:t>前往</w:t>
            </w:r>
            <w:r>
              <w:rPr>
                <w:rFonts w:hint="eastAsia" w:ascii="宋体" w:hAnsi="宋体" w:eastAsia="宋体" w:cs="宋体"/>
                <w:b w:val="0"/>
                <w:bCs/>
                <w:color w:val="auto"/>
                <w:sz w:val="24"/>
                <w:szCs w:val="24"/>
                <w:highlight w:val="none"/>
                <w:lang w:val="en-US" w:eastAsia="zh-CN"/>
              </w:rPr>
              <w:t>中国农业银行股份有限公司和田市支行</w:t>
            </w:r>
            <w:r>
              <w:rPr>
                <w:rFonts w:hint="eastAsia" w:ascii="宋体" w:hAnsi="宋体" w:eastAsia="宋体" w:cs="宋体"/>
                <w:b w:val="0"/>
                <w:bCs/>
                <w:color w:val="000000"/>
                <w:sz w:val="24"/>
                <w:szCs w:val="24"/>
              </w:rPr>
              <w:t>领取本项目进账单）各投标企业保证金缴纳只接受企业基本帐户足额对公转帐，其他以私人名义或现金缴纳等存入、汇款方式均视为无效投标保证金，开标时需携带投标保证金收据原件，未按规定时间交保证金的投标商不得参加本次投标（以到账时间为准</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有效期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9</w:t>
            </w:r>
            <w:r>
              <w:rPr>
                <w:rFonts w:hint="eastAsia" w:ascii="宋体" w:hAnsi="宋体" w:eastAsia="宋体" w:cs="宋体"/>
                <w:bCs/>
                <w:color w:val="000000"/>
                <w:sz w:val="24"/>
                <w:szCs w:val="24"/>
                <w:lang w:val="en-US" w:eastAsia="zh-CN"/>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color w:val="000000"/>
                <w:sz w:val="24"/>
                <w:szCs w:val="24"/>
              </w:rPr>
              <w:t>副本份数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纸质版文件：正本一份，副本</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，开标一览表1份。</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电子版文件：一份（包括</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正本全部内容；以U盘形式递交）；</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1、电子版文件要求包含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正本全部内容，电子版表面标记单位名称。电子版文件内容与</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正本内容不一致时以</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正本为准。</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2、凡进入开标、唱标程序的</w:t>
            </w: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概不退还</w:t>
            </w:r>
            <w:r>
              <w:rPr>
                <w:rFonts w:hint="eastAsia" w:ascii="宋体" w:hAnsi="宋体" w:cs="宋体"/>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封套上应载明的信息</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人名称：</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编号：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包装内容：</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文件正本/副本/</w:t>
            </w:r>
            <w:r>
              <w:rPr>
                <w:rFonts w:hint="eastAsia" w:ascii="宋体" w:hAnsi="宋体" w:eastAsia="宋体" w:cs="宋体"/>
                <w:color w:val="000000"/>
                <w:sz w:val="24"/>
                <w:szCs w:val="24"/>
                <w:lang w:eastAsia="zh-CN"/>
              </w:rPr>
              <w:t>开标一览表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电子版</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投标人名称：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投标人地址：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 系 人：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    真：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在规定的</w:t>
            </w:r>
            <w:r>
              <w:rPr>
                <w:rFonts w:hint="eastAsia" w:ascii="宋体" w:hAnsi="宋体" w:eastAsia="宋体" w:cs="宋体"/>
                <w:color w:val="000000"/>
                <w:sz w:val="24"/>
                <w:szCs w:val="24"/>
                <w:lang w:eastAsia="zh-CN"/>
              </w:rPr>
              <w:t>投标截止</w:t>
            </w:r>
            <w:r>
              <w:rPr>
                <w:rFonts w:hint="eastAsia" w:ascii="宋体" w:hAnsi="宋体" w:eastAsia="宋体" w:cs="宋体"/>
                <w:color w:val="000000"/>
                <w:sz w:val="24"/>
                <w:szCs w:val="24"/>
              </w:rPr>
              <w:t>时间  年 月 日  ：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的递交地点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lang w:eastAsia="zh-CN"/>
              </w:rPr>
              <w:t>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履约保证金为中标价的10%，中标人与招标人签订合同的同时提交履约保证金，如中标人未按招标文件规定的工期供货及作业完毕，则扣除履约保证金，且三年内不得参加和田县所有政府采购招投标活动。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采购代理服务费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招标代理服务费参照国家发改委计价格[2002]1980号文件的规定计取。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会现场投标人需提供下列证件原件</w:t>
            </w:r>
          </w:p>
        </w:tc>
        <w:tc>
          <w:tcPr>
            <w:tcW w:w="6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1、法定代表人需提供法定代表人证明书（原件）及法定代表人身份证（原件），委托代理人需提供法定代表人授权委托书（原件）及委托代理人身份证（原件），并提供</w:t>
            </w:r>
            <w:r>
              <w:rPr>
                <w:rFonts w:hint="eastAsia" w:ascii="宋体" w:hAnsi="宋体" w:cs="宋体"/>
                <w:color w:val="auto"/>
                <w:sz w:val="24"/>
                <w:szCs w:val="24"/>
                <w:lang w:val="en-US" w:eastAsia="zh-CN"/>
              </w:rPr>
              <w:t>法人</w:t>
            </w:r>
            <w:r>
              <w:rPr>
                <w:rFonts w:hint="eastAsia" w:ascii="宋体" w:hAnsi="宋体" w:eastAsia="宋体" w:cs="宋体"/>
                <w:color w:val="auto"/>
                <w:sz w:val="24"/>
                <w:szCs w:val="24"/>
                <w:lang w:val="en-US" w:eastAsia="zh-CN"/>
              </w:rPr>
              <w:t>近三个月社保证明材料（社保缴费凭证及个人明细表）；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2、三证合一的营业执照或民办非企业单位登记证书</w:t>
            </w:r>
            <w:r>
              <w:rPr>
                <w:rFonts w:hint="eastAsia" w:ascii="宋体" w:hAnsi="宋体" w:cs="宋体"/>
                <w:color w:val="auto"/>
                <w:sz w:val="24"/>
                <w:szCs w:val="24"/>
                <w:lang w:val="en-US" w:eastAsia="zh-CN"/>
              </w:rPr>
              <w:t>（原件）</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3、投标保证金收据（原件）；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4、具有良好的商业信誉和健全的财务会计制度（需提供公司财务制度和会计事务所出具202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年财务审计报告（原件），202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月以后新成立公司可不提供审计报告但须提供公司财务制度和银行资信证明（原件））；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0"/>
                <w:sz w:val="24"/>
                <w:szCs w:val="24"/>
                <w:lang w:val="en-US" w:eastAsia="zh-CN" w:bidi="ar-SA"/>
              </w:rPr>
              <w:t>提供2021年至2022年税务机关出具近三个月的完税证明（2021年12月份后成立的公司按实际发生提供）</w:t>
            </w:r>
            <w:r>
              <w:rPr>
                <w:rFonts w:hint="eastAsia" w:ascii="宋体" w:hAnsi="宋体" w:eastAsia="宋体" w:cs="宋体"/>
                <w:color w:val="auto"/>
                <w:sz w:val="24"/>
                <w:szCs w:val="24"/>
                <w:lang w:val="en-US" w:eastAsia="zh-CN"/>
              </w:rPr>
              <w:t>；</w:t>
            </w:r>
          </w:p>
          <w:p>
            <w:pPr>
              <w:pStyle w:val="2"/>
              <w:rPr>
                <w:rFonts w:hint="eastAsia"/>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信用中国”网站（WWW.creditchina.gov.cn）、中国政府采购网（www.ccgp.gov.cn）、国家企业信用信息公示系统（http://www.gsxt.gov.cn）、三个网站的查询结果并加盖公章（网页打印件须自公告发布之日起至投标截止时间从上述网站中查询并打印</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lang w:val="en-US" w:eastAsia="zh-CN"/>
              </w:rPr>
              <w:t>注：以上所有资料开标现场需查验，如未携带齐全，将做废标处理。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kern w:val="0"/>
                <w:sz w:val="24"/>
                <w:szCs w:val="24"/>
                <w:highlight w:val="none"/>
                <w:lang w:val="en-US" w:eastAsia="zh-CN" w:bidi="ar-SA"/>
              </w:rPr>
              <w:t>磋商小组的组建及评审专家的确定方式</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招标采购单位依法组建磋商小组共</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 xml:space="preserve">人组 成，其中采购人代表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人和专家评委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小组确定方式：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计算机随机抽取语音通知方式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2520" w:type="dxa"/>
            <w:noWrap w:val="0"/>
            <w:vAlign w:val="center"/>
          </w:tcPr>
          <w:p>
            <w:pPr>
              <w:pStyle w:val="44"/>
              <w:keepNext w:val="0"/>
              <w:keepLines w:val="0"/>
              <w:pageBreakBefore w:val="0"/>
              <w:kinsoku/>
              <w:wordWrap/>
              <w:overflowPunct/>
              <w:topLinePunct w:val="0"/>
              <w:bidi w:val="0"/>
              <w:spacing w:line="360" w:lineRule="auto"/>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rPr>
              <w:t>政府采购政策支持</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根据财政部、工业和信息化部关于印发《政府采购促进中小企业发展暂行办法》的通知(财库[2011]181号)。</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3、《财政部发展改革委生态环境部市场监管总局关于调整优化节能产品、环境标志产品政府采购执行机制的通知》（财库〔2019〕9号）。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lang w:val="en-US" w:eastAsia="zh-CN"/>
              </w:rPr>
              <w:t>补充说明</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tc>
      </w:tr>
    </w:tbl>
    <w:p>
      <w:pPr>
        <w:jc w:val="center"/>
        <w:rPr>
          <w:rFonts w:hint="eastAsia" w:ascii="宋体" w:hAnsi="宋体" w:eastAsia="宋体" w:cs="宋体"/>
          <w:b/>
          <w:bCs/>
          <w:sz w:val="24"/>
        </w:rPr>
        <w:sectPr>
          <w:pgSz w:w="11906" w:h="16838"/>
          <w:pgMar w:top="1548" w:right="1247" w:bottom="1134" w:left="1247" w:header="851" w:footer="992" w:gutter="227"/>
          <w:pgNumType w:fmt="numberInDash"/>
          <w:cols w:space="720" w:num="1"/>
          <w:docGrid w:type="lines" w:linePitch="312" w:charSpace="0"/>
        </w:sectPr>
      </w:pPr>
    </w:p>
    <w:p>
      <w:pPr>
        <w:spacing w:line="360" w:lineRule="auto"/>
        <w:outlineLvl w:val="2"/>
        <w:rPr>
          <w:rFonts w:hint="eastAsia" w:ascii="宋体" w:hAnsi="宋体" w:eastAsia="宋体" w:cs="宋体"/>
          <w:b/>
          <w:sz w:val="24"/>
        </w:rPr>
      </w:pPr>
      <w:bookmarkStart w:id="26" w:name="_Toc30964_WPSOffice_Level3"/>
      <w:r>
        <w:rPr>
          <w:rFonts w:hint="eastAsia" w:ascii="宋体" w:hAnsi="宋体" w:eastAsia="宋体" w:cs="宋体"/>
          <w:b/>
          <w:sz w:val="24"/>
        </w:rPr>
        <w:t>1. 适用范围</w:t>
      </w:r>
      <w:bookmarkEnd w:id="26"/>
    </w:p>
    <w:p>
      <w:pPr>
        <w:spacing w:line="360" w:lineRule="auto"/>
        <w:rPr>
          <w:rFonts w:hint="eastAsia" w:ascii="宋体" w:hAnsi="宋体" w:eastAsia="宋体" w:cs="宋体"/>
          <w:sz w:val="24"/>
        </w:rPr>
      </w:pPr>
      <w:r>
        <w:rPr>
          <w:rFonts w:hint="eastAsia" w:ascii="宋体" w:hAnsi="宋体" w:eastAsia="宋体" w:cs="宋体"/>
          <w:sz w:val="24"/>
        </w:rPr>
        <w:t>1.1  本</w:t>
      </w:r>
      <w:r>
        <w:rPr>
          <w:rFonts w:hint="eastAsia" w:ascii="宋体" w:hAnsi="宋体" w:cs="宋体"/>
          <w:sz w:val="24"/>
          <w:lang w:val="en-US" w:eastAsia="zh-CN"/>
        </w:rPr>
        <w:t>磋商</w:t>
      </w:r>
      <w:r>
        <w:rPr>
          <w:rFonts w:hint="eastAsia" w:ascii="宋体" w:hAnsi="宋体" w:eastAsia="宋体" w:cs="宋体"/>
          <w:sz w:val="24"/>
        </w:rPr>
        <w:t>文件仅适用于新疆弘伟工程项目管理有限公司的本次招标活动。</w:t>
      </w:r>
    </w:p>
    <w:p>
      <w:pPr>
        <w:tabs>
          <w:tab w:val="left" w:pos="1185"/>
        </w:tabs>
        <w:spacing w:line="360" w:lineRule="auto"/>
        <w:outlineLvl w:val="2"/>
        <w:rPr>
          <w:rFonts w:hint="eastAsia" w:ascii="宋体" w:hAnsi="宋体" w:eastAsia="宋体" w:cs="宋体"/>
          <w:b/>
          <w:sz w:val="24"/>
        </w:rPr>
      </w:pPr>
      <w:bookmarkStart w:id="27" w:name="_Toc8974_WPSOffice_Level3"/>
      <w:r>
        <w:rPr>
          <w:rFonts w:hint="eastAsia" w:ascii="宋体" w:hAnsi="宋体" w:eastAsia="宋体" w:cs="宋体"/>
          <w:b/>
          <w:sz w:val="24"/>
        </w:rPr>
        <w:t>2. 投标资格</w:t>
      </w:r>
      <w:bookmarkEnd w:id="27"/>
    </w:p>
    <w:p>
      <w:pPr>
        <w:spacing w:line="360" w:lineRule="auto"/>
        <w:rPr>
          <w:rFonts w:hint="eastAsia" w:ascii="宋体" w:hAnsi="宋体" w:eastAsia="宋体" w:cs="宋体"/>
          <w:sz w:val="24"/>
        </w:rPr>
      </w:pPr>
      <w:r>
        <w:rPr>
          <w:rFonts w:hint="eastAsia" w:ascii="宋体" w:hAnsi="宋体" w:eastAsia="宋体" w:cs="宋体"/>
          <w:sz w:val="24"/>
        </w:rPr>
        <w:t>2.1  且具有承担本项目的能力以及符合下述条件的投标供应商：</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360" w:lineRule="auto"/>
        <w:rPr>
          <w:rFonts w:hint="eastAsia" w:ascii="宋体" w:hAnsi="宋体" w:eastAsia="宋体" w:cs="宋体"/>
          <w:sz w:val="24"/>
        </w:rPr>
      </w:pPr>
      <w:r>
        <w:rPr>
          <w:rFonts w:hint="eastAsia" w:ascii="宋体" w:hAnsi="宋体" w:eastAsia="宋体" w:cs="宋体"/>
          <w:sz w:val="24"/>
        </w:rPr>
        <w:t>2.落实政府采购政策需满足的资格要求：无</w:t>
      </w:r>
    </w:p>
    <w:p>
      <w:pPr>
        <w:spacing w:line="360" w:lineRule="auto"/>
        <w:rPr>
          <w:rFonts w:hint="eastAsia" w:ascii="宋体" w:hAnsi="宋体" w:eastAsia="宋体" w:cs="宋体"/>
          <w:sz w:val="24"/>
        </w:rPr>
      </w:pPr>
      <w:r>
        <w:rPr>
          <w:rFonts w:hint="eastAsia" w:ascii="宋体" w:hAnsi="宋体" w:eastAsia="宋体" w:cs="宋体"/>
          <w:sz w:val="24"/>
        </w:rPr>
        <w:t>3.本项目的特定资格要求: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投标单位需提供税务机关出具的2021年以来近三个月的完税证明（2021年12月份后成立的公司按实际发生提供）；</w:t>
      </w:r>
    </w:p>
    <w:p>
      <w:pPr>
        <w:pStyle w:val="1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auto"/>
          <w:kern w:val="0"/>
          <w:sz w:val="24"/>
          <w:szCs w:val="24"/>
          <w:lang w:val="en-US" w:eastAsia="zh-CN" w:bidi="ar-SA"/>
        </w:rPr>
        <w:t>）投标人在北京市有固定的服务场所（提供相关证明文件）；</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spacing w:line="360" w:lineRule="auto"/>
        <w:rPr>
          <w:rFonts w:hint="eastAsia"/>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p>
      <w:pPr>
        <w:spacing w:line="360" w:lineRule="auto"/>
        <w:rPr>
          <w:rFonts w:hint="eastAsia" w:ascii="宋体" w:hAnsi="宋体" w:eastAsia="宋体" w:cs="宋体"/>
        </w:rPr>
      </w:pPr>
      <w:r>
        <w:rPr>
          <w:rFonts w:hint="eastAsia" w:ascii="宋体" w:hAnsi="宋体" w:eastAsia="宋体" w:cs="宋体"/>
          <w:b/>
          <w:bCs/>
          <w:sz w:val="24"/>
        </w:rPr>
        <w:t>2.2 供应商存在下列情形之一的，拒绝其参加本次投标</w:t>
      </w:r>
    </w:p>
    <w:p>
      <w:pPr>
        <w:overflowPunct w:val="0"/>
        <w:spacing w:line="360" w:lineRule="auto"/>
        <w:jc w:val="left"/>
        <w:rPr>
          <w:rFonts w:hint="eastAsia" w:ascii="宋体" w:hAnsi="宋体" w:eastAsia="宋体" w:cs="宋体"/>
          <w:sz w:val="24"/>
        </w:rPr>
      </w:pPr>
      <w:r>
        <w:rPr>
          <w:rFonts w:hint="eastAsia" w:ascii="宋体" w:hAnsi="宋体" w:eastAsia="宋体" w:cs="宋体"/>
          <w:sz w:val="24"/>
        </w:rPr>
        <w:t>（1）为招标人不具有相应经营范围；</w:t>
      </w:r>
    </w:p>
    <w:p>
      <w:pPr>
        <w:spacing w:line="360" w:lineRule="auto"/>
        <w:rPr>
          <w:rFonts w:hint="eastAsia" w:ascii="宋体" w:hAnsi="宋体" w:eastAsia="宋体" w:cs="宋体"/>
          <w:sz w:val="24"/>
        </w:rPr>
      </w:pPr>
      <w:r>
        <w:rPr>
          <w:rFonts w:hint="eastAsia" w:ascii="宋体" w:hAnsi="宋体" w:eastAsia="宋体" w:cs="宋体"/>
          <w:sz w:val="24"/>
        </w:rPr>
        <w:t>（2）为本标段前期准备提供设计和其他文件的咨询服务；</w:t>
      </w:r>
    </w:p>
    <w:p>
      <w:pPr>
        <w:spacing w:line="360" w:lineRule="auto"/>
        <w:rPr>
          <w:rFonts w:hint="eastAsia" w:ascii="宋体" w:hAnsi="宋体" w:eastAsia="宋体" w:cs="宋体"/>
          <w:sz w:val="24"/>
        </w:rPr>
      </w:pPr>
      <w:r>
        <w:rPr>
          <w:rFonts w:hint="eastAsia" w:ascii="宋体" w:hAnsi="宋体" w:eastAsia="宋体" w:cs="宋体"/>
          <w:sz w:val="24"/>
        </w:rPr>
        <w:t>（3）为本标段提供招标代理服务的；</w:t>
      </w:r>
    </w:p>
    <w:p>
      <w:pPr>
        <w:spacing w:line="360" w:lineRule="auto"/>
        <w:rPr>
          <w:rFonts w:hint="eastAsia" w:ascii="宋体" w:hAnsi="宋体" w:eastAsia="宋体" w:cs="宋体"/>
          <w:sz w:val="24"/>
        </w:rPr>
      </w:pPr>
      <w:r>
        <w:rPr>
          <w:rFonts w:hint="eastAsia" w:ascii="宋体" w:hAnsi="宋体" w:eastAsia="宋体" w:cs="宋体"/>
          <w:sz w:val="24"/>
        </w:rPr>
        <w:t>（4）法定代表人为同一人的两个及两个以上法人，母公司、全资子公司及其控股公司，在同一货物采购招标中同时投标的；</w:t>
      </w:r>
    </w:p>
    <w:p>
      <w:pPr>
        <w:spacing w:line="360" w:lineRule="auto"/>
        <w:rPr>
          <w:rFonts w:hint="eastAsia" w:ascii="宋体" w:hAnsi="宋体" w:eastAsia="宋体" w:cs="宋体"/>
          <w:sz w:val="24"/>
        </w:rPr>
      </w:pPr>
      <w:r>
        <w:rPr>
          <w:rFonts w:hint="eastAsia" w:ascii="宋体" w:hAnsi="宋体" w:eastAsia="宋体" w:cs="宋体"/>
          <w:sz w:val="24"/>
        </w:rPr>
        <w:t>（5）被责令停产停业、暂扣或者吊销许可证、暂扣或者吊销执照；</w:t>
      </w:r>
    </w:p>
    <w:p>
      <w:pPr>
        <w:spacing w:line="360" w:lineRule="auto"/>
        <w:rPr>
          <w:rFonts w:hint="eastAsia" w:ascii="宋体" w:hAnsi="宋体" w:eastAsia="宋体" w:cs="宋体"/>
          <w:sz w:val="24"/>
        </w:rPr>
      </w:pPr>
      <w:r>
        <w:rPr>
          <w:rFonts w:hint="eastAsia" w:ascii="宋体" w:hAnsi="宋体" w:eastAsia="宋体" w:cs="宋体"/>
          <w:sz w:val="24"/>
        </w:rPr>
        <w:t>（6）被依法暂停或者取消投标资格；</w:t>
      </w:r>
    </w:p>
    <w:p>
      <w:pPr>
        <w:spacing w:line="360" w:lineRule="auto"/>
        <w:rPr>
          <w:rFonts w:hint="eastAsia" w:ascii="宋体" w:hAnsi="宋体" w:eastAsia="宋体" w:cs="宋体"/>
          <w:sz w:val="24"/>
        </w:rPr>
      </w:pPr>
      <w:r>
        <w:rPr>
          <w:rFonts w:hint="eastAsia" w:ascii="宋体" w:hAnsi="宋体" w:eastAsia="宋体" w:cs="宋体"/>
          <w:sz w:val="24"/>
        </w:rPr>
        <w:t>（7）财产被接管或冻结的；</w:t>
      </w:r>
    </w:p>
    <w:p>
      <w:pPr>
        <w:spacing w:line="360" w:lineRule="auto"/>
        <w:rPr>
          <w:rFonts w:hint="eastAsia" w:ascii="宋体" w:hAnsi="宋体" w:eastAsia="宋体" w:cs="宋体"/>
          <w:sz w:val="24"/>
        </w:rPr>
      </w:pPr>
      <w:r>
        <w:rPr>
          <w:rFonts w:hint="eastAsia" w:ascii="宋体" w:hAnsi="宋体" w:eastAsia="宋体" w:cs="宋体"/>
          <w:sz w:val="24"/>
        </w:rPr>
        <w:t>（8）进入清算程序，或被宣告破产，或其他丧失履约能力的情形；</w:t>
      </w:r>
    </w:p>
    <w:p>
      <w:pPr>
        <w:spacing w:line="360" w:lineRule="auto"/>
        <w:rPr>
          <w:rFonts w:hint="eastAsia" w:ascii="宋体" w:hAnsi="宋体" w:eastAsia="宋体" w:cs="宋体"/>
          <w:sz w:val="24"/>
        </w:rPr>
      </w:pPr>
      <w:r>
        <w:rPr>
          <w:rFonts w:hint="eastAsia" w:ascii="宋体" w:hAnsi="宋体" w:eastAsia="宋体" w:cs="宋体"/>
          <w:sz w:val="24"/>
        </w:rPr>
        <w:t>（9）在最近三年内有骗取中标或严重违约受到行政处罚的；</w:t>
      </w:r>
    </w:p>
    <w:p>
      <w:pPr>
        <w:spacing w:line="360" w:lineRule="auto"/>
        <w:rPr>
          <w:rFonts w:hint="eastAsia" w:ascii="宋体" w:hAnsi="宋体" w:eastAsia="宋体" w:cs="宋体"/>
          <w:sz w:val="24"/>
        </w:rPr>
      </w:pPr>
      <w:r>
        <w:rPr>
          <w:rFonts w:hint="eastAsia" w:ascii="宋体" w:hAnsi="宋体" w:eastAsia="宋体" w:cs="宋体"/>
          <w:sz w:val="24"/>
        </w:rPr>
        <w:t xml:space="preserve">（10）在最近三年内发生重大产品质量问题（以相关行业主管部门的行政处罚决定或司法机关出具的有关法律文书为准）； </w:t>
      </w:r>
    </w:p>
    <w:p>
      <w:pPr>
        <w:spacing w:line="360" w:lineRule="auto"/>
        <w:rPr>
          <w:rFonts w:hint="eastAsia" w:ascii="宋体" w:hAnsi="宋体" w:eastAsia="宋体" w:cs="宋体"/>
          <w:sz w:val="24"/>
        </w:rPr>
      </w:pPr>
      <w:r>
        <w:rPr>
          <w:rFonts w:hint="eastAsia" w:ascii="宋体" w:hAnsi="宋体" w:eastAsia="宋体" w:cs="宋体"/>
          <w:sz w:val="24"/>
        </w:rPr>
        <w:t>（11）被最高人民法院在“信用中国”网站（www.creditchina.gov.cn）或各级信用信息共享平台中列入失信被执行人名单；</w:t>
      </w:r>
    </w:p>
    <w:p>
      <w:pPr>
        <w:spacing w:line="360" w:lineRule="auto"/>
        <w:rPr>
          <w:rFonts w:hint="eastAsia" w:ascii="宋体" w:hAnsi="宋体" w:eastAsia="宋体" w:cs="宋体"/>
          <w:sz w:val="24"/>
          <w:szCs w:val="22"/>
        </w:rPr>
      </w:pPr>
      <w:r>
        <w:rPr>
          <w:rFonts w:hint="eastAsia" w:ascii="宋体" w:hAnsi="宋体" w:eastAsia="宋体" w:cs="宋体"/>
          <w:sz w:val="24"/>
          <w:szCs w:val="22"/>
        </w:rPr>
        <w:t>（12）在国家企业信用信息公示系统（www.gsxt.gov.cn）被列入经营异常名录的。</w:t>
      </w:r>
    </w:p>
    <w:p>
      <w:pPr>
        <w:spacing w:line="360" w:lineRule="auto"/>
        <w:rPr>
          <w:rFonts w:hint="eastAsia" w:ascii="宋体" w:hAnsi="宋体" w:eastAsia="宋体" w:cs="宋体"/>
          <w:sz w:val="24"/>
        </w:rPr>
      </w:pPr>
      <w:r>
        <w:rPr>
          <w:rFonts w:hint="eastAsia" w:ascii="宋体" w:hAnsi="宋体" w:eastAsia="宋体" w:cs="宋体"/>
          <w:sz w:val="24"/>
        </w:rPr>
        <w:t>（13）在中国政府采购网（www.ccgp.gov.cn）政府采购严重违法失信行为记录名单的（尚在处罚期内的）。</w:t>
      </w:r>
    </w:p>
    <w:p>
      <w:pPr>
        <w:spacing w:line="360" w:lineRule="auto"/>
        <w:rPr>
          <w:rFonts w:hint="eastAsia" w:ascii="宋体" w:hAnsi="宋体" w:eastAsia="宋体" w:cs="宋体"/>
          <w:b/>
          <w:sz w:val="24"/>
        </w:rPr>
      </w:pPr>
      <w:r>
        <w:rPr>
          <w:rFonts w:hint="eastAsia" w:ascii="宋体" w:hAnsi="宋体" w:eastAsia="宋体" w:cs="宋体"/>
          <w:b/>
          <w:sz w:val="24"/>
        </w:rPr>
        <w:t>2.2.1查询及记录方式：</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采购人或采购代理机构经办人将查询网页打印、签字并存档备查。供应商不良信用记录以采购人或采购代理机构查询结果为准。</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在本谈判文件规定的查询时间之后，网站信息发生的任何变更均不再作为评标依据。</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供应商自行提供的与网站信息不一致的其他证明材料亦不作为资格审查依据。</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2.3  货物、产品规定 </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在本次招标活动中，必须遵守《中华人民共和国政府采购法》、中华人民共和国财政部令第74号《政府采购非招标采购方式管理办法》、《政府采购货物和服务招标投标管理办法》(财政部令第87号)等相关规定。</w:t>
      </w:r>
    </w:p>
    <w:p>
      <w:pPr>
        <w:spacing w:line="360" w:lineRule="auto"/>
        <w:outlineLvl w:val="2"/>
        <w:rPr>
          <w:rFonts w:hint="eastAsia" w:ascii="宋体" w:hAnsi="宋体" w:eastAsia="宋体" w:cs="宋体"/>
          <w:b/>
          <w:sz w:val="24"/>
        </w:rPr>
      </w:pPr>
      <w:bookmarkStart w:id="28" w:name="_Toc23966_WPSOffice_Level3"/>
      <w:r>
        <w:rPr>
          <w:rFonts w:hint="eastAsia" w:ascii="宋体" w:hAnsi="宋体" w:eastAsia="宋体" w:cs="宋体"/>
          <w:b/>
          <w:sz w:val="24"/>
        </w:rPr>
        <w:t>3. 定义</w:t>
      </w:r>
      <w:bookmarkEnd w:id="28"/>
    </w:p>
    <w:p>
      <w:pPr>
        <w:spacing w:line="360" w:lineRule="auto"/>
        <w:rPr>
          <w:rFonts w:hint="eastAsia" w:ascii="宋体" w:hAnsi="宋体" w:eastAsia="宋体" w:cs="宋体"/>
          <w:sz w:val="24"/>
        </w:rPr>
      </w:pPr>
      <w:r>
        <w:rPr>
          <w:rFonts w:hint="eastAsia" w:ascii="宋体" w:hAnsi="宋体" w:eastAsia="宋体" w:cs="宋体"/>
          <w:sz w:val="24"/>
        </w:rPr>
        <w:t>下列术语和缩写的定义为：</w:t>
      </w:r>
    </w:p>
    <w:p>
      <w:pPr>
        <w:tabs>
          <w:tab w:val="left" w:pos="1320"/>
        </w:tabs>
        <w:spacing w:line="360" w:lineRule="auto"/>
        <w:ind w:firstLine="240" w:firstLineChars="100"/>
        <w:rPr>
          <w:rFonts w:hint="eastAsia" w:ascii="宋体" w:hAnsi="宋体" w:eastAsia="宋体" w:cs="宋体"/>
          <w:sz w:val="24"/>
          <w:u w:val="single"/>
          <w:shd w:val="clear" w:color="FFFFFF" w:fill="D9D9D9"/>
        </w:rPr>
      </w:pPr>
      <w:r>
        <w:rPr>
          <w:rFonts w:hint="eastAsia" w:ascii="宋体" w:hAnsi="宋体" w:eastAsia="宋体" w:cs="宋体"/>
          <w:sz w:val="24"/>
        </w:rPr>
        <w:t xml:space="preserve">3.1 </w:t>
      </w:r>
      <w:r>
        <w:rPr>
          <w:rFonts w:hint="eastAsia" w:ascii="宋体" w:hAnsi="宋体" w:eastAsia="宋体" w:cs="宋体"/>
          <w:sz w:val="24"/>
          <w:highlight w:val="none"/>
        </w:rPr>
        <w:t>“采购人”系</w:t>
      </w:r>
      <w:r>
        <w:rPr>
          <w:rFonts w:hint="eastAsia" w:ascii="宋体" w:hAnsi="宋体" w:cs="宋体"/>
          <w:sz w:val="24"/>
          <w:highlight w:val="none"/>
          <w:u w:val="single"/>
          <w:lang w:eastAsia="zh-CN"/>
        </w:rPr>
        <w:t>和田县发展和改革委员会</w:t>
      </w:r>
      <w:r>
        <w:rPr>
          <w:rFonts w:hint="eastAsia" w:ascii="宋体" w:hAnsi="宋体" w:eastAsia="宋体" w:cs="宋体"/>
          <w:sz w:val="24"/>
          <w:highlight w:val="none"/>
          <w:u w:val="single"/>
        </w:rPr>
        <w:t xml:space="preserve">  。</w:t>
      </w:r>
    </w:p>
    <w:p>
      <w:pPr>
        <w:tabs>
          <w:tab w:val="left" w:pos="1320"/>
        </w:tabs>
        <w:spacing w:line="360" w:lineRule="auto"/>
        <w:ind w:firstLine="240" w:firstLineChars="100"/>
        <w:rPr>
          <w:rFonts w:hint="eastAsia" w:ascii="宋体" w:hAnsi="宋体" w:eastAsia="宋体" w:cs="宋体"/>
          <w:sz w:val="24"/>
        </w:rPr>
      </w:pPr>
      <w:r>
        <w:rPr>
          <w:rFonts w:hint="eastAsia" w:ascii="宋体" w:hAnsi="宋体" w:eastAsia="宋体" w:cs="宋体"/>
          <w:sz w:val="24"/>
        </w:rPr>
        <w:t>3.2 “招标代理机构”系指新疆</w:t>
      </w:r>
      <w:r>
        <w:rPr>
          <w:rFonts w:hint="eastAsia" w:ascii="宋体" w:hAnsi="宋体" w:cs="宋体"/>
          <w:sz w:val="24"/>
          <w:lang w:val="en-US" w:eastAsia="zh-CN"/>
        </w:rPr>
        <w:t>弘伟</w:t>
      </w:r>
      <w:r>
        <w:rPr>
          <w:rFonts w:hint="eastAsia" w:ascii="宋体" w:hAnsi="宋体" w:eastAsia="宋体" w:cs="宋体"/>
          <w:sz w:val="24"/>
        </w:rPr>
        <w:t>工程项目管理有限公司。</w:t>
      </w:r>
    </w:p>
    <w:p>
      <w:pPr>
        <w:tabs>
          <w:tab w:val="left" w:pos="900"/>
        </w:tabs>
        <w:spacing w:line="360" w:lineRule="auto"/>
        <w:ind w:firstLine="240" w:firstLineChars="100"/>
        <w:rPr>
          <w:rFonts w:hint="eastAsia" w:ascii="宋体" w:hAnsi="宋体" w:eastAsia="宋体" w:cs="宋体"/>
          <w:sz w:val="24"/>
        </w:rPr>
      </w:pPr>
      <w:r>
        <w:rPr>
          <w:rFonts w:hint="eastAsia" w:ascii="宋体" w:hAnsi="宋体" w:eastAsia="宋体" w:cs="宋体"/>
          <w:sz w:val="24"/>
        </w:rPr>
        <w:t>3.3 “招标方”系指采购人和招标代理机构的统称。</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3.4 “供应商”系指有资格的供应商（制造商、代理商）及投标表现人。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3.5 “中标方”系指经谈判小组评定后推荐的供应商。</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3.6 “货物”、“产品”指货物、产品要求及相关服务。</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3.7 “服务”系指谈判文件中规定供应商须承担的质保、技术协助、培训及其他类似的责任。</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3.8 “响应”系指供应商根据招标代理机构发布的谈判文件，编制响应性文件并按规定投标的行为。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3.9 “标段（包）”系指一个完整独立的投标项目。</w:t>
      </w:r>
    </w:p>
    <w:p>
      <w:pPr>
        <w:snapToGrid w:val="0"/>
        <w:spacing w:line="360" w:lineRule="auto"/>
        <w:outlineLvl w:val="2"/>
        <w:rPr>
          <w:rFonts w:hint="eastAsia" w:ascii="宋体" w:hAnsi="宋体" w:eastAsia="宋体" w:cs="宋体"/>
          <w:b/>
          <w:sz w:val="24"/>
        </w:rPr>
      </w:pPr>
      <w:bookmarkStart w:id="29" w:name="_Toc10123_WPSOffice_Level3"/>
      <w:r>
        <w:rPr>
          <w:rFonts w:hint="eastAsia" w:ascii="宋体" w:hAnsi="宋体" w:eastAsia="宋体" w:cs="宋体"/>
          <w:b/>
          <w:sz w:val="24"/>
        </w:rPr>
        <w:t>4. 投标费用</w:t>
      </w:r>
      <w:bookmarkEnd w:id="29"/>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4.1  无论投标结果如何，凡参与招标、投标活动有关的所有费用将由供应商自行承担。</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4.2  供应商被视为熟悉本招标项目的各种情况以及与履行合同有关的一切情况。</w:t>
      </w:r>
    </w:p>
    <w:p>
      <w:pPr>
        <w:tabs>
          <w:tab w:val="left" w:pos="1185"/>
        </w:tabs>
        <w:spacing w:line="360" w:lineRule="auto"/>
        <w:outlineLvl w:val="2"/>
        <w:rPr>
          <w:rFonts w:hint="eastAsia" w:ascii="宋体" w:hAnsi="宋体" w:eastAsia="宋体" w:cs="宋体"/>
          <w:b/>
          <w:sz w:val="24"/>
        </w:rPr>
      </w:pPr>
      <w:bookmarkStart w:id="30" w:name="_Toc12377_WPSOffice_Level3"/>
      <w:r>
        <w:rPr>
          <w:rFonts w:hint="eastAsia" w:ascii="宋体" w:hAnsi="宋体" w:eastAsia="宋体" w:cs="宋体"/>
          <w:b/>
          <w:sz w:val="24"/>
        </w:rPr>
        <w:t>5. 适用法律</w:t>
      </w:r>
      <w:bookmarkEnd w:id="30"/>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本项目采购人、采购代理机构、供应商、谈判小组的相关行为均受《中华人民共和国政府采购法》、《中华人民共和国政府采购法实施条例》、中华人民共和国财政部令第74号《政府采购非招标采购方式管理办法》、《政府采购货物和服务招标投标管理办法》财政部令87号及本项目本级和上级财政部门政府采购有关规定的约束，其权利受到上述法律法规的保护。</w:t>
      </w:r>
    </w:p>
    <w:p>
      <w:pPr>
        <w:pStyle w:val="15"/>
        <w:spacing w:line="360" w:lineRule="auto"/>
        <w:rPr>
          <w:rFonts w:hint="eastAsia" w:ascii="宋体" w:hAnsi="宋体" w:eastAsia="宋体" w:cs="宋体"/>
          <w:b/>
          <w:bCs/>
          <w:sz w:val="28"/>
          <w:szCs w:val="28"/>
        </w:rPr>
      </w:pPr>
      <w:r>
        <w:rPr>
          <w:rFonts w:hint="eastAsia" w:ascii="宋体" w:hAnsi="宋体" w:eastAsia="宋体" w:cs="宋体"/>
          <w:b/>
          <w:bCs/>
          <w:sz w:val="28"/>
          <w:szCs w:val="28"/>
        </w:rPr>
        <w:t>二、竞争性磋商文件</w:t>
      </w:r>
    </w:p>
    <w:p>
      <w:pPr>
        <w:pStyle w:val="15"/>
        <w:spacing w:line="360" w:lineRule="auto"/>
        <w:ind w:firstLine="480" w:firstLineChars="200"/>
        <w:rPr>
          <w:rFonts w:hint="eastAsia" w:ascii="宋体" w:hAnsi="宋体" w:eastAsia="宋体" w:cs="宋体"/>
          <w:sz w:val="24"/>
        </w:rPr>
      </w:pPr>
      <w:bookmarkStart w:id="31" w:name="_Toc243906319"/>
      <w:bookmarkStart w:id="32" w:name="_Toc243907579"/>
      <w:bookmarkStart w:id="33" w:name="_Toc233274819"/>
      <w:bookmarkStart w:id="34" w:name="_Toc246216188"/>
      <w:r>
        <w:rPr>
          <w:rFonts w:hint="eastAsia" w:ascii="宋体" w:hAnsi="宋体" w:eastAsia="宋体" w:cs="宋体"/>
          <w:sz w:val="24"/>
        </w:rPr>
        <w:t>9、竞争性磋商文件的组成</w:t>
      </w:r>
      <w:bookmarkEnd w:id="31"/>
      <w:bookmarkEnd w:id="32"/>
      <w:bookmarkEnd w:id="33"/>
      <w:bookmarkEnd w:id="34"/>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9.1 本竞争性磋商文件是对</w:t>
      </w:r>
      <w:r>
        <w:rPr>
          <w:rFonts w:hint="eastAsia" w:hAnsi="宋体" w:cs="宋体"/>
          <w:sz w:val="24"/>
          <w:lang w:eastAsia="zh-CN"/>
        </w:rPr>
        <w:t>2022年和田县基层干部参观学习交流项目</w:t>
      </w:r>
      <w:r>
        <w:rPr>
          <w:rFonts w:hint="eastAsia" w:ascii="宋体" w:hAnsi="宋体" w:eastAsia="宋体" w:cs="宋体"/>
          <w:sz w:val="24"/>
        </w:rPr>
        <w:t>磋商程序、合同条款进行说明。竞争性磋商文件包括下列内容：</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第一章、竞争性磋商公告</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第二章、供应商须知</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第三章、项目采购需求</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第四章、合同条款</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第五章、质疑与处理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第六章、评审标准（综合评估法）</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第七章、响应文件格式</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9.2 竞争性磋商文件以中文编印，以中文文本为准。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9.3 除非有特殊要求，竞争性磋商文件不单独提供采购项目使用地的自然环境、气候条件、劳动力及公用设施等情况，供应商被视为熟悉上述条件或若成交履行合同有关的一切情况。</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9.4采购人向供应商提供的有关数据和资料，是采购人现有的能被供应商利用的资料，供应商对此做出的推论、理解和结论自行负责。</w:t>
      </w:r>
    </w:p>
    <w:p>
      <w:pPr>
        <w:pStyle w:val="15"/>
        <w:spacing w:line="360" w:lineRule="auto"/>
        <w:ind w:firstLine="480" w:firstLineChars="200"/>
        <w:rPr>
          <w:rFonts w:hint="eastAsia" w:ascii="宋体" w:hAnsi="宋体" w:eastAsia="宋体" w:cs="宋体"/>
          <w:sz w:val="24"/>
        </w:rPr>
      </w:pPr>
      <w:bookmarkStart w:id="35" w:name="_Toc243907580"/>
      <w:bookmarkStart w:id="36" w:name="_Toc245897280"/>
      <w:bookmarkStart w:id="37" w:name="_Toc243906320"/>
      <w:bookmarkStart w:id="38" w:name="_Toc233274820"/>
      <w:r>
        <w:rPr>
          <w:rFonts w:hint="eastAsia" w:ascii="宋体" w:hAnsi="宋体" w:eastAsia="宋体" w:cs="宋体"/>
          <w:sz w:val="24"/>
        </w:rPr>
        <w:t>10、竞争性磋商文件的澄清</w:t>
      </w:r>
      <w:bookmarkEnd w:id="35"/>
      <w:bookmarkEnd w:id="36"/>
      <w:bookmarkEnd w:id="37"/>
      <w:bookmarkEnd w:id="38"/>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10.1 供应商对竞争性磋商文件如有疑问，可要求澄清，应按竞争性磋商文件以书面形式（必须加盖供应商公章）送达或传真至采购代理机构（同时将疑问电子版发至</w:t>
      </w:r>
      <w:r>
        <w:rPr>
          <w:rFonts w:hint="eastAsia" w:hAnsi="宋体" w:cs="宋体"/>
          <w:color w:val="000000"/>
          <w:kern w:val="0"/>
          <w:sz w:val="24"/>
          <w:szCs w:val="24"/>
          <w:lang w:val="en-US" w:eastAsia="zh-CN"/>
        </w:rPr>
        <w:t>1123091252</w:t>
      </w:r>
      <w:r>
        <w:rPr>
          <w:rFonts w:hint="eastAsia" w:ascii="宋体" w:hAnsi="宋体" w:eastAsia="宋体" w:cs="宋体"/>
          <w:color w:val="000000"/>
          <w:kern w:val="0"/>
          <w:sz w:val="24"/>
          <w:szCs w:val="24"/>
        </w:rPr>
        <w:t>@qq.com</w:t>
      </w:r>
      <w:r>
        <w:rPr>
          <w:rFonts w:hint="eastAsia" w:ascii="宋体" w:hAnsi="宋体" w:eastAsia="宋体" w:cs="宋体"/>
          <w:sz w:val="24"/>
        </w:rPr>
        <w:t>）。采购人和采购代理机构将视情况以书面形式予以答复，并发至领取竞争性磋商文件的每位供应商。答复中包括所提问题，但不包括问题的来源。</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15"/>
        <w:spacing w:line="360" w:lineRule="auto"/>
        <w:ind w:firstLine="480" w:firstLineChars="200"/>
        <w:rPr>
          <w:rFonts w:hint="eastAsia" w:ascii="宋体" w:hAnsi="宋体" w:eastAsia="宋体" w:cs="宋体"/>
          <w:sz w:val="24"/>
        </w:rPr>
      </w:pPr>
      <w:bookmarkStart w:id="39" w:name="_Toc243906321"/>
      <w:bookmarkStart w:id="40" w:name="_Toc233274821"/>
      <w:bookmarkStart w:id="41" w:name="_Toc243907581"/>
      <w:bookmarkStart w:id="42" w:name="_Toc245897281"/>
      <w:r>
        <w:rPr>
          <w:rFonts w:hint="eastAsia" w:ascii="宋体" w:hAnsi="宋体" w:eastAsia="宋体" w:cs="宋体"/>
          <w:sz w:val="24"/>
        </w:rPr>
        <w:t>11、竞争性磋商文件的修改和补充</w:t>
      </w:r>
      <w:bookmarkEnd w:id="39"/>
      <w:bookmarkEnd w:id="40"/>
      <w:bookmarkEnd w:id="41"/>
      <w:bookmarkEnd w:id="42"/>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11.1在递交响应文件截止日期3个工作日前的任何时候，采购人可主动地或依据供应商要求澄清的疑问而修改、补充竞争性磋商文件，采购代理机构将对修改和补充的内容以书面形式发至所有领取竞争性磋商文件的每位供应商，修改和/或补充文件将作为竞争性磋商文件的组成部分，对所有供应商具有约束力。</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11.2为使供应商在准备响应文件时有合理的时间考虑竞争性磋商文件的修改和/或补充，采购代理机构可延长递交响应文件截止时间和开启时间，但至少应当在规定的递交响应文件的截止时间3个工作日前，以书面形式通知所有领取竞争性磋商文件的每位供应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11.3供应商在每次收到采购代理机构发至的书面文件后，应在收到后24小时内以书面形式并加盖供应商公章予以确认。</w:t>
      </w:r>
    </w:p>
    <w:p>
      <w:pPr>
        <w:pStyle w:val="15"/>
        <w:numPr>
          <w:ilvl w:val="0"/>
          <w:numId w:val="3"/>
        </w:numPr>
        <w:spacing w:line="360" w:lineRule="auto"/>
        <w:rPr>
          <w:rFonts w:hint="eastAsia" w:ascii="宋体" w:hAnsi="宋体" w:eastAsia="宋体" w:cs="宋体"/>
          <w:b/>
          <w:bCs/>
          <w:sz w:val="24"/>
        </w:rPr>
      </w:pPr>
      <w:r>
        <w:rPr>
          <w:rFonts w:hint="eastAsia" w:ascii="宋体" w:hAnsi="宋体" w:eastAsia="宋体" w:cs="宋体"/>
          <w:b/>
          <w:bCs/>
          <w:sz w:val="24"/>
        </w:rPr>
        <w:t>响应文件的编写</w:t>
      </w:r>
    </w:p>
    <w:p>
      <w:pPr>
        <w:pStyle w:val="15"/>
        <w:spacing w:line="360" w:lineRule="auto"/>
        <w:ind w:firstLine="480" w:firstLineChars="200"/>
        <w:outlineLvl w:val="1"/>
        <w:rPr>
          <w:rFonts w:hint="eastAsia" w:ascii="宋体" w:hAnsi="宋体" w:eastAsia="宋体" w:cs="宋体"/>
          <w:sz w:val="24"/>
          <w:szCs w:val="24"/>
        </w:rPr>
      </w:pPr>
      <w:bookmarkStart w:id="43" w:name="_Toc233274823"/>
      <w:bookmarkStart w:id="44" w:name="_Toc243907583"/>
      <w:bookmarkStart w:id="45" w:name="_Toc245897283"/>
      <w:bookmarkStart w:id="46" w:name="_Toc243906323"/>
      <w:bookmarkStart w:id="47" w:name="_Toc24796"/>
      <w:r>
        <w:rPr>
          <w:rFonts w:hint="eastAsia" w:ascii="宋体" w:hAnsi="宋体" w:eastAsia="宋体" w:cs="宋体"/>
          <w:sz w:val="24"/>
          <w:szCs w:val="24"/>
        </w:rPr>
        <w:t>1</w:t>
      </w:r>
      <w:bookmarkEnd w:id="43"/>
      <w:r>
        <w:rPr>
          <w:rFonts w:hint="eastAsia" w:ascii="宋体" w:hAnsi="宋体" w:eastAsia="宋体" w:cs="宋体"/>
          <w:sz w:val="24"/>
          <w:szCs w:val="24"/>
        </w:rPr>
        <w:t>2、响应文件的编写</w:t>
      </w:r>
      <w:bookmarkEnd w:id="44"/>
      <w:bookmarkEnd w:id="45"/>
      <w:bookmarkEnd w:id="46"/>
    </w:p>
    <w:p>
      <w:pPr>
        <w:spacing w:line="360" w:lineRule="auto"/>
        <w:ind w:firstLine="481"/>
        <w:rPr>
          <w:rFonts w:hint="eastAsia" w:ascii="宋体" w:hAnsi="宋体" w:eastAsia="宋体" w:cs="宋体"/>
          <w:sz w:val="24"/>
        </w:rPr>
      </w:pPr>
      <w:r>
        <w:rPr>
          <w:rFonts w:hint="eastAsia" w:ascii="宋体" w:hAnsi="宋体" w:eastAsia="宋体" w:cs="宋体"/>
          <w:sz w:val="24"/>
        </w:rPr>
        <w:t>12.1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w:t>
      </w:r>
      <w:r>
        <w:rPr>
          <w:rFonts w:hint="eastAsia" w:ascii="宋体" w:hAnsi="宋体" w:eastAsia="宋体" w:cs="宋体"/>
          <w:b/>
          <w:sz w:val="24"/>
        </w:rPr>
        <w:t>编制响应文件</w:t>
      </w:r>
      <w:r>
        <w:rPr>
          <w:rFonts w:hint="eastAsia" w:ascii="宋体" w:hAnsi="宋体" w:eastAsia="宋体" w:cs="宋体"/>
          <w:sz w:val="24"/>
        </w:rPr>
        <w:t>。</w:t>
      </w:r>
    </w:p>
    <w:p>
      <w:pPr>
        <w:pStyle w:val="15"/>
        <w:spacing w:line="360" w:lineRule="auto"/>
        <w:ind w:firstLine="480" w:firstLineChars="200"/>
        <w:outlineLvl w:val="1"/>
        <w:rPr>
          <w:rFonts w:hint="eastAsia" w:ascii="宋体" w:hAnsi="宋体" w:eastAsia="宋体" w:cs="宋体"/>
          <w:sz w:val="24"/>
          <w:szCs w:val="24"/>
        </w:rPr>
      </w:pPr>
      <w:bookmarkStart w:id="48" w:name="_Toc243907584"/>
      <w:bookmarkStart w:id="49" w:name="_Toc233274824"/>
      <w:bookmarkStart w:id="50" w:name="_Toc243906324"/>
      <w:bookmarkStart w:id="51" w:name="_Toc245897284"/>
      <w:r>
        <w:rPr>
          <w:rFonts w:hint="eastAsia" w:ascii="宋体" w:hAnsi="宋体" w:eastAsia="宋体" w:cs="宋体"/>
          <w:sz w:val="24"/>
          <w:szCs w:val="24"/>
        </w:rPr>
        <w:t>13、响应文件的语言及计量单位</w:t>
      </w:r>
      <w:bookmarkEnd w:id="48"/>
      <w:bookmarkEnd w:id="49"/>
      <w:bookmarkEnd w:id="50"/>
      <w:bookmarkEnd w:id="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除在竞争性磋商文件的项目采购需求中另有规定外，计量单位应使用中华人民共和国法定计量单位（国际单位制和国家选定的其它计量单位）。如供应商采用其它计量单位，需事先得到采购人的同意。</w:t>
      </w:r>
    </w:p>
    <w:p>
      <w:pPr>
        <w:pStyle w:val="15"/>
        <w:spacing w:line="360" w:lineRule="auto"/>
        <w:ind w:firstLine="480" w:firstLineChars="200"/>
        <w:outlineLvl w:val="1"/>
        <w:rPr>
          <w:rFonts w:hint="eastAsia" w:ascii="宋体" w:hAnsi="宋体" w:eastAsia="宋体" w:cs="宋体"/>
          <w:b/>
          <w:sz w:val="24"/>
          <w:szCs w:val="24"/>
          <w:highlight w:val="yellow"/>
        </w:rPr>
      </w:pPr>
      <w:bookmarkStart w:id="52" w:name="_Toc233274825"/>
      <w:bookmarkStart w:id="53" w:name="_Toc245897285"/>
      <w:bookmarkStart w:id="54" w:name="_Toc243907585"/>
      <w:bookmarkStart w:id="55" w:name="_Toc243906325"/>
      <w:r>
        <w:rPr>
          <w:rFonts w:hint="eastAsia" w:ascii="宋体" w:hAnsi="宋体" w:eastAsia="宋体" w:cs="宋体"/>
          <w:sz w:val="24"/>
          <w:szCs w:val="24"/>
        </w:rPr>
        <w:t>14、响应文件的组成</w:t>
      </w:r>
      <w:bookmarkEnd w:id="52"/>
      <w:bookmarkEnd w:id="53"/>
      <w:bookmarkEnd w:id="54"/>
      <w:bookmarkEnd w:id="55"/>
    </w:p>
    <w:p>
      <w:pPr>
        <w:tabs>
          <w:tab w:val="left" w:pos="776"/>
        </w:tabs>
        <w:spacing w:after="60" w:afterLines="25"/>
        <w:rPr>
          <w:rFonts w:hint="eastAsia" w:ascii="宋体" w:hAnsi="宋体" w:eastAsia="宋体" w:cs="宋体"/>
          <w:b/>
          <w:sz w:val="24"/>
          <w:highlight w:val="yellow"/>
        </w:rPr>
      </w:pPr>
      <w:r>
        <w:rPr>
          <w:rFonts w:hint="eastAsia" w:ascii="宋体" w:hAnsi="宋体" w:eastAsia="宋体" w:cs="宋体"/>
          <w:b/>
          <w:sz w:val="24"/>
          <w:szCs w:val="24"/>
          <w:highlight w:val="none"/>
        </w:rPr>
        <w:t>投标文件的组成和顺序:投标文件由经济报价部分、商务部分、技术部分三部分组成，合装成一本标书（胶装）。开标一览表需按招标文件提供的格式填写，统一规范，不得自行增减内容，并单独提供且与投标文件中提供的一致，并按招标文件要求单独密封。</w:t>
      </w:r>
    </w:p>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.1经济报价部分：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.1.1投标书；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w:t>
      </w:r>
    </w:p>
    <w:p>
      <w:pPr>
        <w:spacing w:line="500" w:lineRule="exact"/>
        <w:ind w:firstLine="720" w:firstLineChars="300"/>
        <w:rPr>
          <w:rFonts w:hint="eastAsia"/>
          <w:color w:val="auto"/>
          <w:highlight w:val="none"/>
        </w:rPr>
      </w:pPr>
      <w:r>
        <w:rPr>
          <w:rFonts w:hint="eastAsia" w:ascii="宋体" w:hAnsi="宋体" w:eastAsia="宋体" w:cs="宋体"/>
          <w:color w:val="auto"/>
          <w:sz w:val="24"/>
          <w:szCs w:val="24"/>
          <w:highlight w:val="none"/>
          <w:lang w:val="en-US" w:eastAsia="zh-CN"/>
        </w:rPr>
        <w:t>14.1.3报价明细表</w:t>
      </w:r>
      <w:r>
        <w:rPr>
          <w:rFonts w:hint="default" w:ascii="宋体" w:hAnsi="宋体" w:eastAsia="宋体" w:cs="宋体"/>
          <w:color w:val="auto"/>
          <w:sz w:val="24"/>
          <w:szCs w:val="24"/>
          <w:highlight w:val="none"/>
          <w:lang w:val="en-US" w:eastAsia="zh-CN"/>
        </w:rPr>
        <w:t>。</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.2商务部分：</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.2.1投标方的资格声明（格式见附件）；</w:t>
      </w:r>
    </w:p>
    <w:p>
      <w:pPr>
        <w:spacing w:line="480" w:lineRule="exact"/>
        <w:ind w:firstLine="720" w:firstLineChars="3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.2.2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基本情况表（格式见附件）</w:t>
      </w:r>
      <w:r>
        <w:rPr>
          <w:rFonts w:hint="eastAsia" w:ascii="宋体" w:hAnsi="宋体" w:eastAsia="宋体" w:cs="宋体"/>
          <w:color w:val="000000"/>
          <w:sz w:val="24"/>
          <w:szCs w:val="24"/>
          <w:highlight w:val="none"/>
          <w:lang w:eastAsia="zh-CN"/>
        </w:rPr>
        <w:t>；</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法定代表人证明书（格式见附件）；</w:t>
      </w:r>
    </w:p>
    <w:p>
      <w:pPr>
        <w:spacing w:line="480" w:lineRule="exact"/>
        <w:ind w:firstLine="787" w:firstLineChars="328"/>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法定代表人授权委托书及投标人被授权人身份证复印件（如有授权，法人参加提供身份证原件及复印件）（格式见附件）</w:t>
      </w:r>
      <w:r>
        <w:rPr>
          <w:rFonts w:hint="eastAsia" w:ascii="宋体" w:hAnsi="宋体" w:eastAsia="宋体" w:cs="宋体"/>
          <w:color w:val="000000"/>
          <w:sz w:val="24"/>
          <w:szCs w:val="24"/>
          <w:highlight w:val="none"/>
          <w:lang w:eastAsia="zh-CN"/>
        </w:rPr>
        <w:t>；</w:t>
      </w:r>
    </w:p>
    <w:p>
      <w:pPr>
        <w:widowControl/>
        <w:spacing w:line="48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5近三年的业绩表及相关证明；</w:t>
      </w:r>
    </w:p>
    <w:p>
      <w:pPr>
        <w:widowControl/>
        <w:spacing w:line="480" w:lineRule="exact"/>
        <w:ind w:firstLine="720" w:firstLineChars="3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商务偏离表（格式见附件）；</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7财务状况；</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供应商反商业贿赂承诺书（格式见附件）；</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投标保证金</w:t>
      </w:r>
      <w:r>
        <w:rPr>
          <w:rFonts w:hint="eastAsia" w:ascii="宋体" w:hAnsi="宋体" w:eastAsia="宋体" w:cs="宋体"/>
          <w:color w:val="000000"/>
          <w:sz w:val="24"/>
          <w:szCs w:val="24"/>
          <w:highlight w:val="none"/>
          <w:lang w:eastAsia="zh-CN"/>
        </w:rPr>
        <w:t>收据；</w:t>
      </w:r>
    </w:p>
    <w:p>
      <w:pPr>
        <w:widowControl/>
        <w:spacing w:line="400" w:lineRule="exact"/>
        <w:ind w:firstLine="700" w:firstLineChars="292"/>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w:t>
      </w:r>
      <w:r>
        <w:rPr>
          <w:rFonts w:hint="eastAsia" w:ascii="宋体" w:hAnsi="宋体" w:eastAsia="宋体" w:cs="宋体"/>
          <w:color w:val="000000"/>
          <w:sz w:val="24"/>
          <w:szCs w:val="24"/>
          <w:highlight w:val="none"/>
          <w:lang w:val="en-US" w:eastAsia="zh-CN"/>
        </w:rPr>
        <w:t>0资格文件</w:t>
      </w:r>
      <w:r>
        <w:rPr>
          <w:rFonts w:hint="eastAsia" w:ascii="宋体" w:hAnsi="宋体" w:eastAsia="宋体" w:cs="宋体"/>
          <w:color w:val="000000"/>
          <w:sz w:val="24"/>
          <w:szCs w:val="24"/>
          <w:highlight w:val="none"/>
          <w:lang w:eastAsia="zh-CN"/>
        </w:rPr>
        <w:t>；</w:t>
      </w:r>
    </w:p>
    <w:p>
      <w:pPr>
        <w:widowControl/>
        <w:spacing w:line="400" w:lineRule="exact"/>
        <w:ind w:firstLine="700" w:firstLineChars="292"/>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000000"/>
          <w:sz w:val="24"/>
          <w:szCs w:val="24"/>
          <w:highlight w:val="none"/>
        </w:rPr>
        <w:t>投标人认为有必要提供的声明及文件资料。</w:t>
      </w:r>
    </w:p>
    <w:p>
      <w:pPr>
        <w:widowControl/>
        <w:spacing w:line="400" w:lineRule="exact"/>
        <w:ind w:firstLine="463" w:firstLineChars="19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.3 技术部分：</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1项目整体实施方案，培训方案（课程安排）；（格式自拟）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2服务承诺；（格式自拟）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4管理制度；（格式自拟）</w:t>
      </w:r>
    </w:p>
    <w:p>
      <w:pPr>
        <w:widowControl/>
        <w:spacing w:line="400" w:lineRule="exact"/>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5投标人认为有必要提供的技术资料。</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注：投标文件按统一格式、顺序编写。</w:t>
      </w:r>
    </w:p>
    <w:p>
      <w:pPr>
        <w:pStyle w:val="24"/>
        <w:ind w:left="0" w:leftChars="0" w:firstLine="0" w:firstLineChars="0"/>
        <w:rPr>
          <w:rFonts w:hint="eastAsia"/>
          <w:lang w:val="en-US" w:eastAsia="zh-CN"/>
        </w:rPr>
      </w:pPr>
    </w:p>
    <w:p>
      <w:pPr>
        <w:pStyle w:val="24"/>
        <w:numPr>
          <w:ilvl w:val="0"/>
          <w:numId w:val="0"/>
        </w:numPr>
        <w:rPr>
          <w:rFonts w:hint="eastAsia"/>
        </w:rPr>
      </w:pPr>
    </w:p>
    <w:p>
      <w:pPr>
        <w:pStyle w:val="24"/>
        <w:rPr>
          <w:rFonts w:hint="eastAsia" w:eastAsia="宋体"/>
          <w:highlight w:val="yellow"/>
          <w:lang w:val="en-US" w:eastAsia="zh-CN"/>
        </w:rPr>
      </w:pPr>
    </w:p>
    <w:p>
      <w:pPr>
        <w:pStyle w:val="15"/>
        <w:spacing w:line="360" w:lineRule="auto"/>
        <w:ind w:firstLine="480"/>
        <w:outlineLvl w:val="1"/>
        <w:rPr>
          <w:rFonts w:hint="eastAsia" w:ascii="宋体" w:hAnsi="宋体" w:eastAsia="宋体" w:cs="宋体"/>
          <w:sz w:val="24"/>
          <w:szCs w:val="24"/>
          <w:highlight w:val="yellow"/>
        </w:rPr>
      </w:pPr>
      <w:bookmarkStart w:id="56" w:name="_Toc245897286"/>
      <w:bookmarkStart w:id="57" w:name="_Toc233274827"/>
      <w:bookmarkStart w:id="58" w:name="_Toc246216196"/>
      <w:bookmarkStart w:id="59" w:name="_Toc243906326"/>
      <w:bookmarkStart w:id="60" w:name="_Toc243907587"/>
      <w:r>
        <w:rPr>
          <w:rFonts w:hint="eastAsia" w:ascii="宋体" w:hAnsi="宋体" w:eastAsia="宋体" w:cs="宋体"/>
          <w:sz w:val="24"/>
          <w:szCs w:val="24"/>
          <w:highlight w:val="yellow"/>
        </w:rPr>
        <w:t>15、响应文件格式</w:t>
      </w:r>
      <w:bookmarkEnd w:id="56"/>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15.1供应商应按竞争性磋商文件提供的格式及商务报价说明完整地填写所提供的合同货物、服务以及单价等内容。</w:t>
      </w:r>
    </w:p>
    <w:p>
      <w:pPr>
        <w:pStyle w:val="15"/>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16、商务报价</w:t>
      </w:r>
      <w:bookmarkEnd w:id="57"/>
      <w:bookmarkEnd w:id="58"/>
      <w:bookmarkEnd w:id="59"/>
      <w:bookmarkEnd w:id="6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供应商的商务报价应是为采购人提供全部合同货物及服务，并保证货物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商务报价中不得包含合同条款、技术规范及标准、项目采购需求、本竞争性磋商文件要求以外的其他内容。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16.2商务报价总价应包括的内容和计价因素</w:t>
      </w:r>
    </w:p>
    <w:p>
      <w:pPr>
        <w:spacing w:line="360" w:lineRule="auto"/>
        <w:rPr>
          <w:rFonts w:hint="eastAsia" w:ascii="宋体" w:hAnsi="宋体" w:eastAsia="宋体" w:cs="宋体"/>
          <w:bCs/>
          <w:sz w:val="24"/>
        </w:rPr>
      </w:pPr>
      <w:r>
        <w:rPr>
          <w:rFonts w:hint="eastAsia" w:ascii="宋体" w:hAnsi="宋体" w:eastAsia="宋体" w:cs="宋体"/>
          <w:bCs/>
          <w:sz w:val="24"/>
        </w:rPr>
        <w:t xml:space="preserve">   （1）完成</w:t>
      </w:r>
      <w:r>
        <w:rPr>
          <w:rFonts w:hint="eastAsia" w:ascii="宋体" w:hAnsi="宋体" w:cs="宋体"/>
          <w:bCs/>
          <w:sz w:val="24"/>
          <w:lang w:eastAsia="zh-CN"/>
        </w:rPr>
        <w:t>2022年和田县基层干部参观学习交流项目</w:t>
      </w:r>
      <w:r>
        <w:rPr>
          <w:rFonts w:hint="eastAsia" w:ascii="宋体" w:hAnsi="宋体" w:eastAsia="宋体" w:cs="宋体"/>
          <w:bCs/>
          <w:sz w:val="24"/>
        </w:rPr>
        <w:t>的全部内容。</w:t>
      </w: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Cs/>
          <w:sz w:val="24"/>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eastAsia="宋体" w:cs="宋体"/>
          <w:sz w:val="24"/>
        </w:rPr>
      </w:pPr>
      <w:bookmarkStart w:id="61" w:name="_Toc243907588"/>
      <w:bookmarkStart w:id="62" w:name="_Toc233274828"/>
      <w:bookmarkStart w:id="63" w:name="_Toc243906327"/>
      <w:bookmarkStart w:id="64" w:name="_Toc246216197"/>
      <w:r>
        <w:rPr>
          <w:rFonts w:hint="eastAsia" w:ascii="宋体" w:hAnsi="宋体" w:eastAsia="宋体" w:cs="宋体"/>
          <w:sz w:val="24"/>
        </w:rPr>
        <w:t>16.3供应商应按照竞争性磋商文件所附的格式完整地填写商务报价一览表。</w:t>
      </w:r>
      <w:r>
        <w:rPr>
          <w:rFonts w:hint="eastAsia" w:ascii="宋体" w:hAnsi="宋体" w:eastAsia="宋体" w:cs="宋体"/>
          <w:b/>
          <w:sz w:val="24"/>
        </w:rPr>
        <w:t>供应商应对采购范围内的全部内容进行报价。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16.4供应商若成交，不得以任何理由在合同执行期间予以价格调整。任何包含价格调整的要求将被认为是非响应而予以拒绝。</w:t>
      </w:r>
    </w:p>
    <w:bookmarkEnd w:id="61"/>
    <w:bookmarkEnd w:id="62"/>
    <w:bookmarkEnd w:id="63"/>
    <w:bookmarkEnd w:id="64"/>
    <w:p>
      <w:pPr>
        <w:pStyle w:val="15"/>
        <w:spacing w:line="360" w:lineRule="auto"/>
        <w:ind w:firstLine="480" w:firstLineChars="200"/>
        <w:rPr>
          <w:rFonts w:hint="eastAsia" w:ascii="宋体" w:hAnsi="宋体" w:eastAsia="宋体" w:cs="宋体"/>
          <w:sz w:val="24"/>
          <w:szCs w:val="24"/>
        </w:rPr>
      </w:pPr>
      <w:bookmarkStart w:id="65" w:name="_Toc245897288"/>
      <w:r>
        <w:rPr>
          <w:rFonts w:hint="eastAsia" w:ascii="宋体" w:hAnsi="宋体" w:eastAsia="宋体" w:cs="宋体"/>
          <w:sz w:val="24"/>
          <w:szCs w:val="24"/>
        </w:rPr>
        <w:t>17、商务报价货币</w:t>
      </w:r>
      <w:bookmarkEnd w:id="65"/>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17.1商务报价一览表和响应文件中的所有报价一律使用人民币（RMB）填报。</w:t>
      </w:r>
    </w:p>
    <w:p>
      <w:pPr>
        <w:pStyle w:val="15"/>
        <w:spacing w:line="360" w:lineRule="auto"/>
        <w:ind w:firstLine="480" w:firstLineChars="200"/>
        <w:rPr>
          <w:rFonts w:hint="eastAsia" w:ascii="宋体" w:hAnsi="宋体" w:eastAsia="宋体" w:cs="宋体"/>
          <w:sz w:val="24"/>
          <w:szCs w:val="24"/>
        </w:rPr>
      </w:pPr>
      <w:bookmarkStart w:id="66" w:name="_Toc245897289"/>
      <w:bookmarkStart w:id="67" w:name="_Toc243906328"/>
      <w:bookmarkStart w:id="68" w:name="_Toc243907589"/>
      <w:bookmarkStart w:id="69" w:name="_Toc233274829"/>
      <w:r>
        <w:rPr>
          <w:rFonts w:hint="eastAsia" w:ascii="宋体" w:hAnsi="宋体" w:eastAsia="宋体" w:cs="宋体"/>
          <w:sz w:val="24"/>
          <w:szCs w:val="24"/>
        </w:rPr>
        <w:t>18、供应商资格证明文件</w:t>
      </w:r>
      <w:bookmarkEnd w:id="66"/>
      <w:bookmarkEnd w:id="67"/>
      <w:bookmarkEnd w:id="68"/>
      <w:bookmarkEnd w:id="69"/>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供应商必须提交证明其有资格参加磋商和成交后有能力履行合同的文件。</w:t>
      </w:r>
    </w:p>
    <w:p>
      <w:pPr>
        <w:pStyle w:val="15"/>
        <w:spacing w:line="360" w:lineRule="auto"/>
        <w:ind w:firstLine="480" w:firstLineChars="200"/>
        <w:rPr>
          <w:rFonts w:hint="eastAsia" w:ascii="宋体" w:hAnsi="宋体" w:eastAsia="宋体" w:cs="宋体"/>
          <w:sz w:val="24"/>
          <w:szCs w:val="24"/>
        </w:rPr>
      </w:pPr>
      <w:bookmarkStart w:id="70" w:name="_Toc233274830"/>
      <w:bookmarkStart w:id="71" w:name="_Toc243907590"/>
      <w:bookmarkStart w:id="72" w:name="_Toc245897290"/>
      <w:bookmarkStart w:id="73" w:name="_Toc243906329"/>
      <w:r>
        <w:rPr>
          <w:rFonts w:hint="eastAsia" w:ascii="宋体" w:hAnsi="宋体" w:eastAsia="宋体" w:cs="宋体"/>
          <w:sz w:val="24"/>
          <w:szCs w:val="24"/>
        </w:rPr>
        <w:t>19、提供的服务符合磋商文件规定的技术响应文件</w:t>
      </w:r>
      <w:bookmarkEnd w:id="70"/>
      <w:bookmarkEnd w:id="71"/>
      <w:bookmarkEnd w:id="72"/>
      <w:bookmarkEnd w:id="73"/>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供应商须提交证明其拟供服务符合磋商文件、项目采购需求规定的技术响应文件，作为响应文件的一部分；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19.2上述文件可以是文字资料、图纸和数据，并须提供主要技术性能的详细描述及设备清单和所提供服务的详细说明；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19.3供应商应逐条对磋商文件、项目采购需求、合同条款等进行仔细阅读，提出自己提供的服务是否对其做出了实质性的响应。</w:t>
      </w:r>
    </w:p>
    <w:p>
      <w:pPr>
        <w:pStyle w:val="15"/>
        <w:spacing w:line="360" w:lineRule="auto"/>
        <w:ind w:firstLine="480" w:firstLineChars="200"/>
        <w:rPr>
          <w:rFonts w:hint="eastAsia" w:ascii="宋体" w:hAnsi="宋体" w:eastAsia="宋体" w:cs="宋体"/>
          <w:sz w:val="24"/>
          <w:szCs w:val="24"/>
        </w:rPr>
      </w:pPr>
      <w:bookmarkStart w:id="74" w:name="_Toc245897291"/>
      <w:bookmarkStart w:id="75" w:name="_Toc233274831"/>
      <w:bookmarkStart w:id="76" w:name="_Toc243906330"/>
      <w:bookmarkStart w:id="77" w:name="_Toc243907591"/>
      <w:r>
        <w:rPr>
          <w:rFonts w:hint="eastAsia" w:ascii="宋体" w:hAnsi="宋体" w:eastAsia="宋体" w:cs="宋体"/>
          <w:sz w:val="24"/>
          <w:szCs w:val="24"/>
        </w:rPr>
        <w:t>20、响应文件有效期</w:t>
      </w:r>
      <w:bookmarkEnd w:id="74"/>
      <w:bookmarkEnd w:id="75"/>
      <w:bookmarkEnd w:id="76"/>
      <w:bookmarkEnd w:id="77"/>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20.1响应文件有效期为递交响应文件截止之</w:t>
      </w:r>
      <w:r>
        <w:rPr>
          <w:rFonts w:hint="eastAsia" w:ascii="宋体" w:hAnsi="宋体" w:eastAsia="宋体" w:cs="宋体"/>
          <w:sz w:val="24"/>
          <w:szCs w:val="24"/>
          <w:highlight w:val="none"/>
        </w:rPr>
        <w:t>日起</w:t>
      </w:r>
      <w:r>
        <w:rPr>
          <w:rFonts w:hint="eastAsia" w:hAnsi="宋体" w:cs="宋体"/>
          <w:sz w:val="24"/>
          <w:szCs w:val="24"/>
          <w:highlight w:val="none"/>
          <w:lang w:val="en-US" w:eastAsia="zh-CN"/>
        </w:rPr>
        <w:t>90</w:t>
      </w:r>
      <w:r>
        <w:rPr>
          <w:rFonts w:hint="eastAsia" w:ascii="宋体" w:hAnsi="宋体" w:eastAsia="宋体" w:cs="宋体"/>
          <w:sz w:val="24"/>
          <w:szCs w:val="24"/>
          <w:highlight w:val="none"/>
        </w:rPr>
        <w:t>天（日历日）。</w:t>
      </w:r>
      <w:r>
        <w:rPr>
          <w:rFonts w:hint="eastAsia" w:ascii="宋体" w:hAnsi="宋体" w:eastAsia="宋体" w:cs="宋体"/>
          <w:sz w:val="24"/>
          <w:szCs w:val="24"/>
        </w:rPr>
        <w:t>供应商的响应文件有效期比规定的有效期短的，将被视为非响应而予以拒绝。</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21、响应文件的签署及规定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21.1供应商应提交</w:t>
      </w:r>
      <w:r>
        <w:rPr>
          <w:rFonts w:hint="eastAsia" w:ascii="宋体" w:hAnsi="宋体" w:eastAsia="宋体" w:cs="宋体"/>
          <w:sz w:val="24"/>
          <w:szCs w:val="24"/>
          <w:highlight w:val="none"/>
        </w:rPr>
        <w:t>本须知第</w:t>
      </w:r>
      <w:r>
        <w:rPr>
          <w:rFonts w:hint="eastAsia" w:hAnsi="宋体" w:cs="宋体"/>
          <w:sz w:val="24"/>
          <w:szCs w:val="24"/>
          <w:highlight w:val="none"/>
          <w:lang w:val="en-US" w:eastAsia="zh-CN"/>
        </w:rPr>
        <w:t>18</w:t>
      </w:r>
      <w:r>
        <w:rPr>
          <w:rFonts w:hint="eastAsia" w:ascii="宋体" w:hAnsi="宋体" w:eastAsia="宋体" w:cs="宋体"/>
          <w:sz w:val="24"/>
          <w:szCs w:val="24"/>
          <w:highlight w:val="none"/>
        </w:rPr>
        <w:t>条规定的</w:t>
      </w:r>
      <w:r>
        <w:rPr>
          <w:rFonts w:hint="eastAsia" w:hAnsi="宋体" w:cs="宋体"/>
          <w:sz w:val="24"/>
          <w:szCs w:val="24"/>
          <w:highlight w:val="none"/>
          <w:lang w:val="en-US" w:eastAsia="zh-CN"/>
        </w:rPr>
        <w:t>递交投标文件，</w:t>
      </w:r>
      <w:r>
        <w:rPr>
          <w:rFonts w:hint="eastAsia" w:ascii="宋体" w:hAnsi="宋体" w:eastAsia="宋体" w:cs="宋体"/>
          <w:sz w:val="24"/>
          <w:szCs w:val="24"/>
          <w:highlight w:val="none"/>
        </w:rPr>
        <w:t>在每</w:t>
      </w:r>
      <w:r>
        <w:rPr>
          <w:rFonts w:hint="eastAsia" w:ascii="宋体" w:hAnsi="宋体" w:eastAsia="宋体" w:cs="宋体"/>
          <w:sz w:val="24"/>
          <w:szCs w:val="24"/>
        </w:rPr>
        <w:t>一份响应文件上应明确注明“正本”或“副本”字样，如正、副本之间有差异，以正本为准。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21.2响应文件正本和副本须打印并由法定代表人或委托代理人签字或盖章。响应文件应加盖供应商的公章。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除供应商对错误做必要修改外，响应文件中不许有增删、涂改或改写。若确有修改必须由签署响应文件的委托代理人签字或盖章。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21.4响应文件副本的上述签名及盖章之处既可由供应商的法定代表人或其委托代理人签字或盖章，也可通过复印正本将上述签名及盖章复制到副本上。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采购人概不接受电报、电传、电话、邮寄以及电子邮件等方式的磋商。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响应文件的递交、修改和撤回</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四、响应文件的递交、修改和撤回</w:t>
      </w:r>
      <w:bookmarkEnd w:id="47"/>
    </w:p>
    <w:p>
      <w:pPr>
        <w:spacing w:line="360" w:lineRule="auto"/>
        <w:ind w:firstLine="480" w:firstLineChars="200"/>
        <w:outlineLvl w:val="1"/>
        <w:rPr>
          <w:rFonts w:hint="eastAsia" w:ascii="宋体" w:hAnsi="宋体" w:eastAsia="宋体" w:cs="宋体"/>
          <w:sz w:val="24"/>
        </w:rPr>
      </w:pPr>
      <w:bookmarkStart w:id="78" w:name="_Toc243907595"/>
      <w:bookmarkStart w:id="79" w:name="_Toc245897295"/>
      <w:bookmarkStart w:id="80" w:name="_Toc243906334"/>
      <w:bookmarkStart w:id="81" w:name="_Toc233274835"/>
      <w:bookmarkStart w:id="82" w:name="_Toc233274840"/>
      <w:bookmarkStart w:id="83" w:name="_Toc243907600"/>
      <w:bookmarkStart w:id="84" w:name="_Toc243906339"/>
      <w:bookmarkStart w:id="85" w:name="_Toc19823"/>
      <w:bookmarkStart w:id="86" w:name="_Toc246216209"/>
      <w:r>
        <w:rPr>
          <w:rFonts w:hint="eastAsia" w:ascii="宋体" w:hAnsi="宋体" w:eastAsia="宋体" w:cs="宋体"/>
          <w:sz w:val="24"/>
        </w:rPr>
        <w:t>22、响应文件的密封和标记</w:t>
      </w:r>
      <w:bookmarkEnd w:id="78"/>
      <w:bookmarkEnd w:id="79"/>
      <w:bookmarkEnd w:id="80"/>
      <w:bookmarkEnd w:id="81"/>
    </w:p>
    <w:p>
      <w:pPr>
        <w:widowControl/>
        <w:spacing w:line="360" w:lineRule="auto"/>
        <w:ind w:firstLine="480" w:firstLineChars="200"/>
        <w:rPr>
          <w:rFonts w:hint="eastAsia" w:ascii="宋体" w:hAnsi="宋体" w:eastAsia="宋体" w:cs="宋体"/>
          <w:sz w:val="24"/>
        </w:rPr>
      </w:pPr>
      <w:bookmarkStart w:id="87" w:name="_Toc233274837"/>
      <w:bookmarkStart w:id="88" w:name="_Toc243906336"/>
      <w:bookmarkStart w:id="89" w:name="_Toc243907597"/>
      <w:bookmarkStart w:id="90" w:name="_Toc245897297"/>
      <w:r>
        <w:rPr>
          <w:rFonts w:hint="eastAsia" w:ascii="宋体" w:hAnsi="宋体" w:eastAsia="宋体" w:cs="宋体"/>
          <w:sz w:val="24"/>
        </w:rPr>
        <w:t>22.1投标人必须将投标文件的“正本”、“副本”、“电子版投标文件”、分别装袋密封并在信袋上标明“正本”、“副本”、“电子版投标文件”、字样。在开启处密封并加盖公章。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22.2将投标文件正、副本分别装入投标文件袋内加以密封，并在密封件的封面上标明投标企业名称、法定代表人、单位公章、正本或副本，且开启处密封并加盖公章。</w:t>
      </w:r>
    </w:p>
    <w:p>
      <w:pPr>
        <w:widowControl/>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22.3所有投标文件信袋及包装物上均应贴上封条，</w:t>
      </w:r>
      <w:r>
        <w:rPr>
          <w:rFonts w:hint="eastAsia" w:ascii="宋体" w:hAnsi="宋体" w:cs="宋体"/>
          <w:sz w:val="24"/>
          <w:lang w:val="en-US" w:eastAsia="zh-CN"/>
        </w:rPr>
        <w:t>封面</w:t>
      </w:r>
      <w:r>
        <w:rPr>
          <w:rFonts w:hint="eastAsia" w:ascii="宋体" w:hAnsi="宋体" w:eastAsia="宋体" w:cs="宋体"/>
          <w:sz w:val="24"/>
        </w:rPr>
        <w:t>内容</w:t>
      </w:r>
      <w:r>
        <w:rPr>
          <w:rFonts w:hint="eastAsia" w:ascii="宋体" w:hAnsi="宋体" w:cs="宋体"/>
          <w:sz w:val="24"/>
          <w:lang w:val="en-US" w:eastAsia="zh-CN"/>
        </w:rPr>
        <w:t>以投标人须知前附表19条为准。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22.4未按本须知要求密封、标记和递交的投标文件，后果自负。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23、投标文件递交的截止日期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23.1投标人必须按“投标人须知前附表”中规定的投标截止时间将投标文件送达开标地点 。</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23.2超过招标文件规定的投标截止时间送达或邮寄的投标文件将不予接受。</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24、迟交的响应文件</w:t>
      </w:r>
      <w:bookmarkEnd w:id="87"/>
      <w:bookmarkEnd w:id="88"/>
      <w:bookmarkEnd w:id="89"/>
      <w:bookmarkEnd w:id="90"/>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24.1 采购人将拒绝并原封退回在其规定的截止时间后送达的响应文件。</w:t>
      </w:r>
    </w:p>
    <w:p>
      <w:pPr>
        <w:widowControl/>
        <w:spacing w:line="360" w:lineRule="auto"/>
        <w:ind w:firstLine="480" w:firstLineChars="200"/>
        <w:rPr>
          <w:rFonts w:hint="eastAsia" w:ascii="宋体" w:hAnsi="宋体" w:eastAsia="宋体" w:cs="宋体"/>
          <w:sz w:val="24"/>
        </w:rPr>
      </w:pPr>
      <w:bookmarkStart w:id="91" w:name="_Toc245897298"/>
      <w:bookmarkStart w:id="92" w:name="_Toc243907598"/>
      <w:bookmarkStart w:id="93" w:name="_Toc243906337"/>
      <w:bookmarkStart w:id="94" w:name="_Toc233274838"/>
      <w:r>
        <w:rPr>
          <w:rFonts w:hint="eastAsia" w:ascii="宋体" w:hAnsi="宋体" w:eastAsia="宋体" w:cs="宋体"/>
          <w:sz w:val="24"/>
        </w:rPr>
        <w:t>25、响应文件的修改和撤回</w:t>
      </w:r>
      <w:bookmarkEnd w:id="91"/>
      <w:bookmarkEnd w:id="92"/>
      <w:bookmarkEnd w:id="93"/>
      <w:bookmarkEnd w:id="94"/>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25.2 供应商对响应文件修改的书面材料或撤回的通知应按第22条和第23条规定进行编写、密封、标记和递交，并注明“修改响应文件”或“撤回响应文件”字样。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25.3截止时间之后，供应商不得对响应文件做任何修改。</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25.4 供应商不得在截止时间起至响应文件有效期期满前撤回响应文件。</w:t>
      </w:r>
    </w:p>
    <w:p>
      <w:pPr>
        <w:widowControl/>
        <w:spacing w:line="360" w:lineRule="auto"/>
        <w:ind w:firstLine="480" w:firstLineChars="200"/>
        <w:rPr>
          <w:rFonts w:hint="eastAsia" w:ascii="宋体" w:hAnsi="宋体" w:eastAsia="宋体" w:cs="宋体"/>
          <w:sz w:val="24"/>
        </w:rPr>
      </w:pPr>
      <w:bookmarkStart w:id="95" w:name="_Toc233274839"/>
      <w:bookmarkStart w:id="96" w:name="_Toc245897299"/>
      <w:bookmarkStart w:id="97" w:name="_Toc243907599"/>
      <w:bookmarkStart w:id="98" w:name="_Toc243906338"/>
      <w:r>
        <w:rPr>
          <w:rFonts w:hint="eastAsia" w:ascii="宋体" w:hAnsi="宋体" w:eastAsia="宋体" w:cs="宋体"/>
          <w:sz w:val="24"/>
        </w:rPr>
        <w:t>26、递交响应文件</w:t>
      </w:r>
      <w:bookmarkEnd w:id="95"/>
      <w:bookmarkEnd w:id="96"/>
      <w:bookmarkEnd w:id="97"/>
      <w:bookmarkEnd w:id="98"/>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26.1供应商应按本供应商须知前格式第6项规定的时间及地点递交响应文件。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26.2有下列情形之一的，采购人不予接收其响应文件：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26.2.1供应商在递交响应文件截止时间后送达或未送达到指定地点的响应文件；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26.2.2 响应文件未按磋商文件要求密封的。</w:t>
      </w:r>
    </w:p>
    <w:p>
      <w:pPr>
        <w:spacing w:line="360" w:lineRule="auto"/>
        <w:outlineLvl w:val="1"/>
        <w:rPr>
          <w:rFonts w:hint="eastAsia" w:ascii="宋体" w:hAnsi="宋体" w:eastAsia="宋体" w:cs="宋体"/>
          <w:b/>
          <w:bCs/>
          <w:sz w:val="24"/>
        </w:rPr>
      </w:pPr>
      <w:r>
        <w:rPr>
          <w:rFonts w:hint="eastAsia" w:ascii="宋体" w:hAnsi="宋体" w:eastAsia="宋体" w:cs="宋体"/>
          <w:b/>
          <w:bCs/>
          <w:sz w:val="24"/>
        </w:rPr>
        <w:t>五、</w:t>
      </w:r>
      <w:bookmarkEnd w:id="82"/>
      <w:bookmarkEnd w:id="83"/>
      <w:bookmarkEnd w:id="84"/>
      <w:bookmarkEnd w:id="85"/>
      <w:bookmarkEnd w:id="86"/>
      <w:r>
        <w:rPr>
          <w:rFonts w:hint="eastAsia" w:ascii="宋体" w:hAnsi="宋体" w:eastAsia="宋体" w:cs="宋体"/>
          <w:b/>
          <w:bCs/>
          <w:sz w:val="24"/>
        </w:rPr>
        <w:t>磋商、评审、确定成交供应商</w:t>
      </w:r>
    </w:p>
    <w:p>
      <w:pPr>
        <w:spacing w:line="360" w:lineRule="auto"/>
        <w:ind w:firstLine="480" w:firstLineChars="200"/>
        <w:outlineLvl w:val="1"/>
        <w:rPr>
          <w:rFonts w:hint="eastAsia" w:ascii="宋体" w:hAnsi="宋体" w:eastAsia="宋体" w:cs="宋体"/>
          <w:sz w:val="24"/>
        </w:rPr>
      </w:pPr>
      <w:bookmarkStart w:id="99" w:name="_Toc233274841"/>
      <w:bookmarkStart w:id="100" w:name="_Toc243907601"/>
      <w:bookmarkStart w:id="101" w:name="_Toc243906340"/>
      <w:bookmarkStart w:id="102" w:name="_Toc245897301"/>
      <w:bookmarkStart w:id="103" w:name="_Toc243907609"/>
      <w:bookmarkStart w:id="104" w:name="_Toc233274847"/>
      <w:bookmarkStart w:id="105" w:name="_Toc245897308"/>
      <w:bookmarkStart w:id="106" w:name="_Toc243906348"/>
      <w:bookmarkStart w:id="107" w:name="_Toc22731"/>
      <w:r>
        <w:rPr>
          <w:rFonts w:hint="eastAsia" w:ascii="宋体" w:hAnsi="宋体" w:eastAsia="宋体" w:cs="宋体"/>
          <w:sz w:val="24"/>
        </w:rPr>
        <w:t>27、</w:t>
      </w:r>
      <w:bookmarkEnd w:id="99"/>
      <w:bookmarkEnd w:id="100"/>
      <w:bookmarkEnd w:id="101"/>
      <w:bookmarkEnd w:id="102"/>
      <w:r>
        <w:rPr>
          <w:rFonts w:hint="eastAsia" w:ascii="宋体" w:hAnsi="宋体" w:eastAsia="宋体" w:cs="宋体"/>
          <w:sz w:val="24"/>
        </w:rPr>
        <w:t>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27.1采购人在本供应商须</w:t>
      </w:r>
      <w:r>
        <w:rPr>
          <w:rFonts w:hint="eastAsia" w:ascii="宋体" w:hAnsi="宋体" w:eastAsia="宋体" w:cs="宋体"/>
          <w:sz w:val="24"/>
          <w:highlight w:val="none"/>
        </w:rPr>
        <w:t>知前格式第</w:t>
      </w:r>
      <w:r>
        <w:rPr>
          <w:rFonts w:hint="eastAsia" w:ascii="宋体" w:hAnsi="宋体" w:cs="宋体"/>
          <w:sz w:val="24"/>
          <w:highlight w:val="none"/>
          <w:lang w:val="en-US" w:eastAsia="zh-CN"/>
        </w:rPr>
        <w:t>14、20</w:t>
      </w:r>
      <w:r>
        <w:rPr>
          <w:rFonts w:hint="eastAsia" w:ascii="宋体" w:hAnsi="宋体" w:eastAsia="宋体" w:cs="宋体"/>
          <w:sz w:val="24"/>
          <w:highlight w:val="none"/>
        </w:rPr>
        <w:t>项规定的时间和</w:t>
      </w:r>
      <w:r>
        <w:rPr>
          <w:rFonts w:hint="eastAsia" w:ascii="宋体" w:hAnsi="宋体" w:eastAsia="宋体" w:cs="宋体"/>
          <w:sz w:val="24"/>
        </w:rPr>
        <w:t>地点组织磋商会议。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27.2供应商应委派代表参加磋商会议。</w:t>
      </w:r>
      <w:r>
        <w:rPr>
          <w:rFonts w:hint="eastAsia" w:ascii="宋体" w:hAnsi="宋体" w:eastAsia="宋体" w:cs="宋体"/>
          <w:b/>
          <w:sz w:val="24"/>
        </w:rPr>
        <w:t>参加磋商会议的代表应持有法定代表人身份证原件或法定代表人授权委托书及委托代理人身份证原件</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27.3磋商会议由采购代理机构组织并主持。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宋体" w:hAnsi="宋体" w:eastAsia="宋体" w:cs="宋体"/>
          <w:sz w:val="24"/>
        </w:rPr>
      </w:pPr>
      <w:bookmarkStart w:id="108" w:name="_Toc245897302"/>
      <w:bookmarkStart w:id="109" w:name="_Toc243907602"/>
      <w:bookmarkStart w:id="110" w:name="_Toc243906341"/>
      <w:bookmarkStart w:id="111" w:name="_Toc233274842"/>
      <w:bookmarkStart w:id="112" w:name="_Toc243906344"/>
      <w:bookmarkStart w:id="113" w:name="_Toc243907605"/>
      <w:bookmarkStart w:id="114" w:name="_Toc245897304"/>
      <w:bookmarkStart w:id="115" w:name="_Toc233274843"/>
      <w:r>
        <w:rPr>
          <w:rFonts w:hint="eastAsia" w:ascii="宋体" w:hAnsi="宋体" w:eastAsia="宋体" w:cs="宋体"/>
          <w:sz w:val="24"/>
        </w:rPr>
        <w:t>28、磋商小组</w:t>
      </w:r>
      <w:bookmarkEnd w:id="108"/>
      <w:bookmarkEnd w:id="109"/>
      <w:bookmarkEnd w:id="110"/>
      <w:bookmarkEnd w:id="111"/>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28.1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供应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29、磋商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29.6已提交响应文件的供应商，在提交最后报价之前，可以根据磋商情况退出磋商。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29.8如果响应文件实质上没有响应磋商文件的要求，磋商小组将予以拒绝，供应商不得通过修正或撤消不符合要求的偏离或保留，而使其成为实质上响应。</w:t>
      </w:r>
    </w:p>
    <w:bookmarkEnd w:id="112"/>
    <w:bookmarkEnd w:id="113"/>
    <w:bookmarkEnd w:id="114"/>
    <w:bookmarkEnd w:id="115"/>
    <w:p>
      <w:pPr>
        <w:spacing w:line="360" w:lineRule="auto"/>
        <w:ind w:firstLine="480" w:firstLineChars="200"/>
        <w:outlineLvl w:val="1"/>
        <w:rPr>
          <w:rFonts w:hint="eastAsia" w:ascii="宋体" w:hAnsi="宋体" w:eastAsia="宋体" w:cs="宋体"/>
          <w:sz w:val="24"/>
        </w:rPr>
      </w:pPr>
      <w:bookmarkStart w:id="116" w:name="_Toc224624488"/>
      <w:bookmarkStart w:id="117" w:name="_Toc224620150"/>
      <w:bookmarkStart w:id="118" w:name="_Toc224623663"/>
      <w:bookmarkStart w:id="119" w:name="_Toc224623557"/>
      <w:bookmarkStart w:id="120" w:name="_Toc224622928"/>
      <w:bookmarkStart w:id="121" w:name="_Toc243906345"/>
      <w:bookmarkStart w:id="122" w:name="_Toc224624628"/>
      <w:bookmarkStart w:id="123" w:name="_Toc245897305"/>
      <w:bookmarkStart w:id="124" w:name="_Toc243907606"/>
      <w:bookmarkStart w:id="125" w:name="_Toc224624767"/>
      <w:bookmarkStart w:id="126" w:name="_Toc224620071"/>
      <w:bookmarkStart w:id="127" w:name="_Toc224623451"/>
      <w:r>
        <w:rPr>
          <w:rFonts w:hint="eastAsia" w:ascii="宋体" w:hAnsi="宋体" w:eastAsia="宋体" w:cs="宋体"/>
          <w:sz w:val="24"/>
        </w:rPr>
        <w:t>30、评审</w:t>
      </w:r>
    </w:p>
    <w:p>
      <w:pPr>
        <w:spacing w:line="360" w:lineRule="auto"/>
        <w:ind w:firstLine="480" w:firstLineChars="200"/>
        <w:outlineLvl w:val="1"/>
        <w:rPr>
          <w:rFonts w:hint="eastAsia" w:ascii="宋体" w:hAnsi="宋体" w:eastAsia="宋体" w:cs="宋体"/>
          <w:b/>
          <w:bCs/>
          <w:sz w:val="24"/>
        </w:rPr>
      </w:pPr>
      <w:r>
        <w:rPr>
          <w:rFonts w:hint="eastAsia" w:ascii="宋体" w:hAnsi="宋体" w:eastAsia="宋体" w:cs="宋体"/>
          <w:sz w:val="24"/>
        </w:rPr>
        <w:t>30.1经磋商确定最终采购需求和提交最后报价的供应商后，</w:t>
      </w:r>
      <w:r>
        <w:rPr>
          <w:rFonts w:hint="eastAsia" w:ascii="宋体" w:hAnsi="宋体" w:eastAsia="宋体" w:cs="宋体"/>
          <w:b/>
          <w:bCs/>
          <w:sz w:val="24"/>
        </w:rPr>
        <w:t>由磋商小组采用综合评分法对提交最后报价的供应商响应文件和最后报价进行综合评分。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30.3商务报价错误的修正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如果发现商务报价存在计算或表达上错误，则按下列原则进行修正：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（1）用数字表示的数额与用文字表示的数额不一致时，以文字数额为准；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30.4磋商小组将按第30.3条原则修正商务报价，并要求供应商进行确认。确认后的报价和文件将对供应商具有约束力。并以修正后的报价作为评审的依据。</w:t>
      </w:r>
    </w:p>
    <w:bookmarkEnd w:id="116"/>
    <w:bookmarkEnd w:id="117"/>
    <w:bookmarkEnd w:id="118"/>
    <w:bookmarkEnd w:id="119"/>
    <w:bookmarkEnd w:id="120"/>
    <w:bookmarkEnd w:id="121"/>
    <w:bookmarkEnd w:id="122"/>
    <w:bookmarkEnd w:id="123"/>
    <w:bookmarkEnd w:id="124"/>
    <w:bookmarkEnd w:id="125"/>
    <w:bookmarkEnd w:id="126"/>
    <w:bookmarkEnd w:id="127"/>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31、响应文件的澄清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31.4如果供应商在响应文件中未对磋商文件、技术规格及标准、项目采购需求、合同主要内容等提出偏离意见或澄清，将视同供应商同意上述文件的全部条款和要求。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hint="eastAsia" w:ascii="宋体" w:hAnsi="宋体" w:eastAsia="宋体" w:cs="宋体"/>
          <w:sz w:val="24"/>
        </w:rPr>
      </w:pPr>
      <w:bookmarkStart w:id="128" w:name="_Toc233274845"/>
      <w:bookmarkStart w:id="129" w:name="_Toc243907607"/>
      <w:bookmarkStart w:id="130" w:name="_Toc245897306"/>
      <w:bookmarkStart w:id="131" w:name="_Toc243906346"/>
      <w:r>
        <w:rPr>
          <w:rFonts w:hint="eastAsia" w:ascii="宋体" w:hAnsi="宋体" w:eastAsia="宋体" w:cs="宋体"/>
          <w:b/>
          <w:sz w:val="24"/>
        </w:rPr>
        <w:t>32、重大偏离</w:t>
      </w:r>
      <w:bookmarkEnd w:id="128"/>
      <w:bookmarkEnd w:id="129"/>
      <w:bookmarkEnd w:id="130"/>
      <w:bookmarkEnd w:id="131"/>
    </w:p>
    <w:p>
      <w:pPr>
        <w:spacing w:line="360" w:lineRule="auto"/>
        <w:ind w:firstLine="482" w:firstLineChars="200"/>
        <w:rPr>
          <w:rFonts w:hint="eastAsia" w:ascii="宋体" w:hAnsi="宋体" w:eastAsia="宋体" w:cs="宋体"/>
          <w:b/>
          <w:sz w:val="24"/>
        </w:rPr>
      </w:pPr>
      <w:bookmarkStart w:id="132" w:name="_Toc243906347"/>
      <w:bookmarkStart w:id="133" w:name="_Toc245897307"/>
      <w:bookmarkStart w:id="134" w:name="_Toc233274846"/>
      <w:bookmarkStart w:id="135" w:name="_Toc243907608"/>
      <w:r>
        <w:rPr>
          <w:rFonts w:hint="eastAsia" w:ascii="宋体" w:hAnsi="宋体" w:eastAsia="宋体" w:cs="宋体"/>
          <w:b/>
          <w:sz w:val="24"/>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33、</w:t>
      </w:r>
      <w:bookmarkEnd w:id="132"/>
      <w:bookmarkEnd w:id="133"/>
      <w:bookmarkEnd w:id="134"/>
      <w:bookmarkEnd w:id="135"/>
      <w:r>
        <w:rPr>
          <w:rFonts w:hint="eastAsia" w:ascii="宋体" w:hAnsi="宋体" w:eastAsia="宋体" w:cs="宋体"/>
          <w:b/>
          <w:sz w:val="24"/>
        </w:rPr>
        <w:t>无效响应文件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响应文件有下列情形之一的，由磋商小组评审后按无效响应文件处理：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33.1供应商的商务报价高于采购项目预算；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33.2响应文件附有采购人不能接受条件的；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33.3出现重大偏离的；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33.5对磋商文件提出的实质性要求和条件未能实质性响应；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33.6供应商法定代表人委托代理人不是本企业人员的；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33.7《中华人民共和国政府采购法》、《政府采购竞争性磋商采购方式管理暂行办法》及相关法律法规及磋商文件明确规定可以作无效响应的其他情形。</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34、评审标准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34.1</w:t>
      </w:r>
      <w:r>
        <w:rPr>
          <w:rFonts w:hint="eastAsia" w:ascii="宋体" w:hAnsi="宋体" w:eastAsia="宋体" w:cs="宋体"/>
          <w:b/>
          <w:bCs/>
          <w:sz w:val="24"/>
        </w:rPr>
        <w:t>本项目评审严格按照磋商文件的要求和条件进行。</w:t>
      </w:r>
    </w:p>
    <w:bookmarkEnd w:id="103"/>
    <w:bookmarkEnd w:id="104"/>
    <w:bookmarkEnd w:id="105"/>
    <w:bookmarkEnd w:id="106"/>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34.2信用查询</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highlight w:val="yellow"/>
        </w:rPr>
        <w:t>34.2.1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w:t>
      </w:r>
      <w:r>
        <w:rPr>
          <w:rFonts w:hint="eastAsia" w:ascii="宋体" w:hAnsi="宋体" w:eastAsia="宋体" w:cs="宋体"/>
          <w:b/>
          <w:sz w:val="24"/>
        </w:rPr>
        <w:t xml:space="preserve">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34.3响应文件初审。初审分为资格性审查和符合性审查。</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34.3.1资格性检查。依据法律法规和磋商文件的规定，对响应文件中的资格条件等进行审查，以确定供应商是否具备磋商资格。</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34.4比较与评价。磋商小组按磋商文件中规定的评审方法和标准，对资格性检查和符合性检查合格的响应文件进行商务和技术评估，综合比较与评价。</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33.4</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34.6</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highlight w:val="yellow"/>
        </w:rPr>
      </w:pPr>
      <w:r>
        <w:rPr>
          <w:rFonts w:hint="eastAsia" w:ascii="宋体" w:hAnsi="宋体" w:eastAsia="宋体" w:cs="宋体"/>
          <w:b/>
          <w:sz w:val="24"/>
        </w:rPr>
        <w:t>34.7评审分值：</w:t>
      </w:r>
      <w:r>
        <w:rPr>
          <w:rFonts w:hint="eastAsia" w:ascii="宋体" w:hAnsi="宋体" w:eastAsia="宋体" w:cs="宋体"/>
          <w:b/>
          <w:sz w:val="24"/>
          <w:highlight w:val="none"/>
        </w:rPr>
        <w:t>总分值为100分，其中价格分值为</w:t>
      </w:r>
      <w:r>
        <w:rPr>
          <w:rFonts w:hint="eastAsia" w:ascii="宋体" w:hAnsi="宋体" w:cs="宋体"/>
          <w:b/>
          <w:sz w:val="24"/>
          <w:highlight w:val="none"/>
          <w:lang w:val="en-US" w:eastAsia="zh-CN"/>
        </w:rPr>
        <w:t>30</w:t>
      </w:r>
      <w:r>
        <w:rPr>
          <w:rFonts w:hint="eastAsia" w:ascii="宋体" w:hAnsi="宋体" w:eastAsia="宋体" w:cs="宋体"/>
          <w:b/>
          <w:sz w:val="24"/>
          <w:highlight w:val="none"/>
        </w:rPr>
        <w:t>分，其余部分分值为</w:t>
      </w:r>
      <w:r>
        <w:rPr>
          <w:rFonts w:hint="eastAsia" w:ascii="宋体" w:hAnsi="宋体" w:cs="宋体"/>
          <w:b/>
          <w:sz w:val="24"/>
          <w:highlight w:val="none"/>
          <w:lang w:val="en-US" w:eastAsia="zh-CN"/>
        </w:rPr>
        <w:t>70</w:t>
      </w:r>
      <w:r>
        <w:rPr>
          <w:rFonts w:hint="eastAsia" w:ascii="宋体" w:hAnsi="宋体" w:eastAsia="宋体" w:cs="宋体"/>
          <w:b/>
          <w:sz w:val="24"/>
          <w:highlight w:val="none"/>
        </w:rPr>
        <w:t>分，具体评审评分内容详见本磋商文件“评审标准（综合评分法）”。</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34.8推荐成交候选供应商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34.8.2评分计算结果保留两位小数，第三位小数四舍五入。</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34.9磋商小组复核。磋商小组评分汇总结束后，磋商小组应当进行评审复核，对拟推荐为成交候选供应商的、报价最低的、供应商资格审查未通过的、供应商响应文件作无效处理的重点复核。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hint="eastAsia" w:ascii="宋体" w:hAnsi="宋体" w:eastAsia="宋体" w:cs="宋体"/>
          <w:b/>
          <w:sz w:val="24"/>
        </w:rPr>
      </w:pPr>
      <w:bookmarkStart w:id="136" w:name="_Toc245897309"/>
      <w:bookmarkStart w:id="137" w:name="_Toc243907610"/>
      <w:bookmarkStart w:id="138" w:name="_Toc233274848"/>
      <w:bookmarkStart w:id="139" w:name="_Toc243906349"/>
      <w:r>
        <w:rPr>
          <w:rFonts w:hint="eastAsia" w:ascii="宋体" w:hAnsi="宋体" w:eastAsia="宋体" w:cs="宋体"/>
          <w:b/>
          <w:sz w:val="24"/>
        </w:rPr>
        <w:t>34.10采购人根据磋商小组推荐的成交候选供应商及有关规定确定成交供应商。</w:t>
      </w:r>
    </w:p>
    <w:bookmarkEnd w:id="136"/>
    <w:bookmarkEnd w:id="137"/>
    <w:bookmarkEnd w:id="138"/>
    <w:bookmarkEnd w:id="139"/>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35、采购人依法接受和拒绝任一或所有供应商的权力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36、成交通知书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36.2《成交通知书》将是合同的组成部分。</w:t>
      </w:r>
    </w:p>
    <w:p>
      <w:pPr>
        <w:spacing w:line="360" w:lineRule="auto"/>
        <w:ind w:firstLine="480" w:firstLineChars="200"/>
        <w:outlineLvl w:val="1"/>
        <w:rPr>
          <w:rFonts w:hint="eastAsia" w:ascii="宋体" w:hAnsi="宋体" w:eastAsia="宋体" w:cs="宋体"/>
          <w:sz w:val="24"/>
        </w:rPr>
      </w:pPr>
      <w:bookmarkStart w:id="140" w:name="_Toc245897310"/>
      <w:bookmarkStart w:id="141" w:name="_Toc243906350"/>
      <w:bookmarkStart w:id="142" w:name="_Toc243907611"/>
      <w:bookmarkStart w:id="143" w:name="_Toc233274849"/>
      <w:r>
        <w:rPr>
          <w:rFonts w:hint="eastAsia" w:ascii="宋体" w:hAnsi="宋体" w:eastAsia="宋体" w:cs="宋体"/>
          <w:sz w:val="24"/>
        </w:rPr>
        <w:t>37、纪律与保密事项</w:t>
      </w:r>
      <w:bookmarkEnd w:id="140"/>
      <w:bookmarkEnd w:id="141"/>
      <w:bookmarkEnd w:id="142"/>
      <w:bookmarkEnd w:id="14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37.3供应商不得与采购人串通磋商，不得向采购人或者磋商小组成员行贿谋取成交，不得以他人名义参与磋商或者以其它任何方式弄虚作假骗取参与磋商；供应商不得以任何方式干扰、影响评审工作。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37.8成交供应商确定后，采购人不对未成交供应商就评审过程以及未能成交原因作出任何解释，未成交供应商不得向磋商小组或其他有关人员询问评审过程的情况和索取评审过程的资料。</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六、授予合同</w:t>
      </w:r>
      <w:bookmarkEnd w:id="107"/>
      <w:bookmarkStart w:id="144" w:name="_Toc243906355"/>
      <w:bookmarkStart w:id="145" w:name="_Toc245897315"/>
      <w:bookmarkStart w:id="146" w:name="_Toc233274853"/>
      <w:bookmarkStart w:id="147" w:name="_Toc243907618"/>
    </w:p>
    <w:bookmarkEnd w:id="144"/>
    <w:bookmarkEnd w:id="145"/>
    <w:bookmarkEnd w:id="146"/>
    <w:bookmarkEnd w:id="147"/>
    <w:p>
      <w:pPr>
        <w:pStyle w:val="15"/>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38、授予合同标准</w:t>
      </w:r>
    </w:p>
    <w:p>
      <w:pPr>
        <w:pStyle w:val="15"/>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38.1本采购项目的采购合同将授予按本须知第34条所确定成交供应商。</w:t>
      </w:r>
    </w:p>
    <w:p>
      <w:pPr>
        <w:pStyle w:val="15"/>
        <w:spacing w:line="360" w:lineRule="auto"/>
        <w:ind w:firstLine="480" w:firstLineChars="200"/>
        <w:outlineLvl w:val="1"/>
        <w:rPr>
          <w:rFonts w:hint="eastAsia" w:ascii="宋体" w:hAnsi="宋体" w:eastAsia="宋体" w:cs="宋体"/>
          <w:sz w:val="24"/>
          <w:szCs w:val="24"/>
        </w:rPr>
      </w:pPr>
      <w:bookmarkStart w:id="148" w:name="_Toc243906357"/>
      <w:bookmarkStart w:id="149" w:name="_Toc245897317"/>
      <w:bookmarkStart w:id="150" w:name="_Toc243907620"/>
      <w:bookmarkStart w:id="151" w:name="_Toc233274855"/>
      <w:r>
        <w:rPr>
          <w:rFonts w:hint="eastAsia" w:ascii="宋体" w:hAnsi="宋体" w:eastAsia="宋体" w:cs="宋体"/>
          <w:sz w:val="24"/>
          <w:szCs w:val="24"/>
        </w:rPr>
        <w:t>39、签订合同</w:t>
      </w:r>
      <w:bookmarkEnd w:id="148"/>
      <w:bookmarkEnd w:id="149"/>
      <w:bookmarkEnd w:id="150"/>
      <w:bookmarkEnd w:id="1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39.2 成交通知书、成交供应商的响应文件及其澄清文件、技术规范及标准、项目采购需求、本磋商文件（含修改文件或补充文件）及答疑纪要等，均为签订合同的依据。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39.3采购人如不按本须知39.1条规定与成交供应商签订合同，或者采购人、成交供应商签订背离合同实质性内容的协议，由监督管理部门责令其改正。</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39.4成交供应商如不按本须知39.1条规定与采购人签订合同，则按违约处理，采购人将有权取消成交供应商资格，给采购人造成损失，还应当予以赔偿，同时依法承担相应的法律责任。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39.5</w:t>
      </w:r>
      <w:r>
        <w:rPr>
          <w:rFonts w:hint="eastAsia" w:ascii="宋体" w:hAnsi="宋体" w:eastAsia="宋体" w:cs="宋体"/>
          <w:b/>
          <w:bCs/>
          <w:sz w:val="24"/>
        </w:rPr>
        <w:t>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2" w:firstLineChars="200"/>
        <w:outlineLvl w:val="1"/>
        <w:rPr>
          <w:rFonts w:hint="eastAsia" w:ascii="宋体" w:hAnsi="宋体" w:eastAsia="宋体" w:cs="宋体"/>
          <w:b/>
          <w:sz w:val="24"/>
        </w:rPr>
      </w:pPr>
      <w:bookmarkStart w:id="152" w:name="_Toc245897318"/>
      <w:bookmarkStart w:id="153" w:name="_Toc243907621"/>
      <w:r>
        <w:rPr>
          <w:rFonts w:hint="eastAsia" w:ascii="宋体" w:hAnsi="宋体" w:eastAsia="宋体" w:cs="宋体"/>
          <w:b/>
          <w:sz w:val="24"/>
        </w:rPr>
        <w:t>40、合同的签订准则</w:t>
      </w:r>
      <w:bookmarkEnd w:id="152"/>
      <w:bookmarkEnd w:id="15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40.1合同签订必须由采购人、成交供应商双方法定代表人或其委托代理人签署并加盖法人公章后方能生效。</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40.2合同转包（实质性要求）</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成交供应商转包的，视同拒绝履行政府采购合同义务，将依法追究法律责任。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41、验收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41.1本项目采购人将严格按照政府采购相关法律法规的要求进行验收。</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七、询问、质疑、投诉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42、询问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43、质疑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43.1供应商认为采购文件、采购过程、中标或者成交结果使自己的权益受到损害的，可以在知道或者应知其权益受到损害之日起7个工作日内，以书面形式向采购人、采购代理机构提出质疑。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43.3供应商提出质疑应当提交质疑函和必要的证明材料。质疑函应当包括下列内容：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（一）供应商的姓名或者名称、地址、邮编、联系人及联系电话；</w:t>
      </w:r>
    </w:p>
    <w:p>
      <w:pPr>
        <w:spacing w:line="360" w:lineRule="auto"/>
        <w:rPr>
          <w:rFonts w:hint="eastAsia" w:ascii="宋体" w:hAnsi="宋体" w:eastAsia="宋体" w:cs="宋体"/>
          <w:sz w:val="24"/>
        </w:rPr>
      </w:pPr>
      <w:r>
        <w:rPr>
          <w:rFonts w:hint="eastAsia" w:ascii="宋体" w:hAnsi="宋体" w:eastAsia="宋体" w:cs="宋体"/>
          <w:sz w:val="24"/>
        </w:rPr>
        <w:t>　　（二）质疑项目的名称、编号；</w:t>
      </w:r>
    </w:p>
    <w:p>
      <w:pPr>
        <w:spacing w:line="360" w:lineRule="auto"/>
        <w:rPr>
          <w:rFonts w:hint="eastAsia" w:ascii="宋体" w:hAnsi="宋体" w:eastAsia="宋体" w:cs="宋体"/>
          <w:sz w:val="24"/>
        </w:rPr>
      </w:pPr>
      <w:r>
        <w:rPr>
          <w:rFonts w:hint="eastAsia" w:ascii="宋体" w:hAnsi="宋体" w:eastAsia="宋体" w:cs="宋体"/>
          <w:sz w:val="24"/>
        </w:rPr>
        <w:t>　　（三）具体、明确的质疑事项和与质疑事项相关的请求；</w:t>
      </w:r>
    </w:p>
    <w:p>
      <w:pPr>
        <w:spacing w:line="360" w:lineRule="auto"/>
        <w:rPr>
          <w:rFonts w:hint="eastAsia" w:ascii="宋体" w:hAnsi="宋体" w:eastAsia="宋体" w:cs="宋体"/>
          <w:sz w:val="24"/>
        </w:rPr>
      </w:pPr>
      <w:r>
        <w:rPr>
          <w:rFonts w:hint="eastAsia" w:ascii="宋体" w:hAnsi="宋体" w:eastAsia="宋体" w:cs="宋体"/>
          <w:sz w:val="24"/>
        </w:rPr>
        <w:t>　　（四）事实依据；</w:t>
      </w:r>
    </w:p>
    <w:p>
      <w:pPr>
        <w:spacing w:line="360" w:lineRule="auto"/>
        <w:rPr>
          <w:rFonts w:hint="eastAsia" w:ascii="宋体" w:hAnsi="宋体" w:eastAsia="宋体" w:cs="宋体"/>
          <w:sz w:val="24"/>
        </w:rPr>
      </w:pPr>
      <w:r>
        <w:rPr>
          <w:rFonts w:hint="eastAsia" w:ascii="宋体" w:hAnsi="宋体" w:eastAsia="宋体" w:cs="宋体"/>
          <w:sz w:val="24"/>
        </w:rPr>
        <w:t>　　（五）必要的法律依据；</w:t>
      </w:r>
    </w:p>
    <w:p>
      <w:pPr>
        <w:spacing w:line="360" w:lineRule="auto"/>
        <w:rPr>
          <w:rFonts w:hint="eastAsia" w:ascii="宋体" w:hAnsi="宋体" w:eastAsia="宋体" w:cs="宋体"/>
          <w:sz w:val="24"/>
        </w:rPr>
      </w:pPr>
      <w:r>
        <w:rPr>
          <w:rFonts w:hint="eastAsia" w:ascii="宋体" w:hAnsi="宋体" w:eastAsia="宋体" w:cs="宋体"/>
          <w:sz w:val="24"/>
        </w:rPr>
        <w:t>　　（六）提出质疑的日期。</w:t>
      </w:r>
    </w:p>
    <w:p>
      <w:pPr>
        <w:spacing w:line="360" w:lineRule="auto"/>
        <w:rPr>
          <w:rFonts w:hint="eastAsia" w:ascii="宋体" w:hAnsi="宋体" w:eastAsia="宋体" w:cs="宋体"/>
          <w:sz w:val="24"/>
        </w:rPr>
      </w:pPr>
      <w:r>
        <w:rPr>
          <w:rFonts w:hint="eastAsia" w:ascii="宋体" w:hAnsi="宋体" w:eastAsia="宋体" w:cs="宋体"/>
          <w:sz w:val="24"/>
        </w:rPr>
        <w:t>　　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43.4采购人、采购代理机构不得拒收质疑供应商在法定质疑期内发出的质疑函，应当在收到质疑函后7个工作日内作出答复，并以书面形式通知质疑供应商和其他有关供应商。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43.5供应商对评审过程、中标或者成交结果提出质疑的，采购人、采购代理机构可以组织原评标委员会、竞争性磋商小组、询价小组或者竞争性磋商小组协助答复质疑。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43.6质疑答复应当包括下列内容：</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（一）质疑供应商的姓名或者名称；</w:t>
      </w:r>
    </w:p>
    <w:p>
      <w:pPr>
        <w:spacing w:line="360" w:lineRule="auto"/>
        <w:rPr>
          <w:rFonts w:hint="eastAsia" w:ascii="宋体" w:hAnsi="宋体" w:eastAsia="宋体" w:cs="宋体"/>
          <w:sz w:val="24"/>
        </w:rPr>
      </w:pPr>
      <w:r>
        <w:rPr>
          <w:rFonts w:hint="eastAsia" w:ascii="宋体" w:hAnsi="宋体" w:eastAsia="宋体" w:cs="宋体"/>
          <w:sz w:val="24"/>
        </w:rPr>
        <w:t>　　（二）收到质疑函的日期、质疑项目名称及编号；</w:t>
      </w:r>
    </w:p>
    <w:p>
      <w:pPr>
        <w:spacing w:line="360" w:lineRule="auto"/>
        <w:rPr>
          <w:rFonts w:hint="eastAsia" w:ascii="宋体" w:hAnsi="宋体" w:eastAsia="宋体" w:cs="宋体"/>
          <w:sz w:val="24"/>
        </w:rPr>
      </w:pPr>
      <w:r>
        <w:rPr>
          <w:rFonts w:hint="eastAsia" w:ascii="宋体" w:hAnsi="宋体" w:eastAsia="宋体" w:cs="宋体"/>
          <w:sz w:val="24"/>
        </w:rPr>
        <w:t>　　（三）质疑事项、质疑答复的具体内容、事实依据和法律依据；</w:t>
      </w:r>
    </w:p>
    <w:p>
      <w:pPr>
        <w:spacing w:line="360" w:lineRule="auto"/>
        <w:rPr>
          <w:rFonts w:hint="eastAsia" w:ascii="宋体" w:hAnsi="宋体" w:eastAsia="宋体" w:cs="宋体"/>
          <w:sz w:val="24"/>
        </w:rPr>
      </w:pPr>
      <w:r>
        <w:rPr>
          <w:rFonts w:hint="eastAsia" w:ascii="宋体" w:hAnsi="宋体" w:eastAsia="宋体" w:cs="宋体"/>
          <w:sz w:val="24"/>
        </w:rPr>
        <w:t>　　（四）告知质疑供应商依法投诉的权利；</w:t>
      </w:r>
    </w:p>
    <w:p>
      <w:pPr>
        <w:spacing w:line="360" w:lineRule="auto"/>
        <w:rPr>
          <w:rFonts w:hint="eastAsia" w:ascii="宋体" w:hAnsi="宋体" w:eastAsia="宋体" w:cs="宋体"/>
          <w:sz w:val="24"/>
        </w:rPr>
      </w:pPr>
      <w:r>
        <w:rPr>
          <w:rFonts w:hint="eastAsia" w:ascii="宋体" w:hAnsi="宋体" w:eastAsia="宋体" w:cs="宋体"/>
          <w:sz w:val="24"/>
        </w:rPr>
        <w:t>　　（五）质疑答复人名称；</w:t>
      </w:r>
    </w:p>
    <w:p>
      <w:pPr>
        <w:spacing w:line="360" w:lineRule="auto"/>
        <w:rPr>
          <w:rFonts w:hint="eastAsia" w:ascii="宋体" w:hAnsi="宋体" w:eastAsia="宋体" w:cs="宋体"/>
          <w:sz w:val="24"/>
        </w:rPr>
      </w:pPr>
      <w:r>
        <w:rPr>
          <w:rFonts w:hint="eastAsia" w:ascii="宋体" w:hAnsi="宋体" w:eastAsia="宋体" w:cs="宋体"/>
          <w:sz w:val="24"/>
        </w:rPr>
        <w:t>　　（六）答复质疑的日期。</w:t>
      </w:r>
    </w:p>
    <w:p>
      <w:pPr>
        <w:spacing w:line="360" w:lineRule="auto"/>
        <w:rPr>
          <w:rFonts w:hint="eastAsia" w:ascii="宋体" w:hAnsi="宋体" w:eastAsia="宋体" w:cs="宋体"/>
          <w:sz w:val="24"/>
        </w:rPr>
      </w:pPr>
      <w:r>
        <w:rPr>
          <w:rFonts w:hint="eastAsia" w:ascii="宋体" w:hAnsi="宋体" w:eastAsia="宋体" w:cs="宋体"/>
          <w:sz w:val="24"/>
        </w:rPr>
        <w:t>　　质疑答复的内容不得涉及商业秘密。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44、投诉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44.2供应商投诉的事项不得超出已质疑事项的范围，但基于质疑答复内容提出的投诉事项除外。</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45、诚实信用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45.2 供应商不得虚假承诺，否则，按照提供虚假材料谋取中标或成交处理。</w:t>
      </w:r>
    </w:p>
    <w:p>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八、义务、工作纪律</w:t>
      </w:r>
    </w:p>
    <w:p>
      <w:pPr>
        <w:tabs>
          <w:tab w:val="left" w:pos="7665"/>
        </w:tabs>
        <w:spacing w:line="360" w:lineRule="auto"/>
        <w:ind w:firstLine="480" w:firstLineChars="200"/>
        <w:rPr>
          <w:rFonts w:hint="eastAsia" w:ascii="宋体" w:hAnsi="宋体" w:eastAsia="宋体" w:cs="宋体"/>
          <w:bCs/>
          <w:sz w:val="24"/>
        </w:rPr>
      </w:pPr>
      <w:bookmarkStart w:id="154" w:name="_Toc28505_WPSOffice_Level1"/>
      <w:r>
        <w:rPr>
          <w:rFonts w:hint="eastAsia" w:ascii="宋体" w:hAnsi="宋体" w:eastAsia="宋体" w:cs="宋体"/>
          <w:bCs/>
          <w:sz w:val="24"/>
        </w:rPr>
        <w:t>46、磋商小组在政府采购活动中承担以下义务：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（一）遵守评审工作纪律；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（三）不得泄露评审文件、评审情况和在评审过程中获悉的商业秘密；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（七）配合答复处理供应商的询问、质疑和投诉等事项；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（八）法律、法规和规章规定的其他义务。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47、磋商小组在政府采购活动中应当遵守以下工作纪律：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（七）遵守有关廉洁自律规定，不得私下接触供应商，不得收受供应商及有关业务单位和个人的财物或好处，不得接受采购代理机构的请托。</w:t>
      </w:r>
    </w:p>
    <w:p>
      <w:pPr>
        <w:pStyle w:val="2"/>
        <w:rPr>
          <w:rFonts w:hint="eastAsia" w:ascii="宋体" w:hAnsi="宋体" w:eastAsia="宋体" w:cs="宋体"/>
          <w:bCs/>
          <w:sz w:val="24"/>
        </w:rPr>
      </w:pPr>
    </w:p>
    <w:p>
      <w:pPr>
        <w:pStyle w:val="4"/>
        <w:numPr>
          <w:ilvl w:val="3"/>
          <w:numId w:val="0"/>
        </w:numPr>
        <w:ind w:left="720" w:leftChars="0"/>
        <w:rPr>
          <w:rFonts w:hint="eastAsia"/>
        </w:rPr>
      </w:pPr>
    </w:p>
    <w:p>
      <w:pPr>
        <w:rPr>
          <w:rFonts w:hint="eastAsia"/>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4"/>
        <w:numPr>
          <w:ilvl w:val="3"/>
          <w:numId w:val="0"/>
        </w:numPr>
        <w:ind w:left="720" w:leftChars="0"/>
        <w:rPr>
          <w:rFonts w:hint="eastAsia"/>
        </w:rPr>
      </w:pPr>
    </w:p>
    <w:p>
      <w:pPr>
        <w:rPr>
          <w:rFonts w:hint="eastAsia" w:ascii="宋体" w:hAnsi="宋体" w:eastAsia="宋体" w:cs="宋体"/>
          <w:b/>
          <w:bCs/>
          <w:sz w:val="28"/>
          <w:szCs w:val="28"/>
        </w:rPr>
      </w:pPr>
    </w:p>
    <w:p>
      <w:pPr>
        <w:pStyle w:val="2"/>
        <w:rPr>
          <w:rFonts w:hint="eastAsia"/>
        </w:rPr>
      </w:pPr>
    </w:p>
    <w:p>
      <w:pPr>
        <w:pStyle w:val="10"/>
        <w:rPr>
          <w:rFonts w:hint="eastAsia" w:ascii="宋体" w:hAnsi="宋体" w:eastAsia="宋体" w:cs="宋体"/>
          <w:b/>
          <w:bCs/>
          <w:sz w:val="28"/>
          <w:szCs w:val="28"/>
        </w:rPr>
      </w:pPr>
    </w:p>
    <w:p>
      <w:pPr>
        <w:numPr>
          <w:ilvl w:val="0"/>
          <w:numId w:val="4"/>
        </w:num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采购项目内容及规格要求</w:t>
      </w:r>
      <w:bookmarkEnd w:id="154"/>
    </w:p>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182"/>
        <w:gridCol w:w="4517"/>
        <w:gridCol w:w="64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序号</w:t>
            </w:r>
          </w:p>
        </w:tc>
        <w:tc>
          <w:tcPr>
            <w:tcW w:w="2182" w:type="dxa"/>
            <w:vAlign w:val="center"/>
          </w:tcPr>
          <w:p>
            <w:pPr>
              <w:tabs>
                <w:tab w:val="left" w:pos="210"/>
              </w:tabs>
              <w:spacing w:line="500" w:lineRule="exact"/>
              <w:jc w:val="center"/>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单项名称</w:t>
            </w:r>
          </w:p>
        </w:tc>
        <w:tc>
          <w:tcPr>
            <w:tcW w:w="4517" w:type="dxa"/>
            <w:vAlign w:val="center"/>
          </w:tcPr>
          <w:p>
            <w:pPr>
              <w:tabs>
                <w:tab w:val="left" w:pos="210"/>
              </w:tabs>
              <w:spacing w:line="50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服务内容</w:t>
            </w:r>
            <w:r>
              <w:rPr>
                <w:rFonts w:hint="eastAsia" w:ascii="宋体" w:hAnsi="宋体" w:cs="宋体"/>
                <w:bCs/>
                <w:sz w:val="24"/>
                <w:highlight w:val="none"/>
                <w:lang w:val="en-US" w:eastAsia="zh-CN"/>
              </w:rPr>
              <w:t>及标准</w:t>
            </w:r>
          </w:p>
        </w:tc>
        <w:tc>
          <w:tcPr>
            <w:tcW w:w="645" w:type="dxa"/>
            <w:vAlign w:val="center"/>
          </w:tcPr>
          <w:p>
            <w:pPr>
              <w:tabs>
                <w:tab w:val="left" w:pos="210"/>
              </w:tabs>
              <w:spacing w:line="500" w:lineRule="exact"/>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单位</w:t>
            </w:r>
          </w:p>
        </w:tc>
        <w:tc>
          <w:tcPr>
            <w:tcW w:w="1800"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往返机票</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共80人</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人</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分四批进行，每批20人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bookmarkStart w:id="155" w:name="_Toc14014_WPSOffice_Level1"/>
            <w:r>
              <w:rPr>
                <w:rFonts w:hint="eastAsia" w:ascii="宋体" w:hAnsi="宋体" w:cs="宋体"/>
                <w:bCs/>
                <w:sz w:val="24"/>
                <w:highlight w:val="none"/>
                <w:lang w:val="en-US" w:eastAsia="zh-CN"/>
              </w:rPr>
              <w:t>2</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住宿</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标准间，环境干净整洁，配套设施齐全，含早餐</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间</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房间数量按实际培训人员提供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3</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餐费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包含每日午餐、晚餐</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4</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lang w:val="en-US" w:eastAsia="zh-CN"/>
              </w:rPr>
              <w:t>参观点位门票</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color w:val="000000" w:themeColor="text1"/>
                <w:sz w:val="24"/>
                <w:highlight w:val="none"/>
                <w:lang w:val="en-US" w:eastAsia="zh-CN"/>
                <w14:textFill>
                  <w14:solidFill>
                    <w14:schemeClr w14:val="tx1"/>
                  </w14:solidFill>
                </w14:textFill>
              </w:rPr>
              <w:t>不得少于8个参观地点，参观交流时间总时长不得少于18小时</w:t>
            </w:r>
          </w:p>
        </w:tc>
        <w:tc>
          <w:tcPr>
            <w:tcW w:w="645" w:type="dxa"/>
            <w:vAlign w:val="center"/>
          </w:tcPr>
          <w:p>
            <w:pPr>
              <w:tabs>
                <w:tab w:val="left" w:pos="210"/>
              </w:tabs>
              <w:spacing w:line="240" w:lineRule="auto"/>
              <w:jc w:val="center"/>
              <w:rPr>
                <w:rFonts w:hint="eastAsia" w:ascii="宋体" w:hAnsi="宋体" w:eastAsia="宋体" w:cs="宋体"/>
                <w:bCs/>
                <w:sz w:val="24"/>
                <w:highlight w:val="none"/>
              </w:rPr>
            </w:pP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r>
              <w:rPr>
                <w:rFonts w:hint="eastAsia" w:ascii="宋体" w:hAnsi="宋体" w:cs="宋体"/>
                <w:bCs/>
                <w:sz w:val="24"/>
                <w:lang w:val="en-US" w:eastAsia="zh-CN"/>
              </w:rPr>
              <w:t>满足服务内容及标准的情况下可增加实践地点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教材费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含培训材料，文具，文件袋，结业证书，胸卡，口罩，消毒纸巾等</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批</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p>
        </w:tc>
        <w:tc>
          <w:tcPr>
            <w:tcW w:w="2182"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市内交通费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50座大巴，全天包接送</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辆</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7</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场地费（授课培训场地）</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场地要求：可容纳50人以上的会议室，按照国家防疫要求消毒</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间</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8</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人身意外伤害保险</w:t>
            </w:r>
          </w:p>
        </w:tc>
        <w:tc>
          <w:tcPr>
            <w:tcW w:w="4517" w:type="dxa"/>
            <w:vAlign w:val="center"/>
          </w:tcPr>
          <w:p>
            <w:pPr>
              <w:tabs>
                <w:tab w:val="left" w:pos="210"/>
              </w:tabs>
              <w:spacing w:line="240" w:lineRule="auto"/>
              <w:jc w:val="center"/>
              <w:rPr>
                <w:rFonts w:hint="eastAsia" w:ascii="宋体" w:hAnsi="宋体" w:eastAsia="宋体" w:cs="宋体"/>
                <w:bCs/>
                <w:sz w:val="24"/>
                <w:highlight w:val="none"/>
              </w:rPr>
            </w:pPr>
            <w:r>
              <w:rPr>
                <w:rFonts w:hint="eastAsia" w:ascii="宋体" w:hAnsi="宋体" w:cs="宋体"/>
                <w:bCs/>
                <w:sz w:val="24"/>
                <w:highlight w:val="none"/>
                <w:lang w:val="en-US" w:eastAsia="zh-CN"/>
              </w:rPr>
              <w:t>10天人身安全保险费用</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9</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理论课教师授课费</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课程需包含1、新时代城乡规划新思想、新领悟2、乡村振兴专题3、科技创新“点亮”智慧农业4、破解农村当前发展困境，设计未来发展方向5、中国共产党史学习6、北京发展乡村振兴好的经验做法7、农村电商促进乡村振兴的重要作用8、发展农村电商主推乡村振兴战略实施</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满足服务内容及标准的情况下可增加相关课程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10</w:t>
            </w:r>
          </w:p>
        </w:tc>
        <w:tc>
          <w:tcPr>
            <w:tcW w:w="2182"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合影照片加摄像</w:t>
            </w:r>
          </w:p>
        </w:tc>
        <w:tc>
          <w:tcPr>
            <w:tcW w:w="4517" w:type="dxa"/>
            <w:vAlign w:val="center"/>
          </w:tcPr>
          <w:p>
            <w:pPr>
              <w:tabs>
                <w:tab w:val="left" w:pos="210"/>
              </w:tabs>
              <w:spacing w:line="240"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全天随行程摄影（并保存留档）</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11</w:t>
            </w:r>
          </w:p>
        </w:tc>
        <w:tc>
          <w:tcPr>
            <w:tcW w:w="2182" w:type="dxa"/>
            <w:vAlign w:val="center"/>
          </w:tcPr>
          <w:p>
            <w:pPr>
              <w:tabs>
                <w:tab w:val="left" w:pos="210"/>
              </w:tabs>
              <w:spacing w:line="24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应急药品</w:t>
            </w:r>
          </w:p>
        </w:tc>
        <w:tc>
          <w:tcPr>
            <w:tcW w:w="4517"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晕车药等应急药品购买</w:t>
            </w:r>
          </w:p>
        </w:tc>
        <w:tc>
          <w:tcPr>
            <w:tcW w:w="645" w:type="dxa"/>
            <w:vAlign w:val="center"/>
          </w:tcPr>
          <w:p>
            <w:pPr>
              <w:tabs>
                <w:tab w:val="left" w:pos="210"/>
              </w:tabs>
              <w:spacing w:line="24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5" w:type="dxa"/>
            <w:vAlign w:val="center"/>
          </w:tcPr>
          <w:p>
            <w:pPr>
              <w:tabs>
                <w:tab w:val="left" w:pos="210"/>
              </w:tabs>
              <w:spacing w:line="500" w:lineRule="exact"/>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12</w:t>
            </w:r>
          </w:p>
        </w:tc>
        <w:tc>
          <w:tcPr>
            <w:tcW w:w="2182" w:type="dxa"/>
            <w:vAlign w:val="center"/>
          </w:tcPr>
          <w:p>
            <w:pPr>
              <w:tabs>
                <w:tab w:val="left" w:pos="210"/>
              </w:tabs>
              <w:spacing w:line="240"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培训服务费</w:t>
            </w:r>
          </w:p>
        </w:tc>
        <w:tc>
          <w:tcPr>
            <w:tcW w:w="4517" w:type="dxa"/>
            <w:vAlign w:val="center"/>
          </w:tcPr>
          <w:p>
            <w:pPr>
              <w:tabs>
                <w:tab w:val="left" w:pos="210"/>
              </w:tabs>
              <w:spacing w:line="240"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w:t>
            </w:r>
          </w:p>
        </w:tc>
        <w:tc>
          <w:tcPr>
            <w:tcW w:w="645" w:type="dxa"/>
            <w:vAlign w:val="center"/>
          </w:tcPr>
          <w:p>
            <w:pPr>
              <w:tabs>
                <w:tab w:val="left" w:pos="210"/>
              </w:tabs>
              <w:spacing w:line="240" w:lineRule="auto"/>
              <w:jc w:val="center"/>
              <w:rPr>
                <w:rFonts w:hint="eastAsia" w:ascii="宋体" w:hAnsi="宋体" w:cs="宋体"/>
                <w:bCs/>
                <w:sz w:val="24"/>
                <w:highlight w:val="none"/>
                <w:lang w:val="en-US" w:eastAsia="zh-CN"/>
              </w:rPr>
            </w:pPr>
          </w:p>
        </w:tc>
        <w:tc>
          <w:tcPr>
            <w:tcW w:w="1800" w:type="dxa"/>
            <w:vAlign w:val="center"/>
          </w:tcPr>
          <w:p>
            <w:pPr>
              <w:tabs>
                <w:tab w:val="left" w:pos="210"/>
              </w:tabs>
              <w:spacing w:line="240" w:lineRule="auto"/>
              <w:jc w:val="center"/>
              <w:rPr>
                <w:rFonts w:hint="eastAsia" w:ascii="宋体" w:hAnsi="宋体" w:eastAsia="宋体" w:cs="宋体"/>
                <w:bCs/>
                <w:sz w:val="24"/>
                <w:highlight w:val="none"/>
              </w:rPr>
            </w:pPr>
          </w:p>
        </w:tc>
      </w:tr>
    </w:tbl>
    <w:p>
      <w:pPr>
        <w:pageBreakBefore/>
        <w:spacing w:line="360" w:lineRule="auto"/>
        <w:jc w:val="center"/>
        <w:rPr>
          <w:rFonts w:hint="eastAsia" w:ascii="宋体" w:hAnsi="宋体" w:eastAsia="宋体" w:cs="宋体"/>
          <w:szCs w:val="21"/>
        </w:rPr>
      </w:pPr>
      <w:r>
        <w:rPr>
          <w:rFonts w:hint="eastAsia" w:ascii="宋体" w:hAnsi="宋体" w:eastAsia="宋体" w:cs="宋体"/>
          <w:b/>
          <w:sz w:val="32"/>
          <w:szCs w:val="32"/>
        </w:rPr>
        <w:t>第四章、合同协议书（样本）</w:t>
      </w:r>
    </w:p>
    <w:p>
      <w:pPr>
        <w:shd w:val="clear" w:color="auto" w:fill="FFFFFF"/>
        <w:snapToGrid w:val="0"/>
        <w:spacing w:line="360" w:lineRule="exact"/>
        <w:rPr>
          <w:rFonts w:hint="eastAsia" w:ascii="宋体" w:hAnsi="宋体" w:eastAsia="宋体" w:cs="宋体"/>
          <w:color w:val="000000"/>
        </w:rPr>
      </w:pP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项目编号：</w:t>
      </w: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合同编号：</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采购人（甲方）：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供应商（乙方）：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根据                          项目的采购结果，经双方协商签署本合同。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一、服务内容：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二、质量要求、技术标准、乙方对质量负责的条件和期限及售后服务的承诺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1、乙方应按招标文件规定的技术要求、质量标准向甲方提供服务。</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2、乙方应保证所提供的服务任何一部分均不会侵犯任何第三方的知识产权。</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3、乙方没有甲方事先书面同意，不得将由甲方提供的有关合同或任何合同条文或资料提供给与履行本合同无关的任何其他人。即使向履行本合同有关的人员提供，也应注意保密并限于履行合同的必需范围。</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三、服务期限和服务地点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1、期限  年，从   年   月   日至   年  月  日。</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2、服务地点：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四、结算方式及期限</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1、付款方式及期限：</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五、不可抗力事件处理</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1、在合同有效期内，任何一方因不可抗力事件导致不能履行合同，则合同履行期可延长，其延长期与不可抗力影响期相同。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2、不可抗力事件发生后，应立即通知对方，并寄送有关权威机构出具的证明。</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3、不可抗力事件延续一百二十天以上，双方应通过友好协商，确定是否继续履行合同。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六、解决合同纠纷方式</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双方在执行合同中所发生的一切争议，应通过协商解决。如协商不成，可向合同签订地法院起诉，合同签订地在此约定为乌鲁木齐市。</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七、合同生效及其它约定事项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1、合同经双方法定代表人或授权委托代理人签字并加盖单位公章后生效。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2、合同执行中涉及采购资金和采购内容修改或补充的，须经财政部门审批，并签书面补充协议报新疆维吾尔自治区政府采购管理处备案。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3、本合同执行中相关的税费均由各方自理。</w:t>
      </w:r>
    </w:p>
    <w:p>
      <w:pPr>
        <w:spacing w:line="360" w:lineRule="auto"/>
        <w:ind w:firstLine="360" w:firstLineChars="150"/>
        <w:rPr>
          <w:rFonts w:hint="eastAsia" w:ascii="宋体" w:hAnsi="宋体" w:eastAsia="宋体" w:cs="宋体"/>
          <w:b/>
          <w:color w:val="000000"/>
          <w:sz w:val="24"/>
        </w:rPr>
      </w:pPr>
      <w:r>
        <w:rPr>
          <w:rFonts w:hint="eastAsia" w:ascii="宋体" w:hAnsi="宋体" w:eastAsia="宋体" w:cs="宋体"/>
          <w:color w:val="000000"/>
          <w:sz w:val="24"/>
        </w:rPr>
        <w:t>4、其他约定:</w:t>
      </w:r>
      <w:r>
        <w:rPr>
          <w:rFonts w:hint="eastAsia" w:ascii="宋体" w:hAnsi="宋体" w:eastAsia="宋体" w:cs="宋体"/>
          <w:b/>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5、乙方交纳合同总金额人民币的    %即       元作为本合同的履约保证金，履约完毕甲方应全额无息退还乙方。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6、本合同正本一式两份，具有同等法律效力，甲乙双方各执一份；副本二份。</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甲方（章）：               乙方（章）：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地址：                    地址：</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委托代理人：              委托代理人：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电话：                    电话：</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电传：                    电传：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开户银行：                开户银行：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帐号：                    帐号：</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签订地点：                签订日期：   年  月  日</w:t>
      </w:r>
    </w:p>
    <w:p>
      <w:pPr>
        <w:tabs>
          <w:tab w:val="left" w:pos="7665"/>
        </w:tabs>
        <w:spacing w:line="360" w:lineRule="auto"/>
        <w:ind w:firstLine="301" w:firstLineChars="100"/>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tabs>
          <w:tab w:val="left" w:pos="7665"/>
        </w:tabs>
        <w:spacing w:line="360" w:lineRule="auto"/>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sectPr>
          <w:headerReference r:id="rId4" w:type="default"/>
          <w:footerReference r:id="rId5" w:type="default"/>
          <w:footnotePr>
            <w:numRestart w:val="eachPage"/>
          </w:footnotePr>
          <w:pgSz w:w="11907" w:h="16840"/>
          <w:pgMar w:top="1474" w:right="1644" w:bottom="1077" w:left="1560" w:header="504" w:footer="792" w:gutter="0"/>
          <w:pgNumType w:fmt="numberInDash"/>
          <w:cols w:space="720" w:num="1"/>
          <w:docGrid w:linePitch="312" w:charSpace="0"/>
        </w:sectPr>
      </w:pPr>
    </w:p>
    <w:p>
      <w:pPr>
        <w:pStyle w:val="5"/>
        <w:jc w:val="center"/>
        <w:rPr>
          <w:rFonts w:hint="eastAsia" w:ascii="宋体" w:hAnsi="宋体" w:eastAsia="宋体" w:cs="宋体"/>
          <w:b/>
          <w:bCs/>
          <w:color w:val="000000" w:themeColor="text1"/>
          <w:szCs w:val="40"/>
          <w14:textFill>
            <w14:solidFill>
              <w14:schemeClr w14:val="tx1"/>
            </w14:solidFill>
          </w14:textFill>
        </w:rPr>
      </w:pPr>
      <w:r>
        <w:rPr>
          <w:rFonts w:hint="eastAsia" w:ascii="宋体" w:hAnsi="宋体" w:eastAsia="宋体" w:cs="宋体"/>
          <w:b/>
          <w:bCs/>
          <w:color w:val="000000" w:themeColor="text1"/>
          <w:szCs w:val="40"/>
          <w14:textFill>
            <w14:solidFill>
              <w14:schemeClr w14:val="tx1"/>
            </w14:solidFill>
          </w14:textFill>
        </w:rPr>
        <w:t>第五章、 质疑及处理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 质疑的提出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 质疑人必须是直接参与本次采购活动的投标人。质疑不接受邮寄。</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1.3 对成交公告有异议的，在成交公告发布之日起七个工作日内，以书面形式并加盖公章和法人代表签字向招标方提出质疑。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1.4 提出质疑时，必须按照“实事求是”、“谁主张，谁举证”的原则，提供相关证明材料，不能主观臆测。</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 受理和处理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2.1 《质疑函》必须由质疑方的法定代表人或投标代表送达招标方或采购单位。</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 对符合要求的质疑，采购单位或招标方须签收。同一质疑人的质疑只接受一次。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2.3 对于不符合上述27项所有条款要求的质疑，招标方将不予受理。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 质疑无效的处理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 对于质疑人在质疑期间不配合进行质疑调查处理的，视为自动放弃质疑。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 质疑人提出的质疑，经评标专家审定后驳回的，列为无效质疑。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rPr>
          <w:rStyle w:val="49"/>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bookmarkStart w:id="156" w:name="_Toc1020"/>
      <w:bookmarkStart w:id="157" w:name="_Toc29385"/>
      <w:bookmarkStart w:id="158" w:name="_Toc2183"/>
      <w:bookmarkStart w:id="159" w:name="_Toc14886"/>
      <w:bookmarkStart w:id="160" w:name="_Toc13662"/>
      <w:r>
        <w:rPr>
          <w:rStyle w:val="49"/>
          <w:rFonts w:hint="eastAsia" w:ascii="宋体" w:hAnsi="宋体" w:eastAsia="宋体" w:cs="宋体"/>
          <w:color w:val="000000" w:themeColor="text1"/>
          <w:sz w:val="36"/>
          <w:szCs w:val="36"/>
          <w14:textFill>
            <w14:solidFill>
              <w14:schemeClr w14:val="tx1"/>
            </w14:solidFill>
          </w14:textFill>
        </w:rPr>
        <w:t>质疑函</w:t>
      </w:r>
    </w:p>
    <w:bookmarkEnd w:id="156"/>
    <w:bookmarkEnd w:id="157"/>
    <w:bookmarkEnd w:id="158"/>
    <w:bookmarkEnd w:id="159"/>
    <w:bookmarkEnd w:id="160"/>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本项目授权委托人（签字并盖名章）：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公司地址：              邮编：</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（如法人为质疑人则不需要填此项）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质疑人（公章）：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年   月   日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质   疑  内  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bl>
      <w:tblPr>
        <w:tblStyle w:val="26"/>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一、质疑事项1：</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二、质疑事项2：</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三、同上</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bl>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备注：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4、与质疑事项有关的材料应与质疑函合并装订。</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5、质疑函一式三份。</w:t>
      </w:r>
    </w:p>
    <w:p>
      <w:pPr>
        <w:tabs>
          <w:tab w:val="left" w:pos="7665"/>
        </w:tabs>
        <w:spacing w:line="360" w:lineRule="auto"/>
        <w:ind w:firstLine="301" w:firstLineChars="100"/>
        <w:jc w:val="center"/>
        <w:rPr>
          <w:rFonts w:hint="eastAsia" w:ascii="宋体" w:hAnsi="宋体" w:eastAsia="宋体" w:cs="宋体"/>
          <w:b/>
          <w:bCs/>
          <w:sz w:val="30"/>
          <w:szCs w:val="30"/>
        </w:rPr>
      </w:pPr>
    </w:p>
    <w:p>
      <w:pPr>
        <w:pStyle w:val="5"/>
        <w:spacing w:before="120" w:after="312" w:afterLines="100"/>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w:t>
      </w:r>
      <w:r>
        <w:rPr>
          <w:rFonts w:hint="eastAsia" w:ascii="宋体" w:hAnsi="宋体" w:cs="宋体"/>
          <w:b/>
          <w:bCs/>
          <w:color w:val="000000"/>
          <w:sz w:val="36"/>
          <w:szCs w:val="36"/>
          <w:lang w:val="en-US" w:eastAsia="zh-CN"/>
        </w:rPr>
        <w:t>六</w:t>
      </w:r>
      <w:r>
        <w:rPr>
          <w:rFonts w:hint="eastAsia" w:ascii="宋体" w:hAnsi="宋体" w:eastAsia="宋体" w:cs="宋体"/>
          <w:b/>
          <w:bCs/>
          <w:color w:val="000000"/>
          <w:sz w:val="36"/>
          <w:szCs w:val="36"/>
        </w:rPr>
        <w:t>章、评标办法</w:t>
      </w:r>
    </w:p>
    <w:p>
      <w:pPr>
        <w:spacing w:line="440" w:lineRule="exact"/>
        <w:ind w:firstLine="482" w:firstLineChars="200"/>
        <w:rPr>
          <w:rFonts w:hint="eastAsia" w:ascii="宋体" w:hAnsi="宋体" w:eastAsia="宋体" w:cs="宋体"/>
          <w:b/>
          <w:sz w:val="24"/>
        </w:rPr>
      </w:pPr>
      <w:bookmarkStart w:id="161" w:name="_Toc220171019"/>
      <w:bookmarkStart w:id="162" w:name="_Toc378520549"/>
      <w:bookmarkStart w:id="163" w:name="_Toc287267418"/>
      <w:bookmarkStart w:id="164" w:name="_Toc298786726"/>
      <w:bookmarkStart w:id="165" w:name="_Toc219020598"/>
      <w:bookmarkStart w:id="166" w:name="_Toc298786939"/>
      <w:bookmarkStart w:id="167" w:name="_Toc287368028"/>
      <w:r>
        <w:rPr>
          <w:rFonts w:hint="eastAsia" w:ascii="宋体" w:hAnsi="宋体" w:eastAsia="宋体" w:cs="宋体"/>
          <w:b/>
          <w:sz w:val="24"/>
        </w:rPr>
        <w:t>1. 评标依据</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　评标的依据为招标文件。</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2. 投标文件的澄清</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3. 对投标文件的评估和比较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3.1　对实质性响应的投标文件进行评估和比较。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3.2  对投标价格的评估和比较评定：</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（1）零配件、专用工具及相关服务的费用；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（2）招标文件中所要求的有关服务费用；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（3）发货到最终目的地的内陆运输、保险及其他费用；</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4. 评标过程的保密</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4.1  </w:t>
      </w:r>
      <w:r>
        <w:rPr>
          <w:rFonts w:hint="eastAsia" w:ascii="宋体" w:hAnsi="宋体" w:eastAsia="宋体" w:cs="宋体"/>
          <w:spacing w:val="-2"/>
          <w:sz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4.2 </w:t>
      </w:r>
      <w:r>
        <w:rPr>
          <w:rFonts w:hint="eastAsia" w:ascii="宋体" w:hAnsi="宋体" w:eastAsia="宋体" w:cs="宋体"/>
          <w:spacing w:val="-2"/>
          <w:sz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5. 初步评审</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hint="eastAsia" w:ascii="宋体" w:hAnsi="宋体" w:eastAsia="宋体" w:cs="宋体"/>
          <w:b/>
          <w:spacing w:val="-2"/>
          <w:sz w:val="24"/>
          <w:u w:val="single"/>
        </w:rPr>
      </w:pPr>
      <w:r>
        <w:rPr>
          <w:rFonts w:hint="eastAsia" w:ascii="宋体" w:hAnsi="宋体" w:eastAsia="宋体" w:cs="宋体"/>
          <w:b/>
          <w:spacing w:val="-2"/>
          <w:sz w:val="24"/>
          <w:u w:val="single"/>
        </w:rPr>
        <w:t xml:space="preserve"> 5.3　投标最低报价，不作为中标的依据。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5.4　招标方不接受不符合国家有关部门相关规定的投标报价或优惠方案。</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5.6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5.7  评标委员会应当审查每一投标文件是否对招标文件提出的所有实质性要求和条件做出满足。未能在实质上满足的投标，应作废标处理。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5.8　投标人不得误导、干扰招标方的评标活动，否则将废除其投标。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5.9　评标委员会应当根据招标文件，审查并逐项列出投标文件的全部投标偏差。投标偏差分为重大偏差和细微偏差。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5.10  下列情况属于重大偏差：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（1）没有按照招标文件要求提供投标保证金的；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（2）投标文件没有投标人授权代表签字和加盖公章的；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（3）投标文件中附有招标方不能接受的条件的；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（4）不符合招标文件中规定的其他实质性要求的。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投标文件有上述情形之一的，为未能对招标文件做出实质性满足的投标，并作废标处理。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5.12  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5.13  对投标文件满足招标文件条款的审查：</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（4）评标委员会判断投标文件的满足性仅基于投标文件本身而不靠外部证据；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（5）评标委员会将拒绝被确定为非实质性满足的投标。投标人不能通过修正或撤消不符合之处而使其投标成为实质性满足的投标。</w:t>
      </w:r>
    </w:p>
    <w:p>
      <w:pPr>
        <w:pStyle w:val="2"/>
        <w:rPr>
          <w:rFonts w:hint="eastAsia" w:ascii="宋体" w:hAnsi="宋体" w:eastAsia="宋体" w:cs="宋体"/>
          <w:spacing w:val="-2"/>
          <w:sz w:val="24"/>
        </w:rPr>
      </w:pPr>
    </w:p>
    <w:p>
      <w:pPr>
        <w:pStyle w:val="4"/>
        <w:numPr>
          <w:ilvl w:val="3"/>
          <w:numId w:val="0"/>
        </w:numPr>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ascii="宋体" w:hAnsi="宋体" w:eastAsia="宋体" w:cs="宋体"/>
          <w:spacing w:val="-2"/>
          <w:sz w:val="24"/>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4"/>
        <w:rPr>
          <w:rFonts w:hint="eastAsia"/>
        </w:rPr>
      </w:pPr>
    </w:p>
    <w:p>
      <w:pPr>
        <w:pStyle w:val="24"/>
        <w:rPr>
          <w:rFonts w:hint="eastAsia"/>
        </w:rPr>
      </w:pPr>
    </w:p>
    <w:p>
      <w:pPr>
        <w:pStyle w:val="24"/>
        <w:rPr>
          <w:rFonts w:hint="eastAsia"/>
        </w:rPr>
      </w:pPr>
    </w:p>
    <w:p>
      <w:pPr>
        <w:pStyle w:val="2"/>
        <w:rPr>
          <w:rFonts w:hint="eastAsia" w:ascii="宋体" w:hAnsi="宋体" w:eastAsia="宋体" w:cs="宋体"/>
          <w:spacing w:val="-2"/>
          <w:sz w:val="24"/>
        </w:rPr>
      </w:pPr>
    </w:p>
    <w:p>
      <w:pPr>
        <w:pStyle w:val="20"/>
        <w:spacing w:before="120" w:line="360" w:lineRule="auto"/>
        <w:ind w:firstLine="405"/>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...1</w:t>
      </w:r>
    </w:p>
    <w:p>
      <w:pPr>
        <w:pStyle w:val="6"/>
        <w:bidi w:val="0"/>
        <w:jc w:val="center"/>
        <w:rPr>
          <w:rFonts w:hint="eastAsia" w:ascii="宋体" w:hAnsi="宋体" w:eastAsia="宋体" w:cs="宋体"/>
          <w:color w:val="auto"/>
          <w:sz w:val="28"/>
          <w:szCs w:val="28"/>
          <w:lang w:val="en-US" w:eastAsia="zh-CN"/>
        </w:rPr>
      </w:pPr>
      <w:bookmarkStart w:id="168" w:name="_Toc17117"/>
      <w:bookmarkStart w:id="169" w:name="_Toc5616"/>
      <w:r>
        <w:rPr>
          <w:rFonts w:hint="eastAsia" w:ascii="宋体" w:hAnsi="宋体" w:eastAsia="宋体" w:cs="宋体"/>
          <w:color w:val="auto"/>
          <w:sz w:val="28"/>
          <w:szCs w:val="28"/>
          <w:lang w:val="en-US" w:eastAsia="zh-CN"/>
        </w:rPr>
        <w:t>资格审查</w:t>
      </w:r>
      <w:bookmarkEnd w:id="168"/>
      <w:bookmarkEnd w:id="169"/>
      <w:r>
        <w:rPr>
          <w:rFonts w:hint="eastAsia" w:ascii="宋体" w:hAnsi="宋体" w:eastAsia="宋体" w:cs="宋体"/>
          <w:color w:val="auto"/>
          <w:sz w:val="28"/>
          <w:szCs w:val="28"/>
          <w:lang w:val="en-US" w:eastAsia="zh-CN"/>
        </w:rPr>
        <w:t>表</w:t>
      </w:r>
    </w:p>
    <w:p>
      <w:pPr>
        <w:rPr>
          <w:rFonts w:hint="eastAsia"/>
          <w:color w:val="auto"/>
          <w:lang w:val="en-US"/>
        </w:rPr>
      </w:pPr>
    </w:p>
    <w:tbl>
      <w:tblPr>
        <w:tblStyle w:val="26"/>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1"/>
        <w:gridCol w:w="4529"/>
        <w:gridCol w:w="880"/>
        <w:gridCol w:w="880"/>
        <w:gridCol w:w="877"/>
        <w:gridCol w:w="1"/>
        <w:gridCol w:w="863"/>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60" w:hRule="atLeast"/>
          <w:jc w:val="center"/>
        </w:trPr>
        <w:tc>
          <w:tcPr>
            <w:tcW w:w="8597"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864"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15" w:hRule="atLeast"/>
          <w:jc w:val="center"/>
        </w:trPr>
        <w:tc>
          <w:tcPr>
            <w:tcW w:w="8597"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864"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22225</wp:posOffset>
                      </wp:positionV>
                      <wp:extent cx="2819400" cy="761365"/>
                      <wp:effectExtent l="1270" t="4445" r="17780" b="15240"/>
                      <wp:wrapNone/>
                      <wp:docPr id="9" name="直接连接符 9"/>
                      <wp:cNvGraphicFramePr/>
                      <a:graphic xmlns:a="http://schemas.openxmlformats.org/drawingml/2006/main">
                        <a:graphicData uri="http://schemas.microsoft.com/office/word/2010/wordprocessingShape">
                          <wps:wsp>
                            <wps:cNvCnPr/>
                            <wps:spPr>
                              <a:xfrm>
                                <a:off x="0" y="0"/>
                                <a:ext cx="2819400" cy="7613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1.75pt;height:59.95pt;width:222pt;z-index:251663360;mso-width-relative:page;mso-height-relative:page;" filled="f" stroked="t" coordsize="21600,21600" o:gfxdata="UEsDBAoAAAAAAIdO4kAAAAAAAAAAAAAAAAAEAAAAZHJzL1BLAwQUAAAACACHTuJAfqjyz9UAAAAH&#10;AQAADwAAAGRycy9kb3ducmV2LnhtbE2OPU/DQBBEeyT+w2mRaKLkHNtEkfE5BeCOhgBKu/EttoVv&#10;z/FdPuDXs1RQjuZp5pWbixvUiabQezawXCSgiBtve24NvL3W8zWoEJEtDp7JwBcF2FTXVyUW1p/5&#10;hU7b2CoZ4VCggS7GsdA6NB05DAs/Ekv34SeHUeLUajvhWcbdoNMkWWmHPctDhyM9dNR8bo/OQKjf&#10;6VB/z5pZsstaT+nh8fkJjbm9WSb3oCJd4h8Mv/qiDpU47f2RbVCDgXkuoIHsDpS0eZ6tQO0FS7Mc&#10;dFXq//7VD1BLAwQUAAAACACHTuJAVLbzL/gBAADpAwAADgAAAGRycy9lMm9Eb2MueG1srVNLjhMx&#10;EN0jcQfLe9JJIGHSSmcWE4YNgkjAASpud7cl/+Ry0skluAASO1ixZM9tGI5B2R0yMGyyoBfusuv5&#10;ud5zeXl9MJrtZUDlbMUnozFn0gpXK9tW/P272ydXnGEEW4N2Vlb8KJFfrx4/Wva+lFPXOV3LwIjE&#10;Ytn7incx+rIoUHTSAI6cl5aSjQsGIk1DW9QBemI3upiOx/Oid6H2wQmJSKvrIclPjOESQtc0Ssi1&#10;EzsjbRxYg9QQSRJ2yiNf5WqbRor4pmlQRqYrTkpjHukQirdpLFZLKNsAvlPiVAJcUsIDTQaUpUPP&#10;VGuIwHZB/UNllAgOXRNHwpliEJIdIRWT8QNv3nbgZdZCVqM/m47/j1a83m8CU3XFF5xZMHThdx+/&#10;/fjw+ef3TzTeff3CFsmk3mNJ2Bu7CacZ+k1Iig9NMOlPWtghG3s8GysPkQlanF5NFs/G5Lmg3PP5&#10;5Ol8lkiL+90+YHwpnWEpqLhWNgmHEvavMA7Q35C0rC3rqeTZdEacQF3Y0O1TaDwpQdvmvei0qm+V&#10;1mkHhnZ7owPbQ+qE/J1K+AuWDlkDdgMupxIMyk5C/cLWLB49eWTpafBUgpE1Z1rSS0pRRkZQ+hIk&#10;qdeWTEjWDmamaOvqI93IzgfVduTEJFeZMtQB2bJTt6YW+3Oeme5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qjyz9UAAAAHAQAADwAAAAAAAAABACAAAAAiAAAAZHJzL2Rvd25yZXYueG1sUEsB&#10;AhQAFAAAAAgAh07iQFS28y/4AQAA6QMAAA4AAAAAAAAAAQAgAAAAJA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b w:val="0"/>
                <w:bCs w:val="0"/>
                <w:color w:val="auto"/>
                <w:kern w:val="0"/>
                <w:sz w:val="24"/>
                <w:szCs w:val="24"/>
              </w:rPr>
              <w:t>1</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sz w:val="24"/>
                <w:szCs w:val="24"/>
                <w:lang w:val="en-US" w:eastAsia="zh-CN"/>
              </w:rPr>
              <w:t>供应商须提供三证合一的营业执照或民办非企业单位登记证书；</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b w:val="0"/>
                <w:bCs w:val="0"/>
                <w:color w:val="auto"/>
                <w:kern w:val="0"/>
                <w:sz w:val="24"/>
                <w:szCs w:val="24"/>
                <w:lang w:val="en-US" w:eastAsia="zh-CN"/>
              </w:rPr>
              <w:t>2</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line="240" w:lineRule="auto"/>
              <w:rPr>
                <w:rFonts w:hint="default" w:ascii="宋体" w:hAnsi="宋体" w:eastAsia="宋体" w:cs="宋体"/>
                <w:i w:val="0"/>
                <w:color w:val="auto"/>
                <w:sz w:val="24"/>
                <w:szCs w:val="24"/>
                <w:u w:val="none"/>
                <w:lang w:val="en-US"/>
              </w:rPr>
            </w:pPr>
            <w:r>
              <w:rPr>
                <w:rFonts w:hint="eastAsia" w:ascii="宋体" w:hAnsi="宋体" w:eastAsia="宋体" w:cs="宋体"/>
                <w:color w:val="auto"/>
                <w:sz w:val="24"/>
                <w:szCs w:val="24"/>
                <w:highlight w:val="none"/>
                <w:lang w:val="en-US" w:eastAsia="zh-CN"/>
              </w:rPr>
              <w:t>是否提供法人证明或法人授权委托书，</w:t>
            </w:r>
            <w:r>
              <w:rPr>
                <w:rFonts w:hint="eastAsia" w:ascii="宋体" w:hAnsi="宋体" w:cs="宋体"/>
                <w:color w:val="auto"/>
                <w:sz w:val="24"/>
                <w:szCs w:val="24"/>
                <w:highlight w:val="none"/>
                <w:lang w:val="en-US" w:eastAsia="zh-CN"/>
              </w:rPr>
              <w:t>法人</w:t>
            </w:r>
            <w:r>
              <w:rPr>
                <w:rFonts w:hint="eastAsia" w:ascii="宋体" w:hAnsi="宋体" w:eastAsia="宋体" w:cs="宋体"/>
                <w:color w:val="auto"/>
                <w:sz w:val="24"/>
                <w:szCs w:val="24"/>
                <w:highlight w:val="none"/>
                <w:lang w:val="en-US" w:eastAsia="zh-CN"/>
              </w:rPr>
              <w:t>是否提供近3个月的社保缴纳证明</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3</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ascii="宋体" w:hAnsi="宋体" w:eastAsia="宋体" w:cs="宋体"/>
                <w:color w:val="auto"/>
                <w:sz w:val="24"/>
                <w:szCs w:val="24"/>
                <w:highlight w:val="none"/>
                <w:lang w:val="en-US" w:eastAsia="zh-CN" w:bidi="ar"/>
              </w:rPr>
              <w:t>是</w:t>
            </w:r>
            <w:r>
              <w:rPr>
                <w:rFonts w:hint="eastAsia" w:ascii="宋体" w:hAnsi="宋体" w:eastAsia="宋体" w:cs="宋体"/>
                <w:color w:val="auto"/>
                <w:sz w:val="24"/>
                <w:szCs w:val="24"/>
                <w:highlight w:val="none"/>
                <w:lang w:bidi="ar"/>
              </w:rPr>
              <w:t>否</w:t>
            </w:r>
            <w:r>
              <w:rPr>
                <w:rFonts w:hint="eastAsia" w:ascii="宋体" w:hAnsi="宋体" w:eastAsia="宋体" w:cs="宋体"/>
                <w:color w:val="auto"/>
                <w:sz w:val="24"/>
                <w:szCs w:val="24"/>
                <w:highlight w:val="none"/>
                <w:lang w:val="en-US" w:eastAsia="zh-CN" w:bidi="ar"/>
              </w:rPr>
              <w:t>具有</w:t>
            </w:r>
            <w:r>
              <w:rPr>
                <w:rFonts w:hint="eastAsia" w:ascii="宋体" w:hAnsi="宋体" w:eastAsia="宋体" w:cs="宋体"/>
                <w:color w:val="auto"/>
                <w:sz w:val="24"/>
                <w:szCs w:val="24"/>
                <w:highlight w:val="none"/>
                <w:lang w:bidi="ar"/>
              </w:rPr>
              <w:t>“信用中国”网站（WWW.creditchina.gov.cn）、中国政府采购网（www.ccgp.gov.cn）、国家企业信用信息公示系统（http://www.gsxt.gov.cn）</w:t>
            </w:r>
            <w:r>
              <w:rPr>
                <w:rFonts w:hint="eastAsia" w:ascii="宋体" w:hAnsi="宋体" w:eastAsia="宋体" w:cs="宋体"/>
                <w:color w:val="auto"/>
                <w:sz w:val="24"/>
                <w:szCs w:val="24"/>
                <w:highlight w:val="none"/>
                <w:lang w:val="en-US" w:eastAsia="zh-CN" w:bidi="ar"/>
              </w:rPr>
              <w:t>三</w:t>
            </w:r>
            <w:r>
              <w:rPr>
                <w:rFonts w:hint="eastAsia" w:ascii="宋体" w:hAnsi="宋体" w:eastAsia="宋体" w:cs="宋体"/>
                <w:color w:val="auto"/>
                <w:sz w:val="24"/>
                <w:szCs w:val="24"/>
                <w:highlight w:val="none"/>
                <w:lang w:bidi="ar"/>
              </w:rPr>
              <w:t>个网站的查询结果；</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4</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lang w:eastAsia="zh-CN"/>
              </w:rPr>
            </w:pPr>
            <w:r>
              <w:rPr>
                <w:rFonts w:hint="eastAsia"/>
                <w:sz w:val="24"/>
                <w:szCs w:val="24"/>
                <w:lang w:val="en-US" w:eastAsia="zh-CN"/>
              </w:rPr>
              <w:t>具有良好的商业信誉和健全的财务会计制度（需提供公司财务制度和会计事务所出具2021年财务审计报告，2021年10月以后新成立公司可不提供审计报告但须提供公司财务制度和银行资信证明）；</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8"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b w:val="0"/>
                <w:bCs w:val="0"/>
                <w:color w:val="auto"/>
                <w:kern w:val="0"/>
                <w:sz w:val="24"/>
                <w:szCs w:val="24"/>
                <w:lang w:val="zh-CN" w:eastAsia="zh-CN" w:bidi="ar"/>
              </w:rPr>
            </w:pPr>
            <w:r>
              <w:rPr>
                <w:rFonts w:hint="eastAsia" w:ascii="宋体" w:hAnsi="宋体" w:cs="宋体"/>
                <w:b w:val="0"/>
                <w:bCs w:val="0"/>
                <w:color w:val="auto"/>
                <w:kern w:val="0"/>
                <w:sz w:val="24"/>
                <w:szCs w:val="24"/>
                <w:lang w:val="en-US" w:eastAsia="zh-CN" w:bidi="ar"/>
              </w:rPr>
              <w:t>是否</w:t>
            </w:r>
            <w:r>
              <w:rPr>
                <w:rFonts w:hint="eastAsia" w:ascii="宋体" w:hAnsi="宋体" w:eastAsia="宋体" w:cs="宋体"/>
                <w:color w:val="auto"/>
                <w:kern w:val="0"/>
                <w:sz w:val="24"/>
                <w:szCs w:val="24"/>
                <w:lang w:val="en-US" w:eastAsia="zh-CN"/>
              </w:rPr>
              <w:t>提供税务机关出具的2021年以来近三个月的完税证明（2021年12月份后成立的公司按实际发生提供）；</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7</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auto"/>
                <w:sz w:val="24"/>
                <w:szCs w:val="24"/>
                <w:lang w:val="en-US" w:eastAsia="zh-CN"/>
              </w:rPr>
              <w:t>是否提供投</w:t>
            </w:r>
            <w:r>
              <w:rPr>
                <w:rFonts w:hint="eastAsia" w:ascii="宋体" w:hAnsi="宋体" w:eastAsia="宋体" w:cs="宋体"/>
                <w:i w:val="0"/>
                <w:iCs w:val="0"/>
                <w:color w:val="auto"/>
                <w:sz w:val="24"/>
                <w:szCs w:val="24"/>
              </w:rPr>
              <w:t>标保证金</w:t>
            </w:r>
            <w:r>
              <w:rPr>
                <w:rFonts w:hint="eastAsia" w:ascii="宋体" w:hAnsi="宋体" w:eastAsia="宋体" w:cs="宋体"/>
                <w:i w:val="0"/>
                <w:iCs w:val="0"/>
                <w:color w:val="auto"/>
                <w:sz w:val="24"/>
                <w:szCs w:val="24"/>
                <w:lang w:val="en-US" w:eastAsia="zh-CN"/>
              </w:rPr>
              <w:t>收据复印件；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iCs w:val="0"/>
                <w:color w:val="auto"/>
                <w:sz w:val="24"/>
                <w:szCs w:val="24"/>
                <w:lang w:val="en-US" w:eastAsia="zh-CN"/>
              </w:rPr>
            </w:pPr>
            <w:r>
              <w:rPr>
                <w:rFonts w:hint="eastAsia" w:ascii="宋体" w:hAnsi="宋体" w:eastAsia="宋体" w:cs="宋体"/>
                <w:color w:val="auto"/>
                <w:kern w:val="0"/>
                <w:sz w:val="24"/>
                <w:szCs w:val="24"/>
                <w:lang w:val="en-US" w:eastAsia="zh-CN" w:bidi="ar-SA"/>
              </w:rPr>
              <w:t>投标人在北京市有固定的服务场所（提供相关证明文件）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sz w:val="24"/>
                <w:szCs w:val="24"/>
                <w:lang w:val="en-US" w:eastAsia="zh-CN"/>
              </w:rPr>
              <w:t>是否满足采购人的其他条件；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59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1"/>
                <w:szCs w:val="21"/>
                <w:highlight w:val="none"/>
                <w:lang w:bidi="ar"/>
              </w:rPr>
              <w:t>结论（通过〝√〞，不通过〝×〞）（以上评审有任意一项不通过，则不进入下一环节）</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35" w:hRule="atLeast"/>
          <w:jc w:val="center"/>
        </w:trPr>
        <w:tc>
          <w:tcPr>
            <w:tcW w:w="946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1"/>
                <w:szCs w:val="21"/>
                <w:highlight w:val="none"/>
                <w:lang w:bidi="ar"/>
              </w:rPr>
              <w:t xml:space="preserve">评标委员会成员签字： </w:t>
            </w:r>
          </w:p>
        </w:tc>
      </w:tr>
    </w:tbl>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...2</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符合性</w:t>
      </w:r>
      <w:r>
        <w:rPr>
          <w:rFonts w:hint="eastAsia" w:ascii="宋体" w:hAnsi="宋体" w:eastAsia="宋体" w:cs="宋体"/>
          <w:b/>
          <w:bCs/>
          <w:color w:val="auto"/>
          <w:sz w:val="28"/>
          <w:szCs w:val="28"/>
        </w:rPr>
        <w:t>审查表</w:t>
      </w:r>
    </w:p>
    <w:tbl>
      <w:tblPr>
        <w:tblStyle w:val="26"/>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4"/>
        <w:gridCol w:w="4930"/>
        <w:gridCol w:w="904"/>
        <w:gridCol w:w="1002"/>
        <w:gridCol w:w="963"/>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93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1</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投标文件</w:t>
            </w:r>
            <w:r>
              <w:rPr>
                <w:rFonts w:hint="eastAsia" w:ascii="宋体" w:hAnsi="宋体" w:cs="宋体"/>
                <w:i w:val="0"/>
                <w:color w:val="auto"/>
                <w:sz w:val="24"/>
                <w:szCs w:val="24"/>
                <w:u w:val="none"/>
                <w:lang w:val="en-US" w:eastAsia="zh-CN"/>
              </w:rPr>
              <w:t>是否有</w:t>
            </w:r>
            <w:r>
              <w:rPr>
                <w:rFonts w:hint="eastAsia" w:ascii="宋体" w:hAnsi="宋体" w:eastAsia="宋体" w:cs="宋体"/>
                <w:i w:val="0"/>
                <w:color w:val="auto"/>
                <w:sz w:val="24"/>
                <w:szCs w:val="24"/>
                <w:u w:val="none"/>
              </w:rPr>
              <w:t>法定代表人或其授权代表签字（章）和加盖投标单位公章的；投标文件封面右上角未注明“正本”或“副本”字样的；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2</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投标文件是否不齐全或者内容虚假的；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3</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投标文件记载的招标项目</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期是否超过招标文件规定的</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4</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投标有效期是否满足招标文件要求的；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5</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投标报价是否高于采购预算价；</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6</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供应商没有递交两份或两份以上内容不同的投标书，已声明哪一份有效的；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7</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明显不符合技术规格和技术标准（技术规格、合同条款有偏离情况的）；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8</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商务条款是否有偏离情况的；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9</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投标文件是否附有采购人不能接受条件的；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10</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lang w:val="en-US" w:eastAsia="zh-CN"/>
              </w:rPr>
              <w:t>是否满足招标文件实质性要求的其他情形；</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highlight w:val="none"/>
                <w:lang w:val="en-US" w:eastAsia="zh-CN"/>
              </w:rPr>
              <w:t>投标保证金的缴纳主体与供应商是否一致；</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注：通过的打“√”；未通过的打“×”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kern w:val="0"/>
                <w:sz w:val="24"/>
                <w:szCs w:val="24"/>
                <w:u w:val="none"/>
                <w:lang w:val="en-US" w:eastAsia="zh-CN" w:bidi="ar"/>
              </w:rPr>
            </w:pPr>
            <w:r>
              <w:rPr>
                <w:rFonts w:hint="eastAsia" w:hAnsi="宋体" w:cs="宋体"/>
                <w:b/>
                <w:color w:val="auto"/>
                <w:sz w:val="24"/>
                <w:szCs w:val="16"/>
                <w:highlight w:val="none"/>
              </w:rPr>
              <w:t>评标委员会成员签名：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pPr>
        <w:spacing w:line="440" w:lineRule="exact"/>
        <w:ind w:firstLine="480" w:firstLineChars="200"/>
        <w:rPr>
          <w:rFonts w:hint="eastAsia" w:ascii="宋体" w:hAnsi="宋体" w:eastAsia="宋体" w:cs="宋体"/>
          <w:sz w:val="24"/>
        </w:rPr>
      </w:pPr>
    </w:p>
    <w:p>
      <w:pPr>
        <w:tabs>
          <w:tab w:val="left" w:pos="2880"/>
        </w:tabs>
        <w:spacing w:line="460" w:lineRule="atLeast"/>
        <w:jc w:val="left"/>
        <w:rPr>
          <w:rFonts w:hint="eastAsia" w:ascii="宋体" w:hAnsi="宋体" w:eastAsia="宋体" w:cs="宋体"/>
          <w:b/>
          <w:bCs/>
          <w:sz w:val="28"/>
          <w:szCs w:val="28"/>
        </w:rPr>
      </w:pPr>
      <w:r>
        <w:rPr>
          <w:rFonts w:hint="eastAsia" w:ascii="宋体" w:hAnsi="宋体" w:eastAsia="宋体" w:cs="宋体"/>
          <w:b/>
          <w:bCs/>
          <w:sz w:val="28"/>
          <w:szCs w:val="28"/>
        </w:rPr>
        <w:t>价格因素</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按照所投分包投标企业的投标报价的最低的为基准价。合同签订时约定的</w:t>
      </w:r>
      <w:r>
        <w:rPr>
          <w:rFonts w:hint="eastAsia" w:ascii="宋体" w:hAnsi="宋体" w:eastAsia="宋体" w:cs="宋体"/>
          <w:spacing w:val="-2"/>
          <w:sz w:val="24"/>
          <w:lang w:val="en-US" w:eastAsia="zh-CN"/>
        </w:rPr>
        <w:t>价格</w:t>
      </w:r>
      <w:r>
        <w:rPr>
          <w:rFonts w:hint="eastAsia" w:ascii="宋体" w:hAnsi="宋体" w:eastAsia="宋体" w:cs="宋体"/>
          <w:spacing w:val="-2"/>
          <w:sz w:val="24"/>
        </w:rPr>
        <w:t>以最终由评标委员会确定的基准价为准。</w:t>
      </w:r>
    </w:p>
    <w:p>
      <w:pPr>
        <w:pStyle w:val="25"/>
        <w:ind w:left="0" w:leftChars="0" w:firstLine="0" w:firstLineChars="0"/>
        <w:rPr>
          <w:rFonts w:hint="eastAsia" w:ascii="宋体" w:hAnsi="宋体" w:eastAsia="宋体" w:cs="宋体"/>
        </w:rPr>
      </w:pPr>
    </w:p>
    <w:bookmarkEnd w:id="161"/>
    <w:bookmarkEnd w:id="162"/>
    <w:bookmarkEnd w:id="163"/>
    <w:bookmarkEnd w:id="164"/>
    <w:bookmarkEnd w:id="165"/>
    <w:bookmarkEnd w:id="166"/>
    <w:bookmarkEnd w:id="167"/>
    <w:p>
      <w:pPr>
        <w:pStyle w:val="6"/>
        <w:jc w:val="center"/>
        <w:rPr>
          <w:rFonts w:hint="eastAsia" w:ascii="宋体" w:hAnsi="宋体" w:eastAsia="宋体" w:cs="宋体"/>
          <w:b w:val="0"/>
          <w:bCs/>
          <w:caps/>
          <w:color w:val="auto"/>
          <w:szCs w:val="28"/>
        </w:rPr>
      </w:pPr>
      <w:r>
        <w:rPr>
          <w:rFonts w:hint="eastAsia" w:ascii="宋体" w:hAnsi="宋体" w:eastAsia="宋体" w:cs="宋体"/>
          <w:color w:val="auto"/>
        </w:rPr>
        <w:t>详细评分标准</w:t>
      </w:r>
    </w:p>
    <w:p>
      <w:pPr>
        <w:pStyle w:val="2"/>
        <w:rPr>
          <w:rFonts w:hint="eastAsia"/>
        </w:rPr>
      </w:pPr>
    </w:p>
    <w:tbl>
      <w:tblPr>
        <w:tblStyle w:val="2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8"/>
        <w:gridCol w:w="9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评标因素</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6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26"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58"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投标总报价（</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cs="宋体"/>
                <w:sz w:val="21"/>
                <w:szCs w:val="21"/>
                <w:lang w:val="en-US" w:eastAsia="zh-CN"/>
              </w:rPr>
              <w:t>0-30分</w:t>
            </w:r>
          </w:p>
        </w:tc>
        <w:tc>
          <w:tcPr>
            <w:tcW w:w="6515" w:type="dxa"/>
            <w:tcBorders>
              <w:top w:val="single" w:color="auto" w:sz="4" w:space="0"/>
              <w:left w:val="single" w:color="auto" w:sz="4" w:space="0"/>
              <w:bottom w:val="single" w:color="auto" w:sz="4" w:space="0"/>
              <w:right w:val="single" w:color="auto" w:sz="4" w:space="0"/>
            </w:tcBorders>
            <w:vAlign w:val="center"/>
          </w:tcPr>
          <w:p>
            <w:pPr>
              <w:spacing w:before="127" w:line="222" w:lineRule="auto"/>
              <w:ind w:right="140"/>
              <w:rPr>
                <w:rFonts w:hint="eastAsia" w:ascii="宋体" w:hAnsi="宋体" w:eastAsia="宋体" w:cs="宋体"/>
                <w:color w:val="000000"/>
                <w:sz w:val="21"/>
                <w:szCs w:val="21"/>
              </w:rPr>
            </w:pPr>
            <w:r>
              <w:rPr>
                <w:rFonts w:ascii="宋体" w:hAnsi="宋体" w:eastAsia="宋体" w:cs="宋体"/>
                <w:spacing w:val="-1"/>
                <w:sz w:val="21"/>
                <w:szCs w:val="21"/>
              </w:rPr>
              <w:t>评标基准价=有效投标报价的最低</w:t>
            </w:r>
            <w:r>
              <w:rPr>
                <w:rFonts w:ascii="宋体" w:hAnsi="宋体" w:eastAsia="宋体" w:cs="宋体"/>
                <w:spacing w:val="5"/>
                <w:sz w:val="21"/>
                <w:szCs w:val="21"/>
              </w:rPr>
              <w:t xml:space="preserve">  </w:t>
            </w:r>
            <w:r>
              <w:rPr>
                <w:rFonts w:ascii="宋体" w:hAnsi="宋体" w:eastAsia="宋体" w:cs="宋体"/>
                <w:spacing w:val="-1"/>
                <w:sz w:val="21"/>
                <w:szCs w:val="21"/>
              </w:rPr>
              <w:t>值，有效投标报价等于基准值的得满</w:t>
            </w:r>
            <w:r>
              <w:rPr>
                <w:rFonts w:ascii="宋体" w:hAnsi="宋体" w:eastAsia="宋体" w:cs="宋体"/>
                <w:spacing w:val="13"/>
                <w:sz w:val="21"/>
                <w:szCs w:val="21"/>
              </w:rPr>
              <w:t xml:space="preserve"> </w:t>
            </w:r>
            <w:r>
              <w:rPr>
                <w:rFonts w:ascii="宋体" w:hAnsi="宋体" w:eastAsia="宋体" w:cs="宋体"/>
                <w:spacing w:val="-4"/>
                <w:sz w:val="21"/>
                <w:szCs w:val="21"/>
              </w:rPr>
              <w:t>分，投标报价得分=</w:t>
            </w:r>
            <w:r>
              <w:rPr>
                <w:rFonts w:ascii="宋体" w:hAnsi="宋体" w:eastAsia="宋体" w:cs="宋体"/>
                <w:spacing w:val="-43"/>
                <w:sz w:val="21"/>
                <w:szCs w:val="21"/>
              </w:rPr>
              <w:t xml:space="preserve"> </w:t>
            </w:r>
            <w:r>
              <w:rPr>
                <w:rFonts w:ascii="宋体" w:hAnsi="宋体" w:eastAsia="宋体" w:cs="宋体"/>
                <w:spacing w:val="-4"/>
                <w:sz w:val="21"/>
                <w:szCs w:val="21"/>
              </w:rPr>
              <w:t>（评标基准价/投</w:t>
            </w:r>
            <w:r>
              <w:rPr>
                <w:rFonts w:ascii="宋体" w:hAnsi="宋体" w:eastAsia="宋体" w:cs="宋体"/>
                <w:spacing w:val="-9"/>
                <w:sz w:val="21"/>
                <w:szCs w:val="21"/>
              </w:rPr>
              <w:t>标报价）</w:t>
            </w:r>
            <w:r>
              <w:rPr>
                <w:rFonts w:ascii="宋体" w:hAnsi="宋体" w:eastAsia="宋体" w:cs="宋体"/>
                <w:spacing w:val="24"/>
                <w:sz w:val="21"/>
                <w:szCs w:val="21"/>
              </w:rPr>
              <w:t xml:space="preserve"> </w:t>
            </w:r>
            <w:r>
              <w:rPr>
                <w:rFonts w:ascii="宋体" w:hAnsi="宋体" w:eastAsia="宋体" w:cs="宋体"/>
                <w:spacing w:val="-9"/>
                <w:sz w:val="21"/>
                <w:szCs w:val="21"/>
              </w:rPr>
              <w:t>×价格权重×100。有效投标</w:t>
            </w:r>
            <w:r>
              <w:rPr>
                <w:rFonts w:ascii="宋体" w:hAnsi="宋体" w:eastAsia="宋体" w:cs="宋体"/>
                <w:spacing w:val="-1"/>
                <w:sz w:val="21"/>
                <w:szCs w:val="21"/>
              </w:rPr>
              <w:t>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26" w:type="dxa"/>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58"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ascii="宋体" w:hAnsi="宋体" w:eastAsia="宋体" w:cs="宋体"/>
                <w:spacing w:val="-2"/>
                <w:sz w:val="21"/>
                <w:szCs w:val="21"/>
              </w:rPr>
              <w:t>培训方案</w:t>
            </w:r>
            <w:r>
              <w:rPr>
                <w:rFonts w:hint="eastAsia" w:ascii="宋体" w:hAnsi="宋体" w:eastAsia="宋体" w:cs="宋体"/>
                <w:color w:val="000000"/>
                <w:sz w:val="21"/>
                <w:szCs w:val="21"/>
              </w:rPr>
              <w:t xml:space="preserve"> （2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rPr>
              <w:t>分）</w:t>
            </w:r>
          </w:p>
        </w:tc>
        <w:tc>
          <w:tcPr>
            <w:tcW w:w="916"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-20分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1、根据培训课程安排合理程度，是否理论与实践相结合、培训课程及课时、授课方式多样化、培训时间安排科学合理、内容紧凑，能满足甲方要求等进行横向对比，最优得 </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12 分，</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5-9</w:t>
            </w:r>
            <w:r>
              <w:rPr>
                <w:rFonts w:hint="eastAsia" w:ascii="宋体" w:hAnsi="宋体" w:eastAsia="宋体" w:cs="宋体"/>
                <w:color w:val="000000"/>
                <w:sz w:val="21"/>
                <w:szCs w:val="21"/>
              </w:rPr>
              <w:t xml:space="preserve"> 分， </w:t>
            </w:r>
            <w:r>
              <w:rPr>
                <w:rFonts w:hint="eastAsia" w:ascii="宋体" w:hAnsi="宋体" w:cs="宋体"/>
                <w:color w:val="000000"/>
                <w:sz w:val="21"/>
                <w:szCs w:val="21"/>
                <w:lang w:val="en-US" w:eastAsia="zh-CN"/>
              </w:rPr>
              <w:t>差</w:t>
            </w:r>
            <w:r>
              <w:rPr>
                <w:rFonts w:hint="eastAsia" w:ascii="宋体" w:hAnsi="宋体" w:eastAsia="宋体" w:cs="宋体"/>
                <w:color w:val="000000"/>
                <w:sz w:val="21"/>
                <w:szCs w:val="21"/>
              </w:rPr>
              <w:t xml:space="preserve">得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4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2、培训目标任务明确； 考核、建  档、资料管理制度完善， 相配套的技术规程具有很强的操作性，供应商有完善的后勤安全保障制度及措施（附证明材料） ，各供应商承诺横向对比，最优得 </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xml:space="preserve">8 分， </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4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服务承诺  （10分）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w:t>
            </w:r>
            <w:r>
              <w:rPr>
                <w:rFonts w:hint="eastAsia" w:ascii="宋体" w:hAnsi="宋体" w:eastAsia="宋体" w:cs="宋体"/>
                <w:kern w:val="0"/>
                <w:sz w:val="21"/>
                <w:szCs w:val="21"/>
              </w:rPr>
              <w:t>10</w:t>
            </w:r>
            <w:r>
              <w:rPr>
                <w:rFonts w:hint="eastAsia" w:ascii="宋体" w:hAnsi="宋体" w:cs="宋体"/>
                <w:kern w:val="0"/>
                <w:sz w:val="21"/>
                <w:szCs w:val="21"/>
                <w:lang w:val="en-US" w:eastAsia="zh-CN"/>
              </w:rPr>
              <w:t>分</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接待培训</w:t>
            </w:r>
            <w:r>
              <w:rPr>
                <w:rFonts w:hint="eastAsia" w:ascii="宋体" w:hAnsi="宋体" w:eastAsia="宋体" w:cs="宋体"/>
                <w:sz w:val="21"/>
                <w:szCs w:val="21"/>
              </w:rPr>
              <w:t>服务工作的服务质量、准确性、及时性、提供的时间等，做出详细的承诺得6-10分，一般得0-5分。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258" w:type="dxa"/>
            <w:tcBorders>
              <w:left w:val="single" w:color="auto" w:sz="4" w:space="0"/>
              <w:right w:val="single" w:color="auto" w:sz="4" w:space="0"/>
            </w:tcBorders>
            <w:vAlign w:val="center"/>
          </w:tcPr>
          <w:p>
            <w:pPr>
              <w:spacing w:before="68" w:line="186" w:lineRule="auto"/>
              <w:ind w:firstLine="197"/>
              <w:rPr>
                <w:rFonts w:ascii="宋体" w:hAnsi="宋体" w:eastAsia="宋体" w:cs="宋体"/>
                <w:sz w:val="21"/>
                <w:szCs w:val="21"/>
              </w:rPr>
            </w:pPr>
            <w:r>
              <w:rPr>
                <w:rFonts w:ascii="宋体" w:hAnsi="宋体" w:eastAsia="宋体" w:cs="宋体"/>
                <w:spacing w:val="-3"/>
                <w:sz w:val="21"/>
                <w:szCs w:val="21"/>
              </w:rPr>
              <w:t>师资</w:t>
            </w:r>
            <w:bookmarkStart w:id="173" w:name="_GoBack"/>
            <w:bookmarkEnd w:id="173"/>
            <w:r>
              <w:rPr>
                <w:rFonts w:ascii="宋体" w:hAnsi="宋体" w:eastAsia="宋体" w:cs="宋体"/>
                <w:spacing w:val="-3"/>
                <w:sz w:val="21"/>
                <w:szCs w:val="21"/>
              </w:rPr>
              <w:t>力量</w:t>
            </w:r>
          </w:p>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10分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相关专家教授人数满足4人（须提供专家教授相关证书，身份证扫描件、临时聘用合同） 得分6分；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每多一堂专家培训课程加1分，最多加4分。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注：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专家教授人数低于 3人的各项均不得分 </w:t>
            </w:r>
          </w:p>
          <w:p>
            <w:pPr>
              <w:keepNext w:val="0"/>
              <w:keepLines w:val="0"/>
              <w:widowControl/>
              <w:suppressLineNumbers w:val="0"/>
              <w:jc w:val="left"/>
              <w:rPr>
                <w:sz w:val="21"/>
                <w:szCs w:val="21"/>
                <w:highlight w:val="yellow"/>
              </w:rPr>
            </w:pPr>
            <w:r>
              <w:rPr>
                <w:rFonts w:hint="eastAsia" w:ascii="宋体" w:hAnsi="宋体" w:eastAsia="宋体" w:cs="宋体"/>
                <w:color w:val="000000"/>
                <w:kern w:val="0"/>
                <w:sz w:val="21"/>
                <w:szCs w:val="21"/>
                <w:highlight w:val="none"/>
                <w:lang w:val="en-US" w:eastAsia="zh-CN" w:bidi="ar"/>
              </w:rPr>
              <w:t>专家教授证书及临时聘用合同开标现场携带复印件备查</w:t>
            </w:r>
          </w:p>
          <w:p>
            <w:pPr>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cs="宋体"/>
                <w:sz w:val="21"/>
                <w:szCs w:val="21"/>
                <w:lang w:val="en-US" w:eastAsia="zh-CN"/>
              </w:rPr>
              <w:t>培训场地</w:t>
            </w:r>
            <w:r>
              <w:rPr>
                <w:rFonts w:hint="eastAsia" w:ascii="宋体" w:hAnsi="宋体" w:eastAsia="宋体" w:cs="宋体"/>
                <w:sz w:val="21"/>
                <w:szCs w:val="21"/>
              </w:rPr>
              <w:t xml:space="preserve">  （</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培训场所满足100-200人会议，现场设备设施良好，现场多媒体投影教学设备</w:t>
            </w:r>
            <w:r>
              <w:rPr>
                <w:rFonts w:hint="eastAsia" w:ascii="宋体" w:hAnsi="宋体" w:cs="宋体"/>
                <w:color w:val="000000"/>
                <w:kern w:val="0"/>
                <w:sz w:val="21"/>
                <w:szCs w:val="21"/>
                <w:lang w:val="en-US" w:eastAsia="zh-CN" w:bidi="ar"/>
              </w:rPr>
              <w:t>，得5分</w:t>
            </w:r>
            <w:r>
              <w:rPr>
                <w:rFonts w:hint="eastAsia" w:ascii="宋体" w:hAnsi="宋体" w:eastAsia="宋体" w:cs="宋体"/>
                <w:color w:val="000000"/>
                <w:kern w:val="0"/>
                <w:sz w:val="21"/>
                <w:szCs w:val="21"/>
                <w:lang w:val="en-US" w:eastAsia="zh-CN" w:bidi="ar"/>
              </w:rPr>
              <w:t xml:space="preserve"> 。 </w:t>
            </w:r>
          </w:p>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培训场所满足</w:t>
            </w:r>
            <w:r>
              <w:rPr>
                <w:rFonts w:hint="eastAsia" w:ascii="宋体" w:hAnsi="宋体" w:cs="宋体"/>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100</w:t>
            </w:r>
            <w:r>
              <w:rPr>
                <w:rFonts w:hint="eastAsia" w:ascii="宋体" w:hAnsi="宋体" w:eastAsia="宋体" w:cs="宋体"/>
                <w:color w:val="000000"/>
                <w:kern w:val="0"/>
                <w:sz w:val="21"/>
                <w:szCs w:val="21"/>
                <w:lang w:val="en-US" w:eastAsia="zh-CN" w:bidi="ar"/>
              </w:rPr>
              <w:t>人会议，现场设备设施</w:t>
            </w:r>
            <w:r>
              <w:rPr>
                <w:rFonts w:hint="eastAsia" w:ascii="宋体" w:hAnsi="宋体" w:cs="宋体"/>
                <w:color w:val="000000"/>
                <w:kern w:val="0"/>
                <w:sz w:val="21"/>
                <w:szCs w:val="21"/>
                <w:lang w:val="en-US" w:eastAsia="zh-CN" w:bidi="ar"/>
              </w:rPr>
              <w:t>一般，</w:t>
            </w:r>
            <w:r>
              <w:rPr>
                <w:rFonts w:hint="eastAsia" w:ascii="宋体" w:hAnsi="宋体" w:eastAsia="宋体" w:cs="宋体"/>
                <w:color w:val="000000"/>
                <w:kern w:val="0"/>
                <w:sz w:val="21"/>
                <w:szCs w:val="21"/>
                <w:lang w:val="en-US" w:eastAsia="zh-CN" w:bidi="ar"/>
              </w:rPr>
              <w:t>现场多媒体投影教学设备</w:t>
            </w:r>
            <w:r>
              <w:rPr>
                <w:rFonts w:hint="eastAsia" w:ascii="宋体" w:hAnsi="宋体" w:cs="宋体"/>
                <w:color w:val="000000"/>
                <w:kern w:val="0"/>
                <w:sz w:val="21"/>
                <w:szCs w:val="21"/>
                <w:lang w:val="en-US" w:eastAsia="zh-CN" w:bidi="ar"/>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258" w:type="dxa"/>
            <w:tcBorders>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color w:val="000000"/>
                <w:sz w:val="21"/>
                <w:szCs w:val="21"/>
              </w:rPr>
              <w:t xml:space="preserve">企业业绩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default" w:ascii="宋体" w:hAnsi="宋体" w:eastAsia="宋体" w:cs="宋体"/>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-15分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sz w:val="21"/>
                <w:szCs w:val="21"/>
                <w:highlight w:val="none"/>
              </w:rPr>
              <w:t>投标人须提供近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年（20</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年0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月至今）承担过类似</w:t>
            </w:r>
            <w:r>
              <w:rPr>
                <w:rFonts w:hint="eastAsia" w:ascii="宋体" w:hAnsi="宋体" w:eastAsia="宋体" w:cs="宋体"/>
                <w:sz w:val="21"/>
                <w:szCs w:val="21"/>
                <w:highlight w:val="none"/>
                <w:lang w:val="en-US" w:eastAsia="zh-CN"/>
              </w:rPr>
              <w:t>接待培训</w:t>
            </w:r>
            <w:r>
              <w:rPr>
                <w:rFonts w:hint="eastAsia" w:ascii="宋体" w:hAnsi="宋体" w:eastAsia="宋体" w:cs="宋体"/>
                <w:sz w:val="21"/>
                <w:szCs w:val="21"/>
                <w:highlight w:val="none"/>
              </w:rPr>
              <w:t>服务项目，每提供一个得3分（以提供中标通知书/成交通知书或合同），满分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管理制度  （</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16" w:type="dxa"/>
            <w:tcBorders>
              <w:left w:val="single" w:color="auto" w:sz="4" w:space="0"/>
              <w:right w:val="single" w:color="auto" w:sz="4" w:space="0"/>
            </w:tcBorders>
            <w:vAlign w:val="center"/>
          </w:tcPr>
          <w:p>
            <w:pPr>
              <w:spacing w:line="360" w:lineRule="exact"/>
              <w:jc w:val="center"/>
              <w:rPr>
                <w:rFonts w:hint="default" w:ascii="宋体" w:hAnsi="宋体" w:eastAsia="宋体" w:cs="宋体"/>
                <w:color w:val="000000"/>
                <w:sz w:val="21"/>
                <w:szCs w:val="21"/>
                <w:lang w:val="en-US"/>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sz w:val="21"/>
                <w:szCs w:val="21"/>
              </w:rPr>
              <w:t>对各投标人内部管理制度评比：真实有效最大限度满足服务需求，优得</w:t>
            </w:r>
            <w:r>
              <w:rPr>
                <w:rFonts w:hint="eastAsia" w:ascii="宋体" w:hAnsi="宋体" w:cs="宋体"/>
                <w:sz w:val="21"/>
                <w:szCs w:val="21"/>
                <w:lang w:val="en-US" w:eastAsia="zh-CN"/>
              </w:rPr>
              <w:t>5</w:t>
            </w:r>
            <w:r>
              <w:rPr>
                <w:rFonts w:hint="eastAsia" w:ascii="宋体" w:hAnsi="宋体" w:eastAsia="宋体" w:cs="宋体"/>
                <w:sz w:val="21"/>
                <w:szCs w:val="21"/>
              </w:rPr>
              <w:t>分；良好得</w:t>
            </w:r>
            <w:r>
              <w:rPr>
                <w:rFonts w:hint="eastAsia" w:ascii="宋体" w:hAnsi="宋体" w:cs="宋体"/>
                <w:sz w:val="21"/>
                <w:szCs w:val="21"/>
                <w:lang w:val="en-US" w:eastAsia="zh-CN"/>
              </w:rPr>
              <w:t>3</w:t>
            </w:r>
            <w:r>
              <w:rPr>
                <w:rFonts w:hint="eastAsia" w:ascii="宋体" w:hAnsi="宋体" w:eastAsia="宋体" w:cs="宋体"/>
                <w:sz w:val="21"/>
                <w:szCs w:val="21"/>
              </w:rPr>
              <w:t>分；一般</w:t>
            </w:r>
            <w:r>
              <w:rPr>
                <w:rFonts w:hint="eastAsia" w:ascii="宋体" w:hAnsi="宋体" w:cs="宋体"/>
                <w:sz w:val="21"/>
                <w:szCs w:val="21"/>
                <w:lang w:val="en-US" w:eastAsia="zh-CN"/>
              </w:rPr>
              <w:t>得1</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标书质量  （5分）</w:t>
            </w:r>
          </w:p>
        </w:tc>
        <w:tc>
          <w:tcPr>
            <w:tcW w:w="916" w:type="dxa"/>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5分</w:t>
            </w:r>
          </w:p>
        </w:tc>
        <w:tc>
          <w:tcPr>
            <w:tcW w:w="6515" w:type="dxa"/>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响应招标文件实质性要求，并能结合企业自身情况及项目实际实施情况编制响应文件，标书编制整齐、严谨、清晰、装订无错漏，有目录，有页码，标书质量良好得3-5分；一般得0-2分。</w:t>
            </w:r>
          </w:p>
        </w:tc>
      </w:tr>
    </w:tbl>
    <w:p>
      <w:pPr>
        <w:pStyle w:val="4"/>
        <w:rPr>
          <w:rFonts w:hint="eastAsia"/>
        </w:rPr>
        <w:sectPr>
          <w:footnotePr>
            <w:numRestart w:val="eachPage"/>
          </w:footnotePr>
          <w:pgSz w:w="11907" w:h="16840"/>
          <w:pgMar w:top="1474" w:right="1644" w:bottom="1077" w:left="1560" w:header="504" w:footer="792" w:gutter="0"/>
          <w:pgNumType w:fmt="numberInDash"/>
          <w:cols w:space="720" w:num="1"/>
          <w:docGrid w:linePitch="312" w:charSpace="0"/>
        </w:sectPr>
      </w:pPr>
    </w:p>
    <w:p>
      <w:pPr>
        <w:tabs>
          <w:tab w:val="left" w:pos="7665"/>
        </w:tabs>
        <w:spacing w:line="360" w:lineRule="auto"/>
        <w:ind w:firstLine="301" w:firstLineChars="100"/>
        <w:jc w:val="center"/>
        <w:rPr>
          <w:rFonts w:hint="eastAsia" w:ascii="宋体" w:hAnsi="宋体" w:eastAsia="宋体" w:cs="宋体"/>
          <w:sz w:val="24"/>
        </w:rPr>
      </w:pPr>
      <w:r>
        <w:rPr>
          <w:rFonts w:hint="eastAsia" w:ascii="宋体" w:hAnsi="宋体" w:eastAsia="宋体" w:cs="宋体"/>
          <w:b/>
          <w:bCs/>
          <w:sz w:val="30"/>
          <w:szCs w:val="30"/>
        </w:rPr>
        <w:t>第</w:t>
      </w:r>
      <w:r>
        <w:rPr>
          <w:rFonts w:hint="eastAsia" w:ascii="宋体" w:hAnsi="宋体" w:cs="宋体"/>
          <w:b/>
          <w:bCs/>
          <w:sz w:val="30"/>
          <w:szCs w:val="30"/>
          <w:lang w:val="en-US" w:eastAsia="zh-CN"/>
        </w:rPr>
        <w:t>七</w:t>
      </w:r>
      <w:r>
        <w:rPr>
          <w:rFonts w:hint="eastAsia" w:ascii="宋体" w:hAnsi="宋体" w:eastAsia="宋体" w:cs="宋体"/>
          <w:b/>
          <w:bCs/>
          <w:sz w:val="30"/>
          <w:szCs w:val="30"/>
        </w:rPr>
        <w:t>章</w:t>
      </w:r>
      <w:bookmarkEnd w:id="155"/>
      <w:r>
        <w:rPr>
          <w:rFonts w:hint="eastAsia" w:ascii="宋体" w:hAnsi="宋体" w:eastAsia="宋体" w:cs="宋体"/>
          <w:b/>
          <w:bCs/>
          <w:sz w:val="30"/>
          <w:szCs w:val="30"/>
        </w:rPr>
        <w:t>、</w:t>
      </w:r>
      <w:r>
        <w:rPr>
          <w:rFonts w:hint="eastAsia" w:ascii="宋体" w:hAnsi="宋体" w:cs="宋体"/>
          <w:b/>
          <w:bCs/>
          <w:sz w:val="30"/>
          <w:szCs w:val="30"/>
          <w:lang w:val="en-US" w:eastAsia="zh-CN"/>
        </w:rPr>
        <w:t>投标</w:t>
      </w:r>
      <w:r>
        <w:rPr>
          <w:rFonts w:hint="eastAsia" w:ascii="宋体" w:hAnsi="宋体" w:eastAsia="宋体" w:cs="宋体"/>
          <w:b/>
          <w:bCs/>
          <w:sz w:val="30"/>
          <w:szCs w:val="30"/>
        </w:rPr>
        <w:t>文件格式</w:t>
      </w:r>
    </w:p>
    <w:p>
      <w:pPr>
        <w:pStyle w:val="24"/>
        <w:spacing w:line="312" w:lineRule="auto"/>
        <w:ind w:left="-85" w:firstLine="562" w:firstLineChars="200"/>
        <w:jc w:val="center"/>
        <w:rPr>
          <w:rFonts w:hint="eastAsia" w:ascii="宋体" w:hAnsi="宋体" w:eastAsia="宋体" w:cs="宋体"/>
          <w:b/>
          <w:bCs/>
          <w:sz w:val="28"/>
          <w:szCs w:val="28"/>
        </w:rPr>
      </w:pPr>
    </w:p>
    <w:p>
      <w:pPr>
        <w:pStyle w:val="24"/>
        <w:spacing w:line="312" w:lineRule="auto"/>
        <w:ind w:left="-85" w:firstLine="562" w:firstLineChars="200"/>
        <w:jc w:val="center"/>
        <w:rPr>
          <w:rFonts w:hint="eastAsia" w:ascii="宋体" w:hAnsi="宋体" w:eastAsia="宋体" w:cs="宋体"/>
          <w:b/>
          <w:bCs/>
          <w:sz w:val="28"/>
          <w:szCs w:val="28"/>
        </w:rPr>
      </w:pPr>
    </w:p>
    <w:p>
      <w:pPr>
        <w:pStyle w:val="48"/>
        <w:spacing w:line="380" w:lineRule="exact"/>
        <w:jc w:val="center"/>
        <w:rPr>
          <w:rFonts w:hint="eastAsia" w:ascii="宋体" w:hAnsi="宋体" w:eastAsia="宋体" w:cs="宋体"/>
          <w:b/>
          <w:color w:val="auto"/>
          <w:sz w:val="24"/>
          <w:szCs w:val="24"/>
          <w:highlight w:val="none"/>
        </w:rPr>
      </w:pPr>
      <w:bookmarkStart w:id="170" w:name="_Toc378520545"/>
      <w:bookmarkStart w:id="171" w:name="_Toc198376284"/>
    </w:p>
    <w:p>
      <w:pPr>
        <w:pStyle w:val="48"/>
        <w:numPr>
          <w:ilvl w:val="0"/>
          <w:numId w:val="0"/>
        </w:numPr>
        <w:spacing w:line="380" w:lineRule="exact"/>
        <w:ind w:leftChars="0"/>
        <w:jc w:val="both"/>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 xml:space="preserve">                                         </w:t>
      </w:r>
    </w:p>
    <w:p>
      <w:pPr>
        <w:pStyle w:val="48"/>
        <w:spacing w:line="380" w:lineRule="exact"/>
        <w:jc w:val="center"/>
        <w:rPr>
          <w:rFonts w:hint="eastAsia" w:ascii="宋体" w:hAnsi="宋体" w:eastAsia="宋体" w:cs="宋体"/>
          <w:b/>
          <w:color w:val="auto"/>
          <w:sz w:val="24"/>
          <w:szCs w:val="24"/>
          <w:highlight w:val="none"/>
        </w:rPr>
      </w:pPr>
    </w:p>
    <w:p>
      <w:pPr>
        <w:pStyle w:val="48"/>
        <w:spacing w:line="380" w:lineRule="exact"/>
        <w:jc w:val="center"/>
        <w:rPr>
          <w:rFonts w:hint="eastAsia" w:ascii="宋体" w:hAnsi="宋体" w:eastAsia="宋体" w:cs="宋体"/>
          <w:b/>
          <w:color w:val="auto"/>
          <w:sz w:val="24"/>
          <w:szCs w:val="24"/>
          <w:highlight w:val="none"/>
        </w:rPr>
      </w:pPr>
    </w:p>
    <w:p>
      <w:pPr>
        <w:pStyle w:val="48"/>
        <w:spacing w:line="480" w:lineRule="auto"/>
        <w:jc w:val="center"/>
        <w:rPr>
          <w:rFonts w:hint="eastAsia" w:ascii="宋体" w:hAnsi="宋体" w:eastAsia="宋体" w:cs="宋体"/>
          <w:sz w:val="24"/>
          <w:szCs w:val="24"/>
          <w:highlight w:val="none"/>
          <w:bdr w:val="single" w:color="auto" w:sz="4" w:space="0"/>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bdr w:val="single" w:color="auto" w:sz="4" w:space="0"/>
        </w:rPr>
        <w:t xml:space="preserve"> 正本</w:t>
      </w:r>
    </w:p>
    <w:p>
      <w:pPr>
        <w:pStyle w:val="48"/>
        <w:spacing w:line="380" w:lineRule="exact"/>
        <w:jc w:val="center"/>
        <w:rPr>
          <w:rFonts w:hint="eastAsia" w:ascii="宋体" w:hAnsi="宋体" w:eastAsia="宋体" w:cs="宋体"/>
          <w:sz w:val="24"/>
          <w:szCs w:val="24"/>
          <w:highlight w:val="none"/>
        </w:rPr>
      </w:pPr>
    </w:p>
    <w:p>
      <w:pPr>
        <w:ind w:right="9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（项目名称）</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240" w:firstLine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招标项目编号</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  标  文  件</w:t>
      </w:r>
    </w:p>
    <w:p>
      <w:pPr>
        <w:rPr>
          <w:rFonts w:hint="eastAsia" w:ascii="宋体" w:hAnsi="宋体" w:eastAsia="宋体" w:cs="宋体"/>
          <w:b/>
          <w:bCs/>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ind w:firstLine="480" w:firstLineChars="20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pPr>
        <w:jc w:val="center"/>
        <w:rPr>
          <w:rFonts w:hint="eastAsia" w:ascii="宋体" w:hAnsi="宋体" w:eastAsia="宋体" w:cs="宋体"/>
          <w:color w:val="000000"/>
          <w:sz w:val="24"/>
          <w:szCs w:val="24"/>
          <w:highlight w:val="none"/>
        </w:rPr>
      </w:pPr>
    </w:p>
    <w:p>
      <w:pPr>
        <w:ind w:left="5599" w:leftChars="266" w:hanging="5040" w:hangingChars="2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pPr>
        <w:pStyle w:val="8"/>
        <w:rPr>
          <w:rFonts w:hint="eastAsia" w:ascii="宋体" w:hAnsi="宋体" w:eastAsia="宋体" w:cs="宋体"/>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目录投标人自行编制并注明页码</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pStyle w:val="60"/>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第一部分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经济报价部分</w:t>
      </w: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60"/>
        <w:rPr>
          <w:rFonts w:hint="eastAsia"/>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numPr>
          <w:ilvl w:val="0"/>
          <w:numId w:val="5"/>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   标   书</w:t>
      </w:r>
    </w:p>
    <w:p>
      <w:pPr>
        <w:rPr>
          <w:rFonts w:hint="eastAsia" w:ascii="宋体" w:hAnsi="宋体" w:eastAsia="宋体" w:cs="宋体"/>
          <w:b/>
          <w:color w:val="000000"/>
          <w:sz w:val="24"/>
          <w:szCs w:val="24"/>
          <w:highlight w:val="none"/>
        </w:rPr>
      </w:pP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按照招标文件中的一切要求，提供本次招标的</w:t>
      </w:r>
      <w:r>
        <w:rPr>
          <w:rFonts w:hint="eastAsia" w:ascii="宋体" w:hAnsi="宋体" w:cs="宋体"/>
          <w:sz w:val="24"/>
          <w:lang w:eastAsia="zh-CN"/>
        </w:rPr>
        <w:t>2022年和田县基层干部参观学习交流项目</w:t>
      </w:r>
      <w:r>
        <w:rPr>
          <w:rFonts w:hint="eastAsia" w:ascii="宋体" w:hAnsi="宋体" w:eastAsia="宋体" w:cs="宋体"/>
          <w:color w:val="000000"/>
          <w:sz w:val="24"/>
          <w:szCs w:val="24"/>
          <w:highlight w:val="none"/>
        </w:rPr>
        <w:t>相关服务。总价格¥：人民币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90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000000"/>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p>
    <w:p>
      <w:pPr>
        <w:pStyle w:val="7"/>
        <w:rPr>
          <w:rFonts w:hint="eastAsia"/>
          <w:highlight w:val="none"/>
        </w:rPr>
      </w:pPr>
    </w:p>
    <w:p>
      <w:pPr>
        <w:numPr>
          <w:ilvl w:val="0"/>
          <w:numId w:val="6"/>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开标一览表</w:t>
      </w:r>
    </w:p>
    <w:tbl>
      <w:tblPr>
        <w:tblStyle w:val="26"/>
        <w:tblpPr w:leftFromText="180" w:rightFromText="180" w:vertAnchor="text" w:horzAnchor="page" w:tblpXSpec="center" w:tblpY="62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49"/>
        <w:gridCol w:w="664"/>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938" w:type="dxa"/>
            <w:noWrap w:val="0"/>
            <w:vAlign w:val="center"/>
          </w:tcPr>
          <w:p>
            <w:pPr>
              <w:pStyle w:val="62"/>
              <w:spacing w:before="173"/>
              <w:ind w:left="183" w:right="174"/>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序号</w:t>
            </w:r>
          </w:p>
        </w:tc>
        <w:tc>
          <w:tcPr>
            <w:tcW w:w="3113" w:type="dxa"/>
            <w:gridSpan w:val="2"/>
            <w:noWrap w:val="0"/>
            <w:vAlign w:val="center"/>
          </w:tcPr>
          <w:p>
            <w:pPr>
              <w:pStyle w:val="62"/>
              <w:spacing w:before="173"/>
              <w:ind w:left="365"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项目名称</w:t>
            </w:r>
          </w:p>
        </w:tc>
        <w:tc>
          <w:tcPr>
            <w:tcW w:w="5968" w:type="dxa"/>
            <w:noWrap w:val="0"/>
            <w:vAlign w:val="center"/>
          </w:tcPr>
          <w:p>
            <w:pPr>
              <w:pStyle w:val="62"/>
              <w:spacing w:before="173"/>
              <w:jc w:val="center"/>
              <w:rPr>
                <w:rFonts w:hint="eastAsia" w:ascii="宋体" w:hAnsi="宋体" w:eastAsia="宋体" w:cs="宋体"/>
                <w:b w:val="0"/>
                <w:bCs/>
                <w:color w:val="auto"/>
                <w:sz w:val="24"/>
                <w:szCs w:val="24"/>
                <w:highlight w:val="none"/>
                <w:lang w:eastAsia="zh-CN"/>
              </w:rPr>
            </w:pPr>
            <w:r>
              <w:rPr>
                <w:rFonts w:hint="eastAsia" w:cs="宋体"/>
                <w:sz w:val="24"/>
                <w:lang w:eastAsia="zh-CN"/>
              </w:rPr>
              <w:t>2022年和田县基层干部参观学习交流项目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938" w:type="dxa"/>
            <w:tcBorders>
              <w:bottom w:val="single" w:color="auto" w:sz="4" w:space="0"/>
            </w:tcBorders>
            <w:noWrap w:val="0"/>
            <w:vAlign w:val="center"/>
          </w:tcPr>
          <w:p>
            <w:pPr>
              <w:pStyle w:val="62"/>
              <w:spacing w:before="171"/>
              <w:ind w:left="9"/>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w w:val="100"/>
                <w:sz w:val="24"/>
                <w:szCs w:val="24"/>
                <w:highlight w:val="none"/>
                <w:shd w:val="clear" w:color="auto" w:fill="auto"/>
              </w:rPr>
              <w:t>1</w:t>
            </w:r>
          </w:p>
        </w:tc>
        <w:tc>
          <w:tcPr>
            <w:tcW w:w="3113" w:type="dxa"/>
            <w:gridSpan w:val="2"/>
            <w:tcBorders>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投标单位名称</w:t>
            </w:r>
          </w:p>
        </w:tc>
        <w:tc>
          <w:tcPr>
            <w:tcW w:w="5968" w:type="dxa"/>
            <w:tcBorders>
              <w:bottom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938" w:type="dxa"/>
            <w:tcBorders>
              <w:top w:val="single" w:color="auto" w:sz="4" w:space="0"/>
              <w:bottom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2</w:t>
            </w:r>
          </w:p>
        </w:tc>
        <w:tc>
          <w:tcPr>
            <w:tcW w:w="3113" w:type="dxa"/>
            <w:gridSpan w:val="2"/>
            <w:tcBorders>
              <w:top w:val="single" w:color="auto" w:sz="4" w:space="0"/>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采购内容</w:t>
            </w:r>
          </w:p>
        </w:tc>
        <w:tc>
          <w:tcPr>
            <w:tcW w:w="5968" w:type="dxa"/>
            <w:tcBorders>
              <w:top w:val="single" w:color="auto" w:sz="4" w:space="0"/>
              <w:bottom w:val="single" w:color="auto" w:sz="4" w:space="0"/>
            </w:tcBorders>
            <w:noWrap w:val="0"/>
            <w:vAlign w:val="center"/>
          </w:tcPr>
          <w:p>
            <w:pPr>
              <w:pStyle w:val="62"/>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r>
              <w:rPr>
                <w:rFonts w:hint="eastAsia" w:cs="宋体"/>
                <w:color w:val="auto"/>
                <w:sz w:val="24"/>
                <w:szCs w:val="24"/>
                <w:u w:val="none"/>
                <w:lang w:val="en-US" w:eastAsia="zh-CN"/>
              </w:rPr>
              <w:t>组织80名县、乡、村三级业务骨干赴援疆省市开展国情教育、红色教育、业务经验交流、参观考察学习、乡村振兴亮点观摩等，与援疆省市相关部门、乡镇村进行业务交流，学习先进经验。分四批进行，每批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938" w:type="dxa"/>
            <w:tcBorders>
              <w:top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3</w:t>
            </w:r>
          </w:p>
        </w:tc>
        <w:tc>
          <w:tcPr>
            <w:tcW w:w="3113" w:type="dxa"/>
            <w:gridSpan w:val="2"/>
            <w:tcBorders>
              <w:top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p>
        </w:tc>
        <w:tc>
          <w:tcPr>
            <w:tcW w:w="5968" w:type="dxa"/>
            <w:tcBorders>
              <w:top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938" w:type="dxa"/>
            <w:vMerge w:val="restart"/>
            <w:tcBorders>
              <w:right w:val="single" w:color="auto" w:sz="4" w:space="0"/>
            </w:tcBorders>
            <w:noWrap w:val="0"/>
            <w:vAlign w:val="center"/>
          </w:tcPr>
          <w:p>
            <w:pPr>
              <w:pStyle w:val="62"/>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w:t>
            </w:r>
          </w:p>
        </w:tc>
        <w:tc>
          <w:tcPr>
            <w:tcW w:w="2449" w:type="dxa"/>
            <w:vMerge w:val="restart"/>
            <w:tcBorders>
              <w:left w:val="single" w:color="auto" w:sz="4" w:space="0"/>
            </w:tcBorders>
            <w:noWrap w:val="0"/>
            <w:vAlign w:val="center"/>
          </w:tcPr>
          <w:p>
            <w:pPr>
              <w:spacing w:line="30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投标总价（人民币）</w:t>
            </w: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lang w:val="en-US" w:eastAsia="zh-CN"/>
              </w:rPr>
            </w:pPr>
            <w:r>
              <w:rPr>
                <w:rFonts w:hint="eastAsia" w:eastAsia="宋体" w:cs="宋体"/>
                <w:b w:val="0"/>
                <w:bCs/>
                <w:color w:val="auto"/>
                <w:sz w:val="24"/>
                <w:szCs w:val="24"/>
                <w:highlight w:val="none"/>
                <w:lang w:val="en-US" w:eastAsia="zh-CN"/>
              </w:rPr>
              <w:t>小写</w:t>
            </w:r>
          </w:p>
        </w:tc>
        <w:tc>
          <w:tcPr>
            <w:tcW w:w="5968" w:type="dxa"/>
            <w:tcBorders>
              <w:bottom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938" w:type="dxa"/>
            <w:vMerge w:val="continue"/>
            <w:tcBorders>
              <w:righ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shd w:val="clear" w:color="auto" w:fill="auto"/>
              </w:rPr>
            </w:pPr>
          </w:p>
        </w:tc>
        <w:tc>
          <w:tcPr>
            <w:tcW w:w="2449" w:type="dxa"/>
            <w:vMerge w:val="continue"/>
            <w:tcBorders>
              <w:lef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rPr>
            </w:pP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大写</w:t>
            </w:r>
          </w:p>
        </w:tc>
        <w:tc>
          <w:tcPr>
            <w:tcW w:w="5968" w:type="dxa"/>
            <w:tcBorders>
              <w:top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bl>
    <w:p>
      <w:pPr>
        <w:pStyle w:val="6"/>
        <w:rPr>
          <w:rFonts w:hint="eastAsia"/>
          <w:highlight w:val="none"/>
        </w:rPr>
      </w:pPr>
    </w:p>
    <w:p>
      <w:pPr>
        <w:rPr>
          <w:rFonts w:hint="eastAsia"/>
          <w:highlight w:val="none"/>
        </w:rPr>
      </w:pPr>
    </w:p>
    <w:p>
      <w:pPr>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公章）</w:t>
      </w:r>
    </w:p>
    <w:p>
      <w:pPr>
        <w:spacing w:line="360" w:lineRule="auto"/>
        <w:rPr>
          <w:rFonts w:hint="eastAsia" w:ascii="宋体" w:hAnsi="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pStyle w:val="2"/>
        <w:rPr>
          <w:rFonts w:hint="eastAsia"/>
        </w:rPr>
      </w:pPr>
    </w:p>
    <w:p>
      <w:pPr>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6"/>
        </w:num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报价明细表</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招标项目编号</w:t>
      </w:r>
      <w:r>
        <w:rPr>
          <w:rFonts w:hint="eastAsia" w:ascii="宋体" w:hAnsi="宋体" w:eastAsia="宋体" w:cs="宋体"/>
          <w:b/>
          <w:color w:val="auto"/>
          <w:sz w:val="24"/>
          <w:szCs w:val="24"/>
          <w:highlight w:val="none"/>
        </w:rPr>
        <w:t>：</w:t>
      </w:r>
    </w:p>
    <w:tbl>
      <w:tblPr>
        <w:tblStyle w:val="26"/>
        <w:tblpPr w:leftFromText="180" w:rightFromText="180" w:vertAnchor="text" w:horzAnchor="page" w:tblpXSpec="center" w:tblpY="657"/>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96"/>
        <w:gridCol w:w="2381"/>
        <w:gridCol w:w="185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4"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序号</w:t>
            </w:r>
          </w:p>
        </w:tc>
        <w:tc>
          <w:tcPr>
            <w:tcW w:w="2596"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单项名称</w:t>
            </w:r>
          </w:p>
        </w:tc>
        <w:tc>
          <w:tcPr>
            <w:tcW w:w="2381"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Cs/>
                <w:sz w:val="24"/>
                <w:szCs w:val="24"/>
              </w:rPr>
              <w:t>服务内容</w:t>
            </w:r>
            <w:r>
              <w:rPr>
                <w:rFonts w:hint="eastAsia" w:ascii="宋体" w:hAnsi="宋体" w:cs="宋体"/>
                <w:bCs/>
                <w:sz w:val="24"/>
                <w:szCs w:val="24"/>
                <w:lang w:val="en-US" w:eastAsia="zh-CN"/>
              </w:rPr>
              <w:t>及标准</w:t>
            </w:r>
          </w:p>
        </w:tc>
        <w:tc>
          <w:tcPr>
            <w:tcW w:w="1859"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总价</w:t>
            </w:r>
          </w:p>
        </w:tc>
        <w:tc>
          <w:tcPr>
            <w:tcW w:w="1587"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r>
              <w:rPr>
                <w:rFonts w:hint="eastAsia" w:ascii="宋体" w:hAnsi="宋体" w:eastAsia="宋体" w:cs="宋体"/>
                <w:b w:val="0"/>
                <w:bCs/>
                <w:color w:val="auto"/>
                <w:kern w:val="2"/>
                <w:sz w:val="21"/>
                <w:szCs w:val="21"/>
                <w:highlight w:val="none"/>
                <w:lang w:val="en-US" w:eastAsia="zh-CN" w:bidi="zh-CN"/>
              </w:rPr>
              <w:t>总价</w:t>
            </w:r>
          </w:p>
        </w:tc>
        <w:tc>
          <w:tcPr>
            <w:tcW w:w="8423" w:type="dxa"/>
            <w:gridSpan w:val="4"/>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（此表可延长）</w:t>
      </w:r>
    </w:p>
    <w:p>
      <w:pPr>
        <w:keepNext/>
        <w:keepLines/>
        <w:widowControl w:val="0"/>
        <w:spacing w:before="260" w:after="260" w:line="416" w:lineRule="auto"/>
        <w:jc w:val="both"/>
        <w:outlineLvl w:val="2"/>
        <w:rPr>
          <w:rFonts w:hint="eastAsia" w:ascii="Times New Roman" w:hAnsi="Times New Roman" w:eastAsia="宋体" w:cs="Times New Roman"/>
          <w:b/>
          <w:bCs/>
          <w:color w:val="auto"/>
          <w:kern w:val="2"/>
          <w:sz w:val="32"/>
          <w:szCs w:val="32"/>
          <w:highlight w:val="none"/>
          <w:lang w:val="en-US" w:eastAsia="zh-CN" w:bidi="ar-S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公章）</w:t>
      </w:r>
    </w:p>
    <w:p>
      <w:pPr>
        <w:pStyle w:val="2"/>
        <w:rPr>
          <w:rFonts w:hint="eastAsi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color w:val="auto"/>
          <w:sz w:val="24"/>
          <w:szCs w:val="24"/>
          <w:highlight w:val="none"/>
        </w:rPr>
      </w:pPr>
    </w:p>
    <w:p>
      <w:pPr>
        <w:pStyle w:val="7"/>
        <w:rPr>
          <w:rFonts w:hint="eastAsia"/>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第二部分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商务部分</w:t>
      </w: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投标方的资格声明</w:t>
      </w:r>
    </w:p>
    <w:p>
      <w:pPr>
        <w:pStyle w:val="8"/>
        <w:ind w:firstLine="0"/>
        <w:rPr>
          <w:rFonts w:hint="eastAsia" w:ascii="宋体" w:hAnsi="宋体" w:eastAsia="宋体" w:cs="宋体"/>
          <w:sz w:val="24"/>
          <w:szCs w:val="24"/>
          <w:highlight w:val="none"/>
        </w:rPr>
      </w:pPr>
    </w:p>
    <w:p>
      <w:pPr>
        <w:pStyle w:val="8"/>
        <w:ind w:firstLine="0"/>
        <w:rPr>
          <w:rFonts w:hint="eastAsia" w:ascii="宋体" w:hAnsi="宋体" w:eastAsia="宋体" w:cs="宋体"/>
          <w:sz w:val="24"/>
          <w:szCs w:val="24"/>
          <w:highlight w:val="none"/>
        </w:rPr>
      </w:pPr>
    </w:p>
    <w:p>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widowControl/>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关于贵方发出的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项目招标文件，本投标方愿意参加投标，并证明资格文件中和所要求的说明是真实和准确无误的。</w:t>
      </w:r>
    </w:p>
    <w:p>
      <w:pPr>
        <w:spacing w:line="600" w:lineRule="exact"/>
        <w:ind w:firstLine="5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本投标方对可能要求的进一步的资格资料表示理解和同意，并同意按贵方的要求提供任何有关资料。</w:t>
      </w: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both"/>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pStyle w:val="7"/>
        <w:rPr>
          <w:rFonts w:hint="eastAsia"/>
          <w:highlight w:val="none"/>
        </w:rPr>
      </w:pPr>
    </w:p>
    <w:p>
      <w:pPr>
        <w:rPr>
          <w:rFonts w:hint="eastAsia"/>
          <w:highlight w:val="none"/>
        </w:rPr>
      </w:pPr>
    </w:p>
    <w:p>
      <w:pPr>
        <w:pStyle w:val="2"/>
        <w:rPr>
          <w:rFonts w:hint="eastAsia"/>
          <w:highlight w:val="none"/>
        </w:rPr>
      </w:pPr>
    </w:p>
    <w:p>
      <w:pPr>
        <w:jc w:val="both"/>
        <w:rPr>
          <w:rFonts w:hint="eastAsia" w:ascii="宋体" w:hAnsi="宋体" w:eastAsia="宋体" w:cs="宋体"/>
          <w:b/>
          <w:color w:val="000000"/>
          <w:sz w:val="24"/>
          <w:szCs w:val="24"/>
          <w:highlight w:val="none"/>
        </w:rPr>
      </w:pPr>
    </w:p>
    <w:p>
      <w:pPr>
        <w:pStyle w:val="2"/>
        <w:rPr>
          <w:rFonts w:hint="eastAsia" w:ascii="宋体" w:hAnsi="宋体" w:eastAsia="宋体" w:cs="宋体"/>
          <w:b/>
          <w:color w:val="000000"/>
          <w:sz w:val="24"/>
          <w:szCs w:val="24"/>
          <w:highlight w:val="none"/>
        </w:rPr>
      </w:pPr>
    </w:p>
    <w:p>
      <w:pPr>
        <w:pStyle w:val="4"/>
        <w:numPr>
          <w:ilvl w:val="3"/>
          <w:numId w:val="0"/>
        </w:numPr>
        <w:ind w:left="720" w:leftChars="0"/>
        <w:rPr>
          <w:rFonts w:hint="eastAsia"/>
        </w:rPr>
      </w:pPr>
    </w:p>
    <w:p>
      <w:pPr>
        <w:pStyle w:val="8"/>
        <w:rPr>
          <w:rFonts w:hint="eastAsia" w:ascii="宋体" w:hAnsi="宋体" w:eastAsia="宋体" w:cs="宋体"/>
          <w:sz w:val="24"/>
          <w:szCs w:val="24"/>
          <w:highlight w:val="none"/>
        </w:rPr>
      </w:pPr>
    </w:p>
    <w:p>
      <w:pPr>
        <w:jc w:val="center"/>
        <w:rPr>
          <w:rFonts w:hint="eastAsia" w:ascii="宋体" w:hAnsi="宋体" w:eastAsia="宋体" w:cs="宋体"/>
          <w:b/>
          <w:color w:val="000000"/>
          <w:sz w:val="24"/>
          <w:szCs w:val="24"/>
          <w:highlight w:val="none"/>
        </w:rPr>
      </w:pPr>
    </w:p>
    <w:p>
      <w:pPr>
        <w:numPr>
          <w:ilvl w:val="0"/>
          <w:numId w:val="8"/>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供应商基本情况表</w:t>
      </w:r>
    </w:p>
    <w:tbl>
      <w:tblPr>
        <w:tblStyle w:val="26"/>
        <w:tblpPr w:leftFromText="180" w:rightFromText="180" w:vertAnchor="text" w:horzAnchor="page" w:tblpXSpec="center" w:tblpY="358"/>
        <w:tblOverlap w:val="never"/>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1017"/>
        <w:gridCol w:w="2310"/>
        <w:gridCol w:w="10"/>
        <w:gridCol w:w="1301"/>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1843" w:type="dxa"/>
            <w:noWrap w:val="0"/>
            <w:vAlign w:val="center"/>
          </w:tcPr>
          <w:p>
            <w:pPr>
              <w:spacing w:line="240" w:lineRule="exact"/>
              <w:ind w:firstLine="319" w:firstLineChars="133"/>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843" w:type="dxa"/>
            <w:noWrap w:val="0"/>
            <w:vAlign w:val="center"/>
          </w:tcPr>
          <w:p>
            <w:pPr>
              <w:spacing w:line="2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7918" w:type="dxa"/>
            <w:gridSpan w:val="5"/>
            <w:noWrap w:val="0"/>
            <w:vAlign w:val="center"/>
          </w:tcPr>
          <w:p>
            <w:pPr>
              <w:spacing w:line="240" w:lineRule="exact"/>
              <w:ind w:firstLine="46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843" w:type="dxa"/>
            <w:vMerge w:val="restart"/>
            <w:noWrap w:val="0"/>
            <w:vAlign w:val="center"/>
          </w:tcPr>
          <w:p>
            <w:pPr>
              <w:spacing w:line="240" w:lineRule="exact"/>
              <w:ind w:firstLine="439" w:firstLineChars="183"/>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17" w:type="dxa"/>
            <w:noWrap w:val="0"/>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320" w:type="dxa"/>
            <w:gridSpan w:val="2"/>
            <w:noWrap w:val="0"/>
            <w:vAlign w:val="center"/>
          </w:tcPr>
          <w:p>
            <w:pPr>
              <w:spacing w:line="240" w:lineRule="exact"/>
              <w:ind w:firstLine="480"/>
              <w:jc w:val="center"/>
              <w:rPr>
                <w:rFonts w:hint="eastAsia" w:ascii="宋体" w:hAnsi="宋体" w:eastAsia="宋体" w:cs="宋体"/>
                <w:sz w:val="24"/>
                <w:szCs w:val="24"/>
                <w:highlight w:val="none"/>
              </w:rPr>
            </w:pPr>
          </w:p>
        </w:tc>
        <w:tc>
          <w:tcPr>
            <w:tcW w:w="1301"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1843" w:type="dxa"/>
            <w:vMerge w:val="continue"/>
            <w:noWrap w:val="0"/>
            <w:vAlign w:val="center"/>
          </w:tcPr>
          <w:p>
            <w:pPr>
              <w:spacing w:line="240" w:lineRule="exact"/>
              <w:ind w:firstLine="180"/>
              <w:jc w:val="center"/>
              <w:rPr>
                <w:rFonts w:hint="eastAsia" w:ascii="宋体" w:hAnsi="宋体" w:eastAsia="宋体" w:cs="宋体"/>
                <w:sz w:val="24"/>
                <w:szCs w:val="24"/>
                <w:highlight w:val="none"/>
              </w:rPr>
            </w:pP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310" w:type="dxa"/>
            <w:noWrap w:val="0"/>
            <w:vAlign w:val="center"/>
          </w:tcPr>
          <w:p>
            <w:pPr>
              <w:spacing w:line="240" w:lineRule="exact"/>
              <w:ind w:firstLine="1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ind w:firstLine="1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w:t>
            </w:r>
            <w:r>
              <w:rPr>
                <w:rFonts w:hint="eastAsia" w:ascii="宋体" w:hAnsi="宋体" w:eastAsia="宋体" w:cs="宋体"/>
                <w:w w:val="99"/>
                <w:sz w:val="24"/>
                <w:szCs w:val="24"/>
                <w:highlight w:val="none"/>
              </w:rPr>
              <w:t>码</w:t>
            </w:r>
          </w:p>
        </w:tc>
        <w:tc>
          <w:tcPr>
            <w:tcW w:w="3280" w:type="dxa"/>
            <w:noWrap w:val="0"/>
            <w:vAlign w:val="center"/>
          </w:tcPr>
          <w:p>
            <w:pPr>
              <w:spacing w:line="240" w:lineRule="exact"/>
              <w:ind w:firstLine="1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2310" w:type="dxa"/>
            <w:noWrap w:val="0"/>
            <w:vAlign w:val="center"/>
          </w:tcPr>
          <w:p>
            <w:pPr>
              <w:spacing w:line="240" w:lineRule="exact"/>
              <w:ind w:firstLine="4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3327" w:type="dxa"/>
            <w:gridSpan w:val="2"/>
            <w:noWrap w:val="0"/>
            <w:vAlign w:val="center"/>
          </w:tcPr>
          <w:p>
            <w:pPr>
              <w:spacing w:line="240" w:lineRule="exact"/>
              <w:ind w:firstLine="720" w:firstLineChars="300"/>
              <w:jc w:val="both"/>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c>
          <w:tcPr>
            <w:tcW w:w="3280" w:type="dxa"/>
            <w:noWrap w:val="0"/>
            <w:vAlign w:val="center"/>
          </w:tcPr>
          <w:p>
            <w:pPr>
              <w:spacing w:line="240" w:lineRule="exact"/>
              <w:ind w:firstLine="720" w:firstLineChars="3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bl>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12"/>
        <w:numPr>
          <w:ilvl w:val="0"/>
          <w:numId w:val="0"/>
        </w:numPr>
        <w:spacing w:line="240" w:lineRule="auto"/>
        <w:jc w:val="center"/>
        <w:rPr>
          <w:rFonts w:hint="eastAsia" w:ascii="宋体" w:hAnsi="宋体" w:eastAsia="宋体" w:cs="宋体"/>
          <w:b/>
          <w:color w:val="000000"/>
          <w:sz w:val="24"/>
          <w:szCs w:val="24"/>
          <w:highlight w:val="none"/>
          <w:lang w:val="en-US" w:eastAsia="zh-CN"/>
        </w:rPr>
      </w:pPr>
    </w:p>
    <w:p>
      <w:pPr>
        <w:pStyle w:val="12"/>
        <w:numPr>
          <w:ilvl w:val="0"/>
          <w:numId w:val="0"/>
        </w:numPr>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证明书</w:t>
      </w:r>
    </w:p>
    <w:p>
      <w:pPr>
        <w:pStyle w:val="12"/>
        <w:spacing w:line="240" w:lineRule="auto"/>
        <w:ind w:firstLine="0" w:firstLineChars="0"/>
        <w:rPr>
          <w:rFonts w:hint="eastAsia" w:ascii="宋体" w:hAnsi="宋体" w:eastAsia="宋体" w:cs="宋体"/>
          <w:b/>
          <w:color w:val="000000"/>
          <w:sz w:val="24"/>
          <w:szCs w:val="24"/>
          <w:highlight w:val="none"/>
        </w:rPr>
      </w:pPr>
    </w:p>
    <w:p>
      <w:pPr>
        <w:pStyle w:val="12"/>
        <w:spacing w:line="240" w:lineRule="auto"/>
        <w:ind w:firstLine="0" w:firstLineChars="0"/>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职务：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系  </w:t>
      </w:r>
      <w:r>
        <w:rPr>
          <w:rFonts w:hint="eastAsia" w:ascii="宋体" w:hAnsi="宋体" w:eastAsia="宋体" w:cs="宋体"/>
          <w:color w:val="000000"/>
          <w:sz w:val="24"/>
          <w:szCs w:val="24"/>
          <w:highlight w:val="none"/>
          <w:u w:val="single"/>
        </w:rPr>
        <w:t xml:space="preserve">      （投标人名称）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1、附</w:t>
      </w:r>
      <w:r>
        <w:rPr>
          <w:rFonts w:hint="eastAsia" w:ascii="宋体" w:hAnsi="宋体" w:eastAsia="宋体" w:cs="宋体"/>
          <w:b/>
          <w:color w:val="0000FF"/>
          <w:sz w:val="24"/>
          <w:szCs w:val="24"/>
          <w:highlight w:val="none"/>
          <w:lang w:eastAsia="zh-CN"/>
        </w:rPr>
        <w:t>法定代表人身份证正</w:t>
      </w:r>
      <w:r>
        <w:rPr>
          <w:rFonts w:hint="eastAsia" w:ascii="宋体" w:hAnsi="宋体" w:eastAsia="宋体" w:cs="宋体"/>
          <w:b/>
          <w:color w:val="0000FF"/>
          <w:sz w:val="24"/>
          <w:szCs w:val="24"/>
          <w:highlight w:val="none"/>
          <w:lang w:val="en-US" w:eastAsia="zh-CN"/>
        </w:rPr>
        <w:t>反两面</w:t>
      </w:r>
      <w:r>
        <w:rPr>
          <w:rFonts w:hint="eastAsia" w:ascii="宋体" w:hAnsi="宋体" w:eastAsia="宋体" w:cs="宋体"/>
          <w:b/>
          <w:color w:val="0000FF"/>
          <w:sz w:val="24"/>
          <w:szCs w:val="24"/>
          <w:highlight w:val="none"/>
          <w:lang w:eastAsia="zh-CN"/>
        </w:rPr>
        <w:t>复印件。</w:t>
      </w:r>
    </w:p>
    <w:p>
      <w:pPr>
        <w:ind w:firstLine="482" w:firstLineChars="200"/>
        <w:jc w:val="both"/>
        <w:rPr>
          <w:rFonts w:hint="eastAsia" w:ascii="宋体" w:hAnsi="宋体" w:eastAsia="宋体" w:cs="宋体"/>
          <w:color w:val="000000"/>
          <w:sz w:val="24"/>
          <w:szCs w:val="24"/>
          <w:highlight w:val="none"/>
        </w:rPr>
      </w:pPr>
      <w:r>
        <w:rPr>
          <w:rFonts w:hint="eastAsia" w:ascii="宋体" w:hAnsi="宋体" w:eastAsia="宋体" w:cs="宋体"/>
          <w:b/>
          <w:color w:val="0000FF"/>
          <w:sz w:val="24"/>
          <w:szCs w:val="24"/>
          <w:highlight w:val="none"/>
          <w:lang w:val="en-US" w:eastAsia="zh-CN"/>
        </w:rPr>
        <w:t>2、提供法定代表人近三个月社保缴费证明。</w:t>
      </w:r>
      <w:r>
        <w:rPr>
          <w:rFonts w:hint="eastAsia" w:ascii="宋体" w:hAnsi="宋体" w:eastAsia="宋体" w:cs="宋体"/>
          <w:color w:val="000000"/>
          <w:sz w:val="24"/>
          <w:szCs w:val="24"/>
          <w:highlight w:val="none"/>
        </w:rPr>
        <w:br w:type="page"/>
      </w: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授权委托书</w:t>
      </w:r>
    </w:p>
    <w:p>
      <w:pPr>
        <w:jc w:val="cente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为本公司的合法代理人，参加贵方组织的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w:t>
      </w:r>
      <w:r>
        <w:rPr>
          <w:rFonts w:hint="eastAsia" w:ascii="宋体" w:hAnsi="宋体" w:eastAsia="宋体" w:cs="宋体"/>
          <w:bCs/>
          <w:color w:val="000000"/>
          <w:kern w:val="0"/>
          <w:sz w:val="24"/>
          <w:szCs w:val="24"/>
          <w:highlight w:val="none"/>
        </w:rPr>
        <w:t>招标文件</w:t>
      </w:r>
      <w:r>
        <w:rPr>
          <w:rFonts w:hint="eastAsia" w:ascii="宋体" w:hAnsi="宋体" w:eastAsia="宋体" w:cs="宋体"/>
          <w:color w:val="000000"/>
          <w:sz w:val="24"/>
          <w:szCs w:val="24"/>
          <w:highlight w:val="none"/>
        </w:rPr>
        <w:t>采购招标活动，全权代表我方处理招标活动中的一切事宜和签署一切文件，被授权人无转委托权，特此委托。</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投标单位名称：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签字或盖章</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被授权人姓名</w:t>
      </w:r>
      <w:r>
        <w:rPr>
          <w:rFonts w:hint="eastAsia" w:ascii="宋体" w:hAnsi="宋体" w:eastAsia="宋体" w:cs="宋体"/>
          <w:color w:val="0000FF"/>
          <w:sz w:val="24"/>
          <w:szCs w:val="24"/>
          <w:highlight w:val="none"/>
          <w:lang w:eastAsia="zh-CN"/>
        </w:rPr>
        <w:t>（签字）</w:t>
      </w:r>
      <w:r>
        <w:rPr>
          <w:rFonts w:hint="eastAsia" w:ascii="宋体" w:hAnsi="宋体" w:eastAsia="宋体" w:cs="宋体"/>
          <w:color w:val="000000"/>
          <w:sz w:val="24"/>
          <w:szCs w:val="24"/>
          <w:highlight w:val="none"/>
        </w:rPr>
        <w:t>：</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详细通讯地址：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（或授权代表）、被授权人身份证复印件，格式如下。</w: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2800985</wp:posOffset>
                </wp:positionH>
                <wp:positionV relativeFrom="paragraph">
                  <wp:posOffset>226060</wp:posOffset>
                </wp:positionV>
                <wp:extent cx="1990725" cy="1219835"/>
                <wp:effectExtent l="7620" t="7620" r="20955" b="10795"/>
                <wp:wrapNone/>
                <wp:docPr id="1" name="文本框 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被授权人身份证复印件正面</w:t>
                            </w:r>
                          </w:p>
                        </w:txbxContent>
                      </wps:txbx>
                      <wps:bodyPr upright="1"/>
                    </wps:wsp>
                  </a:graphicData>
                </a:graphic>
              </wp:anchor>
            </w:drawing>
          </mc:Choice>
          <mc:Fallback>
            <w:pict>
              <v:shape id="_x0000_s1026" o:spid="_x0000_s1026" o:spt="202" type="#_x0000_t202" style="position:absolute;left:0pt;margin-left:220.55pt;margin-top:17.8pt;height:96.05pt;width:156.75pt;z-index:251660288;mso-width-relative:page;mso-height-relative:page;" filled="f" stroked="t" coordsize="21600,21600" o:gfxdata="UEsDBAoAAAAAAIdO4kAAAAAAAAAAAAAAAAAEAAAAZHJzL1BLAwQUAAAACACHTuJAfc/D8tYAAAAK&#10;AQAADwAAAGRycy9kb3ducmV2LnhtbE2PwU7DMAyG70i8Q2Qkbixt162oNJ0QiANHNgTXrDFtReJU&#10;SboVnh5zgpst//r8/c1ucVacMMTRk4J8lYFA6rwZqVfweni6uQURkyajrSdU8IURdu3lRaNr48/0&#10;gqd96gVDKNZawZDSVEsZuwGdjis/IfHtwwenE6+hlyboM8OdlUWWbaXTI/GHQU/4MGD3uZ8dU74t&#10;vWFYUD6/T9X6fo6H+BiVur7KszsQCZf0F4ZffVaHlp2OfiYThVVQlnnOUQXrzRYEB6pNycNRQVFU&#10;Fci2kf8rtD9QSwMEFAAAAAgAh07iQFebFVUFAgAADwQAAA4AAABkcnMvZTJvRG9jLnhtbK1TzY7T&#10;MBC+I/EOlu80bVHZNmq6EpTlggBp4QGmjpNY8p88bpO+ALwBJy7cea4+x46d0oXl0gM5JBPP52/m&#10;+zxe3w5Gs4MMqJyt+Gwy5Uxa4Wpl24p/+Xz3YskZRrA1aGdlxY8S+e3m+bN170s5d53TtQyMSCyW&#10;va94F6MviwJFJw3gxHlpKdm4YCDSb2iLOkBP7EYX8+n0VdG7UPvghESk1e2Y5GfGcA2haxol5NaJ&#10;vZE2jqxBaogkCTvlkW9yt00jRfzYNCgj0xUnpTG/qQjFu/QuNmso2wC+U+LcAlzTwhNNBpSloheq&#10;LURg+6D+oTJKBIeuiRPhTDEKyY6Qitn0iTf3HXiZtZDV6C+m4/+jFR8OnwJTNU0CZxYMHfjp+7fT&#10;j1+nn1/ZLNnTeywJde8JF4fXbkjQ8zrSYlI9NMGkL+lhlCdzjxdz5RCZSJtWq+nNfMGZoNxsPlst&#10;Xy4ST/G43QeM76QzLAUVD3R62VQ4vMc4Qn9DUjXr7pTWtA6ltqwn1sXyJhUAGsuGxoFC40ka2jbz&#10;oNOqTnvSFgzt7o0O7ABpNPJzbucvWCq4BexGXE4lGJRGRRly1Emo39qaxaMn+yzdGp66MbLmTEu6&#10;ZCnKyAhKX4MkT7Qla5L3o8cpisNuIJoU7lx9pPPY+6DajqzKJ5LhNCfZ0/NMp0H88z+TPt7jz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9z8Py1gAAAAoBAAAPAAAAAAAAAAEAIAAAACIAAABkcnMv&#10;ZG93bnJldi54bWxQSwECFAAUAAAACACHTuJAV5sVVQUCAAAPBAAADgAAAAAAAAABACAAAAAlAQAA&#10;ZHJzL2Uyb0RvYy54bWxQSwUGAAAAAAYABgBZAQAAnAUAAAAA&#10;">
                <v:fill on="f" focussize="0,0"/>
                <v:stroke weight="1.25pt" color="#000000" joinstyle="miter"/>
                <v:imagedata o:title=""/>
                <o:lock v:ext="edit" aspectratio="f"/>
                <v:textbox>
                  <w:txbxContent>
                    <w:p>
                      <w:pPr>
                        <w:jc w:val="center"/>
                        <w:rPr>
                          <w:rFonts w:hint="eastAsia"/>
                        </w:rPr>
                      </w:pPr>
                      <w:r>
                        <w:rPr>
                          <w:rFonts w:hint="eastAsia"/>
                        </w:rPr>
                        <w:t>被授权人身份证复印件正面</w:t>
                      </w:r>
                    </w:p>
                  </w:txbxContent>
                </v:textbox>
              </v:shape>
            </w:pict>
          </mc:Fallback>
        </mc:AlternateConten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6"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身份证复印件正面</w:t>
                            </w:r>
                          </w:p>
                        </w:txbxContent>
                      </wps:txbx>
                      <wps:bodyPr upright="1"/>
                    </wps:wsp>
                  </a:graphicData>
                </a:graphic>
              </wp:anchor>
            </w:drawing>
          </mc:Choice>
          <mc:Fallback>
            <w:pict>
              <v:shape id="_x0000_s1026" o:spid="_x0000_s1026" o:spt="202" type="#_x0000_t202" style="position:absolute;left:0pt;margin-left:7.55pt;margin-top:4.9pt;height:96.05pt;width:156.75pt;z-index:251659264;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Yd7E9BgIAAA8EAAAOAAAAZHJzL2Uyb0RvYy54bWytU82O0zAQ&#10;viPxDpbvNGlRu23UdCUoywUB0sIDuLaTWPKfPG6TvgC8AScu3HmuPseOnW4XlksP5OCMPZ+/mflm&#10;vL4djCYHGUA5W9PppKREWu6Esm1Nv365e7WkBCKzgmlnZU2PEujt5uWLde8rOXOd00IGgiQWqt7X&#10;tIvRV0UBvJOGwcR5adHZuGBYxG1oCxFYj+xGF7OyXBS9C8IHxyUAnm5HJz0zhmsIXdMoLreO7420&#10;cWQNUrOIJUGnPNBNzrZpJI+fmgZkJLqmWGnMKwZBe5fWYrNmVRuY7xQ/p8CuSeFZTYYpi0EvVFsW&#10;GdkH9Q+VUTw4cE2ccGeKsZCsCFYxLZ9pc98xL3MtKDX4i+jw/2j5x8PnQJSo6YISyww2/PTj++nn&#10;79Ovb2SR5Ok9VIi694iLwxs34NA8ngMepqqHJpj0x3oI+lHc40VcOUTC06XVqryZzSnh6JvOpqvl&#10;63niKZ6u+wDxvXSGJKOmAbuXRWWHDxBH6CMkRbPuTmmdO6gt6ZF1vrxJARiOZYPjgKbxWBrYNvOA&#10;00qkO+k2hHb3VgdyYGk08ndO5y9YCrhl0I247EowVhkVZchWJ5l4ZwWJR4/yWXw1NGVjpKBES3xk&#10;ycrIyJS+BomaaIvSJO1HjZMVh92ANMncOXHEfux9UG2HUuWOZDjOSdb0PNNpEP/cZ9Knd7x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42Z3UAAAACAEAAA8AAAAAAAAAAQAgAAAAIgAAAGRycy9k&#10;b3ducmV2LnhtbFBLAQIUABQAAAAIAIdO4kAYd7E9BgIAAA8EAAAOAAAAAAAAAAEAIAAAACM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身份证复印件正面</w:t>
                      </w:r>
                    </w:p>
                  </w:txbxContent>
                </v:textbox>
              </v:shape>
            </w:pict>
          </mc:Fallback>
        </mc:AlternateConten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2800985</wp:posOffset>
                </wp:positionH>
                <wp:positionV relativeFrom="paragraph">
                  <wp:posOffset>97790</wp:posOffset>
                </wp:positionV>
                <wp:extent cx="1990725" cy="1219835"/>
                <wp:effectExtent l="7620" t="7620" r="20955" b="10795"/>
                <wp:wrapNone/>
                <wp:docPr id="7" name="文本框 7"/>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220.55pt;margin-top:7.7pt;height:96.05pt;width:156.75pt;z-index:251662336;mso-width-relative:page;mso-height-relative:page;" filled="f" stroked="t" coordsize="21600,21600" o:gfxdata="UEsDBAoAAAAAAIdO4kAAAAAAAAAAAAAAAAAEAAAAZHJzL1BLAwQUAAAACACHTuJA3PcwJdYAAAAK&#10;AQAADwAAAGRycy9kb3ducmV2LnhtbE2PwU7DMBBE70j8g7VI3KidkjQoxKkQiANHWgRXN16SiHgd&#10;2U4b+HqWEz2uZvTmbb1d3CiOGOLgSUO2UiCQWm8H6jS87Z9v7kDEZMia0RNq+MYI2+byojaV9Sd6&#10;xeMudYIhFCujoU9pqqSMbY/OxJWfkDj79MGZxGfopA3mxHA3yrVSG+nMQLzQmwkfe2y/drNjys9I&#10;7xgWlC8fU3n7MMd9fIpaX19l6h5EwiX9l+FPn9WhYaeDn8lGMWrI8yzjKgdFDoILZZFvQBw0rFVZ&#10;gGxqef5C8wtQSwMEFAAAAAgAh07iQBo5LW0GAgAADwQAAA4AAABkcnMvZTJvRG9jLnhtbK1TzY7T&#10;MBC+I/EOlu80aVFpGzVdCcpyQYC08ACu7SSW/CeP26QvAG/AiQt3nqvPwdjpdtndSw/k4Iw9n7+Z&#10;+Wa8vhmMJgcZQDlb0+mkpERa7oSybU2/fb19taQEIrOCaWdlTY8S6M3m5Yt17ys5c53TQgaCJBaq&#10;3te0i9FXRQG8k4bBxHlp0dm4YFjEbWgLEViP7EYXs7J8U/QuCB8clwB4uh2d9MwYriF0TaO43Dq+&#10;N9LGkTVIzSKWBJ3yQDc526aRPH5uGpCR6JpipTGvGATtXVqLzZpVbWC+U/ycArsmhSc1GaYsBr1Q&#10;bVlkZB/UMyqjeHDgmjjhzhRjIVkRrGJaPtHmrmNe5lpQavAX0eH/0fJPhy+BKFHTBSWWGWz46eeP&#10;068/p9/fySLJ03uoEHXnEReHt27Aobk/BzxMVQ9NMOmP9RD0o7jHi7hyiISnS6tVuZjNKeHom86m&#10;q+XreeIpHq77APGDdIYko6YBu5dFZYePEEfoPSRFs+5WaZ07qC3pkXW+XKQADMeywXFA03gsDWyb&#10;ecBpJdKddBtCu3unAzmwNBr5O6fzCJYCbhl0Iy67EoxVRkUZstVJJt5bQeLRo3wWXw1N2RgpKNES&#10;H1myMjIypa9BoibaojRJ+1HjZMVhNyBNMndOHLEfex9U26FUuSMZjnOSNT3PdBrEf/eZ9OEdb/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PcwJdYAAAAKAQAADwAAAAAAAAABACAAAAAiAAAAZHJz&#10;L2Rvd25yZXYueG1sUEsBAhQAFAAAAAgAh07iQBo5LW0GAgAADwQAAA4AAAAAAAAAAQAgAAAAJQEA&#10;AGRycy9lMm9Eb2MueG1sUEsFBgAAAAAGAAYAWQEAAJ0FAAAAAA==&#10;">
                <v:fill on="f" focussize="0,0"/>
                <v:stroke weight="1.25pt" color="#000000" joinstyle="miter"/>
                <v:imagedata o:title=""/>
                <o:lock v:ext="edit" aspectratio="f"/>
                <v:textbox>
                  <w:txbxContent>
                    <w:p>
                      <w:pPr>
                        <w:jc w:val="center"/>
                        <w:rPr>
                          <w:rFonts w:hint="eastAsia"/>
                        </w:rPr>
                      </w:pPr>
                      <w:r>
                        <w:rPr>
                          <w:rFonts w:hint="eastAsia"/>
                        </w:rPr>
                        <w:t>被授权人身份证复印件</w:t>
                      </w:r>
                      <w:r>
                        <w:rPr>
                          <w:rFonts w:hint="eastAsia"/>
                          <w:lang w:eastAsia="zh-CN"/>
                        </w:rPr>
                        <w:t>反</w:t>
                      </w:r>
                      <w:r>
                        <w:rPr>
                          <w:rFonts w:hint="eastAsia"/>
                        </w:rPr>
                        <w:t>面</w:t>
                      </w:r>
                    </w:p>
                  </w:txbxContent>
                </v:textbox>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8" name="文本框 8"/>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hq/47AUCAAAPBAAADgAAAGRycy9lMm9Eb2MueG1srVNLjhMx&#10;EN0jcQfLe9JJUJiklc5IEIYNAqSBAzj+dFvyTy4n3bkA3IAVG/acK+eg7M5kYNhkQS/cZdfzq6pX&#10;5fXtYA05yAjau4bOJlNKpONeaNc29MvnuxdLSiAxJ5jxTjb0KIHebp4/W/ehlnPfeSNkJEjioO5D&#10;Q7uUQl1VwDtpGUx8kA6dykfLEm5jW4nIemS3pppPp6+q3kcRoucSAE+3o5OeGeM1hF4pzeXW872V&#10;Lo2sURqWsCTodAC6KdkqJXn6qBTIRExDsdJUVgyC9i6v1WbN6jay0Gl+ToFdk8KTmizTDoNeqLYs&#10;MbKP+h8qq3n04FWacG+rsZCiCFYxmz7R5r5jQZZaUGoIF9Hh/9HyD4dPkWjRUGy7YxYbfvr+7fTj&#10;1+nnV7LM8vQBakTdB8Sl4bUfcGgezgEPc9WDijb/sR6CfhT3eBFXDonwfGm1mt7MF5Rw9M3ms9Xy&#10;5SLzVI/XQ4T0TnpLstHQiN0rorLDe0gj9AGSozl/p40pHTSO9Mi6WN7kAAzHUuE4oGkDlgauLTzg&#10;jRb5Tr4Nsd29MZEcWB6N8p3T+QuWA24ZdCOuuDKM1VYnGYvVSSbeOkHSMaB8Dl8NzdlYKSgxEh9Z&#10;tgoyMW2uQaImxqE0WftR42ylYTcgTTZ3XhyxH/sQdduhVKUjBY5zUjQ9z3QexD/3hfTxH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sIWHVAAAACQEAAA8AAAAAAAAAAQAgAAAAIgAAAGRycy9k&#10;b3ducmV2LnhtbFBLAQIUABQAAAAIAIdO4kCGr/jsBQIAAA8EAAAOAAAAAAAAAAEAIAAAACQ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v:textbox>
              </v:shape>
            </w:pict>
          </mc:Fallback>
        </mc:AlternateContent>
      </w:r>
    </w:p>
    <w:p>
      <w:pPr>
        <w:rPr>
          <w:rFonts w:hint="eastAsia" w:ascii="宋体" w:hAnsi="宋体" w:eastAsia="宋体" w:cs="宋体"/>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w:t>
      </w:r>
      <w:r>
        <w:rPr>
          <w:rFonts w:hint="eastAsia" w:ascii="宋体" w:hAnsi="宋体" w:eastAsia="宋体" w:cs="宋体"/>
          <w:b/>
          <w:color w:val="0000FF"/>
          <w:sz w:val="24"/>
          <w:szCs w:val="24"/>
          <w:highlight w:val="none"/>
          <w:lang w:eastAsia="zh-CN"/>
        </w:rPr>
        <w:t>法人参加不需要提供。</w:t>
      </w:r>
    </w:p>
    <w:p>
      <w:pPr>
        <w:ind w:firstLine="482" w:firstLineChars="200"/>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val="en-US" w:eastAsia="zh-CN"/>
        </w:rPr>
        <w:t>2、此委托书</w:t>
      </w:r>
      <w:r>
        <w:rPr>
          <w:rFonts w:hint="eastAsia" w:ascii="宋体" w:hAnsi="宋体" w:eastAsia="宋体" w:cs="宋体"/>
          <w:b/>
          <w:color w:val="0000FF"/>
          <w:sz w:val="24"/>
          <w:szCs w:val="24"/>
          <w:highlight w:val="none"/>
          <w:lang w:eastAsia="zh-CN"/>
        </w:rPr>
        <w:t>放在一张纸上。</w:t>
      </w:r>
    </w:p>
    <w:p>
      <w:pPr>
        <w:pStyle w:val="7"/>
        <w:rPr>
          <w:rFonts w:hint="eastAsia"/>
          <w:highlight w:val="none"/>
        </w:rPr>
      </w:pPr>
    </w:p>
    <w:p>
      <w:pPr>
        <w:spacing w:beforeLines="100" w:afterLines="50"/>
        <w:jc w:val="center"/>
        <w:rPr>
          <w:rFonts w:hint="eastAsia" w:ascii="宋体" w:hAnsi="宋体" w:eastAsia="宋体" w:cs="宋体"/>
          <w:b/>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tabs>
          <w:tab w:val="left" w:pos="1080"/>
        </w:tabs>
        <w:spacing w:line="24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、近三年的业绩表及相关证明</w:t>
      </w:r>
    </w:p>
    <w:p>
      <w:pPr>
        <w:pStyle w:val="8"/>
        <w:ind w:firstLine="0"/>
        <w:rPr>
          <w:rFonts w:hint="eastAsia"/>
          <w:color w:val="auto"/>
          <w:highlight w:val="none"/>
        </w:rPr>
      </w:pPr>
    </w:p>
    <w:p>
      <w:pPr>
        <w:pStyle w:val="48"/>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                        </w:t>
      </w:r>
    </w:p>
    <w:tbl>
      <w:tblPr>
        <w:tblStyle w:val="26"/>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bl>
    <w:p>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附:提供相关证明（以提供中标通知书/成交通知书或与</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签订的合同</w:t>
      </w:r>
      <w:r>
        <w:rPr>
          <w:rFonts w:hint="eastAsia" w:ascii="宋体" w:hAnsi="宋体" w:cs="宋体"/>
          <w:color w:val="auto"/>
          <w:sz w:val="24"/>
          <w:szCs w:val="24"/>
          <w:highlight w:val="none"/>
          <w:lang w:eastAsia="zh-CN"/>
        </w:rPr>
        <w:t>复印件加盖公章</w:t>
      </w:r>
      <w:r>
        <w:rPr>
          <w:rFonts w:hint="eastAsia" w:ascii="宋体" w:hAnsi="宋体" w:cs="宋体"/>
          <w:color w:val="auto"/>
          <w:sz w:val="24"/>
          <w:szCs w:val="24"/>
          <w:highlight w:val="none"/>
        </w:rPr>
        <w:t>为准</w:t>
      </w:r>
      <w:r>
        <w:rPr>
          <w:rFonts w:hint="eastAsia" w:ascii="宋体" w:hAnsi="宋体" w:cs="宋体"/>
          <w:color w:val="auto"/>
          <w:sz w:val="24"/>
          <w:szCs w:val="24"/>
          <w:highlight w:val="none"/>
          <w:lang w:eastAsia="zh-CN"/>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年指</w:t>
      </w:r>
      <w:r>
        <w:rPr>
          <w:rFonts w:hint="eastAsia" w:ascii="宋体" w:hAnsi="宋体" w:cs="宋体"/>
          <w:color w:val="auto"/>
          <w:sz w:val="24"/>
          <w:szCs w:val="24"/>
          <w:highlight w:val="none"/>
          <w:lang w:val="en-US" w:eastAsia="zh-CN"/>
        </w:rPr>
        <w:t>2019年04月至今）</w:t>
      </w:r>
    </w:p>
    <w:p>
      <w:pPr>
        <w:spacing w:line="400" w:lineRule="exact"/>
        <w:rPr>
          <w:rFonts w:hint="eastAsia" w:ascii="宋体" w:hAnsi="宋体" w:cs="宋体"/>
          <w:color w:val="auto"/>
          <w:sz w:val="24"/>
          <w:szCs w:val="24"/>
          <w:highlight w:val="none"/>
        </w:rPr>
      </w:pPr>
    </w:p>
    <w:p>
      <w:pPr>
        <w:spacing w:before="100" w:beforeAutospacing="1" w:after="100" w:afterAutospacing="1"/>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投标单位：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（法人公章）</w:t>
      </w:r>
    </w:p>
    <w:p>
      <w:pPr>
        <w:spacing w:before="100" w:beforeAutospacing="1" w:after="100" w:afterAutospacing="1"/>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　</w:t>
      </w:r>
    </w:p>
    <w:p>
      <w:pPr>
        <w:pStyle w:val="48"/>
        <w:tabs>
          <w:tab w:val="left" w:pos="540"/>
          <w:tab w:val="left" w:pos="1080"/>
        </w:tabs>
        <w:jc w:val="both"/>
        <w:rPr>
          <w:rFonts w:hint="eastAsia" w:ascii="宋体" w:hAnsi="宋体" w:eastAsia="宋体" w:cs="宋体"/>
          <w:b w:val="0"/>
          <w:bCs w:val="0"/>
          <w:color w:val="auto"/>
          <w:kern w:val="2"/>
          <w:sz w:val="24"/>
          <w:szCs w:val="24"/>
          <w:highlight w:val="none"/>
          <w:lang w:val="en-US" w:eastAsia="zh-CN" w:bidi="ar-SA"/>
        </w:rPr>
        <w:sectPr>
          <w:pgSz w:w="11906" w:h="16838"/>
          <w:pgMar w:top="1134" w:right="1797" w:bottom="1559"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val="0"/>
          <w:bCs w:val="0"/>
          <w:color w:val="auto"/>
          <w:kern w:val="2"/>
          <w:sz w:val="24"/>
          <w:szCs w:val="24"/>
          <w:highlight w:val="none"/>
          <w:lang w:val="en-US" w:eastAsia="zh-CN" w:bidi="ar-SA"/>
        </w:rPr>
        <w:t>日期：</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日</w:t>
      </w:r>
    </w:p>
    <w:p>
      <w:pPr>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、商务偏离表</w:t>
      </w: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p>
      <w:pPr>
        <w:pStyle w:val="8"/>
        <w:rPr>
          <w:rFonts w:hint="eastAsia" w:ascii="宋体" w:hAnsi="宋体" w:eastAsia="宋体" w:cs="宋体"/>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93"/>
        <w:gridCol w:w="2757"/>
        <w:gridCol w:w="1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493"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75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投标文件的商务条款</w:t>
            </w:r>
          </w:p>
        </w:tc>
        <w:tc>
          <w:tcPr>
            <w:tcW w:w="1984"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偏离情况</w:t>
            </w:r>
          </w:p>
        </w:tc>
        <w:tc>
          <w:tcPr>
            <w:tcW w:w="941"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1、本项目商务条款至少包括：采购内容、采购范围、投标保证金响应、合同履约期限、服务地点、投标文件有效期、付款方式</w:t>
      </w:r>
      <w:r>
        <w:rPr>
          <w:rFonts w:hint="eastAsia" w:ascii="宋体" w:hAnsi="宋体" w:cs="宋体"/>
          <w:color w:val="0000FF"/>
          <w:sz w:val="24"/>
          <w:szCs w:val="24"/>
          <w:highlight w:val="none"/>
          <w:lang w:val="en-US" w:eastAsia="zh-CN"/>
        </w:rPr>
        <w:t>、履约保证金</w:t>
      </w:r>
      <w:r>
        <w:rPr>
          <w:rFonts w:hint="eastAsia" w:ascii="宋体" w:hAnsi="宋体" w:eastAsia="宋体" w:cs="宋体"/>
          <w:color w:val="0000FF"/>
          <w:sz w:val="24"/>
          <w:szCs w:val="24"/>
          <w:highlight w:val="none"/>
          <w:lang w:val="en-US" w:eastAsia="zh-CN"/>
        </w:rPr>
        <w:t>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FF"/>
          <w:sz w:val="24"/>
          <w:szCs w:val="24"/>
          <w:highlight w:val="none"/>
        </w:rPr>
      </w:pPr>
    </w:p>
    <w:p>
      <w:pPr>
        <w:ind w:firstLine="720" w:firstLineChars="300"/>
        <w:rPr>
          <w:rFonts w:hint="eastAsia" w:ascii="宋体" w:hAnsi="宋体" w:eastAsia="宋体" w:cs="宋体"/>
          <w:color w:val="0000FF"/>
          <w:sz w:val="24"/>
          <w:szCs w:val="24"/>
          <w:highlight w:val="none"/>
          <w:lang w:val="en-US" w:eastAsia="zh-CN"/>
        </w:rPr>
      </w:pPr>
    </w:p>
    <w:p>
      <w:pPr>
        <w:rPr>
          <w:rFonts w:hint="eastAsia" w:ascii="宋体" w:hAnsi="宋体" w:eastAsia="宋体" w:cs="宋体"/>
          <w:color w:val="000000"/>
          <w:sz w:val="24"/>
          <w:szCs w:val="24"/>
          <w:highlight w:val="none"/>
        </w:rPr>
      </w:pP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ind w:firstLine="3120" w:firstLineChars="1300"/>
        <w:rPr>
          <w:rFonts w:hint="eastAsia" w:ascii="宋体" w:hAnsi="宋体" w:eastAsia="宋体" w:cs="宋体"/>
          <w:color w:val="000000"/>
          <w:sz w:val="24"/>
          <w:szCs w:val="24"/>
          <w:highlight w:val="none"/>
        </w:rPr>
      </w:pPr>
    </w:p>
    <w:p>
      <w:pPr>
        <w:autoSpaceDE w:val="0"/>
        <w:autoSpaceDN w:val="0"/>
        <w:adjustRightInd w:val="0"/>
        <w:ind w:left="220" w:leftChars="105" w:firstLine="360" w:firstLineChars="150"/>
        <w:jc w:val="center"/>
        <w:rPr>
          <w:rFonts w:hint="default" w:ascii="宋体" w:hAnsi="宋体" w:eastAsia="宋体" w:cs="宋体"/>
          <w:b/>
          <w:color w:val="000000"/>
          <w:kern w:val="0"/>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cs="宋体"/>
          <w:b/>
          <w:bCs/>
          <w:sz w:val="24"/>
          <w:szCs w:val="24"/>
          <w:highlight w:val="none"/>
          <w:lang w:val="en-US" w:eastAsia="zh-CN"/>
        </w:rPr>
        <w:t>7</w:t>
      </w:r>
      <w:r>
        <w:rPr>
          <w:rFonts w:hint="eastAsia" w:ascii="宋体" w:hAnsi="宋体" w:eastAsia="宋体" w:cs="宋体"/>
          <w:b/>
          <w:bCs/>
          <w:color w:val="000000"/>
          <w:kern w:val="0"/>
          <w:sz w:val="24"/>
          <w:szCs w:val="24"/>
          <w:highlight w:val="none"/>
          <w:lang w:val="en-US" w:eastAsia="zh-CN"/>
        </w:rPr>
        <w:t>、财务状况</w:t>
      </w:r>
    </w:p>
    <w:p>
      <w:pPr>
        <w:pStyle w:val="25"/>
        <w:numPr>
          <w:ilvl w:val="0"/>
          <w:numId w:val="0"/>
        </w:numPr>
        <w:ind w:leftChars="400"/>
        <w:rPr>
          <w:rFonts w:hint="eastAsia" w:ascii="宋体" w:hAnsi="宋体" w:eastAsia="宋体" w:cs="宋体"/>
          <w:sz w:val="24"/>
          <w:szCs w:val="24"/>
          <w:highlight w:val="none"/>
          <w:lang w:eastAsia="zh-CN"/>
        </w:rPr>
      </w:pPr>
    </w:p>
    <w:p>
      <w:pPr>
        <w:pStyle w:val="25"/>
        <w:numPr>
          <w:ilvl w:val="0"/>
          <w:numId w:val="0"/>
        </w:numPr>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提供2021年财务审计报告（2021年10月以后新成立公司可不提供审计报告但须提供公司财务制度和银行资信证明）。</w:t>
      </w: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jc w:val="both"/>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zh-CN"/>
        </w:rPr>
      </w:pPr>
      <w:r>
        <w:rPr>
          <w:rFonts w:hint="eastAsia" w:ascii="宋体" w:hAnsi="宋体" w:cs="宋体"/>
          <w:b/>
          <w:color w:val="000000"/>
          <w:kern w:val="0"/>
          <w:sz w:val="24"/>
          <w:szCs w:val="24"/>
          <w:highlight w:val="none"/>
          <w:lang w:val="en-US" w:eastAsia="zh-CN"/>
        </w:rPr>
        <w:t>8</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供应商反商业贿赂承诺书</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Autospacing="1" w:after="100" w:afterAutospacing="1"/>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项目经办人签字：</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spacing w:before="100" w:beforeAutospacing="1" w:after="10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numPr>
          <w:ilvl w:val="0"/>
          <w:numId w:val="0"/>
        </w:numPr>
        <w:jc w:val="left"/>
        <w:rPr>
          <w:rFonts w:hint="eastAsia" w:ascii="宋体" w:hAnsi="宋体" w:eastAsia="宋体" w:cs="宋体"/>
          <w:b/>
          <w:bCs/>
          <w:color w:val="000000"/>
          <w:sz w:val="24"/>
          <w:szCs w:val="24"/>
          <w:highlight w:val="none"/>
          <w:lang w:val="zh-CN"/>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lang w:val="en-US" w:eastAsia="zh-CN"/>
        </w:rPr>
        <w:t>、投标保证金</w:t>
      </w: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FF"/>
          <w:sz w:val="24"/>
          <w:szCs w:val="24"/>
          <w:highlight w:val="none"/>
          <w:lang w:val="en-US" w:eastAsia="zh-CN"/>
        </w:rPr>
        <w:t>附：投标保证金收据</w:t>
      </w:r>
      <w:r>
        <w:rPr>
          <w:rFonts w:hint="eastAsia" w:ascii="宋体" w:hAnsi="宋体" w:cs="宋体"/>
          <w:b/>
          <w:bCs/>
          <w:color w:val="0000FF"/>
          <w:sz w:val="24"/>
          <w:szCs w:val="24"/>
          <w:highlight w:val="none"/>
          <w:lang w:val="en-US" w:eastAsia="zh-CN"/>
        </w:rPr>
        <w:t>（复印件）</w:t>
      </w: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、资格文件</w:t>
      </w:r>
    </w:p>
    <w:p>
      <w:pPr>
        <w:pageBreakBefore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-1</w:t>
      </w:r>
      <w:bookmarkStart w:id="172" w:name="_Toc221335787"/>
      <w:r>
        <w:rPr>
          <w:rFonts w:hint="eastAsia" w:ascii="宋体" w:hAnsi="宋体" w:eastAsia="宋体" w:cs="宋体"/>
          <w:b/>
          <w:bCs/>
          <w:color w:val="000000"/>
          <w:sz w:val="24"/>
          <w:szCs w:val="24"/>
          <w:highlight w:val="none"/>
        </w:rPr>
        <w:t xml:space="preserve"> </w:t>
      </w:r>
      <w:bookmarkEnd w:id="172"/>
      <w:r>
        <w:rPr>
          <w:rFonts w:hint="eastAsia" w:ascii="宋体" w:hAnsi="宋体" w:eastAsia="宋体" w:cs="宋体"/>
          <w:b/>
          <w:bCs/>
          <w:color w:val="000000"/>
          <w:sz w:val="24"/>
          <w:szCs w:val="24"/>
          <w:highlight w:val="none"/>
        </w:rPr>
        <w:t>营业执照或民办非企业单位登记证书</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附：经年检合格的</w:t>
      </w:r>
      <w:r>
        <w:rPr>
          <w:rFonts w:hint="eastAsia" w:ascii="宋体" w:hAnsi="宋体" w:cs="宋体"/>
          <w:color w:val="000000"/>
          <w:kern w:val="2"/>
          <w:sz w:val="24"/>
          <w:szCs w:val="24"/>
          <w:highlight w:val="none"/>
          <w:lang w:val="en-US" w:eastAsia="zh-CN" w:bidi="ar-SA"/>
        </w:rPr>
        <w:t>营业执照或民办非企业单位登记证书</w:t>
      </w: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-2招标文件要求的其它资质证书</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如有</w:t>
      </w:r>
      <w:r>
        <w:rPr>
          <w:rFonts w:hint="eastAsia" w:ascii="宋体" w:hAnsi="宋体" w:eastAsia="宋体" w:cs="宋体"/>
          <w:color w:val="000000"/>
          <w:sz w:val="24"/>
          <w:szCs w:val="24"/>
          <w:highlight w:val="none"/>
          <w:lang w:eastAsia="zh-CN"/>
        </w:rPr>
        <w:t>要求</w:t>
      </w:r>
      <w:r>
        <w:rPr>
          <w:rFonts w:hint="eastAsia" w:ascii="宋体" w:hAnsi="宋体" w:eastAsia="宋体" w:cs="宋体"/>
          <w:color w:val="000000"/>
          <w:sz w:val="24"/>
          <w:szCs w:val="24"/>
          <w:highlight w:val="none"/>
        </w:rPr>
        <w:t>，附复印件</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-3完税证明</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auto"/>
          <w:kern w:val="0"/>
          <w:sz w:val="24"/>
          <w:szCs w:val="24"/>
          <w:lang w:val="en-US" w:eastAsia="zh-CN"/>
        </w:rPr>
        <w:t>税务机关出具的2021年以来近三个月的完税证明（2021年12月份后成立的公司按实际发生提供）</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10"/>
        <w:jc w:val="left"/>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0</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人员配备</w:t>
      </w:r>
    </w:p>
    <w:p>
      <w:pPr>
        <w:jc w:val="left"/>
        <w:rPr>
          <w:rFonts w:hint="eastAsia"/>
          <w:highlight w:val="none"/>
        </w:rPr>
      </w:pPr>
    </w:p>
    <w:p>
      <w:pPr>
        <w:jc w:val="left"/>
        <w:rPr>
          <w:rFonts w:hint="eastAsia" w:eastAsia="宋体"/>
          <w:highlight w:val="none"/>
          <w:lang w:eastAsia="zh-CN"/>
        </w:rPr>
      </w:pPr>
      <w:r>
        <w:rPr>
          <w:rFonts w:hint="eastAsia" w:ascii="宋体" w:hAnsi="宋体" w:cs="宋体"/>
          <w:sz w:val="24"/>
          <w:szCs w:val="24"/>
          <w:highlight w:val="none"/>
          <w:lang w:val="en-US" w:eastAsia="zh-CN"/>
        </w:rPr>
        <w:t>拟投入本项目的</w:t>
      </w:r>
      <w:r>
        <w:rPr>
          <w:rFonts w:hint="eastAsia" w:ascii="宋体" w:hAnsi="宋体" w:cs="宋体"/>
          <w:sz w:val="24"/>
          <w:szCs w:val="24"/>
          <w:highlight w:val="none"/>
        </w:rPr>
        <w:t>人员配备情况（格式投标人自拟），并附人员相关证件</w:t>
      </w:r>
      <w:r>
        <w:rPr>
          <w:rFonts w:hint="eastAsia" w:ascii="宋体" w:hAnsi="宋体" w:cs="宋体"/>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w:t>
      </w:r>
      <w:r>
        <w:rPr>
          <w:rFonts w:hint="eastAsia"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-5信用查询截图</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color w:val="000000"/>
          <w:kern w:val="2"/>
          <w:sz w:val="24"/>
          <w:szCs w:val="24"/>
          <w:highlight w:val="none"/>
          <w:lang w:val="en-US" w:eastAsia="zh-CN" w:bidi="ar-SA"/>
        </w:rPr>
        <w:t>附：</w:t>
      </w:r>
      <w:r>
        <w:rPr>
          <w:rFonts w:hint="eastAsia" w:ascii="宋体" w:hAnsi="宋体" w:eastAsia="宋体" w:cs="宋体"/>
          <w:sz w:val="24"/>
          <w:szCs w:val="24"/>
          <w:highlight w:val="none"/>
          <w:lang w:eastAsia="zh-CN"/>
        </w:rPr>
        <w:t>“信用中国”网站（WWW.creditchina.gov.cn）、中国政府采购（www.ccgp.gov.cn）、国家企业信用信息公示系统（http://www.gsxt.gov.cn）</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个网站的网页截图。</w:t>
      </w:r>
      <w:r>
        <w:rPr>
          <w:rFonts w:hint="eastAsia" w:ascii="宋体" w:hAnsi="宋体" w:eastAsia="宋体" w:cs="宋体"/>
          <w:b/>
          <w:bCs/>
          <w:color w:val="0000FF"/>
          <w:sz w:val="24"/>
          <w:szCs w:val="24"/>
          <w:highlight w:val="none"/>
          <w:lang w:eastAsia="zh-CN"/>
        </w:rPr>
        <w:t>（此项为评审项，如缺少将否决投标）</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val="en-US" w:eastAsia="zh-CN"/>
        </w:rPr>
      </w:pPr>
    </w:p>
    <w:p>
      <w:pPr>
        <w:spacing w:line="420" w:lineRule="exact"/>
        <w:jc w:val="left"/>
        <w:rPr>
          <w:rFonts w:hint="eastAsia" w:ascii="宋体" w:hAnsi="宋体" w:eastAsia="宋体" w:cs="宋体"/>
          <w:sz w:val="24"/>
          <w:szCs w:val="24"/>
          <w:highlight w:val="none"/>
        </w:rPr>
      </w:pPr>
      <w:r>
        <w:rPr>
          <w:rFonts w:hint="eastAsia" w:ascii="宋体" w:hAnsi="宋体" w:eastAsia="宋体" w:cs="宋体"/>
          <w:b/>
          <w:bCs/>
          <w:color w:val="000000"/>
          <w:kern w:val="2"/>
          <w:sz w:val="24"/>
          <w:szCs w:val="24"/>
          <w:highlight w:val="none"/>
          <w:lang w:val="en-US" w:eastAsia="zh-CN" w:bidi="ar-SA"/>
        </w:rPr>
        <w:t>1</w:t>
      </w:r>
      <w:r>
        <w:rPr>
          <w:rFonts w:hint="eastAsia" w:ascii="宋体" w:hAnsi="宋体"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w:t>
      </w:r>
      <w:r>
        <w:rPr>
          <w:rFonts w:hint="eastAsia" w:ascii="宋体" w:hAnsi="宋体" w:cs="宋体"/>
          <w:b/>
          <w:bCs/>
          <w:color w:val="000000"/>
          <w:kern w:val="2"/>
          <w:sz w:val="24"/>
          <w:szCs w:val="24"/>
          <w:highlight w:val="none"/>
          <w:lang w:val="en-US" w:eastAsia="zh-CN" w:bidi="ar-SA"/>
        </w:rPr>
        <w:t>6</w:t>
      </w:r>
      <w:r>
        <w:rPr>
          <w:rFonts w:hint="eastAsia" w:ascii="宋体" w:hAnsi="宋体" w:eastAsia="宋体" w:cs="宋体"/>
          <w:b/>
          <w:bCs/>
          <w:color w:val="000000"/>
          <w:kern w:val="2"/>
          <w:sz w:val="24"/>
          <w:szCs w:val="24"/>
          <w:highlight w:val="none"/>
          <w:lang w:val="en-US" w:eastAsia="zh-CN" w:bidi="ar-SA"/>
        </w:rPr>
        <w:t>投标人认为有必要提供的其它资格文件</w:t>
      </w: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numPr>
          <w:ilvl w:val="0"/>
          <w:numId w:val="0"/>
        </w:numPr>
        <w:jc w:val="both"/>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both"/>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0"/>
        </w:numPr>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cs="宋体"/>
          <w:b/>
          <w:bCs w:val="0"/>
          <w:color w:val="auto"/>
          <w:kern w:val="2"/>
          <w:sz w:val="24"/>
          <w:szCs w:val="24"/>
          <w:highlight w:val="none"/>
          <w:lang w:val="en-US" w:eastAsia="zh-CN" w:bidi="ar-SA"/>
        </w:rPr>
        <w:t>1</w:t>
      </w:r>
      <w:r>
        <w:rPr>
          <w:rFonts w:hint="eastAsia" w:ascii="宋体" w:hAnsi="宋体" w:eastAsia="宋体" w:cs="宋体"/>
          <w:b/>
          <w:bCs w:val="0"/>
          <w:color w:val="auto"/>
          <w:kern w:val="2"/>
          <w:sz w:val="24"/>
          <w:szCs w:val="24"/>
          <w:highlight w:val="none"/>
          <w:lang w:val="en-US" w:eastAsia="zh-CN" w:bidi="ar-SA"/>
        </w:rPr>
        <w:t>、投标人认为有必要提供的声明及文件资料</w:t>
      </w:r>
    </w:p>
    <w:p>
      <w:pPr>
        <w:autoSpaceDE w:val="0"/>
        <w:autoSpaceDN w:val="0"/>
        <w:adjustRightInd w:val="0"/>
        <w:jc w:val="left"/>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投标人自行编制</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rPr>
          <w:rFonts w:hint="eastAsia" w:ascii="宋体" w:hAnsi="宋体" w:eastAsia="宋体" w:cs="宋体"/>
          <w:b/>
          <w:bCs/>
          <w:color w:val="000000"/>
          <w:sz w:val="24"/>
          <w:szCs w:val="24"/>
          <w:highlight w:val="none"/>
        </w:rPr>
      </w:pPr>
    </w:p>
    <w:p>
      <w:pPr>
        <w:rPr>
          <w:rFonts w:hint="eastAsia" w:ascii="宋体" w:hAnsi="宋体" w:eastAsia="宋体" w:cs="宋体"/>
          <w:b/>
          <w:bCs/>
          <w:color w:val="000000"/>
          <w:sz w:val="24"/>
          <w:szCs w:val="24"/>
          <w:highlight w:val="none"/>
        </w:rPr>
      </w:pPr>
    </w:p>
    <w:p>
      <w:pPr>
        <w:pStyle w:val="8"/>
        <w:rPr>
          <w:rFonts w:hint="eastAsia" w:ascii="宋体" w:hAnsi="宋体" w:eastAsia="宋体" w:cs="宋体"/>
          <w:sz w:val="24"/>
          <w:szCs w:val="24"/>
          <w:highlight w:val="none"/>
        </w:rPr>
      </w:pPr>
    </w:p>
    <w:p>
      <w:pP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ind w:left="0" w:leftChars="0" w:firstLine="0" w:firstLineChars="0"/>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w:t>
      </w:r>
    </w:p>
    <w:p>
      <w:pPr>
        <w:pStyle w:val="7"/>
        <w:rPr>
          <w:rFonts w:hint="eastAsia"/>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技术部分</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941" w:leftChars="57" w:hanging="2821" w:hangingChars="1171"/>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技术部分应包括以下内容：</w:t>
      </w:r>
    </w:p>
    <w:p>
      <w:pPr>
        <w:jc w:val="both"/>
        <w:rPr>
          <w:rFonts w:hint="eastAsia" w:ascii="宋体" w:hAnsi="宋体" w:eastAsia="宋体" w:cs="宋体"/>
          <w:b/>
          <w:color w:val="000000"/>
          <w:sz w:val="24"/>
          <w:szCs w:val="24"/>
          <w:highlight w:val="none"/>
        </w:rPr>
      </w:pP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1、项目整体实施方案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培训方案</w:t>
      </w:r>
      <w:r>
        <w:rPr>
          <w:rFonts w:hint="eastAsia" w:ascii="宋体" w:hAnsi="宋体" w:cs="宋体"/>
          <w:color w:val="auto"/>
          <w:sz w:val="24"/>
          <w:szCs w:val="24"/>
          <w:highlight w:val="none"/>
          <w:lang w:val="en-US" w:eastAsia="zh-CN"/>
        </w:rPr>
        <w:t>（课程安排）</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2、服务承诺；（格式自拟）</w:t>
      </w:r>
    </w:p>
    <w:p>
      <w:pPr>
        <w:spacing w:before="68" w:line="360" w:lineRule="auto"/>
        <w:ind w:firstLine="463" w:firstLineChars="19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360" w:lineRule="auto"/>
        <w:ind w:firstLine="460" w:firstLineChars="19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、投标人认为有必要提供的技术资料。</w:t>
      </w:r>
    </w:p>
    <w:p>
      <w:pPr>
        <w:widowControl/>
        <w:spacing w:line="400" w:lineRule="exact"/>
        <w:rPr>
          <w:rFonts w:hint="eastAsia" w:ascii="宋体" w:hAnsi="宋体" w:eastAsia="宋体" w:cs="宋体"/>
          <w:color w:val="0000FF"/>
          <w:sz w:val="24"/>
          <w:szCs w:val="24"/>
          <w:highlight w:val="none"/>
          <w:lang w:eastAsia="zh-CN"/>
        </w:rPr>
      </w:pPr>
    </w:p>
    <w:p>
      <w:pPr>
        <w:widowControl/>
        <w:spacing w:line="400" w:lineRule="exact"/>
        <w:rPr>
          <w:rFonts w:hint="eastAsia" w:ascii="宋体" w:hAnsi="宋体" w:eastAsia="宋体" w:cs="宋体"/>
        </w:rPr>
      </w:pPr>
      <w:r>
        <w:rPr>
          <w:rFonts w:hint="eastAsia" w:ascii="宋体" w:hAnsi="宋体" w:eastAsia="宋体" w:cs="宋体"/>
          <w:b/>
          <w:color w:val="000000"/>
          <w:sz w:val="24"/>
          <w:szCs w:val="24"/>
          <w:highlight w:val="none"/>
          <w:lang w:val="en-US" w:eastAsia="zh-CN"/>
        </w:rPr>
        <w:t xml:space="preserve">                               </w:t>
      </w:r>
      <w:bookmarkEnd w:id="170"/>
      <w:bookmarkEnd w:id="171"/>
    </w:p>
    <w:sectPr>
      <w:headerReference r:id="rId6" w:type="default"/>
      <w:footerReference r:id="rId7"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v:textbox>
            </v:shape>
          </w:pict>
        </mc:Fallback>
      </mc:AlternateContent>
    </w:r>
  </w:p>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vSIcIBAACO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3r0iH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after="84"/>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B806"/>
    <w:multiLevelType w:val="singleLevel"/>
    <w:tmpl w:val="9401B806"/>
    <w:lvl w:ilvl="0" w:tentative="0">
      <w:start w:val="3"/>
      <w:numFmt w:val="chineseCounting"/>
      <w:suff w:val="nothing"/>
      <w:lvlText w:val="第%1章、"/>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2"/>
      <w:numFmt w:val="decimal"/>
      <w:suff w:val="space"/>
      <w:lvlText w:val="%1、"/>
      <w:lvlJc w:val="left"/>
    </w:lvl>
  </w:abstractNum>
  <w:abstractNum w:abstractNumId="5">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000A"/>
    <w:multiLevelType w:val="multilevel"/>
    <w:tmpl w:val="0000000A"/>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4"/>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7">
    <w:nsid w:val="3287E947"/>
    <w:multiLevelType w:val="singleLevel"/>
    <w:tmpl w:val="3287E947"/>
    <w:lvl w:ilvl="0" w:tentative="0">
      <w:start w:val="3"/>
      <w:numFmt w:val="chineseCounting"/>
      <w:suff w:val="nothing"/>
      <w:lvlText w:val="%1、"/>
      <w:lvlJc w:val="left"/>
      <w:rPr>
        <w:rFonts w:hint="eastAsia"/>
      </w:r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637B"/>
    <w:rsid w:val="000C1451"/>
    <w:rsid w:val="00145F98"/>
    <w:rsid w:val="002B66EF"/>
    <w:rsid w:val="003913B3"/>
    <w:rsid w:val="004543AC"/>
    <w:rsid w:val="00561A8F"/>
    <w:rsid w:val="00740890"/>
    <w:rsid w:val="00746C85"/>
    <w:rsid w:val="00791D6E"/>
    <w:rsid w:val="008B2302"/>
    <w:rsid w:val="008E21D0"/>
    <w:rsid w:val="009364C7"/>
    <w:rsid w:val="00965EBF"/>
    <w:rsid w:val="00984428"/>
    <w:rsid w:val="009B3ACF"/>
    <w:rsid w:val="009F4DD3"/>
    <w:rsid w:val="00B00A56"/>
    <w:rsid w:val="00B61F98"/>
    <w:rsid w:val="00B97A3C"/>
    <w:rsid w:val="00BE6F1C"/>
    <w:rsid w:val="00C55949"/>
    <w:rsid w:val="00C82A1E"/>
    <w:rsid w:val="00D4613E"/>
    <w:rsid w:val="00D81414"/>
    <w:rsid w:val="00D9326E"/>
    <w:rsid w:val="00F36EF5"/>
    <w:rsid w:val="00F735C3"/>
    <w:rsid w:val="00FC1304"/>
    <w:rsid w:val="00FC2C02"/>
    <w:rsid w:val="00FD3A5B"/>
    <w:rsid w:val="011474B2"/>
    <w:rsid w:val="01D5264E"/>
    <w:rsid w:val="02254726"/>
    <w:rsid w:val="0270045C"/>
    <w:rsid w:val="03851221"/>
    <w:rsid w:val="04277401"/>
    <w:rsid w:val="04AF5DFE"/>
    <w:rsid w:val="05654685"/>
    <w:rsid w:val="05E1620A"/>
    <w:rsid w:val="05EE64A2"/>
    <w:rsid w:val="07762B7A"/>
    <w:rsid w:val="07854B6B"/>
    <w:rsid w:val="078D3B0A"/>
    <w:rsid w:val="079254DA"/>
    <w:rsid w:val="07933371"/>
    <w:rsid w:val="07F517D6"/>
    <w:rsid w:val="084D1D7B"/>
    <w:rsid w:val="08F05F2F"/>
    <w:rsid w:val="096545A8"/>
    <w:rsid w:val="0AA2391D"/>
    <w:rsid w:val="0B073E1A"/>
    <w:rsid w:val="0BAF49D6"/>
    <w:rsid w:val="0BDD54CA"/>
    <w:rsid w:val="0C903265"/>
    <w:rsid w:val="0DC766F1"/>
    <w:rsid w:val="0E464928"/>
    <w:rsid w:val="0E971B6C"/>
    <w:rsid w:val="0F1113DA"/>
    <w:rsid w:val="0F5017FF"/>
    <w:rsid w:val="0FB02B1B"/>
    <w:rsid w:val="1103023A"/>
    <w:rsid w:val="11244F9E"/>
    <w:rsid w:val="117B2B3A"/>
    <w:rsid w:val="11BB0A89"/>
    <w:rsid w:val="120006B2"/>
    <w:rsid w:val="124226DD"/>
    <w:rsid w:val="13DA5A10"/>
    <w:rsid w:val="149B16E7"/>
    <w:rsid w:val="15C52FA8"/>
    <w:rsid w:val="15C9701E"/>
    <w:rsid w:val="168A03C8"/>
    <w:rsid w:val="16BC2AB7"/>
    <w:rsid w:val="17852965"/>
    <w:rsid w:val="1796247C"/>
    <w:rsid w:val="17CC6884"/>
    <w:rsid w:val="18571F2A"/>
    <w:rsid w:val="186758E5"/>
    <w:rsid w:val="198454BD"/>
    <w:rsid w:val="1A70062B"/>
    <w:rsid w:val="1ACC15FD"/>
    <w:rsid w:val="1BEB5B55"/>
    <w:rsid w:val="1E562334"/>
    <w:rsid w:val="1E5E181A"/>
    <w:rsid w:val="1EA2383F"/>
    <w:rsid w:val="203E7020"/>
    <w:rsid w:val="20F61559"/>
    <w:rsid w:val="21423211"/>
    <w:rsid w:val="219944E7"/>
    <w:rsid w:val="2354388F"/>
    <w:rsid w:val="23C7467A"/>
    <w:rsid w:val="23ED3E7B"/>
    <w:rsid w:val="248A3AA1"/>
    <w:rsid w:val="258C4EBE"/>
    <w:rsid w:val="261750B6"/>
    <w:rsid w:val="265D2D6A"/>
    <w:rsid w:val="271B5EA2"/>
    <w:rsid w:val="274517C9"/>
    <w:rsid w:val="27C748D4"/>
    <w:rsid w:val="287B2AE2"/>
    <w:rsid w:val="290B257D"/>
    <w:rsid w:val="297E391D"/>
    <w:rsid w:val="298F232A"/>
    <w:rsid w:val="2B2D4E83"/>
    <w:rsid w:val="2B3A44D1"/>
    <w:rsid w:val="2BFB35C4"/>
    <w:rsid w:val="2D0C02CC"/>
    <w:rsid w:val="2DBA08B0"/>
    <w:rsid w:val="2DEB4C16"/>
    <w:rsid w:val="2FAB6EAB"/>
    <w:rsid w:val="2FBC45F2"/>
    <w:rsid w:val="30071D11"/>
    <w:rsid w:val="30502334"/>
    <w:rsid w:val="309D217C"/>
    <w:rsid w:val="30CD60BF"/>
    <w:rsid w:val="31D73965"/>
    <w:rsid w:val="32121E5E"/>
    <w:rsid w:val="32253C10"/>
    <w:rsid w:val="32DC7485"/>
    <w:rsid w:val="32F21F1D"/>
    <w:rsid w:val="33BE5F86"/>
    <w:rsid w:val="33C70135"/>
    <w:rsid w:val="34D11356"/>
    <w:rsid w:val="34DB0CBB"/>
    <w:rsid w:val="35033E79"/>
    <w:rsid w:val="35D501BC"/>
    <w:rsid w:val="35F76A56"/>
    <w:rsid w:val="366970D4"/>
    <w:rsid w:val="3706212C"/>
    <w:rsid w:val="377E1242"/>
    <w:rsid w:val="384A774A"/>
    <w:rsid w:val="38CD0D4F"/>
    <w:rsid w:val="39846181"/>
    <w:rsid w:val="39C72511"/>
    <w:rsid w:val="39DA5780"/>
    <w:rsid w:val="3A5366D2"/>
    <w:rsid w:val="3A5448DC"/>
    <w:rsid w:val="3AB331C1"/>
    <w:rsid w:val="3ABF4D7D"/>
    <w:rsid w:val="3B5C4DD9"/>
    <w:rsid w:val="3B8C57C0"/>
    <w:rsid w:val="3BA35557"/>
    <w:rsid w:val="3BD24A47"/>
    <w:rsid w:val="3CBC26A0"/>
    <w:rsid w:val="3CC84F02"/>
    <w:rsid w:val="3DDE51CC"/>
    <w:rsid w:val="3EEE7806"/>
    <w:rsid w:val="3F1F3A3D"/>
    <w:rsid w:val="3F32042D"/>
    <w:rsid w:val="40370F3B"/>
    <w:rsid w:val="40436D96"/>
    <w:rsid w:val="40D342AE"/>
    <w:rsid w:val="40F80900"/>
    <w:rsid w:val="41416411"/>
    <w:rsid w:val="417C6A8C"/>
    <w:rsid w:val="41912A36"/>
    <w:rsid w:val="424C4CBC"/>
    <w:rsid w:val="427151A8"/>
    <w:rsid w:val="43671615"/>
    <w:rsid w:val="43A15B81"/>
    <w:rsid w:val="43B16FF6"/>
    <w:rsid w:val="43CE14F2"/>
    <w:rsid w:val="43EE7018"/>
    <w:rsid w:val="44A8366B"/>
    <w:rsid w:val="44DA2E12"/>
    <w:rsid w:val="44E03A12"/>
    <w:rsid w:val="45191087"/>
    <w:rsid w:val="45E430C1"/>
    <w:rsid w:val="462907DC"/>
    <w:rsid w:val="46334E11"/>
    <w:rsid w:val="464F674F"/>
    <w:rsid w:val="47657589"/>
    <w:rsid w:val="47A44A59"/>
    <w:rsid w:val="47C04462"/>
    <w:rsid w:val="486B5192"/>
    <w:rsid w:val="488324F6"/>
    <w:rsid w:val="48D55D39"/>
    <w:rsid w:val="495E6D91"/>
    <w:rsid w:val="4A1323A4"/>
    <w:rsid w:val="4A1825EB"/>
    <w:rsid w:val="4A241AD5"/>
    <w:rsid w:val="4A6C513B"/>
    <w:rsid w:val="4A705B11"/>
    <w:rsid w:val="4A7B4B28"/>
    <w:rsid w:val="4A95656D"/>
    <w:rsid w:val="4AAF6DD6"/>
    <w:rsid w:val="4B045F14"/>
    <w:rsid w:val="4B1812D8"/>
    <w:rsid w:val="4B674B1E"/>
    <w:rsid w:val="4B9F1B8C"/>
    <w:rsid w:val="4C77528C"/>
    <w:rsid w:val="4CBD0457"/>
    <w:rsid w:val="4D986247"/>
    <w:rsid w:val="4DBE5CAD"/>
    <w:rsid w:val="4E21054A"/>
    <w:rsid w:val="4E3A2E66"/>
    <w:rsid w:val="4E8B7676"/>
    <w:rsid w:val="4F9F022F"/>
    <w:rsid w:val="4F9F566B"/>
    <w:rsid w:val="4FAF682F"/>
    <w:rsid w:val="4FC34284"/>
    <w:rsid w:val="4FFE502F"/>
    <w:rsid w:val="50004A95"/>
    <w:rsid w:val="506D4929"/>
    <w:rsid w:val="50D9126A"/>
    <w:rsid w:val="51F64A09"/>
    <w:rsid w:val="52B50F48"/>
    <w:rsid w:val="53397238"/>
    <w:rsid w:val="534D119B"/>
    <w:rsid w:val="53E21FCA"/>
    <w:rsid w:val="54CA1F77"/>
    <w:rsid w:val="54D67D81"/>
    <w:rsid w:val="55C72FEB"/>
    <w:rsid w:val="56CC05D2"/>
    <w:rsid w:val="56E30533"/>
    <w:rsid w:val="57A56642"/>
    <w:rsid w:val="5828461F"/>
    <w:rsid w:val="58CD73F0"/>
    <w:rsid w:val="5930603D"/>
    <w:rsid w:val="595E20F3"/>
    <w:rsid w:val="5A2F1CE1"/>
    <w:rsid w:val="5B995664"/>
    <w:rsid w:val="5BE3683F"/>
    <w:rsid w:val="5C741C2D"/>
    <w:rsid w:val="5C9E334A"/>
    <w:rsid w:val="5CED1068"/>
    <w:rsid w:val="5D870632"/>
    <w:rsid w:val="5DE3706A"/>
    <w:rsid w:val="5E112834"/>
    <w:rsid w:val="5EBF1885"/>
    <w:rsid w:val="5F1E79F9"/>
    <w:rsid w:val="5FB011CE"/>
    <w:rsid w:val="5FEA1D6A"/>
    <w:rsid w:val="6009431E"/>
    <w:rsid w:val="601E5F5E"/>
    <w:rsid w:val="609864D9"/>
    <w:rsid w:val="60D82592"/>
    <w:rsid w:val="61C221EB"/>
    <w:rsid w:val="62EC076F"/>
    <w:rsid w:val="63115B3B"/>
    <w:rsid w:val="63154E00"/>
    <w:rsid w:val="645F1C23"/>
    <w:rsid w:val="64A10300"/>
    <w:rsid w:val="65164DEB"/>
    <w:rsid w:val="654119AE"/>
    <w:rsid w:val="655D7702"/>
    <w:rsid w:val="65CC0ADF"/>
    <w:rsid w:val="667C04A1"/>
    <w:rsid w:val="66FC541B"/>
    <w:rsid w:val="670B5D1A"/>
    <w:rsid w:val="67785B0F"/>
    <w:rsid w:val="681B5376"/>
    <w:rsid w:val="681E1A03"/>
    <w:rsid w:val="682F44F1"/>
    <w:rsid w:val="683E4589"/>
    <w:rsid w:val="685F66ED"/>
    <w:rsid w:val="68B166E3"/>
    <w:rsid w:val="69605A13"/>
    <w:rsid w:val="69950B4A"/>
    <w:rsid w:val="6B1B7E43"/>
    <w:rsid w:val="6B56770D"/>
    <w:rsid w:val="6B633598"/>
    <w:rsid w:val="6BC32289"/>
    <w:rsid w:val="6BDD334B"/>
    <w:rsid w:val="6C5F3CA6"/>
    <w:rsid w:val="6D510F2F"/>
    <w:rsid w:val="6E7E197D"/>
    <w:rsid w:val="6E934195"/>
    <w:rsid w:val="6F114EF6"/>
    <w:rsid w:val="6F53446B"/>
    <w:rsid w:val="6FBF29F0"/>
    <w:rsid w:val="6FCD682F"/>
    <w:rsid w:val="6FCF7432"/>
    <w:rsid w:val="6FEA0DFA"/>
    <w:rsid w:val="70B56644"/>
    <w:rsid w:val="71430D61"/>
    <w:rsid w:val="714874B8"/>
    <w:rsid w:val="71CF3736"/>
    <w:rsid w:val="71FE109B"/>
    <w:rsid w:val="720D0D28"/>
    <w:rsid w:val="72314866"/>
    <w:rsid w:val="72451C4A"/>
    <w:rsid w:val="72B666A4"/>
    <w:rsid w:val="73A56C6B"/>
    <w:rsid w:val="75C90A12"/>
    <w:rsid w:val="76085DD4"/>
    <w:rsid w:val="763A3F76"/>
    <w:rsid w:val="76A827A7"/>
    <w:rsid w:val="76BA4B04"/>
    <w:rsid w:val="76CE5BD6"/>
    <w:rsid w:val="77004391"/>
    <w:rsid w:val="77950CD1"/>
    <w:rsid w:val="791B2D9D"/>
    <w:rsid w:val="79C651EA"/>
    <w:rsid w:val="7B9E7887"/>
    <w:rsid w:val="7C5036C5"/>
    <w:rsid w:val="7D31246A"/>
    <w:rsid w:val="7D6876FE"/>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outlineLvl w:val="0"/>
    </w:pPr>
    <w:rPr>
      <w:rFonts w:ascii="仿宋_GB2312"/>
      <w:sz w:val="32"/>
    </w:rPr>
  </w:style>
  <w:style w:type="paragraph" w:styleId="6">
    <w:name w:val="heading 2"/>
    <w:basedOn w:val="1"/>
    <w:next w:val="1"/>
    <w:link w:val="49"/>
    <w:qFormat/>
    <w:uiPriority w:val="0"/>
    <w:pPr>
      <w:keepNext/>
      <w:widowControl/>
      <w:spacing w:before="240" w:after="120"/>
      <w:jc w:val="left"/>
      <w:outlineLvl w:val="1"/>
    </w:pPr>
    <w:rPr>
      <w:b/>
      <w:kern w:val="0"/>
      <w:sz w:val="28"/>
      <w:szCs w:val="20"/>
    </w:rPr>
  </w:style>
  <w:style w:type="paragraph" w:styleId="7">
    <w:name w:val="heading 3"/>
    <w:basedOn w:val="1"/>
    <w:next w:val="1"/>
    <w:link w:val="56"/>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1"/>
      </w:numPr>
      <w:spacing w:line="360" w:lineRule="auto"/>
      <w:outlineLvl w:val="3"/>
    </w:pPr>
    <w:rPr>
      <w:rFonts w:ascii="Arial" w:hAnsi="Arial" w:eastAsia="宋体" w:cs="Times New Roman"/>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4"/>
    <w:qFormat/>
    <w:uiPriority w:val="0"/>
    <w:pPr>
      <w:tabs>
        <w:tab w:val="center" w:pos="4153"/>
        <w:tab w:val="right" w:pos="8306"/>
      </w:tabs>
    </w:pPr>
  </w:style>
  <w:style w:type="paragraph" w:styleId="3">
    <w:name w:val="toa heading"/>
    <w:basedOn w:val="1"/>
    <w:next w:val="1"/>
    <w:qFormat/>
    <w:uiPriority w:val="99"/>
    <w:pPr>
      <w:spacing w:before="120"/>
    </w:pPr>
    <w:rPr>
      <w:rFonts w:ascii="Arial" w:hAnsi="Arial" w:eastAsia="仿宋"/>
      <w:sz w:val="24"/>
      <w:szCs w:val="20"/>
    </w:rPr>
  </w:style>
  <w:style w:type="paragraph" w:styleId="8">
    <w:name w:val="Normal Indent"/>
    <w:basedOn w:val="1"/>
    <w:next w:val="1"/>
    <w:qFormat/>
    <w:uiPriority w:val="0"/>
    <w:pPr>
      <w:adjustRightInd w:val="0"/>
      <w:ind w:firstLine="420"/>
    </w:pPr>
    <w:rPr>
      <w:rFonts w:eastAsia="楷体_GB2312"/>
      <w:sz w:val="24"/>
    </w:rPr>
  </w:style>
  <w:style w:type="paragraph" w:styleId="9">
    <w:name w:val="annotation text"/>
    <w:basedOn w:val="1"/>
    <w:qFormat/>
    <w:uiPriority w:val="0"/>
    <w:pPr>
      <w:jc w:val="left"/>
    </w:pPr>
  </w:style>
  <w:style w:type="paragraph" w:styleId="10">
    <w:name w:val="Body Text"/>
    <w:basedOn w:val="1"/>
    <w:next w:val="11"/>
    <w:qFormat/>
    <w:uiPriority w:val="0"/>
  </w:style>
  <w:style w:type="paragraph" w:styleId="11">
    <w:name w:val="Date"/>
    <w:basedOn w:val="1"/>
    <w:next w:val="1"/>
    <w:qFormat/>
    <w:uiPriority w:val="0"/>
    <w:pPr>
      <w:ind w:left="100" w:leftChars="2500"/>
    </w:pPr>
    <w:rPr>
      <w:rFonts w:ascii="华文仿宋" w:hAnsi="华文仿宋" w:eastAsia="华文仿宋"/>
      <w:sz w:val="24"/>
    </w:rPr>
  </w:style>
  <w:style w:type="paragraph" w:styleId="12">
    <w:name w:val="Body Text Indent"/>
    <w:basedOn w:val="1"/>
    <w:next w:val="13"/>
    <w:qFormat/>
    <w:uiPriority w:val="0"/>
    <w:pPr>
      <w:spacing w:line="360" w:lineRule="auto"/>
    </w:pPr>
    <w:rPr>
      <w:rFonts w:ascii="仿宋体" w:eastAsia="仿宋体"/>
      <w:sz w:val="24"/>
    </w:rPr>
  </w:style>
  <w:style w:type="paragraph" w:customStyle="1" w:styleId="13">
    <w:name w:val="Default"/>
    <w:basedOn w:val="1"/>
    <w:qFormat/>
    <w:uiPriority w:val="0"/>
    <w:pPr>
      <w:autoSpaceDE w:val="0"/>
      <w:autoSpaceDN w:val="0"/>
      <w:adjustRightInd w:val="0"/>
      <w:jc w:val="left"/>
    </w:pPr>
    <w:rPr>
      <w:rFonts w:ascii="Arial" w:hAnsi="Arial" w:cs="Arial"/>
      <w:color w:val="000000"/>
      <w:kern w:val="0"/>
      <w:sz w:val="24"/>
    </w:rPr>
  </w:style>
  <w:style w:type="paragraph" w:styleId="14">
    <w:name w:val="List 2"/>
    <w:basedOn w:val="1"/>
    <w:qFormat/>
    <w:uiPriority w:val="99"/>
    <w:pPr>
      <w:ind w:left="100" w:leftChars="200" w:hanging="200" w:hangingChars="200"/>
      <w:contextualSpacing/>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4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footnote text"/>
    <w:basedOn w:val="1"/>
    <w:qFormat/>
    <w:uiPriority w:val="0"/>
    <w:pPr>
      <w:adjustRightInd w:val="0"/>
      <w:spacing w:line="312" w:lineRule="atLeast"/>
      <w:jc w:val="left"/>
      <w:textAlignment w:val="baseline"/>
    </w:pPr>
    <w:rPr>
      <w:kern w:val="0"/>
      <w:sz w:val="18"/>
      <w:szCs w:val="20"/>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0"/>
    <w:qFormat/>
    <w:uiPriority w:val="0"/>
    <w:pPr>
      <w:ind w:firstLine="420" w:firstLineChars="100"/>
    </w:pPr>
    <w:rPr>
      <w:szCs w:val="21"/>
    </w:rPr>
  </w:style>
  <w:style w:type="paragraph" w:styleId="25">
    <w:name w:val="Body Text First Indent 2"/>
    <w:basedOn w:val="12"/>
    <w:next w:val="1"/>
    <w:qFormat/>
    <w:uiPriority w:val="0"/>
    <w:pPr>
      <w:ind w:firstLine="420" w:firstLineChars="200"/>
    </w:pPr>
    <w:rPr>
      <w:sz w:val="21"/>
    </w:r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semiHidden/>
    <w:unhideWhenUsed/>
    <w:qFormat/>
    <w:uiPriority w:val="99"/>
    <w:rPr>
      <w:color w:val="0000FF"/>
      <w:u w:val="single"/>
    </w:rPr>
  </w:style>
  <w:style w:type="paragraph" w:customStyle="1" w:styleId="32">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默认段落字体 Para Char"/>
    <w:basedOn w:val="1"/>
    <w:qFormat/>
    <w:uiPriority w:val="0"/>
    <w:pPr>
      <w:adjustRightInd w:val="0"/>
      <w:spacing w:line="360" w:lineRule="auto"/>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列出段落1"/>
    <w:basedOn w:val="1"/>
    <w:qFormat/>
    <w:uiPriority w:val="34"/>
    <w:pPr>
      <w:ind w:firstLine="420" w:firstLineChars="200"/>
    </w:pPr>
  </w:style>
  <w:style w:type="character" w:customStyle="1" w:styleId="38">
    <w:name w:val="font11"/>
    <w:basedOn w:val="28"/>
    <w:qFormat/>
    <w:uiPriority w:val="0"/>
    <w:rPr>
      <w:rFonts w:hint="default" w:ascii="Times New Roman" w:hAnsi="Times New Roman" w:cs="Times New Roman"/>
      <w:color w:val="000000"/>
      <w:sz w:val="24"/>
      <w:szCs w:val="24"/>
      <w:u w:val="none"/>
    </w:rPr>
  </w:style>
  <w:style w:type="character" w:customStyle="1" w:styleId="39">
    <w:name w:val="font31"/>
    <w:basedOn w:val="28"/>
    <w:qFormat/>
    <w:uiPriority w:val="0"/>
    <w:rPr>
      <w:rFonts w:hint="eastAsia" w:ascii="宋体" w:hAnsi="宋体" w:eastAsia="宋体" w:cs="宋体"/>
      <w:color w:val="000000"/>
      <w:sz w:val="24"/>
      <w:szCs w:val="24"/>
      <w:u w:val="none"/>
    </w:rPr>
  </w:style>
  <w:style w:type="paragraph" w:customStyle="1" w:styleId="40">
    <w:name w:val="WPS Plain"/>
    <w:qFormat/>
    <w:uiPriority w:val="0"/>
    <w:rPr>
      <w:rFonts w:ascii="Times New Roman" w:hAnsi="Times New Roman" w:eastAsia="宋体" w:cs="Times New Roman"/>
      <w:lang w:val="en-US" w:eastAsia="zh-CN" w:bidi="ar-SA"/>
    </w:rPr>
  </w:style>
  <w:style w:type="character" w:customStyle="1" w:styleId="41">
    <w:name w:val="批注框文本 Char"/>
    <w:basedOn w:val="28"/>
    <w:link w:val="17"/>
    <w:qFormat/>
    <w:uiPriority w:val="0"/>
    <w:rPr>
      <w:kern w:val="2"/>
      <w:sz w:val="18"/>
      <w:szCs w:val="18"/>
    </w:rPr>
  </w:style>
  <w:style w:type="paragraph" w:customStyle="1" w:styleId="4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标题 1 Char"/>
    <w:link w:val="5"/>
    <w:qFormat/>
    <w:uiPriority w:val="0"/>
    <w:rPr>
      <w:rFonts w:ascii="仿宋_GB2312"/>
      <w:sz w:val="32"/>
    </w:rPr>
  </w:style>
  <w:style w:type="paragraph" w:customStyle="1" w:styleId="4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4"/>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标题 2 Char"/>
    <w:link w:val="6"/>
    <w:qFormat/>
    <w:uiPriority w:val="0"/>
    <w:rPr>
      <w:b/>
      <w:kern w:val="0"/>
      <w:sz w:val="28"/>
      <w:szCs w:val="20"/>
    </w:rPr>
  </w:style>
  <w:style w:type="paragraph" w:customStyle="1" w:styleId="50">
    <w:name w:val="Normal_19"/>
    <w:qFormat/>
    <w:uiPriority w:val="0"/>
    <w:pPr>
      <w:spacing w:before="120" w:after="240"/>
      <w:jc w:val="both"/>
    </w:pPr>
    <w:rPr>
      <w:rFonts w:asciiTheme="minorHAnsi" w:hAnsiTheme="minorHAnsi" w:eastAsiaTheme="minorHAnsi" w:cstheme="minorBidi"/>
      <w:sz w:val="22"/>
      <w:szCs w:val="22"/>
      <w:lang w:val="en-US" w:eastAsia="en-US" w:bidi="ar-SA"/>
    </w:rPr>
  </w:style>
  <w:style w:type="paragraph" w:styleId="51">
    <w:name w:val="List Paragraph"/>
    <w:basedOn w:val="1"/>
    <w:qFormat/>
    <w:uiPriority w:val="1"/>
    <w:pPr>
      <w:ind w:firstLine="420" w:firstLineChars="200"/>
    </w:pPr>
  </w:style>
  <w:style w:type="character" w:customStyle="1" w:styleId="52">
    <w:name w:val="font01"/>
    <w:basedOn w:val="28"/>
    <w:qFormat/>
    <w:uiPriority w:val="0"/>
    <w:rPr>
      <w:rFonts w:hint="eastAsia" w:ascii="宋体" w:hAnsi="宋体" w:eastAsia="宋体" w:cs="宋体"/>
      <w:color w:val="000000"/>
      <w:sz w:val="22"/>
      <w:szCs w:val="22"/>
      <w:u w:val="none"/>
    </w:rPr>
  </w:style>
  <w:style w:type="paragraph" w:customStyle="1" w:styleId="53">
    <w:name w:val="样式 宋体 五号 行距: 单倍行距"/>
    <w:basedOn w:val="1"/>
    <w:qFormat/>
    <w:uiPriority w:val="0"/>
    <w:pPr>
      <w:adjustRightInd w:val="0"/>
      <w:jc w:val="left"/>
      <w:textAlignment w:val="baseline"/>
    </w:pPr>
    <w:rPr>
      <w:rFonts w:ascii="宋体" w:hAnsi="宋体"/>
      <w:kern w:val="0"/>
    </w:r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6">
    <w:name w:val="标题 3 Char"/>
    <w:link w:val="7"/>
    <w:qFormat/>
    <w:uiPriority w:val="0"/>
    <w:rPr>
      <w:b/>
      <w:bCs/>
      <w:sz w:val="32"/>
      <w:szCs w:val="32"/>
    </w:rPr>
  </w:style>
  <w:style w:type="character" w:customStyle="1" w:styleId="57">
    <w:name w:val="bookmark-item"/>
    <w:basedOn w:val="28"/>
    <w:qFormat/>
    <w:uiPriority w:val="0"/>
  </w:style>
  <w:style w:type="paragraph" w:customStyle="1" w:styleId="58">
    <w:name w:val="Fließtext2"/>
    <w:basedOn w:val="1"/>
    <w:qFormat/>
    <w:uiPriority w:val="99"/>
    <w:pPr>
      <w:overflowPunct w:val="0"/>
      <w:autoSpaceDE w:val="0"/>
      <w:autoSpaceDN w:val="0"/>
      <w:adjustRightInd w:val="0"/>
      <w:textAlignment w:val="baseline"/>
    </w:pPr>
    <w:rPr>
      <w:kern w:val="28"/>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标题 5（有编号）（绿盟科技）"/>
    <w:basedOn w:val="1"/>
    <w:next w:val="61"/>
    <w:qFormat/>
    <w:uiPriority w:val="0"/>
    <w:pPr>
      <w:keepNext/>
      <w:keepLines/>
      <w:numPr>
        <w:ilvl w:val="4"/>
        <w:numId w:val="2"/>
      </w:numPr>
      <w:tabs>
        <w:tab w:val="left" w:pos="0"/>
      </w:tabs>
      <w:spacing w:before="280" w:after="156" w:line="377" w:lineRule="auto"/>
      <w:outlineLvl w:val="4"/>
    </w:pPr>
    <w:rPr>
      <w:rFonts w:ascii="Arial" w:hAnsi="Arial" w:eastAsia="黑体" w:cs="Times New Roman"/>
      <w:b/>
      <w:kern w:val="0"/>
      <w:szCs w:val="28"/>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2">
    <w:name w:val="Table Paragraph"/>
    <w:basedOn w:val="1"/>
    <w:qFormat/>
    <w:uiPriority w:val="0"/>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26447</Words>
  <Characters>28108</Characters>
  <Lines>252</Lines>
  <Paragraphs>71</Paragraphs>
  <TotalTime>77</TotalTime>
  <ScaleCrop>false</ScaleCrop>
  <LinksUpToDate>false</LinksUpToDate>
  <CharactersWithSpaces>30576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杜灿</cp:lastModifiedBy>
  <cp:lastPrinted>2020-06-17T11:16:00Z</cp:lastPrinted>
  <dcterms:modified xsi:type="dcterms:W3CDTF">2022-04-19T12:49:38Z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DF25325CE42D49DCAEBD6DCBB0D75476</vt:lpwstr>
  </property>
</Properties>
</file>