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7"/>
        <w:rPr>
          <w:rFonts w:hint="default" w:ascii="Times New Roman" w:hAnsi="Times New Roman" w:cs="Times New Roman"/>
        </w:rPr>
      </w:pPr>
    </w:p>
    <w:p>
      <w:pPr>
        <w:rPr>
          <w:rFonts w:hint="default" w:ascii="Times New Roman" w:hAnsi="Times New Roman" w:cs="Times New Roman"/>
        </w:rPr>
      </w:pPr>
    </w:p>
    <w:p>
      <w:pPr>
        <w:jc w:val="center"/>
        <w:rPr>
          <w:rFonts w:hint="eastAsia" w:ascii="Times New Roman" w:hAnsi="Times New Roman" w:eastAsia="宋体" w:cs="Times New Roman"/>
          <w:color w:val="auto"/>
          <w:spacing w:val="-11"/>
          <w:sz w:val="56"/>
          <w:szCs w:val="21"/>
          <w:lang w:eastAsia="zh-CN"/>
        </w:rPr>
      </w:pPr>
      <w:r>
        <w:rPr>
          <w:rFonts w:hint="eastAsia" w:cs="Times New Roman"/>
          <w:color w:val="auto"/>
          <w:spacing w:val="-11"/>
          <w:sz w:val="56"/>
          <w:szCs w:val="21"/>
          <w:lang w:eastAsia="zh-CN"/>
        </w:rPr>
        <w:t>木垒县2022年农作物（小麦）救灾补助项目</w:t>
      </w:r>
    </w:p>
    <w:p>
      <w:pPr>
        <w:jc w:val="center"/>
        <w:rPr>
          <w:rFonts w:hint="default" w:ascii="Times New Roman" w:hAnsi="Times New Roman" w:cs="Times New Roman"/>
          <w:color w:val="auto"/>
          <w:spacing w:val="-11"/>
          <w:sz w:val="11"/>
          <w:szCs w:val="11"/>
        </w:rPr>
      </w:pPr>
    </w:p>
    <w:p>
      <w:pPr>
        <w:jc w:val="center"/>
        <w:rPr>
          <w:rFonts w:hint="default" w:ascii="Times New Roman" w:hAnsi="Times New Roman" w:cs="Times New Roman"/>
          <w:color w:val="auto"/>
          <w:sz w:val="72"/>
        </w:rPr>
      </w:pPr>
      <w:r>
        <w:rPr>
          <w:rFonts w:hint="default" w:ascii="Times New Roman" w:hAnsi="Times New Roman" w:cs="Times New Roman"/>
          <w:color w:val="auto"/>
          <w:sz w:val="72"/>
        </w:rPr>
        <w:t>竞争性磋商文件</w:t>
      </w:r>
    </w:p>
    <w:p>
      <w:pPr>
        <w:jc w:val="center"/>
        <w:rPr>
          <w:rFonts w:hint="default" w:ascii="Times New Roman" w:hAnsi="Times New Roman" w:cs="Times New Roman"/>
          <w:color w:val="auto"/>
          <w:sz w:val="32"/>
        </w:rPr>
      </w:pPr>
    </w:p>
    <w:p>
      <w:pPr>
        <w:spacing w:line="400" w:lineRule="exact"/>
        <w:ind w:firstLine="640" w:firstLineChars="200"/>
        <w:jc w:val="center"/>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32"/>
        </w:rPr>
        <w:t>文件编号：</w:t>
      </w:r>
      <w:r>
        <w:rPr>
          <w:rFonts w:hint="eastAsia" w:cs="Times New Roman"/>
          <w:color w:val="auto"/>
          <w:sz w:val="32"/>
          <w:lang w:eastAsia="zh-CN"/>
        </w:rPr>
        <w:t>XJTQ2022ZB16-CG</w:t>
      </w:r>
    </w:p>
    <w:p>
      <w:pPr>
        <w:jc w:val="center"/>
        <w:rPr>
          <w:rFonts w:hint="default" w:ascii="Times New Roman" w:hAnsi="Times New Roman" w:cs="Times New Roman"/>
          <w:color w:val="auto"/>
          <w:sz w:val="32"/>
        </w:rPr>
      </w:pPr>
    </w:p>
    <w:p>
      <w:pPr>
        <w:ind w:firstLine="848" w:firstLineChars="233"/>
        <w:jc w:val="left"/>
        <w:rPr>
          <w:rFonts w:hint="default" w:ascii="Times New Roman" w:hAnsi="Times New Roman" w:cs="Times New Roman"/>
          <w:color w:val="auto"/>
          <w:spacing w:val="32"/>
          <w:sz w:val="30"/>
        </w:rPr>
      </w:pPr>
    </w:p>
    <w:p>
      <w:pPr>
        <w:pStyle w:val="27"/>
        <w:rPr>
          <w:rFonts w:hint="default" w:ascii="Times New Roman" w:hAnsi="Times New Roman" w:cs="Times New Roman"/>
          <w:color w:val="auto"/>
        </w:rPr>
      </w:pPr>
    </w:p>
    <w:p>
      <w:pPr>
        <w:rPr>
          <w:rFonts w:hint="default" w:ascii="Times New Roman" w:hAnsi="Times New Roman" w:cs="Times New Roman"/>
        </w:rPr>
      </w:pPr>
    </w:p>
    <w:p>
      <w:pPr>
        <w:ind w:firstLine="848" w:firstLineChars="233"/>
        <w:jc w:val="left"/>
        <w:rPr>
          <w:rFonts w:hint="default" w:ascii="Times New Roman" w:hAnsi="Times New Roman" w:eastAsia="宋体" w:cs="Times New Roman"/>
          <w:color w:val="auto"/>
          <w:spacing w:val="32"/>
          <w:sz w:val="30"/>
          <w:lang w:val="en-US" w:eastAsia="zh-CN"/>
        </w:rPr>
      </w:pPr>
      <w:r>
        <w:rPr>
          <w:rFonts w:hint="default" w:ascii="Times New Roman" w:hAnsi="Times New Roman" w:cs="Times New Roman"/>
          <w:color w:val="auto"/>
          <w:spacing w:val="32"/>
          <w:sz w:val="30"/>
          <w:lang w:val="en-US" w:eastAsia="zh-CN"/>
        </w:rPr>
        <w:t xml:space="preserve">  </w:t>
      </w:r>
    </w:p>
    <w:p>
      <w:pPr>
        <w:ind w:left="0" w:leftChars="0" w:firstLine="639" w:firstLineChars="213"/>
        <w:rPr>
          <w:rFonts w:hint="default" w:ascii="Times New Roman" w:hAnsi="Times New Roman" w:cs="Times New Roman"/>
          <w:color w:val="auto"/>
          <w:sz w:val="30"/>
          <w:szCs w:val="30"/>
        </w:rPr>
      </w:pPr>
      <w:r>
        <w:rPr>
          <w:rFonts w:hint="default" w:ascii="Times New Roman" w:hAnsi="Times New Roman" w:cs="Times New Roman"/>
          <w:color w:val="auto"/>
          <w:sz w:val="30"/>
          <w:szCs w:val="30"/>
        </w:rPr>
        <w:t>采   购   人：</w:t>
      </w:r>
      <w:r>
        <w:rPr>
          <w:rFonts w:hint="default" w:ascii="Times New Roman" w:hAnsi="Times New Roman" w:cs="Times New Roman"/>
          <w:color w:val="auto"/>
          <w:sz w:val="30"/>
          <w:szCs w:val="30"/>
          <w:u w:val="single"/>
          <w:lang w:val="en-US" w:eastAsia="zh-CN"/>
        </w:rPr>
        <w:t xml:space="preserve"> </w:t>
      </w:r>
      <w:r>
        <w:rPr>
          <w:rFonts w:hint="eastAsia" w:cs="Times New Roman"/>
          <w:color w:val="auto"/>
          <w:sz w:val="30"/>
          <w:szCs w:val="30"/>
          <w:u w:val="single"/>
          <w:lang w:eastAsia="zh-CN"/>
        </w:rPr>
        <w:t>木垒县农业推广站（农产品质量安全检验检测中心）</w:t>
      </w:r>
      <w:r>
        <w:rPr>
          <w:rFonts w:hint="default" w:ascii="Times New Roman" w:hAnsi="Times New Roman" w:cs="Times New Roman"/>
          <w:color w:val="auto"/>
          <w:sz w:val="30"/>
          <w:szCs w:val="30"/>
        </w:rPr>
        <w:t>（公章）</w:t>
      </w:r>
    </w:p>
    <w:p>
      <w:pPr>
        <w:ind w:left="0" w:leftChars="0" w:firstLine="639" w:firstLineChars="213"/>
        <w:rPr>
          <w:rFonts w:hint="default" w:ascii="Times New Roman" w:hAnsi="Times New Roman" w:cs="Times New Roman"/>
          <w:color w:val="auto"/>
          <w:sz w:val="30"/>
          <w:szCs w:val="30"/>
        </w:rPr>
      </w:pPr>
    </w:p>
    <w:p>
      <w:pPr>
        <w:ind w:left="0" w:leftChars="0" w:firstLine="639" w:firstLineChars="213"/>
        <w:rPr>
          <w:rFonts w:hint="default" w:ascii="Times New Roman" w:hAnsi="Times New Roman" w:cs="Times New Roman"/>
          <w:color w:val="auto"/>
          <w:sz w:val="30"/>
          <w:szCs w:val="30"/>
        </w:rPr>
      </w:pPr>
      <w:r>
        <w:rPr>
          <w:rFonts w:hint="default" w:ascii="Times New Roman" w:hAnsi="Times New Roman" w:cs="Times New Roman"/>
          <w:color w:val="auto"/>
          <w:sz w:val="30"/>
          <w:szCs w:val="30"/>
        </w:rPr>
        <w:t>采购代理机构：</w:t>
      </w:r>
      <w:r>
        <w:rPr>
          <w:rFonts w:hint="eastAsia" w:cs="Times New Roman"/>
          <w:color w:val="auto"/>
          <w:sz w:val="30"/>
          <w:szCs w:val="30"/>
          <w:u w:val="single"/>
          <w:lang w:eastAsia="zh-CN"/>
        </w:rPr>
        <w:t>新疆天麒工程项目管理咨询有限责任公司</w:t>
      </w:r>
      <w:r>
        <w:rPr>
          <w:rFonts w:hint="default" w:ascii="Times New Roman" w:hAnsi="Times New Roman" w:cs="Times New Roman"/>
          <w:color w:val="auto"/>
          <w:sz w:val="30"/>
          <w:szCs w:val="30"/>
        </w:rPr>
        <w:t>（公章）</w:t>
      </w:r>
    </w:p>
    <w:p>
      <w:pPr>
        <w:jc w:val="center"/>
        <w:rPr>
          <w:rFonts w:hint="default" w:ascii="Times New Roman" w:hAnsi="Times New Roman" w:cs="Times New Roman"/>
          <w:color w:val="auto"/>
          <w:sz w:val="32"/>
        </w:rPr>
      </w:pPr>
    </w:p>
    <w:p>
      <w:pPr>
        <w:pStyle w:val="27"/>
        <w:rPr>
          <w:rFonts w:hint="default" w:ascii="Times New Roman" w:hAnsi="Times New Roman" w:cs="Times New Roman"/>
          <w:color w:val="auto"/>
          <w:sz w:val="32"/>
        </w:rPr>
      </w:pPr>
    </w:p>
    <w:p>
      <w:pPr>
        <w:spacing w:line="560" w:lineRule="exact"/>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2022年</w:t>
      </w:r>
      <w:r>
        <w:rPr>
          <w:rFonts w:hint="eastAsia" w:cs="Times New Roman"/>
          <w:color w:val="auto"/>
          <w:sz w:val="32"/>
          <w:szCs w:val="32"/>
          <w:lang w:val="en-US" w:eastAsia="zh-CN"/>
        </w:rPr>
        <w:t>05</w:t>
      </w:r>
      <w:r>
        <w:rPr>
          <w:rFonts w:hint="default" w:ascii="Times New Roman" w:hAnsi="Times New Roman" w:cs="Times New Roman"/>
          <w:color w:val="auto"/>
          <w:sz w:val="32"/>
          <w:szCs w:val="32"/>
        </w:rPr>
        <w:t>月</w:t>
      </w:r>
    </w:p>
    <w:p>
      <w:pPr>
        <w:pStyle w:val="47"/>
        <w:tabs>
          <w:tab w:val="right" w:leader="dot" w:pos="9638"/>
        </w:tabs>
        <w:jc w:val="center"/>
        <w:rPr>
          <w:rFonts w:hint="default" w:ascii="Times New Roman" w:hAnsi="Times New Roman" w:cs="Times New Roman"/>
          <w:sz w:val="32"/>
          <w:szCs w:val="32"/>
          <w:lang w:eastAsia="zh-CN"/>
        </w:rPr>
        <w:sectPr>
          <w:headerReference r:id="rId3" w:type="default"/>
          <w:footerReference r:id="rId4" w:type="default"/>
          <w:pgSz w:w="11906" w:h="16838"/>
          <w:pgMar w:top="1417" w:right="1417" w:bottom="1417" w:left="1417" w:header="851" w:footer="992" w:gutter="0"/>
          <w:pgNumType w:fmt="decimal" w:start="0"/>
          <w:cols w:space="720" w:num="1"/>
          <w:docGrid w:type="lines" w:linePitch="520" w:charSpace="0"/>
        </w:sectPr>
      </w:pPr>
    </w:p>
    <w:p>
      <w:pPr>
        <w:pStyle w:val="47"/>
        <w:tabs>
          <w:tab w:val="right" w:leader="dot" w:pos="9638"/>
        </w:tabs>
        <w:jc w:val="center"/>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目录</w:t>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_Toc7833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供应商须知前附表</w:t>
      </w:r>
      <w:r>
        <w:rPr>
          <w:sz w:val="28"/>
          <w:szCs w:val="28"/>
        </w:rPr>
        <w:tab/>
      </w:r>
      <w:r>
        <w:rPr>
          <w:sz w:val="28"/>
          <w:szCs w:val="28"/>
        </w:rPr>
        <w:fldChar w:fldCharType="begin"/>
      </w:r>
      <w:r>
        <w:rPr>
          <w:sz w:val="28"/>
          <w:szCs w:val="28"/>
        </w:rPr>
        <w:instrText xml:space="preserve"> PAGEREF _Toc7833 \h </w:instrText>
      </w:r>
      <w:r>
        <w:rPr>
          <w:sz w:val="28"/>
          <w:szCs w:val="28"/>
        </w:rPr>
        <w:fldChar w:fldCharType="separate"/>
      </w:r>
      <w:r>
        <w:rPr>
          <w:sz w:val="28"/>
          <w:szCs w:val="28"/>
        </w:rPr>
        <w:t>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_Toc13242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第一章  供应商须知</w:t>
      </w:r>
      <w:r>
        <w:rPr>
          <w:sz w:val="28"/>
          <w:szCs w:val="28"/>
        </w:rPr>
        <w:tab/>
      </w:r>
      <w:r>
        <w:rPr>
          <w:sz w:val="28"/>
          <w:szCs w:val="28"/>
        </w:rPr>
        <w:fldChar w:fldCharType="begin"/>
      </w:r>
      <w:r>
        <w:rPr>
          <w:sz w:val="28"/>
          <w:szCs w:val="28"/>
        </w:rPr>
        <w:instrText xml:space="preserve"> PAGEREF _Toc13242 \h </w:instrText>
      </w:r>
      <w:r>
        <w:rPr>
          <w:sz w:val="28"/>
          <w:szCs w:val="28"/>
        </w:rPr>
        <w:fldChar w:fldCharType="separate"/>
      </w:r>
      <w:r>
        <w:rPr>
          <w:sz w:val="28"/>
          <w:szCs w:val="28"/>
        </w:rPr>
        <w:t>3</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_Toc25878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第二章  磋商程序</w:t>
      </w:r>
      <w:r>
        <w:rPr>
          <w:sz w:val="28"/>
          <w:szCs w:val="28"/>
        </w:rPr>
        <w:tab/>
      </w:r>
      <w:r>
        <w:rPr>
          <w:sz w:val="28"/>
          <w:szCs w:val="28"/>
        </w:rPr>
        <w:fldChar w:fldCharType="begin"/>
      </w:r>
      <w:r>
        <w:rPr>
          <w:sz w:val="28"/>
          <w:szCs w:val="28"/>
        </w:rPr>
        <w:instrText xml:space="preserve"> PAGEREF _Toc25878 \h </w:instrText>
      </w:r>
      <w:r>
        <w:rPr>
          <w:sz w:val="28"/>
          <w:szCs w:val="28"/>
        </w:rPr>
        <w:fldChar w:fldCharType="separate"/>
      </w:r>
      <w:r>
        <w:rPr>
          <w:sz w:val="28"/>
          <w:szCs w:val="28"/>
        </w:rPr>
        <w:t>10</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_Toc27065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第三章 </w:t>
      </w:r>
      <w:r>
        <w:rPr>
          <w:rFonts w:hint="eastAsia" w:cs="Times New Roman"/>
          <w:sz w:val="28"/>
          <w:szCs w:val="28"/>
          <w:lang w:val="en-US" w:eastAsia="zh-CN"/>
        </w:rPr>
        <w:t>采购内容</w:t>
      </w:r>
      <w:r>
        <w:rPr>
          <w:sz w:val="28"/>
          <w:szCs w:val="28"/>
        </w:rPr>
        <w:tab/>
      </w:r>
      <w:r>
        <w:rPr>
          <w:sz w:val="28"/>
          <w:szCs w:val="28"/>
        </w:rPr>
        <w:fldChar w:fldCharType="begin"/>
      </w:r>
      <w:r>
        <w:rPr>
          <w:sz w:val="28"/>
          <w:szCs w:val="28"/>
        </w:rPr>
        <w:instrText xml:space="preserve"> PAGEREF _Toc27065 \h </w:instrText>
      </w:r>
      <w:r>
        <w:rPr>
          <w:sz w:val="28"/>
          <w:szCs w:val="28"/>
        </w:rPr>
        <w:fldChar w:fldCharType="separate"/>
      </w:r>
      <w:r>
        <w:rPr>
          <w:sz w:val="28"/>
          <w:szCs w:val="28"/>
        </w:rPr>
        <w:t>15</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_Toc4318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第四章 合同条款</w:t>
      </w:r>
      <w:r>
        <w:rPr>
          <w:sz w:val="28"/>
          <w:szCs w:val="28"/>
        </w:rPr>
        <w:tab/>
      </w:r>
      <w:r>
        <w:rPr>
          <w:sz w:val="28"/>
          <w:szCs w:val="28"/>
        </w:rPr>
        <w:fldChar w:fldCharType="begin"/>
      </w:r>
      <w:r>
        <w:rPr>
          <w:sz w:val="28"/>
          <w:szCs w:val="28"/>
        </w:rPr>
        <w:instrText xml:space="preserve"> PAGEREF _Toc4318 \h </w:instrText>
      </w:r>
      <w:r>
        <w:rPr>
          <w:sz w:val="28"/>
          <w:szCs w:val="28"/>
        </w:rPr>
        <w:fldChar w:fldCharType="separate"/>
      </w:r>
      <w:r>
        <w:rPr>
          <w:sz w:val="28"/>
          <w:szCs w:val="28"/>
        </w:rPr>
        <w:t>17</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_Toc16052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第五章 磋商响应文件格式</w:t>
      </w:r>
      <w:r>
        <w:rPr>
          <w:sz w:val="28"/>
          <w:szCs w:val="28"/>
        </w:rPr>
        <w:tab/>
      </w:r>
      <w:r>
        <w:rPr>
          <w:sz w:val="28"/>
          <w:szCs w:val="28"/>
        </w:rPr>
        <w:fldChar w:fldCharType="begin"/>
      </w:r>
      <w:r>
        <w:rPr>
          <w:sz w:val="28"/>
          <w:szCs w:val="28"/>
        </w:rPr>
        <w:instrText xml:space="preserve"> PAGEREF _Toc16052 \h </w:instrText>
      </w:r>
      <w:r>
        <w:rPr>
          <w:sz w:val="28"/>
          <w:szCs w:val="28"/>
        </w:rPr>
        <w:fldChar w:fldCharType="separate"/>
      </w:r>
      <w:r>
        <w:rPr>
          <w:sz w:val="28"/>
          <w:szCs w:val="28"/>
        </w:rPr>
        <w:t>22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_Toc17422 </w:instrText>
      </w:r>
      <w:r>
        <w:rPr>
          <w:rFonts w:hint="default" w:ascii="Times New Roman" w:hAnsi="Times New Roman" w:cs="Times New Roman"/>
          <w:sz w:val="28"/>
          <w:szCs w:val="28"/>
        </w:rPr>
        <w:fldChar w:fldCharType="separate"/>
      </w:r>
      <w:r>
        <w:rPr>
          <w:rFonts w:hint="default" w:ascii="Times New Roman" w:hAnsi="Times New Roman" w:cs="Times New Roman"/>
          <w:bCs/>
          <w:sz w:val="28"/>
          <w:szCs w:val="28"/>
        </w:rPr>
        <w:t>磋商响应文件</w:t>
      </w:r>
      <w:r>
        <w:rPr>
          <w:sz w:val="28"/>
          <w:szCs w:val="28"/>
        </w:rPr>
        <w:tab/>
      </w:r>
      <w:r>
        <w:rPr>
          <w:sz w:val="28"/>
          <w:szCs w:val="28"/>
        </w:rPr>
        <w:fldChar w:fldCharType="begin"/>
      </w:r>
      <w:r>
        <w:rPr>
          <w:sz w:val="28"/>
          <w:szCs w:val="28"/>
        </w:rPr>
        <w:instrText xml:space="preserve"> PAGEREF _Toc17422 \h </w:instrText>
      </w:r>
      <w:r>
        <w:rPr>
          <w:sz w:val="28"/>
          <w:szCs w:val="28"/>
        </w:rPr>
        <w:fldChar w:fldCharType="separate"/>
      </w:r>
      <w:r>
        <w:rPr>
          <w:sz w:val="28"/>
          <w:szCs w:val="28"/>
        </w:rPr>
        <w:t>22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_Toc23898 </w:instrText>
      </w:r>
      <w:r>
        <w:rPr>
          <w:rFonts w:hint="default" w:ascii="Times New Roman" w:hAnsi="Times New Roman" w:cs="Times New Roman"/>
          <w:sz w:val="28"/>
          <w:szCs w:val="28"/>
        </w:rPr>
        <w:fldChar w:fldCharType="separate"/>
      </w:r>
      <w:r>
        <w:rPr>
          <w:rFonts w:hint="default" w:ascii="Times New Roman" w:hAnsi="Times New Roman" w:cs="Times New Roman"/>
          <w:bCs/>
          <w:kern w:val="28"/>
          <w:sz w:val="28"/>
          <w:szCs w:val="28"/>
        </w:rPr>
        <w:t>附表一：磋商函</w:t>
      </w:r>
      <w:r>
        <w:rPr>
          <w:sz w:val="28"/>
          <w:szCs w:val="28"/>
        </w:rPr>
        <w:tab/>
      </w:r>
      <w:r>
        <w:rPr>
          <w:sz w:val="28"/>
          <w:szCs w:val="28"/>
        </w:rPr>
        <w:fldChar w:fldCharType="begin"/>
      </w:r>
      <w:r>
        <w:rPr>
          <w:sz w:val="28"/>
          <w:szCs w:val="28"/>
        </w:rPr>
        <w:instrText xml:space="preserve"> PAGEREF _Toc23898 \h </w:instrText>
      </w:r>
      <w:r>
        <w:rPr>
          <w:sz w:val="28"/>
          <w:szCs w:val="28"/>
        </w:rPr>
        <w:fldChar w:fldCharType="separate"/>
      </w:r>
      <w:r>
        <w:rPr>
          <w:sz w:val="28"/>
          <w:szCs w:val="28"/>
        </w:rPr>
        <w:t>24</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_Toc21402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附表二：法定代表人身份证明书</w:t>
      </w:r>
      <w:r>
        <w:rPr>
          <w:sz w:val="28"/>
          <w:szCs w:val="28"/>
        </w:rPr>
        <w:tab/>
      </w:r>
      <w:r>
        <w:rPr>
          <w:sz w:val="28"/>
          <w:szCs w:val="28"/>
        </w:rPr>
        <w:fldChar w:fldCharType="begin"/>
      </w:r>
      <w:r>
        <w:rPr>
          <w:sz w:val="28"/>
          <w:szCs w:val="28"/>
        </w:rPr>
        <w:instrText xml:space="preserve"> PAGEREF _Toc21402 \h </w:instrText>
      </w:r>
      <w:r>
        <w:rPr>
          <w:sz w:val="28"/>
          <w:szCs w:val="28"/>
        </w:rPr>
        <w:fldChar w:fldCharType="separate"/>
      </w:r>
      <w:r>
        <w:rPr>
          <w:sz w:val="28"/>
          <w:szCs w:val="28"/>
        </w:rPr>
        <w:t>25</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_Toc12258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附表三：法定代表人授权委托书</w:t>
      </w:r>
      <w:r>
        <w:rPr>
          <w:sz w:val="28"/>
          <w:szCs w:val="28"/>
        </w:rPr>
        <w:tab/>
      </w:r>
      <w:r>
        <w:rPr>
          <w:sz w:val="28"/>
          <w:szCs w:val="28"/>
        </w:rPr>
        <w:fldChar w:fldCharType="begin"/>
      </w:r>
      <w:r>
        <w:rPr>
          <w:sz w:val="28"/>
          <w:szCs w:val="28"/>
        </w:rPr>
        <w:instrText xml:space="preserve"> PAGEREF _Toc12258 \h </w:instrText>
      </w:r>
      <w:r>
        <w:rPr>
          <w:sz w:val="28"/>
          <w:szCs w:val="28"/>
        </w:rPr>
        <w:fldChar w:fldCharType="separate"/>
      </w:r>
      <w:r>
        <w:rPr>
          <w:sz w:val="28"/>
          <w:szCs w:val="28"/>
        </w:rPr>
        <w:t>26</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_Toc3489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附表四：供应商基本情况表</w:t>
      </w:r>
      <w:r>
        <w:rPr>
          <w:sz w:val="28"/>
          <w:szCs w:val="28"/>
        </w:rPr>
        <w:tab/>
      </w:r>
      <w:r>
        <w:rPr>
          <w:sz w:val="28"/>
          <w:szCs w:val="28"/>
        </w:rPr>
        <w:fldChar w:fldCharType="begin"/>
      </w:r>
      <w:r>
        <w:rPr>
          <w:sz w:val="28"/>
          <w:szCs w:val="28"/>
        </w:rPr>
        <w:instrText xml:space="preserve"> PAGEREF _Toc3489 \h </w:instrText>
      </w:r>
      <w:r>
        <w:rPr>
          <w:sz w:val="28"/>
          <w:szCs w:val="28"/>
        </w:rPr>
        <w:fldChar w:fldCharType="separate"/>
      </w:r>
      <w:r>
        <w:rPr>
          <w:sz w:val="28"/>
          <w:szCs w:val="28"/>
        </w:rPr>
        <w:t>27</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_Toc19855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附表五：项目负责人基本情况表</w:t>
      </w:r>
      <w:r>
        <w:rPr>
          <w:sz w:val="28"/>
          <w:szCs w:val="28"/>
        </w:rPr>
        <w:tab/>
      </w:r>
      <w:r>
        <w:rPr>
          <w:sz w:val="28"/>
          <w:szCs w:val="28"/>
        </w:rPr>
        <w:fldChar w:fldCharType="begin"/>
      </w:r>
      <w:r>
        <w:rPr>
          <w:sz w:val="28"/>
          <w:szCs w:val="28"/>
        </w:rPr>
        <w:instrText xml:space="preserve"> PAGEREF _Toc19855 \h </w:instrText>
      </w:r>
      <w:r>
        <w:rPr>
          <w:sz w:val="28"/>
          <w:szCs w:val="28"/>
        </w:rPr>
        <w:fldChar w:fldCharType="separate"/>
      </w:r>
      <w:r>
        <w:rPr>
          <w:sz w:val="28"/>
          <w:szCs w:val="28"/>
        </w:rPr>
        <w:t>28</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_Toc12150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附表六：拟投入本项目的人员情况一览表</w:t>
      </w:r>
      <w:r>
        <w:rPr>
          <w:sz w:val="28"/>
          <w:szCs w:val="28"/>
        </w:rPr>
        <w:tab/>
      </w:r>
      <w:r>
        <w:rPr>
          <w:sz w:val="28"/>
          <w:szCs w:val="28"/>
        </w:rPr>
        <w:fldChar w:fldCharType="begin"/>
      </w:r>
      <w:r>
        <w:rPr>
          <w:sz w:val="28"/>
          <w:szCs w:val="28"/>
        </w:rPr>
        <w:instrText xml:space="preserve"> PAGEREF _Toc12150 \h </w:instrText>
      </w:r>
      <w:r>
        <w:rPr>
          <w:sz w:val="28"/>
          <w:szCs w:val="28"/>
        </w:rPr>
        <w:fldChar w:fldCharType="separate"/>
      </w:r>
      <w:r>
        <w:rPr>
          <w:sz w:val="28"/>
          <w:szCs w:val="28"/>
        </w:rPr>
        <w:t>29</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_Toc23831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附表七： 类似项目业绩表</w:t>
      </w:r>
      <w:r>
        <w:rPr>
          <w:sz w:val="28"/>
          <w:szCs w:val="28"/>
        </w:rPr>
        <w:tab/>
      </w:r>
      <w:r>
        <w:rPr>
          <w:sz w:val="28"/>
          <w:szCs w:val="28"/>
        </w:rPr>
        <w:fldChar w:fldCharType="begin"/>
      </w:r>
      <w:r>
        <w:rPr>
          <w:sz w:val="28"/>
          <w:szCs w:val="28"/>
        </w:rPr>
        <w:instrText xml:space="preserve"> PAGEREF _Toc23831 \h </w:instrText>
      </w:r>
      <w:r>
        <w:rPr>
          <w:sz w:val="28"/>
          <w:szCs w:val="28"/>
        </w:rPr>
        <w:fldChar w:fldCharType="separate"/>
      </w:r>
      <w:r>
        <w:rPr>
          <w:sz w:val="28"/>
          <w:szCs w:val="28"/>
        </w:rPr>
        <w:t>30</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_Toc28900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附表八：投标保证金收据</w:t>
      </w:r>
      <w:r>
        <w:rPr>
          <w:sz w:val="28"/>
          <w:szCs w:val="28"/>
        </w:rPr>
        <w:tab/>
      </w:r>
      <w:r>
        <w:rPr>
          <w:sz w:val="28"/>
          <w:szCs w:val="28"/>
        </w:rPr>
        <w:fldChar w:fldCharType="begin"/>
      </w:r>
      <w:r>
        <w:rPr>
          <w:sz w:val="28"/>
          <w:szCs w:val="28"/>
        </w:rPr>
        <w:instrText xml:space="preserve"> PAGEREF _Toc28900 \h </w:instrText>
      </w:r>
      <w:r>
        <w:rPr>
          <w:sz w:val="28"/>
          <w:szCs w:val="28"/>
        </w:rPr>
        <w:fldChar w:fldCharType="separate"/>
      </w:r>
      <w:r>
        <w:rPr>
          <w:sz w:val="28"/>
          <w:szCs w:val="28"/>
        </w:rPr>
        <w:t>31</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_Toc23395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附表九：报价一览表</w:t>
      </w:r>
      <w:r>
        <w:rPr>
          <w:sz w:val="28"/>
          <w:szCs w:val="28"/>
        </w:rPr>
        <w:tab/>
      </w:r>
      <w:r>
        <w:rPr>
          <w:sz w:val="28"/>
          <w:szCs w:val="28"/>
        </w:rPr>
        <w:fldChar w:fldCharType="begin"/>
      </w:r>
      <w:r>
        <w:rPr>
          <w:sz w:val="28"/>
          <w:szCs w:val="28"/>
        </w:rPr>
        <w:instrText xml:space="preserve"> PAGEREF _Toc23395 \h </w:instrText>
      </w:r>
      <w:r>
        <w:rPr>
          <w:sz w:val="28"/>
          <w:szCs w:val="28"/>
        </w:rPr>
        <w:fldChar w:fldCharType="separate"/>
      </w:r>
      <w:r>
        <w:rPr>
          <w:sz w:val="28"/>
          <w:szCs w:val="28"/>
        </w:rPr>
        <w:t>32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_Toc30310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附表十：不参与围标串标承诺书</w:t>
      </w:r>
      <w:r>
        <w:rPr>
          <w:sz w:val="28"/>
          <w:szCs w:val="28"/>
        </w:rPr>
        <w:tab/>
      </w:r>
      <w:r>
        <w:rPr>
          <w:sz w:val="28"/>
          <w:szCs w:val="28"/>
        </w:rPr>
        <w:fldChar w:fldCharType="begin"/>
      </w:r>
      <w:r>
        <w:rPr>
          <w:sz w:val="28"/>
          <w:szCs w:val="28"/>
        </w:rPr>
        <w:instrText xml:space="preserve"> PAGEREF _Toc30310 \h </w:instrText>
      </w:r>
      <w:r>
        <w:rPr>
          <w:sz w:val="28"/>
          <w:szCs w:val="28"/>
        </w:rPr>
        <w:fldChar w:fldCharType="separate"/>
      </w:r>
      <w:r>
        <w:rPr>
          <w:sz w:val="28"/>
          <w:szCs w:val="28"/>
        </w:rPr>
        <w:t>33</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_Toc29004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附表十一：声明函</w:t>
      </w:r>
      <w:r>
        <w:rPr>
          <w:sz w:val="28"/>
          <w:szCs w:val="28"/>
        </w:rPr>
        <w:tab/>
      </w:r>
      <w:r>
        <w:rPr>
          <w:sz w:val="28"/>
          <w:szCs w:val="28"/>
        </w:rPr>
        <w:fldChar w:fldCharType="begin"/>
      </w:r>
      <w:r>
        <w:rPr>
          <w:sz w:val="28"/>
          <w:szCs w:val="28"/>
        </w:rPr>
        <w:instrText xml:space="preserve"> PAGEREF _Toc29004 \h </w:instrText>
      </w:r>
      <w:r>
        <w:rPr>
          <w:sz w:val="28"/>
          <w:szCs w:val="28"/>
        </w:rPr>
        <w:fldChar w:fldCharType="separate"/>
      </w:r>
      <w:r>
        <w:rPr>
          <w:sz w:val="28"/>
          <w:szCs w:val="28"/>
        </w:rPr>
        <w:t>34</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_Toc19065 </w:instrText>
      </w:r>
      <w:r>
        <w:rPr>
          <w:rFonts w:hint="default" w:ascii="Times New Roman" w:hAnsi="Times New Roman" w:cs="Times New Roman"/>
          <w:sz w:val="28"/>
          <w:szCs w:val="28"/>
        </w:rPr>
        <w:fldChar w:fldCharType="separate"/>
      </w:r>
      <w:r>
        <w:rPr>
          <w:rFonts w:hint="default" w:ascii="Times New Roman" w:hAnsi="Times New Roman" w:cs="Times New Roman"/>
          <w:bCs/>
          <w:sz w:val="28"/>
          <w:szCs w:val="28"/>
        </w:rPr>
        <w:t>附表十二：</w:t>
      </w:r>
      <w:r>
        <w:rPr>
          <w:rFonts w:hint="default" w:ascii="Times New Roman" w:hAnsi="Times New Roman" w:cs="Times New Roman"/>
          <w:sz w:val="28"/>
          <w:szCs w:val="28"/>
        </w:rPr>
        <w:t>供应商认为需要提供的其他材料</w:t>
      </w:r>
      <w:r>
        <w:rPr>
          <w:sz w:val="28"/>
          <w:szCs w:val="28"/>
        </w:rPr>
        <w:tab/>
      </w:r>
      <w:r>
        <w:rPr>
          <w:sz w:val="28"/>
          <w:szCs w:val="28"/>
        </w:rPr>
        <w:fldChar w:fldCharType="begin"/>
      </w:r>
      <w:r>
        <w:rPr>
          <w:sz w:val="28"/>
          <w:szCs w:val="28"/>
        </w:rPr>
        <w:instrText xml:space="preserve"> PAGEREF _Toc19065 \h </w:instrText>
      </w:r>
      <w:r>
        <w:rPr>
          <w:sz w:val="28"/>
          <w:szCs w:val="28"/>
        </w:rPr>
        <w:fldChar w:fldCharType="separate"/>
      </w:r>
      <w:r>
        <w:rPr>
          <w:sz w:val="28"/>
          <w:szCs w:val="28"/>
        </w:rPr>
        <w:t>36</w:t>
      </w:r>
      <w:r>
        <w:rPr>
          <w:sz w:val="28"/>
          <w:szCs w:val="28"/>
        </w:rPr>
        <w:fldChar w:fldCharType="end"/>
      </w:r>
      <w:r>
        <w:rPr>
          <w:rFonts w:hint="default" w:ascii="Times New Roman" w:hAnsi="Times New Roman" w:cs="Times New Roman"/>
          <w:sz w:val="28"/>
          <w:szCs w:val="28"/>
        </w:rPr>
        <w:fldChar w:fldCharType="end"/>
      </w:r>
    </w:p>
    <w:p>
      <w:pPr>
        <w:pStyle w:val="2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rPr>
        <w:fldChar w:fldCharType="end"/>
      </w:r>
      <w:r>
        <w:rPr>
          <w:rFonts w:hint="eastAsia" w:cs="Times New Roman"/>
          <w:lang w:val="en-US" w:eastAsia="zh-CN"/>
        </w:rPr>
        <w:t xml:space="preserve">    </w:t>
      </w:r>
      <w:r>
        <w:rPr>
          <w:rFonts w:hint="default" w:ascii="Times New Roman" w:hAnsi="Times New Roman" w:eastAsia="宋体" w:cs="Times New Roman"/>
          <w:color w:val="000000"/>
          <w:kern w:val="2"/>
          <w:sz w:val="28"/>
          <w:szCs w:val="28"/>
          <w:lang w:val="en-US" w:eastAsia="zh-CN" w:bidi="ar-SA"/>
        </w:rPr>
        <w:fldChar w:fldCharType="begin"/>
      </w:r>
      <w:r>
        <w:rPr>
          <w:rFonts w:hint="default" w:ascii="Times New Roman" w:hAnsi="Times New Roman" w:eastAsia="宋体" w:cs="Times New Roman"/>
          <w:color w:val="000000"/>
          <w:kern w:val="2"/>
          <w:sz w:val="28"/>
          <w:szCs w:val="28"/>
          <w:lang w:val="en-US" w:eastAsia="zh-CN" w:bidi="ar-SA"/>
        </w:rPr>
        <w:instrText xml:space="preserve"> HYPERLINK \l _Toc19065 </w:instrText>
      </w:r>
      <w:r>
        <w:rPr>
          <w:rFonts w:hint="default" w:ascii="Times New Roman" w:hAnsi="Times New Roman" w:eastAsia="宋体" w:cs="Times New Roman"/>
          <w:color w:val="000000"/>
          <w:kern w:val="2"/>
          <w:sz w:val="28"/>
          <w:szCs w:val="28"/>
          <w:lang w:val="en-US" w:eastAsia="zh-CN" w:bidi="ar-SA"/>
        </w:rPr>
        <w:fldChar w:fldCharType="separate"/>
      </w:r>
      <w:r>
        <w:rPr>
          <w:rFonts w:hint="default" w:ascii="Times New Roman" w:hAnsi="Times New Roman" w:eastAsia="宋体" w:cs="Times New Roman"/>
          <w:color w:val="000000"/>
          <w:kern w:val="2"/>
          <w:sz w:val="28"/>
          <w:szCs w:val="28"/>
          <w:lang w:val="en-US" w:eastAsia="zh-CN" w:bidi="ar-SA"/>
        </w:rPr>
        <w:t>附表十</w:t>
      </w:r>
      <w:r>
        <w:rPr>
          <w:rFonts w:hint="eastAsia" w:ascii="Times New Roman" w:hAnsi="Times New Roman" w:eastAsia="宋体" w:cs="Times New Roman"/>
          <w:color w:val="000000"/>
          <w:kern w:val="2"/>
          <w:sz w:val="28"/>
          <w:szCs w:val="28"/>
          <w:lang w:val="en-US" w:eastAsia="zh-CN" w:bidi="ar-SA"/>
        </w:rPr>
        <w:t>三</w:t>
      </w:r>
      <w:r>
        <w:rPr>
          <w:rFonts w:hint="default" w:ascii="Times New Roman" w:hAnsi="Times New Roman" w:eastAsia="宋体" w:cs="Times New Roman"/>
          <w:color w:val="000000"/>
          <w:kern w:val="2"/>
          <w:sz w:val="28"/>
          <w:szCs w:val="28"/>
          <w:lang w:val="en-US" w:eastAsia="zh-CN" w:bidi="ar-SA"/>
        </w:rPr>
        <w:t>：供应商认为需要提供的其他材料</w:t>
      </w:r>
      <w:r>
        <w:rPr>
          <w:rFonts w:hint="eastAsia" w:ascii="Times New Roman" w:hAnsi="Times New Roman" w:eastAsia="宋体" w:cs="Times New Roman"/>
          <w:color w:val="000000"/>
          <w:kern w:val="2"/>
          <w:sz w:val="28"/>
          <w:szCs w:val="28"/>
          <w:lang w:val="en-US" w:eastAsia="zh-CN" w:bidi="ar-SA"/>
        </w:rPr>
        <w:t>............................................</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PAGEREF _Toc19065 \h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36</w:t>
      </w:r>
      <w:r>
        <w:rPr>
          <w:rFonts w:hint="eastAsia" w:ascii="宋体" w:hAnsi="宋体" w:eastAsia="宋体" w:cs="宋体"/>
          <w:color w:val="auto"/>
          <w:kern w:val="2"/>
          <w:sz w:val="28"/>
          <w:szCs w:val="28"/>
          <w:lang w:val="en-US" w:eastAsia="zh-CN" w:bidi="ar-SA"/>
        </w:rPr>
        <w:fldChar w:fldCharType="end"/>
      </w:r>
      <w:r>
        <w:rPr>
          <w:rFonts w:hint="default" w:ascii="Times New Roman" w:hAnsi="Times New Roman" w:eastAsia="宋体" w:cs="Times New Roman"/>
          <w:color w:val="000000"/>
          <w:kern w:val="2"/>
          <w:sz w:val="28"/>
          <w:szCs w:val="28"/>
          <w:lang w:val="en-US" w:eastAsia="zh-CN" w:bidi="ar-SA"/>
        </w:rPr>
        <w:fldChar w:fldCharType="end"/>
      </w:r>
      <w:r>
        <w:rPr>
          <w:rFonts w:hint="default" w:ascii="Times New Roman" w:hAnsi="Times New Roman" w:cs="Times New Roman"/>
          <w:color w:val="auto"/>
        </w:rPr>
        <w:br w:type="page"/>
      </w:r>
    </w:p>
    <w:p>
      <w:pPr>
        <w:pStyle w:val="3"/>
        <w:bidi w:val="0"/>
        <w:rPr>
          <w:rFonts w:hint="default"/>
        </w:rPr>
      </w:pPr>
      <w:bookmarkStart w:id="0" w:name="_Toc7833"/>
      <w:bookmarkStart w:id="1" w:name="_Toc51143309"/>
      <w:bookmarkStart w:id="2" w:name="_Toc12695"/>
      <w:bookmarkStart w:id="3" w:name="_Toc8100"/>
      <w:r>
        <w:rPr>
          <w:rFonts w:hint="default"/>
        </w:rPr>
        <w:t>供应商须知前附表</w:t>
      </w:r>
      <w:bookmarkEnd w:id="0"/>
      <w:bookmarkEnd w:id="1"/>
      <w:bookmarkEnd w:id="2"/>
      <w:bookmarkEnd w:id="3"/>
    </w:p>
    <w:tbl>
      <w:tblPr>
        <w:tblStyle w:val="65"/>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工程名称：</w:t>
            </w:r>
            <w:r>
              <w:rPr>
                <w:rFonts w:hint="eastAsia" w:cs="Times New Roman"/>
                <w:color w:val="auto"/>
                <w:sz w:val="24"/>
                <w:szCs w:val="24"/>
                <w:lang w:eastAsia="zh-CN"/>
              </w:rPr>
              <w:t>木垒县2022年农作物（小麦）救灾补助项目</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采购内容：2022年，木垒县小麦播种面积53万亩，其中：冬小麦38万亩，春小麦15万亩；（水浇地15万亩，山旱地38万亩）（1）芸苔素内脂，有效成分含量0.01%，亩用量0.008公斤，需采购4240公斤。（2）水溶液0.04公斤/亩，需采购21200公斤。（3）尿素 0.09公斤/亩，需采购47700公斤。共530000亩</w:t>
            </w:r>
            <w:r>
              <w:rPr>
                <w:rFonts w:hint="default" w:ascii="Times New Roman" w:hAnsi="Times New Roman" w:cs="Times New Roman"/>
                <w:color w:val="auto"/>
                <w:sz w:val="24"/>
                <w:szCs w:val="24"/>
                <w:highlight w:val="none"/>
              </w:rPr>
              <w:t>。</w:t>
            </w:r>
          </w:p>
          <w:p>
            <w:pPr>
              <w:pStyle w:val="35"/>
              <w:rPr>
                <w:rFonts w:hint="eastAsia" w:eastAsia="新宋体"/>
                <w:lang w:val="en-US" w:eastAsia="zh-CN"/>
              </w:rPr>
            </w:pPr>
            <w:r>
              <w:rPr>
                <w:rFonts w:hint="eastAsia" w:cs="Times New Roman"/>
                <w:color w:val="auto"/>
                <w:sz w:val="24"/>
                <w:szCs w:val="24"/>
                <w:highlight w:val="none"/>
                <w:lang w:val="en-US" w:eastAsia="zh-CN"/>
              </w:rPr>
              <w:t>资金来源：中央农业生产救灾资金补助。</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采购预算（最高限价）：</w:t>
            </w:r>
            <w:r>
              <w:rPr>
                <w:rFonts w:hint="eastAsia" w:cs="Times New Roman"/>
                <w:color w:val="auto"/>
                <w:sz w:val="24"/>
                <w:szCs w:val="24"/>
                <w:highlight w:val="none"/>
                <w:lang w:val="en-US" w:eastAsia="zh-CN"/>
              </w:rPr>
              <w:t>约120</w:t>
            </w:r>
            <w:r>
              <w:rPr>
                <w:rFonts w:hint="default" w:ascii="Times New Roman" w:hAnsi="Times New Roman" w:cs="Times New Roman"/>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保证金金额：人民币</w:t>
            </w:r>
            <w:r>
              <w:rPr>
                <w:rFonts w:hint="eastAsia" w:cs="Times New Roman"/>
                <w:color w:val="auto"/>
                <w:sz w:val="24"/>
                <w:szCs w:val="24"/>
                <w:lang w:val="en-US" w:eastAsia="zh-CN"/>
              </w:rPr>
              <w:t>贰万</w:t>
            </w:r>
            <w:r>
              <w:rPr>
                <w:rFonts w:hint="default" w:ascii="Times New Roman" w:hAnsi="Times New Roman" w:cs="Times New Roman"/>
                <w:color w:val="auto"/>
                <w:sz w:val="24"/>
                <w:szCs w:val="24"/>
              </w:rPr>
              <w:t>元整（￥：</w:t>
            </w:r>
            <w:r>
              <w:rPr>
                <w:rFonts w:hint="eastAsia" w:cs="Times New Roman"/>
                <w:color w:val="auto"/>
                <w:sz w:val="24"/>
                <w:szCs w:val="24"/>
                <w:lang w:val="en-US" w:eastAsia="zh-CN"/>
              </w:rPr>
              <w:t>20000</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00元）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pacing w:val="-4"/>
                <w:sz w:val="24"/>
              </w:rPr>
            </w:pPr>
            <w:r>
              <w:rPr>
                <w:rFonts w:hint="default" w:ascii="Times New Roman" w:hAnsi="Times New Roman" w:cs="Times New Roman"/>
                <w:color w:val="auto"/>
                <w:spacing w:val="-4"/>
                <w:sz w:val="24"/>
              </w:rPr>
              <w:t>保证金应从供应商的基本账户汇入下面采购人指定的开户银行账户。以其他方式提交保证金采购人不接受。</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4"/>
                <w:sz w:val="24"/>
              </w:rPr>
              <w:t>由潜在投标人单位基本账户汇至投标保证金由投标单位基本帐户汇至新疆天麒工程项目管理咨询有限责任公司（单位名称：新疆天麒工程项目管理咨询有限责任公司阜康分公司、开户银行：新疆阜康农村商业银行股份有限公司营业部开户账808010012010107666982、开户行行号：（402885600012），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2022年0</w:t>
            </w:r>
            <w:r>
              <w:rPr>
                <w:rFonts w:hint="eastAsia" w:cs="Times New Roman"/>
                <w:color w:val="auto"/>
                <w:spacing w:val="-4"/>
                <w:sz w:val="24"/>
                <w:lang w:val="en-US" w:eastAsia="zh-CN"/>
              </w:rPr>
              <w:t>5</w:t>
            </w:r>
            <w:r>
              <w:rPr>
                <w:rFonts w:hint="default" w:ascii="Times New Roman" w:hAnsi="Times New Roman" w:cs="Times New Roman"/>
                <w:color w:val="auto"/>
                <w:spacing w:val="-4"/>
                <w:sz w:val="24"/>
              </w:rPr>
              <w:t>月</w:t>
            </w:r>
            <w:r>
              <w:rPr>
                <w:rFonts w:hint="eastAsia" w:cs="Times New Roman"/>
                <w:color w:val="auto"/>
                <w:spacing w:val="-4"/>
                <w:sz w:val="24"/>
                <w:lang w:val="en-US" w:eastAsia="zh-CN"/>
              </w:rPr>
              <w:t>26</w:t>
            </w:r>
            <w:r>
              <w:rPr>
                <w:rFonts w:hint="default" w:ascii="Times New Roman" w:hAnsi="Times New Roman" w:cs="Times New Roman"/>
                <w:color w:val="auto"/>
                <w:spacing w:val="-4"/>
                <w:sz w:val="24"/>
              </w:rPr>
              <w:t>日10:00时－2022年0</w:t>
            </w:r>
            <w:r>
              <w:rPr>
                <w:rFonts w:hint="eastAsia" w:cs="Times New Roman"/>
                <w:color w:val="auto"/>
                <w:spacing w:val="-4"/>
                <w:sz w:val="24"/>
                <w:lang w:val="en-US" w:eastAsia="zh-CN"/>
              </w:rPr>
              <w:t>6</w:t>
            </w:r>
            <w:r>
              <w:rPr>
                <w:rFonts w:hint="default" w:ascii="Times New Roman" w:hAnsi="Times New Roman" w:cs="Times New Roman"/>
                <w:color w:val="auto"/>
                <w:spacing w:val="-4"/>
                <w:sz w:val="24"/>
              </w:rPr>
              <w:t>月</w:t>
            </w:r>
            <w:r>
              <w:rPr>
                <w:rFonts w:hint="eastAsia" w:cs="Times New Roman"/>
                <w:color w:val="auto"/>
                <w:spacing w:val="-4"/>
                <w:sz w:val="24"/>
                <w:lang w:val="en-US" w:eastAsia="zh-CN"/>
              </w:rPr>
              <w:t>06</w:t>
            </w:r>
            <w:r>
              <w:rPr>
                <w:rFonts w:hint="default" w:ascii="Times New Roman" w:hAnsi="Times New Roman" w:cs="Times New Roman"/>
                <w:color w:val="auto"/>
                <w:spacing w:val="-4"/>
                <w:sz w:val="24"/>
              </w:rPr>
              <w:t>日1</w:t>
            </w:r>
            <w:r>
              <w:rPr>
                <w:rFonts w:hint="eastAsia" w:cs="Times New Roman"/>
                <w:color w:val="auto"/>
                <w:spacing w:val="-4"/>
                <w:sz w:val="24"/>
                <w:lang w:val="en-US" w:eastAsia="zh-CN"/>
              </w:rPr>
              <w:t>1</w:t>
            </w:r>
            <w:r>
              <w:rPr>
                <w:rFonts w:hint="default" w:ascii="Times New Roman" w:hAnsi="Times New Roman" w:cs="Times New Roman"/>
                <w:color w:val="auto"/>
                <w:spacing w:val="-4"/>
                <w:sz w:val="24"/>
              </w:rPr>
              <w:t>:</w:t>
            </w:r>
            <w:r>
              <w:rPr>
                <w:rFonts w:hint="eastAsia" w:cs="Times New Roman"/>
                <w:color w:val="auto"/>
                <w:spacing w:val="-4"/>
                <w:sz w:val="24"/>
                <w:lang w:val="en-US" w:eastAsia="zh-CN"/>
              </w:rPr>
              <w:t>00</w:t>
            </w:r>
            <w:r>
              <w:rPr>
                <w:rFonts w:hint="default" w:ascii="Times New Roman" w:hAnsi="Times New Roman" w:cs="Times New Roman"/>
                <w:color w:val="auto"/>
                <w:spacing w:val="-4"/>
                <w:sz w:val="24"/>
              </w:rPr>
              <w:t>时）</w:t>
            </w:r>
            <w:r>
              <w:rPr>
                <w:rFonts w:hint="eastAsia" w:cs="Times New Roman"/>
                <w:color w:val="auto"/>
                <w:spacing w:val="-4"/>
                <w:sz w:val="24"/>
                <w:lang w:val="en-US" w:eastAsia="zh-CN"/>
              </w:rPr>
              <w:t>工作日期</w:t>
            </w:r>
            <w:r>
              <w:rPr>
                <w:rFonts w:hint="eastAsia" w:ascii="Times New Roman" w:hAnsi="Times New Roman" w:cs="Times New Roman"/>
                <w:color w:val="auto"/>
                <w:spacing w:val="-4"/>
                <w:sz w:val="24"/>
                <w:szCs w:val="22"/>
                <w:lang w:val="en-US" w:eastAsia="zh-CN"/>
              </w:rPr>
              <w:t>间至昌吉市屯河北路新天地商务港823财务室</w:t>
            </w:r>
            <w:r>
              <w:rPr>
                <w:rFonts w:hint="default" w:ascii="Times New Roman" w:hAnsi="Times New Roman" w:cs="Times New Roman"/>
                <w:color w:val="auto"/>
                <w:spacing w:val="-4"/>
                <w:sz w:val="24"/>
              </w:rPr>
              <w:t>换取保证金收据，并以此收据作为保证金交讫凭据并放入磋商响应文件中。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递交磋商响应文件的截止时间：</w:t>
            </w:r>
            <w:r>
              <w:rPr>
                <w:rFonts w:hint="eastAsia" w:cs="Times New Roman"/>
                <w:color w:val="auto"/>
                <w:sz w:val="24"/>
                <w:szCs w:val="24"/>
                <w:lang w:eastAsia="zh-CN"/>
              </w:rPr>
              <w:t>2022年0</w:t>
            </w:r>
            <w:r>
              <w:rPr>
                <w:rFonts w:hint="eastAsia" w:cs="Times New Roman"/>
                <w:color w:val="auto"/>
                <w:sz w:val="24"/>
                <w:szCs w:val="24"/>
                <w:lang w:val="en-US" w:eastAsia="zh-CN"/>
              </w:rPr>
              <w:t>6</w:t>
            </w:r>
            <w:r>
              <w:rPr>
                <w:rFonts w:hint="eastAsia" w:cs="Times New Roman"/>
                <w:color w:val="auto"/>
                <w:sz w:val="24"/>
                <w:szCs w:val="24"/>
                <w:lang w:eastAsia="zh-CN"/>
              </w:rPr>
              <w:t>月</w:t>
            </w:r>
            <w:r>
              <w:rPr>
                <w:rFonts w:hint="eastAsia" w:cs="Times New Roman"/>
                <w:color w:val="auto"/>
                <w:sz w:val="24"/>
                <w:szCs w:val="24"/>
                <w:lang w:val="en-US" w:eastAsia="zh-CN"/>
              </w:rPr>
              <w:t>06</w:t>
            </w:r>
            <w:r>
              <w:rPr>
                <w:rFonts w:hint="eastAsia" w:cs="Times New Roman"/>
                <w:color w:val="auto"/>
                <w:sz w:val="24"/>
                <w:szCs w:val="24"/>
                <w:lang w:eastAsia="zh-CN"/>
              </w:rPr>
              <w:t>日1</w:t>
            </w:r>
            <w:r>
              <w:rPr>
                <w:rFonts w:hint="eastAsia" w:cs="Times New Roman"/>
                <w:color w:val="auto"/>
                <w:sz w:val="24"/>
                <w:szCs w:val="24"/>
                <w:lang w:val="en-US" w:eastAsia="zh-CN"/>
              </w:rPr>
              <w:t>1</w:t>
            </w:r>
            <w:r>
              <w:rPr>
                <w:rFonts w:hint="eastAsia" w:cs="Times New Roman"/>
                <w:color w:val="auto"/>
                <w:sz w:val="24"/>
                <w:szCs w:val="24"/>
                <w:lang w:eastAsia="zh-CN"/>
              </w:rPr>
              <w:t>点</w:t>
            </w:r>
            <w:r>
              <w:rPr>
                <w:rFonts w:hint="eastAsia" w:cs="Times New Roman"/>
                <w:color w:val="auto"/>
                <w:sz w:val="24"/>
                <w:szCs w:val="24"/>
                <w:lang w:val="en-US" w:eastAsia="zh-CN"/>
              </w:rPr>
              <w:t>0</w:t>
            </w:r>
            <w:r>
              <w:rPr>
                <w:rFonts w:hint="eastAsia" w:cs="Times New Roman"/>
                <w:color w:val="auto"/>
                <w:sz w:val="24"/>
                <w:szCs w:val="24"/>
                <w:lang w:eastAsia="zh-CN"/>
              </w:rPr>
              <w:t>0分</w:t>
            </w:r>
            <w:r>
              <w:rPr>
                <w:rFonts w:hint="default" w:ascii="Times New Roman" w:hAnsi="Times New Roman" w:cs="Times New Roman"/>
                <w:color w:val="auto"/>
                <w:sz w:val="24"/>
                <w:szCs w:val="24"/>
              </w:rPr>
              <w:t>（北京时间）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递交磋商响应文件的地点：</w:t>
            </w:r>
            <w:r>
              <w:rPr>
                <w:rFonts w:hint="eastAsia" w:cs="Times New Roman"/>
                <w:color w:val="auto"/>
                <w:sz w:val="24"/>
                <w:szCs w:val="24"/>
                <w:lang w:eastAsia="zh-CN"/>
              </w:rPr>
              <w:t>新疆天麒工程项目管理咨询有限责任公司昌吉市屯河北路新天地商务港82</w:t>
            </w:r>
            <w:r>
              <w:rPr>
                <w:rFonts w:hint="eastAsia" w:cs="Times New Roman"/>
                <w:color w:val="auto"/>
                <w:sz w:val="24"/>
                <w:szCs w:val="24"/>
                <w:lang w:val="en-US" w:eastAsia="zh-CN"/>
              </w:rPr>
              <w:t>1</w:t>
            </w:r>
            <w:r>
              <w:rPr>
                <w:rFonts w:hint="eastAsia" w:cs="Times New Roman"/>
                <w:color w:val="auto"/>
                <w:sz w:val="24"/>
                <w:szCs w:val="24"/>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磋商开始时间：</w:t>
            </w:r>
            <w:r>
              <w:rPr>
                <w:rFonts w:hint="eastAsia" w:cs="Times New Roman"/>
                <w:color w:val="auto"/>
                <w:sz w:val="24"/>
                <w:szCs w:val="24"/>
                <w:lang w:eastAsia="zh-CN"/>
              </w:rPr>
              <w:t>2022年0</w:t>
            </w:r>
            <w:r>
              <w:rPr>
                <w:rFonts w:hint="eastAsia" w:cs="Times New Roman"/>
                <w:color w:val="auto"/>
                <w:sz w:val="24"/>
                <w:szCs w:val="24"/>
                <w:lang w:val="en-US" w:eastAsia="zh-CN"/>
              </w:rPr>
              <w:t>6</w:t>
            </w:r>
            <w:r>
              <w:rPr>
                <w:rFonts w:hint="eastAsia" w:cs="Times New Roman"/>
                <w:color w:val="auto"/>
                <w:sz w:val="24"/>
                <w:szCs w:val="24"/>
                <w:lang w:eastAsia="zh-CN"/>
              </w:rPr>
              <w:t>月</w:t>
            </w:r>
            <w:r>
              <w:rPr>
                <w:rFonts w:hint="eastAsia" w:cs="Times New Roman"/>
                <w:color w:val="auto"/>
                <w:sz w:val="24"/>
                <w:szCs w:val="24"/>
                <w:lang w:val="en-US" w:eastAsia="zh-CN"/>
              </w:rPr>
              <w:t>06</w:t>
            </w:r>
            <w:r>
              <w:rPr>
                <w:rFonts w:hint="eastAsia" w:cs="Times New Roman"/>
                <w:color w:val="auto"/>
                <w:sz w:val="24"/>
                <w:szCs w:val="24"/>
                <w:lang w:eastAsia="zh-CN"/>
              </w:rPr>
              <w:t>日</w:t>
            </w:r>
            <w:r>
              <w:rPr>
                <w:rFonts w:hint="eastAsia" w:cs="Times New Roman"/>
                <w:color w:val="auto"/>
                <w:sz w:val="24"/>
                <w:szCs w:val="24"/>
                <w:lang w:val="en-US" w:eastAsia="zh-CN"/>
              </w:rPr>
              <w:t>11</w:t>
            </w:r>
            <w:r>
              <w:rPr>
                <w:rFonts w:hint="eastAsia" w:cs="Times New Roman"/>
                <w:color w:val="auto"/>
                <w:sz w:val="24"/>
                <w:szCs w:val="24"/>
                <w:lang w:eastAsia="zh-CN"/>
              </w:rPr>
              <w:t>点</w:t>
            </w:r>
            <w:r>
              <w:rPr>
                <w:rFonts w:hint="eastAsia" w:cs="Times New Roman"/>
                <w:color w:val="auto"/>
                <w:sz w:val="24"/>
                <w:szCs w:val="24"/>
                <w:lang w:val="en-US" w:eastAsia="zh-CN"/>
              </w:rPr>
              <w:t>0</w:t>
            </w:r>
            <w:r>
              <w:rPr>
                <w:rFonts w:hint="eastAsia" w:cs="Times New Roman"/>
                <w:color w:val="auto"/>
                <w:sz w:val="24"/>
                <w:szCs w:val="24"/>
                <w:lang w:eastAsia="zh-CN"/>
              </w:rPr>
              <w:t>0分</w:t>
            </w:r>
            <w:r>
              <w:rPr>
                <w:rFonts w:hint="default" w:ascii="Times New Roman" w:hAnsi="Times New Roman" w:cs="Times New Roman"/>
                <w:color w:val="auto"/>
                <w:sz w:val="24"/>
                <w:szCs w:val="24"/>
              </w:rPr>
              <w:t>（北京时间）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磋商地点：登陆政采云平台https://www.zcygov.cn/，纸质投标文件：</w:t>
            </w:r>
            <w:r>
              <w:rPr>
                <w:rFonts w:hint="eastAsia" w:cs="Times New Roman"/>
                <w:color w:val="auto"/>
                <w:sz w:val="24"/>
                <w:szCs w:val="24"/>
                <w:lang w:val="en-US" w:eastAsia="zh-CN"/>
              </w:rPr>
              <w:t>磋商</w:t>
            </w:r>
            <w:r>
              <w:rPr>
                <w:rFonts w:hint="default" w:ascii="Times New Roman" w:hAnsi="Times New Roman" w:cs="Times New Roman"/>
                <w:color w:val="auto"/>
                <w:sz w:val="24"/>
                <w:szCs w:val="24"/>
              </w:rPr>
              <w:t>文件三份（一正两副）以密封形式递交新疆天麒工程项目管理咨询有限责任公司新疆维吾尔自治区昌吉市屯河北路新天地商务港821开标室。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磋商响应文件的有效期：自磋商开始时间之日起</w:t>
            </w:r>
            <w:r>
              <w:rPr>
                <w:rFonts w:hint="eastAsia" w:cs="Times New Roman"/>
                <w:color w:val="auto"/>
                <w:sz w:val="24"/>
                <w:szCs w:val="24"/>
                <w:lang w:val="en-US" w:eastAsia="zh-CN"/>
              </w:rPr>
              <w:t>60</w:t>
            </w:r>
            <w:r>
              <w:rPr>
                <w:rFonts w:hint="default" w:ascii="Times New Roman" w:hAnsi="Times New Roman" w:cs="Times New Roman"/>
                <w:color w:val="auto"/>
                <w:sz w:val="24"/>
                <w:szCs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磋商响应文件份数：正本一份，副本二份，磋商函及报价一览表单独密封</w:t>
            </w:r>
            <w:r>
              <w:rPr>
                <w:rFonts w:hint="eastAsia" w:cs="Times New Roman"/>
                <w:color w:val="auto"/>
                <w:sz w:val="24"/>
                <w:szCs w:val="24"/>
                <w:lang w:val="en-US" w:eastAsia="zh-CN"/>
              </w:rPr>
              <w:t>，</w:t>
            </w:r>
            <w:r>
              <w:rPr>
                <w:rFonts w:hint="default" w:ascii="Times New Roman" w:hAnsi="Times New Roman" w:cs="Times New Roman"/>
                <w:color w:val="auto"/>
                <w:sz w:val="24"/>
                <w:szCs w:val="24"/>
              </w:rPr>
              <w:t>为书面文本。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磋商文件售价：磋商文件每份</w:t>
            </w:r>
            <w:r>
              <w:rPr>
                <w:rFonts w:hint="eastAsia" w:cs="Times New Roman"/>
                <w:color w:val="auto"/>
                <w:sz w:val="24"/>
                <w:szCs w:val="24"/>
                <w:lang w:val="en-US" w:eastAsia="zh-CN"/>
              </w:rPr>
              <w:t>2</w:t>
            </w:r>
            <w:r>
              <w:rPr>
                <w:rFonts w:hint="default" w:ascii="Times New Roman" w:hAnsi="Times New Roman" w:cs="Times New Roman"/>
                <w:color w:val="auto"/>
                <w:sz w:val="24"/>
                <w:szCs w:val="24"/>
              </w:rPr>
              <w:t>00元。磋商文件一经售出，不论供应商以何种原因不参与磋商，磋商文件费将不予退还。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现场踏勘：采购人不组织现场踏勘。供应商可根据自己的需要自行踏勘现场并承担费用。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8640"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供货时限</w:t>
            </w:r>
            <w:r>
              <w:rPr>
                <w:rFonts w:hint="default" w:ascii="Times New Roman" w:hAnsi="Times New Roman" w:cs="Times New Roman"/>
                <w:color w:val="auto"/>
                <w:sz w:val="24"/>
                <w:szCs w:val="24"/>
              </w:rPr>
              <w:t>：合同签订后</w:t>
            </w:r>
            <w:r>
              <w:rPr>
                <w:rFonts w:hint="eastAsia" w:cs="Times New Roman"/>
                <w:color w:val="auto"/>
                <w:sz w:val="24"/>
                <w:szCs w:val="24"/>
                <w:lang w:val="en-US" w:eastAsia="zh-CN"/>
              </w:rPr>
              <w:t>15</w:t>
            </w:r>
            <w:r>
              <w:rPr>
                <w:rFonts w:hint="default" w:ascii="Times New Roman" w:hAnsi="Times New Roman" w:cs="Times New Roman"/>
                <w:color w:val="auto"/>
                <w:sz w:val="24"/>
                <w:szCs w:val="24"/>
              </w:rPr>
              <w:t>日历日内所购</w:t>
            </w:r>
            <w:r>
              <w:rPr>
                <w:rFonts w:hint="eastAsia" w:cs="Times New Roman"/>
                <w:color w:val="auto"/>
                <w:sz w:val="24"/>
                <w:szCs w:val="24"/>
                <w:lang w:val="en-US" w:eastAsia="zh-CN"/>
              </w:rPr>
              <w:t>货物</w:t>
            </w:r>
            <w:r>
              <w:rPr>
                <w:rFonts w:hint="default" w:ascii="Times New Roman" w:hAnsi="Times New Roman" w:cs="Times New Roman"/>
                <w:color w:val="auto"/>
                <w:sz w:val="24"/>
                <w:szCs w:val="24"/>
              </w:rPr>
              <w:t>运至甲方指定位置并安装验收合格。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kern w:val="10"/>
                <w:sz w:val="24"/>
              </w:rPr>
            </w:pPr>
            <w:r>
              <w:rPr>
                <w:rFonts w:hint="default" w:ascii="Times New Roman" w:hAnsi="Times New Roman" w:cs="Times New Roman"/>
                <w:color w:val="auto"/>
                <w:kern w:val="10"/>
                <w:sz w:val="24"/>
              </w:rPr>
              <w:t>采购人：</w:t>
            </w:r>
            <w:r>
              <w:rPr>
                <w:rFonts w:hint="eastAsia" w:cs="Times New Roman"/>
                <w:color w:val="auto"/>
                <w:kern w:val="10"/>
                <w:sz w:val="24"/>
                <w:lang w:eastAsia="zh-CN"/>
              </w:rPr>
              <w:t>木垒县农业推广站（农产品质量安全检验检测中心）</w:t>
            </w:r>
            <w:r>
              <w:rPr>
                <w:rFonts w:hint="default" w:ascii="Times New Roman" w:hAnsi="Times New Roman" w:cs="Times New Roman"/>
                <w:color w:val="auto"/>
                <w:kern w:val="10"/>
                <w:sz w:val="24"/>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kern w:val="10"/>
                <w:sz w:val="24"/>
                <w:lang w:val="en-US" w:eastAsia="zh-CN"/>
              </w:rPr>
            </w:pPr>
            <w:r>
              <w:rPr>
                <w:rFonts w:hint="default" w:ascii="Times New Roman" w:hAnsi="Times New Roman" w:cs="Times New Roman"/>
                <w:color w:val="auto"/>
                <w:kern w:val="10"/>
                <w:sz w:val="24"/>
              </w:rPr>
              <w:t>联系人及电话：</w:t>
            </w:r>
            <w:r>
              <w:rPr>
                <w:rFonts w:hint="eastAsia" w:cs="Times New Roman"/>
                <w:color w:val="auto"/>
                <w:kern w:val="10"/>
                <w:sz w:val="24"/>
                <w:lang w:val="en-US" w:eastAsia="zh-CN"/>
              </w:rPr>
              <w:t>魏文秀</w:t>
            </w:r>
            <w:r>
              <w:rPr>
                <w:rFonts w:hint="default" w:ascii="Times New Roman" w:hAnsi="Times New Roman" w:cs="Times New Roman"/>
                <w:color w:val="auto"/>
                <w:kern w:val="10"/>
                <w:sz w:val="24"/>
              </w:rPr>
              <w:t xml:space="preserve"> </w:t>
            </w:r>
            <w:r>
              <w:rPr>
                <w:rFonts w:hint="eastAsia" w:cs="Times New Roman"/>
                <w:color w:val="auto"/>
                <w:kern w:val="10"/>
                <w:sz w:val="24"/>
                <w:lang w:val="en-US" w:eastAsia="zh-CN"/>
              </w:rPr>
              <w:t>0994-4831985</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采购代理机构：</w:t>
            </w:r>
            <w:r>
              <w:rPr>
                <w:rFonts w:hint="eastAsia" w:cs="Times New Roman"/>
                <w:color w:val="auto"/>
                <w:sz w:val="24"/>
                <w:szCs w:val="24"/>
                <w:lang w:eastAsia="zh-CN"/>
              </w:rPr>
              <w:t>新疆天麒工程项目管理咨询有限责任公司</w:t>
            </w:r>
            <w:r>
              <w:rPr>
                <w:rFonts w:hint="default" w:ascii="Times New Roman" w:hAnsi="Times New Roman" w:cs="Times New Roman"/>
                <w:color w:val="auto"/>
                <w:sz w:val="24"/>
                <w:szCs w:val="24"/>
              </w:rPr>
              <w:t>（</w:t>
            </w:r>
            <w:r>
              <w:rPr>
                <w:rFonts w:hint="eastAsia" w:cs="Times New Roman"/>
                <w:color w:val="auto"/>
                <w:sz w:val="24"/>
                <w:szCs w:val="24"/>
                <w:lang w:val="en-US" w:eastAsia="zh-CN"/>
              </w:rPr>
              <w:t>昌吉市屯河北路新天地商务港815室</w:t>
            </w:r>
            <w:r>
              <w:rPr>
                <w:rFonts w:hint="default" w:ascii="Times New Roman" w:hAnsi="Times New Roman" w:cs="Times New Roman"/>
                <w:color w:val="auto"/>
                <w:sz w:val="24"/>
                <w:szCs w:val="24"/>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联系人及电话：</w:t>
            </w:r>
            <w:r>
              <w:rPr>
                <w:rFonts w:hint="eastAsia" w:cs="Times New Roman"/>
                <w:color w:val="auto"/>
                <w:sz w:val="24"/>
                <w:szCs w:val="24"/>
                <w:lang w:val="en-US" w:eastAsia="zh-CN"/>
              </w:rPr>
              <w:t>林杰、顾娜尔</w:t>
            </w:r>
            <w:r>
              <w:rPr>
                <w:rFonts w:hint="default" w:ascii="Times New Roman" w:hAnsi="Times New Roman" w:cs="Times New Roman"/>
                <w:color w:val="auto"/>
                <w:sz w:val="24"/>
                <w:szCs w:val="24"/>
              </w:rPr>
              <w:t xml:space="preserve">    </w:t>
            </w:r>
            <w:r>
              <w:rPr>
                <w:rFonts w:hint="eastAsia" w:cs="Times New Roman"/>
                <w:color w:val="auto"/>
                <w:sz w:val="24"/>
                <w:szCs w:val="24"/>
                <w:lang w:val="en-US" w:eastAsia="zh-CN"/>
              </w:rPr>
              <w:t>18095969997</w:t>
            </w:r>
            <w:r>
              <w:rPr>
                <w:rFonts w:hint="default" w:ascii="Times New Roman" w:hAnsi="Times New Roman" w:cs="Times New Roman"/>
                <w:color w:val="auto"/>
                <w:sz w:val="24"/>
                <w:szCs w:val="24"/>
              </w:rPr>
              <w:t xml:space="preserve">  0994-</w:t>
            </w:r>
            <w:r>
              <w:rPr>
                <w:rFonts w:hint="eastAsia" w:cs="Times New Roman"/>
                <w:color w:val="auto"/>
                <w:sz w:val="24"/>
                <w:szCs w:val="24"/>
                <w:lang w:val="en-US" w:eastAsia="zh-CN"/>
              </w:rPr>
              <w:t>2209928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本项目代理服务费和专家评审费由成交供应商承担。采购代理费收费标准：依据计价格〔2002〕1980号文</w:t>
            </w:r>
            <w:r>
              <w:rPr>
                <w:rFonts w:hint="eastAsia" w:cs="Times New Roman"/>
                <w:color w:val="auto"/>
                <w:sz w:val="24"/>
                <w:szCs w:val="24"/>
                <w:lang w:val="en-US" w:eastAsia="zh-CN"/>
              </w:rPr>
              <w:t>货物</w:t>
            </w:r>
            <w:r>
              <w:rPr>
                <w:rFonts w:hint="default" w:ascii="Times New Roman" w:hAnsi="Times New Roman" w:cs="Times New Roman"/>
                <w:color w:val="auto"/>
                <w:sz w:val="24"/>
                <w:szCs w:val="24"/>
              </w:rPr>
              <w:t>类取费。</w:t>
            </w:r>
          </w:p>
        </w:tc>
      </w:tr>
    </w:tbl>
    <w:p>
      <w:pPr>
        <w:jc w:val="center"/>
        <w:rPr>
          <w:rFonts w:hint="default" w:ascii="Times New Roman" w:hAnsi="Times New Roman" w:cs="Times New Roman"/>
          <w:color w:val="auto"/>
          <w:sz w:val="32"/>
        </w:rPr>
      </w:pPr>
      <w:bookmarkStart w:id="4" w:name="_Toc281309801"/>
    </w:p>
    <w:p>
      <w:pPr>
        <w:rPr>
          <w:rFonts w:hint="eastAsia" w:cs="Times New Roman"/>
          <w:color w:val="auto"/>
          <w:lang w:val="en-US" w:eastAsia="zh-CN"/>
        </w:rPr>
      </w:pPr>
      <w:bookmarkStart w:id="5" w:name="_Toc42854324"/>
      <w:bookmarkStart w:id="6" w:name="_Toc16033"/>
      <w:bookmarkStart w:id="7" w:name="_Toc522808484"/>
      <w:bookmarkStart w:id="8" w:name="_Toc20020"/>
      <w:bookmarkStart w:id="9" w:name="_Toc51143310"/>
      <w:r>
        <w:rPr>
          <w:rFonts w:hint="eastAsia" w:cs="Times New Roman"/>
          <w:b/>
          <w:bCs/>
          <w:color w:val="000000" w:themeColor="text1"/>
          <w:lang w:val="en-US" w:eastAsia="zh-CN"/>
          <w14:textFill>
            <w14:solidFill>
              <w14:schemeClr w14:val="tx1"/>
            </w14:solidFill>
          </w14:textFill>
        </w:rPr>
        <w:t>注：</w:t>
      </w:r>
      <w:r>
        <w:rPr>
          <w:rFonts w:hint="eastAsia" w:cs="Times New Roman"/>
          <w:color w:val="auto"/>
          <w:lang w:val="en-US" w:eastAsia="zh-CN"/>
        </w:rPr>
        <w:t>本项目实行网上招标，采用电子投标文件，投标单位参加投标，自行承担因参与投标所产生的一切费用。</w:t>
      </w:r>
    </w:p>
    <w:p>
      <w:pPr>
        <w:rPr>
          <w:rFonts w:hint="eastAsia" w:cs="Times New Roman"/>
          <w:color w:val="auto"/>
          <w:lang w:val="en-US" w:eastAsia="zh-CN"/>
        </w:rPr>
      </w:pPr>
      <w:r>
        <w:rPr>
          <w:rFonts w:hint="eastAsia" w:cs="Times New Roman"/>
          <w:color w:val="auto"/>
          <w:lang w:val="en-US" w:eastAsia="zh-CN"/>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rPr>
          <w:rFonts w:hint="eastAsia" w:ascii="Times New Roman" w:hAnsi="Times New Roman" w:eastAsia="宋体" w:cs="Times New Roman"/>
          <w:color w:val="auto"/>
          <w:lang w:val="en-US" w:eastAsia="zh-CN"/>
        </w:rPr>
      </w:pPr>
      <w:r>
        <w:rPr>
          <w:rFonts w:hint="eastAsia" w:cs="Times New Roman"/>
          <w:color w:val="auto"/>
          <w:lang w:val="en-US" w:eastAsia="zh-CN"/>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3"/>
        <w:bidi w:val="0"/>
        <w:jc w:val="both"/>
        <w:rPr>
          <w:rFonts w:hint="default" w:eastAsia="宋体"/>
          <w:lang w:val="en-US" w:eastAsia="zh-CN"/>
        </w:rPr>
      </w:pPr>
      <w:bookmarkStart w:id="10" w:name="_Toc13242"/>
      <w:r>
        <w:rPr>
          <w:rFonts w:hint="eastAsia" w:ascii="仿宋_GB2312" w:hAnsi="Arial" w:eastAsia="仿宋_GB2312" w:cs="Times New Roman"/>
          <w:b/>
          <w:sz w:val="32"/>
          <w:szCs w:val="32"/>
          <w:lang w:val="en-US" w:eastAsia="zh-CN"/>
        </w:rPr>
        <w:t>纸质版文件：详见</w:t>
      </w:r>
      <w:r>
        <w:rPr>
          <w:rFonts w:hint="default"/>
        </w:rPr>
        <w:t>供应商须知前附表</w:t>
      </w:r>
      <w:r>
        <w:rPr>
          <w:rFonts w:hint="eastAsia"/>
          <w:lang w:val="en-US" w:eastAsia="zh-CN"/>
        </w:rPr>
        <w:t>第六条</w:t>
      </w:r>
    </w:p>
    <w:p>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ascii="仿宋_GB2312" w:hAnsi="Arial" w:eastAsia="仿宋_GB2312" w:cs="Times New Roman"/>
          <w:b/>
          <w:sz w:val="32"/>
          <w:szCs w:val="32"/>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pStyle w:val="3"/>
        <w:spacing w:before="0" w:after="0"/>
        <w:rPr>
          <w:rFonts w:hint="default" w:ascii="Times New Roman" w:hAnsi="Times New Roman" w:cs="Times New Roman"/>
          <w:color w:val="auto"/>
        </w:rPr>
      </w:pPr>
    </w:p>
    <w:p>
      <w:pPr>
        <w:pStyle w:val="3"/>
        <w:spacing w:before="0" w:after="0"/>
        <w:rPr>
          <w:rFonts w:hint="default" w:ascii="Times New Roman" w:hAnsi="Times New Roman" w:cs="Times New Roman"/>
          <w:color w:val="auto"/>
        </w:rPr>
      </w:pPr>
    </w:p>
    <w:p>
      <w:pPr>
        <w:pStyle w:val="3"/>
        <w:spacing w:before="0" w:after="0"/>
        <w:rPr>
          <w:rFonts w:hint="default" w:ascii="Times New Roman" w:hAnsi="Times New Roman" w:cs="Times New Roman"/>
          <w:color w:val="auto"/>
        </w:rPr>
      </w:pPr>
    </w:p>
    <w:p>
      <w:pPr>
        <w:pStyle w:val="3"/>
        <w:spacing w:before="0" w:after="0"/>
        <w:rPr>
          <w:rFonts w:hint="default" w:ascii="Times New Roman" w:hAnsi="Times New Roman" w:cs="Times New Roman"/>
          <w:color w:val="auto"/>
        </w:rPr>
      </w:pPr>
    </w:p>
    <w:p>
      <w:pPr>
        <w:pStyle w:val="3"/>
        <w:spacing w:before="0" w:after="0"/>
        <w:jc w:val="both"/>
        <w:rPr>
          <w:rFonts w:hint="default" w:ascii="Times New Roman" w:hAnsi="Times New Roman" w:cs="Times New Roman"/>
          <w:color w:val="auto"/>
        </w:rPr>
      </w:pPr>
    </w:p>
    <w:p>
      <w:pPr>
        <w:pStyle w:val="3"/>
        <w:spacing w:before="0" w:after="0"/>
        <w:rPr>
          <w:rFonts w:hint="default" w:ascii="Times New Roman" w:hAnsi="Times New Roman" w:cs="Times New Roman"/>
          <w:color w:val="auto"/>
        </w:rPr>
      </w:pPr>
      <w:r>
        <w:rPr>
          <w:rFonts w:hint="default" w:ascii="Times New Roman" w:hAnsi="Times New Roman" w:cs="Times New Roman"/>
          <w:color w:val="auto"/>
        </w:rPr>
        <w:t>第一章  供应商须知</w:t>
      </w:r>
      <w:bookmarkEnd w:id="4"/>
      <w:bookmarkEnd w:id="5"/>
      <w:bookmarkEnd w:id="6"/>
      <w:bookmarkEnd w:id="7"/>
      <w:bookmarkEnd w:id="8"/>
      <w:bookmarkEnd w:id="9"/>
      <w:bookmarkEnd w:id="10"/>
    </w:p>
    <w:p>
      <w:pPr>
        <w:spacing w:line="440" w:lineRule="exact"/>
        <w:ind w:firstLine="480" w:firstLineChars="200"/>
        <w:outlineLvl w:val="1"/>
        <w:rPr>
          <w:rFonts w:hint="default" w:ascii="Times New Roman" w:hAnsi="Times New Roman" w:cs="Times New Roman"/>
          <w:color w:val="auto"/>
          <w:sz w:val="24"/>
        </w:rPr>
      </w:pPr>
      <w:bookmarkStart w:id="11" w:name="_Toc42854325"/>
      <w:bookmarkStart w:id="12" w:name="_Toc18054"/>
      <w:bookmarkStart w:id="13" w:name="_Toc51143311"/>
      <w:r>
        <w:rPr>
          <w:rFonts w:hint="default" w:ascii="Times New Roman" w:hAnsi="Times New Roman" w:cs="Times New Roman"/>
          <w:color w:val="auto"/>
          <w:sz w:val="24"/>
        </w:rPr>
        <w:t>1、定义</w:t>
      </w:r>
      <w:bookmarkEnd w:id="11"/>
      <w:bookmarkEnd w:id="12"/>
      <w:bookmarkEnd w:id="13"/>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除非本文件中另有规定，本文件中出现的下列词语具有下面所述的含义。</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1“采购人”是指</w:t>
      </w:r>
      <w:r>
        <w:rPr>
          <w:rFonts w:hint="eastAsia" w:cs="Times New Roman"/>
          <w:color w:val="auto"/>
          <w:sz w:val="24"/>
          <w:szCs w:val="24"/>
          <w:lang w:eastAsia="zh-CN"/>
        </w:rPr>
        <w:t>木垒县农业推广站（农产品质量安全检验检测中心）</w:t>
      </w:r>
      <w:r>
        <w:rPr>
          <w:rFonts w:hint="default" w:ascii="Times New Roman" w:hAnsi="Times New Roman" w:cs="Times New Roman"/>
          <w:color w:val="auto"/>
          <w:sz w:val="24"/>
          <w:szCs w:val="24"/>
        </w:rPr>
        <w:t>。</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2“供应商”是指响应磋商文件参加磋商的所有合格供应商和成交供应商。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3“合同”是指依据法律规定，采购人和成交供应商之间为了采购的标的而签订的对双方具有约束力的所有文件。</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4“工程”是指成交供应商向采购人交付的符合合同约定的工程。</w:t>
      </w:r>
    </w:p>
    <w:p>
      <w:pPr>
        <w:spacing w:line="440" w:lineRule="exact"/>
        <w:ind w:firstLine="480" w:firstLineChars="200"/>
        <w:rPr>
          <w:rFonts w:hint="default" w:ascii="Times New Roman" w:hAnsi="Times New Roman" w:cs="Times New Roman"/>
          <w:color w:val="auto"/>
          <w:spacing w:val="-12"/>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w:t>
      </w:r>
      <w:r>
        <w:rPr>
          <w:rFonts w:hint="default" w:ascii="Times New Roman" w:hAnsi="Times New Roman" w:cs="Times New Roman"/>
          <w:color w:val="auto"/>
          <w:spacing w:val="-12"/>
          <w:sz w:val="24"/>
          <w:szCs w:val="24"/>
        </w:rPr>
        <w:t xml:space="preserve"> “</w:t>
      </w:r>
      <w:r>
        <w:rPr>
          <w:rFonts w:hint="default" w:ascii="Times New Roman" w:hAnsi="Times New Roman" w:cs="Times New Roman"/>
          <w:color w:val="auto"/>
          <w:spacing w:val="-6"/>
          <w:sz w:val="24"/>
          <w:szCs w:val="24"/>
        </w:rPr>
        <w:t>书面形式</w:t>
      </w:r>
      <w:r>
        <w:rPr>
          <w:rFonts w:hint="default" w:ascii="Times New Roman" w:hAnsi="Times New Roman" w:cs="Times New Roman"/>
          <w:color w:val="auto"/>
          <w:spacing w:val="-12"/>
          <w:sz w:val="24"/>
          <w:szCs w:val="24"/>
        </w:rPr>
        <w:t>”</w:t>
      </w:r>
      <w:r>
        <w:rPr>
          <w:rFonts w:hint="default" w:ascii="Times New Roman" w:hAnsi="Times New Roman" w:cs="Times New Roman"/>
          <w:color w:val="auto"/>
          <w:spacing w:val="-6"/>
          <w:sz w:val="24"/>
          <w:szCs w:val="24"/>
        </w:rPr>
        <w:t>是指任何以手写、打印、印刷、传真、电子邮件等生成的可阅读、保存、复制和传播的有形载体形式。任何书面形式的文件都须经有效的签署或有效的确认才有效。</w:t>
      </w:r>
    </w:p>
    <w:p>
      <w:pPr>
        <w:spacing w:line="440" w:lineRule="exact"/>
        <w:ind w:firstLine="480" w:firstLineChars="200"/>
        <w:outlineLvl w:val="1"/>
        <w:rPr>
          <w:rFonts w:hint="default" w:ascii="Times New Roman" w:hAnsi="Times New Roman" w:cs="Times New Roman"/>
          <w:color w:val="auto"/>
          <w:sz w:val="24"/>
        </w:rPr>
      </w:pPr>
      <w:bookmarkStart w:id="14" w:name="_Toc42854326"/>
      <w:bookmarkStart w:id="15" w:name="_Toc28993"/>
      <w:bookmarkStart w:id="16" w:name="_Toc51143312"/>
      <w:bookmarkStart w:id="17" w:name="_Toc281309803"/>
      <w:r>
        <w:rPr>
          <w:rFonts w:hint="default" w:ascii="Times New Roman" w:hAnsi="Times New Roman" w:cs="Times New Roman"/>
          <w:color w:val="auto"/>
          <w:sz w:val="24"/>
        </w:rPr>
        <w:t>2、合格的供应商</w:t>
      </w:r>
      <w:bookmarkEnd w:id="14"/>
      <w:bookmarkEnd w:id="15"/>
      <w:bookmarkEnd w:id="16"/>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1合格供应商应满足以下全</w:t>
      </w:r>
      <w:r>
        <w:rPr>
          <w:rFonts w:hint="default" w:ascii="Times New Roman" w:hAnsi="Times New Roman" w:cs="Times New Roman"/>
          <w:color w:val="auto"/>
          <w:spacing w:val="-6"/>
          <w:sz w:val="24"/>
          <w:szCs w:val="24"/>
        </w:rPr>
        <w:t>部条</w:t>
      </w:r>
      <w:r>
        <w:rPr>
          <w:rFonts w:hint="default" w:ascii="Times New Roman" w:hAnsi="Times New Roman" w:cs="Times New Roman"/>
          <w:color w:val="auto"/>
          <w:sz w:val="24"/>
        </w:rPr>
        <w:t>件：</w:t>
      </w:r>
    </w:p>
    <w:p>
      <w:pPr>
        <w:spacing w:line="440" w:lineRule="exact"/>
        <w:ind w:firstLine="480"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满足《中华人民共和国政</w:t>
      </w:r>
      <w:r>
        <w:rPr>
          <w:rFonts w:hint="default" w:ascii="Times New Roman" w:hAnsi="Times New Roman" w:cs="Times New Roman"/>
          <w:color w:val="auto"/>
          <w:spacing w:val="-6"/>
          <w:sz w:val="24"/>
          <w:szCs w:val="24"/>
        </w:rPr>
        <w:t>府采购法》第二十二条规定；</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2</w:t>
      </w:r>
      <w:r>
        <w:rPr>
          <w:rFonts w:hint="default" w:ascii="Times New Roman" w:hAnsi="Times New Roman" w:cs="Times New Roman"/>
          <w:color w:val="auto"/>
          <w:spacing w:val="-6"/>
          <w:sz w:val="24"/>
          <w:szCs w:val="24"/>
          <w:lang w:eastAsia="zh-CN"/>
        </w:rPr>
        <w:t>.</w:t>
      </w:r>
      <w:r>
        <w:rPr>
          <w:rFonts w:hint="default" w:ascii="Times New Roman" w:hAnsi="Times New Roman" w:cs="Times New Roman"/>
          <w:color w:val="auto"/>
          <w:spacing w:val="-6"/>
          <w:sz w:val="24"/>
          <w:szCs w:val="24"/>
        </w:rPr>
        <w:t>落实政府采购政策需满足的资格要求：</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（1）小微型企业价格扣除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①本项目对小型和微型企业产品给予6%的扣除价格，用扣除后的价格参与评审带原件备查。</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②供应商需按照采购文件的要求提供相应的《企业声明函》。</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③企业标准请参照《关于印发中小企业划型标准规定的通知》（工信部联企业[2011]300号）文件规定自行填写。</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（2）残疾人福利单位价格扣除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①本项目对残疾人福利性单位视同小型、微型企业，给予6%的价格扣除，用扣除后的价格参与评审。</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②残疾人福利单位需按照采购文件的要求提供《残疾人福利性单位声明函》。</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③残疾人福利单位标准请参照《关于促进残疾人就业政府采购政策的通知》（财库〔2017〕141号）。</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（3）监狱和戒毒企业价格扣除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①本项目对监狱和戒毒企业（简称监狱企业）视同小型、微型企业，给予6%的价格扣除，用扣除后的价格参与评审。</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③监狱企业标准请参照《关于政府采购支持监狱企业发展有关问题的通知》（财库[2014]68号）。</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④残疾人福利单位、监狱企业属于小型、微型企业的，不重复享受政策。</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⑥联合体各方均为小型、微型企业（残疾人福利单位、监狱企业）的，联合体享受6%价格扣除，用扣除后的价格参与评审。</w:t>
      </w:r>
    </w:p>
    <w:p>
      <w:pPr>
        <w:spacing w:line="440" w:lineRule="exact"/>
        <w:ind w:firstLine="456" w:firstLineChars="200"/>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3</w:t>
      </w:r>
      <w:r>
        <w:rPr>
          <w:rFonts w:hint="default" w:ascii="Times New Roman" w:hAnsi="Times New Roman" w:cs="Times New Roman"/>
          <w:color w:val="auto"/>
          <w:spacing w:val="-6"/>
          <w:sz w:val="24"/>
          <w:szCs w:val="24"/>
          <w:lang w:eastAsia="zh-CN"/>
        </w:rPr>
        <w:t>.</w:t>
      </w:r>
      <w:r>
        <w:rPr>
          <w:rFonts w:hint="default" w:ascii="Times New Roman" w:hAnsi="Times New Roman" w:cs="Times New Roman"/>
          <w:color w:val="auto"/>
          <w:spacing w:val="-6"/>
          <w:sz w:val="24"/>
          <w:szCs w:val="24"/>
        </w:rPr>
        <w:t>本项目的特定资格</w:t>
      </w:r>
      <w:r>
        <w:rPr>
          <w:rFonts w:hint="default" w:ascii="Times New Roman" w:hAnsi="Times New Roman" w:cs="Times New Roman"/>
          <w:color w:val="auto"/>
          <w:sz w:val="24"/>
          <w:szCs w:val="24"/>
        </w:rPr>
        <w:t>要求：</w:t>
      </w:r>
    </w:p>
    <w:bookmarkEnd w:id="17"/>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2"/>
        </w:rPr>
      </w:pPr>
      <w:bookmarkStart w:id="18" w:name="_Toc42854327"/>
      <w:bookmarkStart w:id="19" w:name="_Toc51143313"/>
      <w:r>
        <w:rPr>
          <w:rFonts w:hint="eastAsia" w:ascii="Times New Roman" w:hAnsi="Times New Roman" w:cs="Times New Roman"/>
          <w:color w:val="auto"/>
          <w:sz w:val="24"/>
          <w:szCs w:val="22"/>
        </w:rPr>
        <w:t>①投标人必须是所投产品的制造商或经销商，需提供有效的工商营业执照副本（营业执照需包含本次项目的相关经营权）；</w:t>
      </w:r>
    </w:p>
    <w:p>
      <w:pPr>
        <w:keepNext w:val="0"/>
        <w:keepLines w:val="0"/>
        <w:pageBreakBefore w:val="0"/>
        <w:widowControl/>
        <w:kinsoku/>
        <w:wordWrap/>
        <w:overflowPunct/>
        <w:topLinePunct w:val="0"/>
        <w:autoSpaceDE/>
        <w:autoSpaceDN/>
        <w:bidi w:val="0"/>
        <w:adjustRightInd/>
        <w:snapToGrid/>
        <w:spacing w:line="420" w:lineRule="exact"/>
        <w:ind w:firstLine="456"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pacing w:val="-6"/>
          <w:sz w:val="24"/>
          <w:szCs w:val="24"/>
        </w:rPr>
        <w:t>②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r>
        <w:rPr>
          <w:rFonts w:hint="eastAsia" w:ascii="Times New Roman" w:hAnsi="Times New Roman" w:cs="Times New Roman"/>
          <w:color w:val="auto"/>
          <w:sz w:val="24"/>
          <w:szCs w:val="22"/>
        </w:rPr>
        <w:t>。</w:t>
      </w:r>
    </w:p>
    <w:p>
      <w:pPr>
        <w:keepNext w:val="0"/>
        <w:keepLines w:val="0"/>
        <w:pageBreakBefore w:val="0"/>
        <w:widowControl/>
        <w:kinsoku/>
        <w:wordWrap/>
        <w:overflowPunct/>
        <w:topLinePunct w:val="0"/>
        <w:autoSpaceDE/>
        <w:autoSpaceDN/>
        <w:bidi w:val="0"/>
        <w:adjustRightInd/>
        <w:snapToGrid/>
        <w:spacing w:line="420" w:lineRule="exact"/>
        <w:ind w:firstLine="456"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pacing w:val="-6"/>
          <w:sz w:val="24"/>
          <w:szCs w:val="24"/>
        </w:rPr>
        <w:t>③单位负责人为同一人或者存在直接控股、管理关系的不同供应商，不得参加同一合同项下的政府采购活动。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r>
        <w:rPr>
          <w:rFonts w:hint="eastAsia" w:ascii="Times New Roman" w:hAnsi="Times New Roman" w:cs="Times New Roman"/>
          <w:color w:val="auto"/>
          <w:sz w:val="24"/>
          <w:szCs w:val="22"/>
        </w:rPr>
        <w:t>。</w:t>
      </w:r>
    </w:p>
    <w:p>
      <w:pPr>
        <w:widowControl w:val="0"/>
        <w:spacing w:line="400" w:lineRule="exact"/>
        <w:ind w:firstLine="480" w:firstLineChars="200"/>
        <w:outlineLvl w:val="1"/>
        <w:rPr>
          <w:rFonts w:hint="default" w:ascii="Times New Roman" w:hAnsi="Times New Roman" w:cs="Times New Roman"/>
          <w:color w:val="auto"/>
          <w:sz w:val="24"/>
          <w:szCs w:val="24"/>
        </w:rPr>
      </w:pPr>
      <w:r>
        <w:rPr>
          <w:rFonts w:hint="eastAsia" w:cs="Times New Roman"/>
          <w:color w:val="auto"/>
          <w:sz w:val="24"/>
          <w:szCs w:val="24"/>
          <w:lang w:val="en-US" w:eastAsia="zh-CN"/>
        </w:rPr>
        <w:t>4</w:t>
      </w:r>
      <w:r>
        <w:rPr>
          <w:rFonts w:hint="default" w:ascii="Times New Roman" w:hAnsi="Times New Roman" w:cs="Times New Roman"/>
          <w:color w:val="auto"/>
          <w:sz w:val="24"/>
          <w:szCs w:val="24"/>
        </w:rPr>
        <w:t>、资格审查</w:t>
      </w:r>
      <w:bookmarkEnd w:id="18"/>
      <w:bookmarkEnd w:id="19"/>
    </w:p>
    <w:p>
      <w:pPr>
        <w:spacing w:line="44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1采用资格后审，在磋商开始前将对所有提交磋商响应文件的供应商的资格进行审查。</w:t>
      </w:r>
    </w:p>
    <w:p>
      <w:pPr>
        <w:spacing w:line="440" w:lineRule="exact"/>
        <w:ind w:firstLine="480" w:firstLineChars="200"/>
        <w:outlineLvl w:val="1"/>
        <w:rPr>
          <w:rFonts w:hint="default" w:ascii="Times New Roman" w:hAnsi="Times New Roman" w:cs="Times New Roman"/>
          <w:bCs/>
          <w:color w:val="auto"/>
          <w:sz w:val="24"/>
        </w:rPr>
      </w:pPr>
      <w:bookmarkStart w:id="20" w:name="_Toc51143315"/>
      <w:bookmarkStart w:id="21" w:name="_Toc522808486"/>
      <w:bookmarkStart w:id="22" w:name="_Toc11671"/>
      <w:bookmarkStart w:id="23" w:name="_Toc42854329"/>
      <w:r>
        <w:rPr>
          <w:rFonts w:hint="default" w:ascii="Times New Roman" w:hAnsi="Times New Roman" w:cs="Times New Roman"/>
          <w:bCs/>
          <w:color w:val="auto"/>
          <w:sz w:val="24"/>
        </w:rPr>
        <w:t>5、保证金</w:t>
      </w:r>
      <w:bookmarkEnd w:id="20"/>
      <w:bookmarkEnd w:id="21"/>
      <w:bookmarkEnd w:id="22"/>
      <w:bookmarkEnd w:id="23"/>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1供应商应按供应商须知前附表第2项的要求提交保证金，保证金有效期与磋商响应文件有效期（或延长的有效期）相同。</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2未按要求提交保证金或保证金的有效期短于5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1款的规定或保证金有瑕疵的磋商响应文件将被拒绝。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3磋商过程中</w:t>
      </w:r>
      <w:bookmarkStart w:id="24" w:name="_Hlk42854831"/>
      <w:r>
        <w:rPr>
          <w:rFonts w:hint="default" w:ascii="Times New Roman" w:hAnsi="Times New Roman" w:cs="Times New Roman"/>
          <w:color w:val="auto"/>
          <w:sz w:val="24"/>
        </w:rPr>
        <w:t>供应商若有下列情况之一的保证金不退还</w:t>
      </w:r>
      <w:bookmarkEnd w:id="24"/>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（1）在磋商响应文件有效期内撤回或撤销磋商响应文件。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（2）有本须知15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4款的情形。</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4保证金的退还：未成交供应商的保证金应在成交</w:t>
      </w:r>
      <w:r>
        <w:rPr>
          <w:rFonts w:hint="default" w:ascii="Times New Roman" w:hAnsi="Times New Roman" w:cs="Times New Roman"/>
          <w:color w:val="auto"/>
          <w:kern w:val="0"/>
          <w:sz w:val="24"/>
          <w:szCs w:val="24"/>
        </w:rPr>
        <w:t>通知书发出之日起5个工作日内退还</w:t>
      </w:r>
      <w:r>
        <w:rPr>
          <w:rFonts w:hint="default" w:ascii="Times New Roman" w:hAnsi="Times New Roman" w:cs="Times New Roman"/>
          <w:color w:val="auto"/>
          <w:sz w:val="24"/>
        </w:rPr>
        <w:t>。成交供应商的保证金应在</w:t>
      </w:r>
      <w:r>
        <w:rPr>
          <w:rFonts w:hint="default" w:ascii="Times New Roman" w:hAnsi="Times New Roman" w:cs="Times New Roman"/>
          <w:color w:val="auto"/>
          <w:kern w:val="0"/>
          <w:sz w:val="24"/>
          <w:szCs w:val="24"/>
        </w:rPr>
        <w:t>采购合同签订之日起5个工作日内退还或采购人和成交供应商</w:t>
      </w:r>
      <w:r>
        <w:rPr>
          <w:rFonts w:hint="default" w:ascii="Times New Roman" w:hAnsi="Times New Roman" w:cs="Times New Roman"/>
          <w:color w:val="auto"/>
          <w:sz w:val="24"/>
        </w:rPr>
        <w:t>协商一致后直接转为履约保证金。</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25" w:name="_Toc522808487"/>
      <w:bookmarkStart w:id="26" w:name="_Toc5640"/>
      <w:bookmarkStart w:id="27" w:name="_Toc51143316"/>
      <w:bookmarkStart w:id="28" w:name="_Toc42854330"/>
      <w:r>
        <w:rPr>
          <w:rFonts w:hint="default" w:ascii="Times New Roman" w:hAnsi="Times New Roman" w:eastAsia="宋体" w:cs="Times New Roman"/>
          <w:b w:val="0"/>
          <w:color w:val="auto"/>
          <w:sz w:val="24"/>
        </w:rPr>
        <w:t>6、磋商文件的修改和补充</w:t>
      </w:r>
      <w:bookmarkEnd w:id="25"/>
      <w:bookmarkEnd w:id="26"/>
      <w:bookmarkEnd w:id="27"/>
      <w:bookmarkEnd w:id="28"/>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w:t>
      </w:r>
      <w:r>
        <w:rPr>
          <w:rFonts w:hint="default" w:ascii="Times New Roman" w:hAnsi="Times New Roman" w:cs="Times New Roman"/>
          <w:color w:val="auto"/>
          <w:sz w:val="24"/>
          <w:szCs w:val="24"/>
        </w:rPr>
        <w:t>递交磋商响应文件截止时间前的任何时候，采购人可以对已发出的磋商文件进行必要的</w:t>
      </w:r>
      <w:r>
        <w:rPr>
          <w:rFonts w:hint="default" w:ascii="Times New Roman" w:hAnsi="Times New Roman" w:cs="Times New Roman"/>
          <w:color w:val="auto"/>
          <w:sz w:val="24"/>
        </w:rPr>
        <w:t>修改和补充</w:t>
      </w:r>
      <w:r>
        <w:rPr>
          <w:rFonts w:hint="default" w:ascii="Times New Roman" w:hAnsi="Times New Roman" w:cs="Times New Roman"/>
          <w:color w:val="auto"/>
          <w:sz w:val="24"/>
          <w:szCs w:val="24"/>
        </w:rPr>
        <w:t>。</w:t>
      </w:r>
      <w:r>
        <w:rPr>
          <w:rFonts w:hint="default" w:ascii="Times New Roman" w:hAnsi="Times New Roman" w:cs="Times New Roman"/>
          <w:color w:val="auto"/>
          <w:sz w:val="24"/>
        </w:rPr>
        <w:t>修改和补充将以书面形式通知收到磋商文件的每一供应商。修改和补充</w:t>
      </w:r>
      <w:r>
        <w:rPr>
          <w:rFonts w:hint="default" w:ascii="Times New Roman" w:hAnsi="Times New Roman" w:cs="Times New Roman"/>
          <w:color w:val="auto"/>
          <w:sz w:val="24"/>
          <w:szCs w:val="24"/>
        </w:rPr>
        <w:t>的内容可能影响磋商响应文件编制的并且</w:t>
      </w:r>
      <w:r>
        <w:rPr>
          <w:rFonts w:hint="default" w:ascii="Times New Roman" w:hAnsi="Times New Roman" w:cs="Times New Roman"/>
          <w:color w:val="auto"/>
          <w:sz w:val="24"/>
        </w:rPr>
        <w:t>修改、补充文件发出的日期距离</w:t>
      </w:r>
      <w:r>
        <w:rPr>
          <w:rFonts w:hint="default" w:ascii="Times New Roman" w:hAnsi="Times New Roman" w:cs="Times New Roman"/>
          <w:color w:val="auto"/>
          <w:sz w:val="24"/>
          <w:szCs w:val="24"/>
        </w:rPr>
        <w:t>递交磋商响应文件截止时间不足5日的，应当顺延递交磋商响应文件截止时间</w:t>
      </w:r>
      <w:bookmarkStart w:id="29" w:name="_Hlk42861031"/>
      <w:r>
        <w:rPr>
          <w:rFonts w:hint="default" w:ascii="Times New Roman" w:hAnsi="Times New Roman" w:cs="Times New Roman"/>
          <w:color w:val="auto"/>
          <w:sz w:val="24"/>
          <w:szCs w:val="24"/>
        </w:rPr>
        <w:t>并且原来的磋商响应文件有效期</w:t>
      </w:r>
      <w:r>
        <w:rPr>
          <w:rFonts w:hint="default" w:ascii="Times New Roman" w:hAnsi="Times New Roman" w:cs="Times New Roman"/>
          <w:color w:val="auto"/>
          <w:sz w:val="24"/>
        </w:rPr>
        <w:t>和保证金有效期也相等的延长</w:t>
      </w:r>
      <w:bookmarkEnd w:id="29"/>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2供应商应以书面形式通知采购人确认收到的每一份修改和补充文件。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szCs w:val="24"/>
        </w:rPr>
        <w:t>采购人对</w:t>
      </w:r>
      <w:r>
        <w:rPr>
          <w:rFonts w:hint="default" w:ascii="Times New Roman" w:hAnsi="Times New Roman" w:cs="Times New Roman"/>
          <w:color w:val="auto"/>
          <w:sz w:val="24"/>
        </w:rPr>
        <w:t>磋商文件的修改和补充文件是磋商文件的组成部分。如果多份修改或补充文件对同一事项表述不一致时，以最后时间发出的修改或补充文件为准。</w:t>
      </w:r>
    </w:p>
    <w:p>
      <w:pPr>
        <w:spacing w:line="440" w:lineRule="exact"/>
        <w:ind w:firstLine="480" w:firstLineChars="200"/>
        <w:outlineLvl w:val="1"/>
        <w:rPr>
          <w:rFonts w:hint="default" w:ascii="Times New Roman" w:hAnsi="Times New Roman" w:cs="Times New Roman"/>
          <w:color w:val="auto"/>
          <w:sz w:val="24"/>
          <w:szCs w:val="24"/>
        </w:rPr>
      </w:pPr>
      <w:bookmarkStart w:id="30" w:name="_Toc19704"/>
      <w:bookmarkStart w:id="31" w:name="_Toc42854331"/>
      <w:bookmarkStart w:id="32" w:name="_Toc51143317"/>
      <w:r>
        <w:rPr>
          <w:rFonts w:hint="default" w:ascii="Times New Roman" w:hAnsi="Times New Roman" w:cs="Times New Roman"/>
          <w:color w:val="auto"/>
          <w:sz w:val="24"/>
          <w:szCs w:val="24"/>
        </w:rPr>
        <w:t>7、供应商的异议</w:t>
      </w:r>
      <w:bookmarkEnd w:id="30"/>
      <w:bookmarkEnd w:id="31"/>
      <w:bookmarkEnd w:id="32"/>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如果供应商对磋商文件有异议，供应商应在递交磋商响应文件截止日期5日前以书面形式通知采购人。采购人应不迟于递交磋商响应文件截止日期前3日以书面形式答复供应商，答复文件是供应商编制磋商响应文件的依据。迟于上述时间的澄清要求采购人可以不接受。</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2关于采购需求方面的异议可以在磋商过程中提出并解决。</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33" w:name="_Toc20430"/>
      <w:bookmarkStart w:id="34" w:name="_Toc522808488"/>
      <w:bookmarkStart w:id="35" w:name="_Toc51143318"/>
      <w:bookmarkStart w:id="36" w:name="_Toc42854332"/>
      <w:r>
        <w:rPr>
          <w:rFonts w:hint="default" w:ascii="Times New Roman" w:hAnsi="Times New Roman" w:eastAsia="宋体" w:cs="Times New Roman"/>
          <w:b w:val="0"/>
          <w:color w:val="auto"/>
          <w:sz w:val="24"/>
        </w:rPr>
        <w:t>8、磋商响应文件有效期</w:t>
      </w:r>
      <w:bookmarkEnd w:id="33"/>
      <w:bookmarkEnd w:id="34"/>
      <w:bookmarkEnd w:id="35"/>
      <w:bookmarkEnd w:id="36"/>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1磋商响应文件有效期详见供应商须知前附表第5项。在此有效期内，磋商响应文件应保持有效。有效期短于这个规定期限的磋商响应文件将被拒绝。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如有必要，采购人可以延长磋商响应文件的有效期。这种要求应以书面形式通知每一位供应商。供应商同意延长磋商响应文件有效期的，本须知第5条规定的保证金的有效期也相应延长且不得修改磋商响应文件的实质性内容。供应商也可以拒绝接受延长磋商响应文件有效期，在此情形下磋商响应文件无效，但供应商可以收回保证金。</w:t>
      </w:r>
      <w:bookmarkStart w:id="37" w:name="_Toc281309804"/>
      <w:bookmarkStart w:id="38" w:name="_Toc522808489"/>
    </w:p>
    <w:p>
      <w:pPr>
        <w:snapToGrid w:val="0"/>
        <w:spacing w:line="440" w:lineRule="exact"/>
        <w:ind w:firstLine="480" w:firstLineChars="200"/>
        <w:outlineLvl w:val="1"/>
        <w:rPr>
          <w:rFonts w:hint="default" w:ascii="Times New Roman" w:hAnsi="Times New Roman" w:cs="Times New Roman"/>
          <w:bCs/>
          <w:color w:val="auto"/>
          <w:sz w:val="24"/>
        </w:rPr>
      </w:pPr>
      <w:bookmarkStart w:id="39" w:name="_Toc9994"/>
      <w:bookmarkStart w:id="40" w:name="_Toc42854333"/>
      <w:bookmarkStart w:id="41" w:name="_Toc51143319"/>
      <w:r>
        <w:rPr>
          <w:rFonts w:hint="default" w:ascii="Times New Roman" w:hAnsi="Times New Roman" w:cs="Times New Roman"/>
          <w:bCs/>
          <w:color w:val="auto"/>
          <w:sz w:val="24"/>
        </w:rPr>
        <w:t>9、磋商响应文件的</w:t>
      </w:r>
      <w:bookmarkEnd w:id="37"/>
      <w:r>
        <w:rPr>
          <w:rFonts w:hint="default" w:ascii="Times New Roman" w:hAnsi="Times New Roman" w:cs="Times New Roman"/>
          <w:bCs/>
          <w:color w:val="auto"/>
          <w:sz w:val="24"/>
        </w:rPr>
        <w:t>编制</w:t>
      </w:r>
      <w:bookmarkEnd w:id="38"/>
      <w:r>
        <w:rPr>
          <w:rFonts w:hint="default" w:ascii="Times New Roman" w:hAnsi="Times New Roman" w:cs="Times New Roman"/>
          <w:bCs/>
          <w:color w:val="auto"/>
          <w:sz w:val="24"/>
        </w:rPr>
        <w:t>和签署</w:t>
      </w:r>
      <w:bookmarkEnd w:id="39"/>
      <w:bookmarkEnd w:id="40"/>
      <w:bookmarkEnd w:id="41"/>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仔细阅读磋商文件的所有内容，按磋商文件（包含磋商文件的修改、补充、异议答复）的要求编制磋商响应文件。磋商响应文件应当对磋商文件提出的所有实质性条件作出响应。供应商应保证所提供的全部信息的真实性。没有对磋商文件提出的所有实质性条件作出响应或提供虚假信息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2磋商响应文件应使用“第五章磋商响应文件格式”的全部格式。</w:t>
      </w:r>
    </w:p>
    <w:p>
      <w:pPr>
        <w:spacing w:line="440" w:lineRule="exact"/>
        <w:ind w:firstLine="480" w:firstLineChars="200"/>
        <w:rPr>
          <w:rFonts w:hint="default" w:ascii="Times New Roman" w:hAnsi="Times New Roman" w:cs="Times New Roman"/>
          <w:b/>
          <w:color w:val="auto"/>
          <w:sz w:val="24"/>
        </w:rPr>
      </w:pPr>
      <w:r>
        <w:rPr>
          <w:rFonts w:hint="default" w:ascii="Times New Roman" w:hAnsi="Times New Roman" w:cs="Times New Roman"/>
          <w:bCs/>
          <w:color w:val="auto"/>
          <w:sz w:val="24"/>
        </w:rPr>
        <w:t>9</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3磋商</w:t>
      </w:r>
      <w:r>
        <w:rPr>
          <w:rFonts w:hint="default" w:ascii="Times New Roman" w:hAnsi="Times New Roman" w:cs="Times New Roman"/>
          <w:color w:val="auto"/>
          <w:sz w:val="24"/>
        </w:rPr>
        <w:t>响应文件必须用不褪色的墨水填写或打印。采用A4打印纸，纵向打印。封面应注明“正本”和“副本”。正本与副本不相符时，以正本为准。</w:t>
      </w:r>
    </w:p>
    <w:p>
      <w:pPr>
        <w:spacing w:line="440" w:lineRule="exact"/>
        <w:ind w:firstLine="480" w:firstLineChars="200"/>
        <w:rPr>
          <w:rFonts w:hint="default" w:ascii="Times New Roman" w:hAnsi="Times New Roman" w:cs="Times New Roman"/>
          <w:color w:val="auto"/>
          <w:sz w:val="24"/>
          <w:szCs w:val="24"/>
        </w:rPr>
      </w:pPr>
      <w:bookmarkStart w:id="42" w:name="_Hlk42857002"/>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4 </w:t>
      </w:r>
      <w:r>
        <w:rPr>
          <w:rFonts w:hint="default" w:ascii="Times New Roman" w:hAnsi="Times New Roman" w:cs="Times New Roman"/>
          <w:color w:val="auto"/>
          <w:sz w:val="24"/>
          <w:szCs w:val="24"/>
        </w:rPr>
        <w:t>磋商响应文件及供应商与采购人就本项目的所有来往函件使用汉语。</w:t>
      </w:r>
    </w:p>
    <w:p>
      <w:pPr>
        <w:spacing w:line="44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5磋商响应文件的计量单位应使用法定计量单位。</w:t>
      </w:r>
    </w:p>
    <w:bookmarkEnd w:id="42"/>
    <w:p>
      <w:pPr>
        <w:spacing w:line="44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9</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rPr>
        <w:t xml:space="preserve">6 </w:t>
      </w:r>
      <w:r>
        <w:rPr>
          <w:rFonts w:hint="default" w:ascii="Times New Roman" w:hAnsi="Times New Roman" w:cs="Times New Roman"/>
          <w:b/>
          <w:bCs/>
          <w:color w:val="auto"/>
          <w:sz w:val="24"/>
        </w:rPr>
        <w:t>供应</w:t>
      </w:r>
      <w:r>
        <w:rPr>
          <w:rFonts w:hint="default" w:ascii="Times New Roman" w:hAnsi="Times New Roman" w:cs="Times New Roman"/>
          <w:b/>
          <w:color w:val="auto"/>
          <w:sz w:val="24"/>
        </w:rPr>
        <w:t>商应正确的签署磋商响应文件中的所有文件。</w:t>
      </w:r>
      <w:bookmarkStart w:id="43" w:name="_Hlk51144414"/>
      <w:r>
        <w:rPr>
          <w:rFonts w:hint="default" w:ascii="Times New Roman" w:hAnsi="Times New Roman" w:cs="Times New Roman"/>
          <w:b/>
          <w:color w:val="auto"/>
          <w:sz w:val="24"/>
        </w:rPr>
        <w:t>第五章磋商响应文件格式中</w:t>
      </w:r>
      <w:bookmarkEnd w:id="43"/>
      <w:r>
        <w:rPr>
          <w:rFonts w:hint="default" w:ascii="Times New Roman" w:hAnsi="Times New Roman" w:cs="Times New Roman"/>
          <w:b/>
          <w:color w:val="auto"/>
          <w:sz w:val="24"/>
        </w:rPr>
        <w:t>指明的所有加盖供应商公章处和法定代表人（或其授权的代表）签字处均应盖章和签字。法定代表人（或其授权的代表）的签字不得使用印章、签名章或其他电子制版签名。任何不正确的签署都将导致磋商响应文件的无效。</w:t>
      </w:r>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44" w:name="_Toc15883"/>
      <w:bookmarkStart w:id="45" w:name="_Toc51143320"/>
      <w:bookmarkStart w:id="46" w:name="_Toc522808490"/>
      <w:bookmarkStart w:id="47" w:name="_Toc42854334"/>
      <w:r>
        <w:rPr>
          <w:rFonts w:hint="default" w:ascii="Times New Roman" w:hAnsi="Times New Roman" w:eastAsia="宋体" w:cs="Times New Roman"/>
          <w:b w:val="0"/>
          <w:color w:val="auto"/>
          <w:sz w:val="24"/>
        </w:rPr>
        <w:t>10、磋商响应文件的修改</w:t>
      </w:r>
      <w:r>
        <w:rPr>
          <w:rFonts w:hint="default" w:ascii="Times New Roman" w:hAnsi="Times New Roman" w:cs="Times New Roman"/>
          <w:color w:val="auto"/>
          <w:sz w:val="24"/>
        </w:rPr>
        <w:t>、</w:t>
      </w:r>
      <w:r>
        <w:rPr>
          <w:rFonts w:hint="default" w:ascii="Times New Roman" w:hAnsi="Times New Roman" w:eastAsia="宋体" w:cs="Times New Roman"/>
          <w:b w:val="0"/>
          <w:color w:val="auto"/>
          <w:sz w:val="24"/>
        </w:rPr>
        <w:t>补充或撤销</w:t>
      </w:r>
      <w:bookmarkEnd w:id="44"/>
      <w:bookmarkEnd w:id="45"/>
      <w:bookmarkEnd w:id="46"/>
      <w:bookmarkEnd w:id="47"/>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w:t>
      </w:r>
      <w:r>
        <w:rPr>
          <w:rFonts w:hint="default" w:ascii="Times New Roman" w:hAnsi="Times New Roman" w:cs="Times New Roman"/>
          <w:color w:val="auto"/>
          <w:sz w:val="24"/>
          <w:szCs w:val="24"/>
        </w:rPr>
        <w:t>递交磋商响应文件截止时间前</w:t>
      </w:r>
      <w:r>
        <w:rPr>
          <w:rFonts w:hint="default" w:ascii="Times New Roman" w:hAnsi="Times New Roman" w:cs="Times New Roman"/>
          <w:color w:val="auto"/>
          <w:sz w:val="24"/>
        </w:rPr>
        <w:t>，供应商可以书面通知采购人修改、补充、撤回或撤销磋商响应文件。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w:t>
      </w:r>
      <w:bookmarkStart w:id="48" w:name="_Hlk42857227"/>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后，供应商可以根据和采购人磋商的结果，对磋商响应文件做相应修改和/或补充，但不能撤回或撤销磋商响应文件。</w:t>
      </w:r>
      <w:bookmarkEnd w:id="48"/>
    </w:p>
    <w:p>
      <w:pPr>
        <w:snapToGrid w:val="0"/>
        <w:spacing w:line="440" w:lineRule="exact"/>
        <w:ind w:firstLine="480" w:firstLineChars="200"/>
        <w:outlineLvl w:val="1"/>
        <w:rPr>
          <w:rFonts w:hint="default" w:ascii="Times New Roman" w:hAnsi="Times New Roman" w:cs="Times New Roman"/>
          <w:color w:val="auto"/>
          <w:sz w:val="24"/>
        </w:rPr>
      </w:pPr>
      <w:bookmarkStart w:id="49" w:name="_Toc522808491"/>
      <w:bookmarkStart w:id="50" w:name="_Toc12057"/>
      <w:bookmarkStart w:id="51" w:name="_Toc42854335"/>
      <w:bookmarkStart w:id="52" w:name="_Toc51143321"/>
      <w:r>
        <w:rPr>
          <w:rFonts w:hint="default" w:ascii="Times New Roman" w:hAnsi="Times New Roman" w:cs="Times New Roman"/>
          <w:color w:val="auto"/>
          <w:sz w:val="24"/>
        </w:rPr>
        <w:t>11、磋商响应文件的装订、密封</w:t>
      </w:r>
      <w:bookmarkEnd w:id="49"/>
      <w:bookmarkEnd w:id="50"/>
      <w:bookmarkEnd w:id="51"/>
      <w:bookmarkEnd w:id="52"/>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1磋商响应文件的份数详见供应商须知前附表第6项规定。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2供应商应将所有磋商响应文件装入同一个密封袋中。密封袋正面上应注明：项目名称、供应商的名称和地址、</w:t>
      </w:r>
      <w:r>
        <w:rPr>
          <w:rFonts w:hint="default" w:ascii="Times New Roman" w:hAnsi="Times New Roman" w:cs="Times New Roman"/>
          <w:color w:val="auto"/>
          <w:sz w:val="24"/>
          <w:u w:val="single"/>
        </w:rPr>
        <w:t>（磋商开始时间）</w:t>
      </w:r>
      <w:r>
        <w:rPr>
          <w:rFonts w:hint="default" w:ascii="Times New Roman" w:hAnsi="Times New Roman" w:cs="Times New Roman"/>
          <w:color w:val="auto"/>
          <w:sz w:val="24"/>
        </w:rPr>
        <w:t>以前不得开封。密封袋的封口处均应加盖供应商公章。</w:t>
      </w:r>
    </w:p>
    <w:p>
      <w:pPr>
        <w:spacing w:line="440" w:lineRule="exact"/>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11</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rPr>
        <w:t>3磋商响应文件装订应牢固并编制页码及目录，没有装订和因装订不牢造成散页、掉页和使用活页夹装订的磋商响应文件将被拒绝</w:t>
      </w:r>
      <w:r>
        <w:rPr>
          <w:rFonts w:hint="default" w:ascii="Times New Roman" w:hAnsi="Times New Roman" w:cs="Times New Roman"/>
          <w:b/>
          <w:color w:val="auto"/>
          <w:sz w:val="24"/>
          <w:szCs w:val="24"/>
        </w:rPr>
        <w:t>。</w:t>
      </w:r>
      <w:bookmarkStart w:id="53" w:name="_Toc522808492"/>
      <w:bookmarkStart w:id="54" w:name="_Toc281309805"/>
    </w:p>
    <w:p>
      <w:pPr>
        <w:snapToGrid w:val="0"/>
        <w:spacing w:line="440" w:lineRule="exact"/>
        <w:ind w:firstLine="480" w:firstLineChars="200"/>
        <w:outlineLvl w:val="1"/>
        <w:rPr>
          <w:rFonts w:hint="default" w:ascii="Times New Roman" w:hAnsi="Times New Roman" w:cs="Times New Roman"/>
          <w:color w:val="auto"/>
          <w:sz w:val="24"/>
        </w:rPr>
      </w:pPr>
      <w:bookmarkStart w:id="55" w:name="_Toc21806"/>
      <w:bookmarkStart w:id="56" w:name="_Toc42854336"/>
      <w:bookmarkStart w:id="57" w:name="_Toc51143322"/>
      <w:r>
        <w:rPr>
          <w:rFonts w:hint="default" w:ascii="Times New Roman" w:hAnsi="Times New Roman" w:cs="Times New Roman"/>
          <w:color w:val="auto"/>
          <w:sz w:val="24"/>
        </w:rPr>
        <w:t>12、磋商响应文件的递交</w:t>
      </w:r>
      <w:bookmarkEnd w:id="53"/>
      <w:bookmarkEnd w:id="54"/>
      <w:bookmarkEnd w:id="55"/>
      <w:bookmarkEnd w:id="56"/>
      <w:bookmarkEnd w:id="57"/>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1供应商应不迟于供应商须知前附表第3条规定的</w:t>
      </w:r>
      <w:r>
        <w:rPr>
          <w:rFonts w:hint="default" w:ascii="Times New Roman" w:hAnsi="Times New Roman" w:cs="Times New Roman"/>
          <w:color w:val="auto"/>
          <w:sz w:val="24"/>
          <w:szCs w:val="24"/>
        </w:rPr>
        <w:t>时间</w:t>
      </w:r>
      <w:r>
        <w:rPr>
          <w:rFonts w:hint="default" w:ascii="Times New Roman" w:hAnsi="Times New Roman" w:cs="Times New Roman"/>
          <w:color w:val="auto"/>
          <w:sz w:val="24"/>
        </w:rPr>
        <w:t>将磋商响应文件递交至供应商须知前附表第3条规定的地点。在这个时间后送达磋商响应文件的或没有将磋商响应文件送达至规定地点的, 其磋商响应文件将被拒绝。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2采购人拒绝接收同一供应商对同一项目（或同一标段）提交的多份磋商响应文件。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3采购人推迟</w:t>
      </w:r>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，应最迟在</w:t>
      </w:r>
      <w:r>
        <w:rPr>
          <w:rFonts w:hint="default" w:ascii="Times New Roman" w:hAnsi="Times New Roman" w:cs="Times New Roman"/>
          <w:color w:val="auto"/>
          <w:sz w:val="24"/>
          <w:szCs w:val="24"/>
        </w:rPr>
        <w:t>递交磋商响应文件截止时间前1个工作日</w:t>
      </w:r>
      <w:r>
        <w:rPr>
          <w:rFonts w:hint="default" w:ascii="Times New Roman" w:hAnsi="Times New Roman" w:cs="Times New Roman"/>
          <w:color w:val="auto"/>
          <w:sz w:val="24"/>
        </w:rPr>
        <w:t>以书面的形式通知所有供应商。在这种情况下，采购人和供应商的权利和义务将受到新的截止时间的约束。保证金有效期与磋商响应文件有效期应按照新的截止时间相等延长。</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4在</w:t>
      </w:r>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止，采购人收到的磋商响应文件不足3家的，采购人将依法重新组织竞争性磋商。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5采购人（或采购代理机构）对每一份</w:t>
      </w:r>
      <w:bookmarkStart w:id="58" w:name="_Hlk529527003"/>
      <w:r>
        <w:rPr>
          <w:rFonts w:hint="default" w:ascii="Times New Roman" w:hAnsi="Times New Roman" w:cs="Times New Roman"/>
          <w:color w:val="auto"/>
          <w:sz w:val="24"/>
        </w:rPr>
        <w:t>收到的</w:t>
      </w:r>
      <w:bookmarkEnd w:id="58"/>
      <w:r>
        <w:rPr>
          <w:rFonts w:hint="default" w:ascii="Times New Roman" w:hAnsi="Times New Roman" w:cs="Times New Roman"/>
          <w:color w:val="auto"/>
          <w:sz w:val="24"/>
        </w:rPr>
        <w:t>磋商响应文件进行登记，采购人和供应商签字确认。对收到的磋商响应文件采购人（或采购代理机构）应妥善保管。</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6磋商响应文件没有按照本须知11条要求密封的磋商响应文件，采购人应拒绝接收并退回给供应商重新密封并在递交磋商响应文件截止时间前重新提交。</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7如果磋商响应文件未按本须知11的规定密封或密封不严或未标记或标记错误，</w:t>
      </w:r>
      <w:bookmarkStart w:id="59" w:name="_Hlk42857762"/>
      <w:r>
        <w:rPr>
          <w:rFonts w:hint="default" w:ascii="Times New Roman" w:hAnsi="Times New Roman" w:cs="Times New Roman"/>
          <w:color w:val="auto"/>
          <w:sz w:val="24"/>
        </w:rPr>
        <w:t>采购人对由此导致供应商丧失磋商机会的任何情况和/或磋商响应文件信息泄露一概不负责任。</w:t>
      </w:r>
      <w:bookmarkEnd w:id="59"/>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60" w:name="_Toc42854337"/>
      <w:bookmarkStart w:id="61" w:name="_Toc51143323"/>
      <w:bookmarkStart w:id="62" w:name="_Toc281309806"/>
      <w:bookmarkStart w:id="63" w:name="_Toc25823"/>
      <w:bookmarkStart w:id="64" w:name="_Toc522808493"/>
      <w:r>
        <w:rPr>
          <w:rFonts w:hint="default" w:ascii="Times New Roman" w:hAnsi="Times New Roman" w:eastAsia="宋体" w:cs="Times New Roman"/>
          <w:b w:val="0"/>
          <w:color w:val="auto"/>
          <w:sz w:val="24"/>
        </w:rPr>
        <w:t>13、磋商</w:t>
      </w:r>
      <w:bookmarkEnd w:id="60"/>
      <w:bookmarkEnd w:id="61"/>
      <w:bookmarkEnd w:id="62"/>
      <w:bookmarkEnd w:id="63"/>
      <w:bookmarkEnd w:id="64"/>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1采购人在供应商须知前附表第4条规定的时间和地点组织竞争性磋商。采购人邀请所有收到磋商文件的供应商参加。供应商应签名报到以证明其出席磋商。磋商的全过程将由有关部门进行监督。</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指派法定代表人或其授权的代表出席磋商。若是法定代表人授权的代表出席磋商应出示法定代表人授权委托书及本人身份证原件。若是法定代表人出席磋商应出示本人身份证原件和法定代表人身份证明。</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3采购人依法组建磋商小组全面负责磋商活动。磋商小组完成磋商后，向采购人提交经全体磋商小组成员签署的评审报告</w:t>
      </w:r>
      <w:bookmarkStart w:id="65" w:name="_Hlk42857938"/>
      <w:r>
        <w:rPr>
          <w:rFonts w:hint="default" w:ascii="Times New Roman" w:hAnsi="Times New Roman" w:cs="Times New Roman"/>
          <w:color w:val="auto"/>
          <w:sz w:val="24"/>
        </w:rPr>
        <w:t>和推荐的成交候选人名单</w:t>
      </w:r>
      <w:bookmarkEnd w:id="65"/>
      <w:r>
        <w:rPr>
          <w:rFonts w:hint="default" w:ascii="Times New Roman" w:hAnsi="Times New Roman" w:cs="Times New Roman"/>
          <w:color w:val="auto"/>
          <w:sz w:val="24"/>
        </w:rPr>
        <w:t>。磋商过程的详细内容详见“第二章磋商程序”。</w:t>
      </w:r>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66" w:name="_Toc9962"/>
      <w:bookmarkStart w:id="67" w:name="_Toc51143324"/>
      <w:bookmarkStart w:id="68" w:name="_Toc42854338"/>
      <w:bookmarkStart w:id="69" w:name="_Toc522808494"/>
      <w:r>
        <w:rPr>
          <w:rFonts w:hint="default" w:ascii="Times New Roman" w:hAnsi="Times New Roman" w:eastAsia="宋体" w:cs="Times New Roman"/>
          <w:b w:val="0"/>
          <w:color w:val="auto"/>
          <w:sz w:val="24"/>
        </w:rPr>
        <w:t>14、</w:t>
      </w:r>
      <w:bookmarkStart w:id="70" w:name="_Hlk42857990"/>
      <w:r>
        <w:rPr>
          <w:rFonts w:hint="default" w:ascii="Times New Roman" w:hAnsi="Times New Roman" w:eastAsia="宋体" w:cs="Times New Roman"/>
          <w:b w:val="0"/>
          <w:color w:val="auto"/>
          <w:sz w:val="24"/>
        </w:rPr>
        <w:t>确定成交供应商和成交通知书</w:t>
      </w:r>
      <w:bookmarkEnd w:id="66"/>
      <w:bookmarkEnd w:id="67"/>
      <w:bookmarkEnd w:id="68"/>
      <w:bookmarkEnd w:id="69"/>
      <w:bookmarkEnd w:id="70"/>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1采购代理机构应当自评审结束之日起2个工作日内将评审报告送交采购人。采购人应当自收到评审报告之日起5个工作日内在评审报告推荐的成交候选人中按顺序确定成交供应商。</w:t>
      </w:r>
      <w:bookmarkStart w:id="71" w:name="_Hlk531283855"/>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w:t>
      </w:r>
      <w:bookmarkStart w:id="72" w:name="_Hlk42858102"/>
      <w:r>
        <w:rPr>
          <w:rFonts w:hint="default" w:ascii="Times New Roman" w:hAnsi="Times New Roman" w:cs="Times New Roman"/>
          <w:color w:val="auto"/>
          <w:sz w:val="24"/>
          <w:szCs w:val="24"/>
        </w:rPr>
        <w:t>在上述期限内如果确定的成交供应商放弃成交的项目，采购人可以依排序确定下一个成交候选人为成交供应商或依法重新组织磋商。在上述期限内如果所有成交候选人都放弃成交项目时采购人依法重新组织磋商。</w:t>
      </w:r>
      <w:r>
        <w:rPr>
          <w:rFonts w:hint="default" w:ascii="Times New Roman" w:hAnsi="Times New Roman" w:cs="Times New Roman"/>
          <w:color w:val="auto"/>
          <w:sz w:val="24"/>
        </w:rPr>
        <w:t>除不可抗力和采购人原因外</w:t>
      </w:r>
      <w:r>
        <w:rPr>
          <w:rFonts w:hint="default" w:ascii="Times New Roman" w:hAnsi="Times New Roman" w:cs="Times New Roman"/>
          <w:color w:val="auto"/>
          <w:sz w:val="24"/>
          <w:szCs w:val="24"/>
        </w:rPr>
        <w:t>，</w:t>
      </w:r>
      <w:r>
        <w:rPr>
          <w:rFonts w:hint="default" w:ascii="Times New Roman" w:hAnsi="Times New Roman" w:cs="Times New Roman"/>
          <w:color w:val="auto"/>
          <w:sz w:val="24"/>
        </w:rPr>
        <w:t>放弃成交的项目的供应商的保证金不退还。</w:t>
      </w:r>
      <w:bookmarkEnd w:id="72"/>
    </w:p>
    <w:bookmarkEnd w:id="71"/>
    <w:p>
      <w:pPr>
        <w:spacing w:line="440" w:lineRule="exact"/>
        <w:ind w:firstLine="480" w:firstLineChars="200"/>
        <w:rPr>
          <w:rFonts w:hint="default" w:ascii="Times New Roman" w:hAnsi="Times New Roman" w:cs="Times New Roman"/>
          <w:color w:val="auto"/>
          <w:sz w:val="24"/>
          <w:szCs w:val="24"/>
        </w:rPr>
      </w:pPr>
      <w:bookmarkStart w:id="73" w:name="_Hlk526006267"/>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3采购人应当自成交供应商确定之日起2个工作日内在省级以上人民政府财政部门指定的媒体上公告成交结果。公告期限为1个工作日。公告成交结果的同时采购人应当自成交供应商发出成交通知书。</w:t>
      </w:r>
      <w:bookmarkEnd w:id="73"/>
    </w:p>
    <w:p>
      <w:pPr>
        <w:snapToGrid w:val="0"/>
        <w:spacing w:line="440" w:lineRule="exact"/>
        <w:ind w:firstLine="480" w:firstLineChars="200"/>
        <w:outlineLvl w:val="1"/>
        <w:rPr>
          <w:rFonts w:hint="default" w:ascii="Times New Roman" w:hAnsi="Times New Roman" w:cs="Times New Roman"/>
          <w:color w:val="auto"/>
          <w:sz w:val="24"/>
          <w:szCs w:val="24"/>
        </w:rPr>
      </w:pPr>
      <w:bookmarkStart w:id="74" w:name="_Toc26786"/>
      <w:bookmarkStart w:id="75" w:name="_Toc51143325"/>
      <w:bookmarkStart w:id="76" w:name="_Toc522808495"/>
      <w:bookmarkStart w:id="77" w:name="_Toc42854339"/>
      <w:bookmarkStart w:id="78" w:name="_Toc522807819"/>
      <w:r>
        <w:rPr>
          <w:rFonts w:hint="default" w:ascii="Times New Roman" w:hAnsi="Times New Roman" w:cs="Times New Roman"/>
          <w:color w:val="auto"/>
          <w:sz w:val="24"/>
          <w:szCs w:val="24"/>
        </w:rPr>
        <w:t>15、签订合同</w:t>
      </w:r>
      <w:bookmarkEnd w:id="74"/>
      <w:bookmarkEnd w:id="75"/>
      <w:bookmarkEnd w:id="76"/>
      <w:bookmarkEnd w:id="77"/>
      <w:bookmarkEnd w:id="78"/>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1采购人应当自成交通知书发出之日起30日内并且最迟在磋商响应文件的有效期截止日</w:t>
      </w:r>
      <w:r>
        <w:rPr>
          <w:rFonts w:hint="default" w:ascii="Times New Roman" w:hAnsi="Times New Roman" w:cs="Times New Roman"/>
          <w:color w:val="auto"/>
          <w:sz w:val="24"/>
          <w:szCs w:val="24"/>
        </w:rPr>
        <w:t>，按照本磋商文件确定的合同文本以及采购标的、采购金额、采购数量、技术和服务要求等事项签订政府采购合同。</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采购人不得向成交供应商提出超出本磋商文件以外的任何要求作为签订合同的条件，不得与成交供应商订立背离本磋商文件确定的合同文本以及采购标的、采购金额、采购数量、技术和服务要求等实质性内容的协议。</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3签订合同前成交供应商应提交合同履约保证金，合同履约保证金不超过成交价的10％，履约保证金以采购人认可的方式提交。提交履约担保是合同生效的条件。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成交供应商收到成交通知书后30日内并最迟于磋商响应文件的有效期截止日除不可抗力和采购人原因外无论以任何理由不与采购人订立合同或导致合同不成立，采购人将依法重新组织磋商，成交供应商的保证金不予退还。</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5采购人发出成交通知书后或在签订合同过程中和签订合同以后，如果发现（或通过投诉）证实成交供应商参与了违法活动或磋商响应文件中提供了虚假的信息，采购人有权取消其成交供应商资格或解除合同。</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79" w:name="_Toc522808496"/>
      <w:bookmarkStart w:id="80" w:name="_Toc42854340"/>
      <w:bookmarkStart w:id="81" w:name="_Toc51143326"/>
      <w:bookmarkStart w:id="82" w:name="_Toc522807820"/>
      <w:bookmarkStart w:id="83" w:name="_Toc14944"/>
      <w:r>
        <w:rPr>
          <w:rFonts w:hint="default" w:ascii="Times New Roman" w:hAnsi="Times New Roman" w:eastAsia="宋体" w:cs="Times New Roman"/>
          <w:b w:val="0"/>
          <w:color w:val="auto"/>
          <w:sz w:val="24"/>
        </w:rPr>
        <w:t>16、质疑</w:t>
      </w:r>
      <w:bookmarkEnd w:id="79"/>
      <w:bookmarkEnd w:id="80"/>
      <w:bookmarkEnd w:id="81"/>
      <w:bookmarkEnd w:id="82"/>
      <w:bookmarkEnd w:id="83"/>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1供应商认为采购文件、采购过程和成交结果使自己的权益受到损害的，可以在以下时限内，以书面形式向采购人提出质疑。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（1）对可以质疑的采购文件提出质疑的，为收到采购文件之日或者采购文件公告期限届满之日起七个工作日内；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（2）对采购过程提出质疑的，为各采购程序环节结束之日起七个工作日内；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（3）对成交结果提出质疑的，为成交结果公告期限届满之日起七个工作日内。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提出质疑的供应商（以下简称质疑供应商）应当是参与所质疑项目采购活动的供应商。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2供应商质疑应当有明确的请求和必要的证明材料。质疑函应当包括下列内容：</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（1）供应商的姓名或者名称、地址、邮编、联系人及联系电话；</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（2）质疑项目的名称、编号；</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（3）具体、明确的质疑事项和与质疑事项相关的请求；</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（4）事实依据；</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（5）必要的法律依据；</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（6）提出质疑的日期。</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供应商为自然人的，应当由本人签字；供应商为法人或者其他组织的，应当由法定代表人或其授权代表签字（或盖章），并加盖公章。</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3采购人应当在收到供应商的书面质疑后七个工作日内作出答复，并以书面形式通知质疑供应商和其他有关供应商，但答复的内容不得涉及商业秘密。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4供应商应在上述16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1款规定时限内一次性提出针对同一采购程序环节的质疑。同一质询函中相同或同类的问题采购人可以一次性合并答复。</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5采购人可以拒绝答复以下质疑函：</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（1）不是参与所质疑项目采购活动的供应商和（或）任何其他人的质疑；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（2）非书面的质疑；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（3）超过上述16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1款规定时限的质疑；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（4）不符合上述16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2款要求的质疑。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（5）对同一问题或同一采购程序环节重复提出的质疑。</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84" w:name="_Toc13605"/>
      <w:bookmarkStart w:id="85" w:name="_Toc522808497"/>
      <w:bookmarkStart w:id="86" w:name="_Toc522807821"/>
      <w:bookmarkStart w:id="87" w:name="_Toc51143327"/>
      <w:bookmarkStart w:id="88" w:name="_Toc42854341"/>
      <w:r>
        <w:rPr>
          <w:rFonts w:hint="default" w:ascii="Times New Roman" w:hAnsi="Times New Roman" w:eastAsia="宋体" w:cs="Times New Roman"/>
          <w:b w:val="0"/>
          <w:color w:val="auto"/>
          <w:sz w:val="24"/>
        </w:rPr>
        <w:t>17、其他事项</w:t>
      </w:r>
      <w:bookmarkEnd w:id="84"/>
      <w:bookmarkEnd w:id="85"/>
      <w:bookmarkEnd w:id="86"/>
      <w:bookmarkEnd w:id="87"/>
      <w:bookmarkEnd w:id="88"/>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1所有供应商磋商响应文件，无论成交与否，均不返还。由采购人集中存档备查。</w:t>
      </w:r>
      <w:bookmarkStart w:id="89" w:name="_Toc42854342"/>
      <w:bookmarkStart w:id="90" w:name="_Toc522808498"/>
    </w:p>
    <w:p>
      <w:pPr>
        <w:rPr>
          <w:rFonts w:hint="default" w:ascii="Times New Roman" w:hAnsi="Times New Roman" w:cs="Times New Roman"/>
          <w:color w:val="auto"/>
          <w:sz w:val="24"/>
        </w:rPr>
      </w:pPr>
      <w:r>
        <w:rPr>
          <w:rFonts w:hint="default" w:ascii="Times New Roman" w:hAnsi="Times New Roman" w:cs="Times New Roman"/>
          <w:color w:val="auto"/>
          <w:sz w:val="24"/>
        </w:rPr>
        <w:br w:type="page"/>
      </w:r>
    </w:p>
    <w:p>
      <w:pPr>
        <w:pStyle w:val="3"/>
        <w:bidi w:val="0"/>
        <w:rPr>
          <w:rFonts w:hint="default"/>
        </w:rPr>
      </w:pPr>
      <w:bookmarkStart w:id="91" w:name="_Toc5830"/>
      <w:bookmarkStart w:id="92" w:name="_Toc51143328"/>
      <w:bookmarkStart w:id="93" w:name="_Toc25878"/>
      <w:bookmarkStart w:id="94" w:name="_Toc24912"/>
      <w:r>
        <w:rPr>
          <w:rFonts w:hint="default"/>
        </w:rPr>
        <w:t>第二章  磋商程序</w:t>
      </w:r>
      <w:bookmarkEnd w:id="89"/>
      <w:bookmarkEnd w:id="90"/>
      <w:bookmarkEnd w:id="91"/>
      <w:bookmarkEnd w:id="92"/>
      <w:bookmarkEnd w:id="93"/>
      <w:bookmarkEnd w:id="94"/>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1、磋商准备</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应为了实现全面顺利履行合同和降低自身风险和获得一个较经济的工程的目的，在不违反法律和不失公平诚信的前提下提出希望供应商满足的除本磋商文件中已说明的实质性条件外的其他具体磋商事项。这些事项不得含有倾向性和排斥性（包括使用专利和专有技术和涉及秘密事项）。这些事项应以书面形式提供给磋商小组的每一个成员，并说明这些事项的重要程度和想要达到的目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2供应商应在诚实信用、满足采购人需求并保证全面履行合同和获得最佳受益的前提下准备自己的磋商事项。</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3供应商在磋商期间应遵循</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"http://baike.baidu.com/view/54130.htm" \t "http://baike.baidu.com/view/_blank" </w:instrText>
      </w:r>
      <w:r>
        <w:rPr>
          <w:rFonts w:hint="default" w:ascii="Times New Roman" w:hAnsi="Times New Roman" w:cs="Times New Roman"/>
        </w:rPr>
        <w:fldChar w:fldCharType="separate"/>
      </w:r>
      <w:r>
        <w:rPr>
          <w:rFonts w:hint="default" w:ascii="Times New Roman" w:hAnsi="Times New Roman" w:cs="Times New Roman"/>
          <w:color w:val="auto"/>
          <w:sz w:val="24"/>
        </w:rPr>
        <w:t>诚实</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信用的原则，履行必要的通知、协助、保密等义务。</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2、磋商小组：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1采购人负责组建磋商小组。磋商小组负责本次施工磋商的全部工作，包括全程磋商、推荐成交候选人、编制磋商结果报告等。磋商小组由有关专家</w:t>
      </w:r>
      <w:r>
        <w:rPr>
          <w:rFonts w:hint="eastAsia" w:cs="Times New Roman"/>
          <w:color w:val="auto"/>
          <w:sz w:val="24"/>
          <w:lang w:val="en-US" w:eastAsia="zh-CN"/>
        </w:rPr>
        <w:t>5人，</w:t>
      </w:r>
      <w:r>
        <w:rPr>
          <w:rFonts w:hint="default" w:ascii="Times New Roman" w:hAnsi="Times New Roman" w:cs="Times New Roman"/>
          <w:color w:val="auto"/>
          <w:sz w:val="24"/>
        </w:rPr>
        <w:t>共计5人组成。监督部门负责现场监督。磋商小组成员必须严格遵守保密规定，不得将与某一供应商磋商的信息向其他供应商和与本磋商无关的人员泄露。</w:t>
      </w:r>
    </w:p>
    <w:p>
      <w:pPr>
        <w:spacing w:line="44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2</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rPr>
        <w:t>2供应商应指派法定代表人或其授权的代表参加磋商会，并携带法定代表人本人身份证和法定代表人身份证明书原件（若是法定代表人参加开标会时提供，法定代表人身份证明应使用招标文件中的格式）或法定代表人授权书原件和被授权人身份证原件（若是法定代表人授权的代表参加开标会时提供，法定代表人授权书应使用招标文件中的格式）、营业执照原件、保证金收据原件。监督部门在现场对上述证件进行查验。供应商不能全部提供上述证件的其响应文件按无效标处理。由于供应商不参加会议而造成的后果完全由供应商自行承担。</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3、磋商程序：</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1磋商小组首先对磋商响应文件进行响应性评审，响应性评审合格的供应商才能进入后续的磋商过程。磋商响应文件出现以下情形之一的将被采购人拒绝： </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（1）供应商资格条件不符合第一章供应商须知第3条的规定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（2）磋商响应文件和的签署不符合第一章供应商须知9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6款的规定；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（3）没有按照磋商文件要求提交保证金，或者所提供的保证金有瑕疵的；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（4）同一供应商就同一项目或同一标段递交多份磋商响应文件；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（5）磋商响应文件实质性（</w:t>
      </w:r>
      <w:r>
        <w:rPr>
          <w:rFonts w:hint="default" w:ascii="Times New Roman" w:hAnsi="Times New Roman" w:cs="Times New Roman"/>
          <w:color w:val="auto"/>
          <w:sz w:val="24"/>
          <w:szCs w:val="24"/>
        </w:rPr>
        <w:t>包括</w:t>
      </w:r>
      <w:r>
        <w:rPr>
          <w:rFonts w:hint="default" w:ascii="Times New Roman" w:hAnsi="Times New Roman" w:cs="Times New Roman"/>
          <w:color w:val="auto"/>
          <w:sz w:val="24"/>
        </w:rPr>
        <w:t>磋商文件规定要提供</w:t>
      </w:r>
      <w:r>
        <w:rPr>
          <w:rFonts w:hint="default" w:ascii="Times New Roman" w:hAnsi="Times New Roman" w:cs="Times New Roman"/>
          <w:color w:val="auto"/>
          <w:sz w:val="24"/>
          <w:szCs w:val="24"/>
        </w:rPr>
        <w:t>相关证明文件</w:t>
      </w:r>
      <w:r>
        <w:rPr>
          <w:rFonts w:hint="default" w:ascii="Times New Roman" w:hAnsi="Times New Roman" w:cs="Times New Roman"/>
          <w:color w:val="auto"/>
          <w:sz w:val="24"/>
        </w:rPr>
        <w:t>）内容字迹模糊、辨认不清的且供应商不能证明它的真实性；</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color w:val="auto"/>
          <w:sz w:val="24"/>
        </w:rPr>
        <w:t>供应商</w:t>
      </w:r>
      <w:r>
        <w:rPr>
          <w:rFonts w:hint="eastAsia"/>
          <w:color w:val="auto"/>
          <w:sz w:val="24"/>
          <w:lang w:eastAsia="zh-CN"/>
        </w:rPr>
        <w:t>没有对磋商文件的实质性要求和条件作出响应</w:t>
      </w:r>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2磋商小组和采购人应根据磋商的具体情况确定磋商的回合数或决定终止磋商。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时，供应商的磋商代表应出示本人身份证原件，并且和磋商响应性文件中提供的法定代表人身份证明中的法定代表人或法定代表人授权书中的被授权人一致，否则其作出的任何意思表示均无效，磋商小组应终止和该供应商的磋商进程。</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2磋商小组依据上述1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1款中采购人提出的磋商事项分别与合格供应商进行一对一磋商。磋商过程中，采购人可以提出新的磋商事项（包括改变磋商文件中的部分实质性内容），这些新事项的提出应符合上述1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1款的规定，且必须要和所有合格供应商就这些新事项进行磋商。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3对于供应商提供的优惠条件，采购人应在供应商最大程度满足上述1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1款和3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2款中采购人提出的磋商事项的前提下才综合考虑这些优惠条件能带来的好处。不得将优惠条件置于磋商事项之上。</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采购人可以对工程的施工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5供应商可以提供一些建议供采购人考虑。采购人可以在评估其建议能否更好的实现上述1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1款目的后决定是否采纳。</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6供应商可以根据采购人提出的要求和自身的条件（包括给予采购人的优惠和提供的建议）决定是否对磋商响应文件中的施工方案和其他关键性内容作出调整。并就此和磋商小组磋商。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在采购人通知提交最后报价之前，供应商也可以根据磋商情况退出磋商。采购人应当退还退出磋商的供应商的保证金。</w:t>
      </w:r>
    </w:p>
    <w:p>
      <w:pPr>
        <w:spacing w:line="440" w:lineRule="exact"/>
        <w:ind w:firstLine="480" w:firstLineChars="200"/>
        <w:rPr>
          <w:rFonts w:hint="default" w:ascii="Times New Roman" w:hAnsi="Times New Roman" w:cs="Times New Roman"/>
          <w:color w:val="auto"/>
          <w:sz w:val="24"/>
        </w:rPr>
      </w:pPr>
      <w:bookmarkStart w:id="95" w:name="_Hlk11082801"/>
      <w:r>
        <w:rPr>
          <w:rFonts w:hint="default" w:ascii="Times New Roman" w:hAnsi="Times New Roman" w:cs="Times New Roman"/>
          <w:color w:val="auto"/>
          <w:sz w:val="24"/>
          <w:szCs w:val="22"/>
        </w:rPr>
        <w:t>3</w:t>
      </w:r>
      <w:r>
        <w:rPr>
          <w:rFonts w:hint="default" w:ascii="Times New Roman" w:hAnsi="Times New Roman" w:cs="Times New Roman"/>
          <w:color w:val="auto"/>
          <w:sz w:val="24"/>
          <w:szCs w:val="22"/>
          <w:lang w:eastAsia="zh-CN"/>
        </w:rPr>
        <w:t>.</w:t>
      </w:r>
      <w:r>
        <w:rPr>
          <w:rFonts w:hint="default" w:ascii="Times New Roman" w:hAnsi="Times New Roman" w:cs="Times New Roman"/>
          <w:color w:val="auto"/>
          <w:sz w:val="24"/>
          <w:szCs w:val="22"/>
        </w:rPr>
        <w:t>3</w:t>
      </w:r>
      <w:r>
        <w:rPr>
          <w:rFonts w:hint="default" w:ascii="Times New Roman" w:hAnsi="Times New Roman" w:cs="Times New Roman"/>
          <w:color w:val="auto"/>
          <w:sz w:val="24"/>
          <w:szCs w:val="22"/>
          <w:lang w:eastAsia="zh-CN"/>
        </w:rPr>
        <w:t>.</w:t>
      </w:r>
      <w:r>
        <w:rPr>
          <w:rFonts w:hint="default" w:ascii="Times New Roman" w:hAnsi="Times New Roman" w:cs="Times New Roman"/>
          <w:color w:val="auto"/>
          <w:sz w:val="24"/>
          <w:szCs w:val="22"/>
        </w:rPr>
        <w:t>7</w:t>
      </w:r>
      <w:bookmarkEnd w:id="95"/>
      <w:r>
        <w:rPr>
          <w:rFonts w:hint="default" w:ascii="Times New Roman" w:hAnsi="Times New Roman" w:cs="Times New Roman"/>
          <w:color w:val="auto"/>
          <w:sz w:val="24"/>
        </w:rPr>
        <w:t>对于供应商提出的磋商事项和磋商响应文件中的某些事项，采购人应考虑这些事项对采购需求和采购成本的影响程度，以决定接受或拒绝或协商修正。</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8对于磋商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4每轮磋商结束后，磋商小组应当对该轮磋商的情况进行综合评价，以确定下一轮磋商的内容。磋商小组应通知所有合格供应商在规定时间内进行下一轮磋商。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在下一轮磋商中，如果</w:t>
      </w:r>
      <w:bookmarkStart w:id="96" w:name="_Hlk18076358"/>
      <w:r>
        <w:rPr>
          <w:rFonts w:hint="default" w:ascii="Times New Roman" w:hAnsi="Times New Roman" w:cs="Times New Roman"/>
          <w:b/>
          <w:bCs/>
          <w:color w:val="auto"/>
          <w:sz w:val="24"/>
        </w:rPr>
        <w:t>采购人和某位供应商</w:t>
      </w:r>
      <w:bookmarkEnd w:id="96"/>
      <w:r>
        <w:rPr>
          <w:rFonts w:hint="default" w:ascii="Times New Roman" w:hAnsi="Times New Roman" w:cs="Times New Roman"/>
          <w:b/>
          <w:bCs/>
          <w:color w:val="auto"/>
          <w:sz w:val="24"/>
        </w:rPr>
        <w:t>在前一轮磋商中的未决事项仍不能解决，且这个未决事项会影响将来合同的执行，采购人可以终止和该供应商的磋商进程。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5磋商结束后，</w:t>
      </w:r>
      <w:r>
        <w:rPr>
          <w:rFonts w:hint="default" w:ascii="Times New Roman" w:hAnsi="Times New Roman" w:cs="Times New Roman"/>
          <w:color w:val="auto"/>
          <w:sz w:val="24"/>
          <w:szCs w:val="24"/>
        </w:rPr>
        <w:t>磋商小组应当通知所有合格供应商在规定时间内提交最后报价，提交有效最后报价的供应商不得少于2家。</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供应商应根据磋商的情况确定最后报价，在磋商小组规定的时间提交。</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最后报价应是供应商完成供应商须知前附表采购内容中说明的全部工作内容的所有费用和合理的利润。</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供应商提交的最后报价中如果有内容缺失、价格计算错误等缺陷，磋商小组应对要求供应商对这些缺陷进行修正。如果供应商拒绝进行修正，那么应终止和供应商的磋商。上述修正内容不包括最后的价格，最后的价格是否修正由供应商自主决定。</w:t>
      </w:r>
    </w:p>
    <w:p>
      <w:pPr>
        <w:spacing w:line="44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无论什么原因，没有提交最后报价的供应商应被视为撤回或撤销磋商响应文件。</w:t>
      </w:r>
    </w:p>
    <w:p>
      <w:pPr>
        <w:pStyle w:val="35"/>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3.6</w:t>
      </w:r>
    </w:p>
    <w:tbl>
      <w:tblPr>
        <w:tblStyle w:val="65"/>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Layout w:type="fixed"/>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Layout w:type="fixed"/>
          <w:tblCellMar>
            <w:top w:w="0" w:type="dxa"/>
            <w:left w:w="108" w:type="dxa"/>
            <w:bottom w:w="0" w:type="dxa"/>
            <w:right w:w="108" w:type="dxa"/>
          </w:tblCellMar>
        </w:tblPrEx>
        <w:trPr>
          <w:gridAfter w:val="1"/>
          <w:wAfter w:w="20" w:type="dxa"/>
          <w:trHeight w:val="245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①投标人必须是所投产品的制造商或经销商，需提供有效的工商营业执照副本（营业执照需包含本次项目的相关经营权）；</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②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③单位负责人为同一人或者存在直接控股、管理关系的不同供应商，不得参加同一合同项下的政府采购活动。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按照审查要求出具证明材料</w:t>
            </w:r>
          </w:p>
        </w:tc>
      </w:tr>
      <w:tr>
        <w:tblPrEx>
          <w:tblLayout w:type="fixed"/>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Layout w:type="fixed"/>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Layout w:type="fixed"/>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Layout w:type="fixed"/>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Layout w:type="fixed"/>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Layout w:type="fixed"/>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Layout w:type="fixed"/>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eastAsia" w:cs="Times New Roman"/>
          <w:color w:val="auto"/>
          <w:sz w:val="24"/>
          <w:lang w:val="en-US" w:eastAsia="zh-CN"/>
        </w:rPr>
        <w:t>7</w:t>
      </w:r>
      <w:r>
        <w:rPr>
          <w:rFonts w:hint="default" w:ascii="Times New Roman" w:hAnsi="Times New Roman" w:cs="Times New Roman"/>
          <w:color w:val="auto"/>
          <w:sz w:val="24"/>
          <w:szCs w:val="24"/>
        </w:rPr>
        <w:t>磋商小组对提交最后报价的供应商进行综合评分，评分内容和标准如下：</w:t>
      </w:r>
    </w:p>
    <w:tbl>
      <w:tblPr>
        <w:tblStyle w:val="65"/>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699"/>
        <w:gridCol w:w="684"/>
        <w:gridCol w:w="57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643"/>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序序号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评审因素</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分值</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评分要求</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69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投标报价</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30分</w:t>
            </w:r>
          </w:p>
        </w:tc>
        <w:tc>
          <w:tcPr>
            <w:tcW w:w="57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szCs w:val="21"/>
              </w:rPr>
              <w:t>A、</w:t>
            </w:r>
            <w:r>
              <w:rPr>
                <w:rFonts w:hint="default" w:ascii="Times New Roman" w:hAnsi="Times New Roman" w:cs="Times New Roman"/>
                <w:color w:val="auto"/>
              </w:rPr>
              <w:t>价格分采用低价优先法计算，即满足磋商文件要求且最后报价最低的供应商的价格为磋商基准价，其价格分为满分。其他供应商的价格分统一按照下列公式计算：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磋商报价得分=（磋商基准价/最后磋商报价）×30（精确到小数点后两位）。</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超过了采购项目预算或最高限价的，为响应无效投标。</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B</w:t>
            </w:r>
            <w:r>
              <w:rPr>
                <w:rFonts w:hint="default" w:ascii="Times New Roman" w:hAnsi="Times New Roman" w:cs="Times New Roman"/>
                <w:color w:val="auto"/>
                <w:lang w:eastAsia="zh-CN"/>
              </w:rPr>
              <w:t>.</w:t>
            </w:r>
            <w:r>
              <w:rPr>
                <w:rFonts w:hint="default" w:ascii="Times New Roman" w:hAnsi="Times New Roman" w:cs="Times New Roman"/>
                <w:color w:val="auto"/>
              </w:rPr>
              <w:t>属于中小企业评标优惠内容及价格扣除幅度，本项目的价格扣除为6%。</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跟据中华人民共和国财政部、中华人民共和国工业和信息化部《政府采购促进中小企业发展暂行办法》（财库[2011] 181号）文件的规定，属于中小企业评标优惠内容及幅度如下：</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（一）中小企业（含中型、小型、微型企业）应当同时符合以下条件：</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①符合中小企业划分标准(按《关于印发中小企业划型标准规定的通知》(工信部联企业( 2011)300号）执行）；</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②提供本企业制造的货物、承担的项目或者服务，或者提供其他中小企业制造的货物。本项所称货物不包括使用大型企业注册商标的货物；</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③小型、微型企业提供中型企业制造的货物的，视同为中型企业。</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（二）价格扣除办法：</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①对于非专门面向中小企业的项目，对小型和微型企业（或联合体各方均为小型、微型企业的）产品的价格给予6%的扣除，用扣除后的价格参与价格分的评标。</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（三）小型和微型企业（产品的生产厂家）适用价格扣除办法时应提供的相关资料：</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①《中小企业声明函》；</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②在小微企业名录查询截图【http://xwqy</w:t>
            </w:r>
            <w:r>
              <w:rPr>
                <w:rFonts w:hint="default" w:ascii="Times New Roman" w:hAnsi="Times New Roman" w:cs="Times New Roman"/>
                <w:color w:val="auto"/>
                <w:lang w:eastAsia="zh-CN"/>
              </w:rPr>
              <w:t>.</w:t>
            </w:r>
            <w:r>
              <w:rPr>
                <w:rFonts w:hint="default" w:ascii="Times New Roman" w:hAnsi="Times New Roman" w:cs="Times New Roman"/>
                <w:color w:val="auto"/>
              </w:rPr>
              <w:t>gsxt</w:t>
            </w:r>
            <w:r>
              <w:rPr>
                <w:rFonts w:hint="default" w:ascii="Times New Roman" w:hAnsi="Times New Roman" w:cs="Times New Roman"/>
                <w:color w:val="auto"/>
                <w:lang w:eastAsia="zh-CN"/>
              </w:rPr>
              <w:t>.</w:t>
            </w:r>
            <w:r>
              <w:rPr>
                <w:rFonts w:hint="default" w:ascii="Times New Roman" w:hAnsi="Times New Roman" w:cs="Times New Roman"/>
                <w:color w:val="auto"/>
              </w:rPr>
              <w:t>gov</w:t>
            </w:r>
            <w:r>
              <w:rPr>
                <w:rFonts w:hint="default" w:ascii="Times New Roman" w:hAnsi="Times New Roman" w:cs="Times New Roman"/>
                <w:color w:val="auto"/>
                <w:lang w:eastAsia="zh-CN"/>
              </w:rPr>
              <w:t>.</w:t>
            </w:r>
            <w:r>
              <w:rPr>
                <w:rFonts w:hint="default" w:ascii="Times New Roman" w:hAnsi="Times New Roman" w:cs="Times New Roman"/>
                <w:color w:val="auto"/>
              </w:rPr>
              <w:t>cn/】。</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lang w:bidi="ar"/>
              </w:rPr>
            </w:pPr>
            <w:r>
              <w:rPr>
                <w:rFonts w:hint="default" w:ascii="Times New Roman" w:hAnsi="Times New Roman" w:cs="Times New Roman"/>
                <w:color w:val="auto"/>
              </w:rPr>
              <w:t>C：属于享受政府采购支持政策的残疾人福利性单位评标优惠内容及价格扣除幅度按小型、微型企业评标中价格扣除,残疾人福利性单位属于小型、微型。</w:t>
            </w:r>
          </w:p>
        </w:tc>
        <w:tc>
          <w:tcPr>
            <w:tcW w:w="9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rPr>
            </w:pPr>
          </w:p>
        </w:tc>
      </w:tr>
    </w:tbl>
    <w:tbl>
      <w:tblPr>
        <w:tblStyle w:val="65"/>
        <w:tblpPr w:leftFromText="180" w:rightFromText="180" w:vertAnchor="text" w:horzAnchor="page" w:tblpX="1300" w:tblpY="376"/>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673"/>
        <w:gridCol w:w="736"/>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6" w:type="dxa"/>
            <w:gridSpan w:val="2"/>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评审项目</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分值</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403" w:type="dxa"/>
            <w:vMerge w:val="restart"/>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商 务</w:t>
            </w:r>
          </w:p>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w:t>
            </w:r>
          </w:p>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技术部分</w:t>
            </w: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项目管理</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ascii="宋体" w:hAnsi="宋体" w:eastAsia="宋体" w:cs="宋体"/>
                <w:color w:val="auto"/>
                <w:kern w:val="2"/>
                <w:sz w:val="21"/>
                <w:szCs w:val="21"/>
                <w:lang w:val="en-US" w:eastAsia="zh-CN" w:bidi="ar-SA"/>
              </w:rPr>
              <w:t>5</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设立项目管理机构，并且有科学、具体的项目管理措施，能够结合项目特点制定项目管理方案，优者得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bidi="ar-SA"/>
              </w:rPr>
              <w:t>分，良得</w:t>
            </w:r>
            <w:r>
              <w:rPr>
                <w:rFonts w:hint="eastAsia"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bidi="ar-SA"/>
              </w:rPr>
              <w:t>分，一般得</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货物装卸、运输</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6</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对货物的装卸、运输有科学合理、全面完整、细节详尽的方案，方案合理得3-</w:t>
            </w:r>
            <w:r>
              <w:rPr>
                <w:rFonts w:hint="eastAsia" w:cs="宋体"/>
                <w:color w:val="auto"/>
                <w:kern w:val="2"/>
                <w:sz w:val="21"/>
                <w:szCs w:val="21"/>
                <w:lang w:val="en-US" w:eastAsia="zh-CN" w:bidi="ar-SA"/>
              </w:rPr>
              <w:t>6</w:t>
            </w:r>
            <w:r>
              <w:rPr>
                <w:rFonts w:hint="eastAsia" w:ascii="宋体" w:hAnsi="宋体" w:eastAsia="宋体" w:cs="宋体"/>
                <w:color w:val="auto"/>
                <w:kern w:val="2"/>
                <w:sz w:val="21"/>
                <w:szCs w:val="21"/>
                <w:lang w:val="en-US" w:bidi="ar-SA"/>
              </w:rPr>
              <w:t>分，一般得1-</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bidi="ar-SA"/>
              </w:rPr>
              <w:t>分，不切实际不得分。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cs="宋体"/>
                <w:color w:val="auto"/>
                <w:kern w:val="2"/>
                <w:sz w:val="21"/>
                <w:szCs w:val="21"/>
                <w:lang w:val="en-US" w:eastAsia="zh-CN" w:bidi="ar-SA"/>
              </w:rPr>
              <w:t>货物</w:t>
            </w:r>
            <w:r>
              <w:rPr>
                <w:rFonts w:hint="eastAsia" w:ascii="宋体" w:hAnsi="宋体" w:eastAsia="宋体" w:cs="宋体"/>
                <w:color w:val="auto"/>
                <w:kern w:val="2"/>
                <w:sz w:val="21"/>
                <w:szCs w:val="21"/>
                <w:lang w:val="en-US" w:bidi="ar-SA"/>
              </w:rPr>
              <w:t>储存</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5</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val="en-US" w:eastAsia="zh-CN" w:bidi="ar-SA"/>
              </w:rPr>
              <w:t>有足够的农资库存能力，农资进出库账目清楚，细节完善</w:t>
            </w:r>
            <w:r>
              <w:rPr>
                <w:rFonts w:hint="eastAsia" w:ascii="宋体" w:hAnsi="宋体" w:eastAsia="宋体" w:cs="宋体"/>
                <w:color w:val="auto"/>
                <w:kern w:val="2"/>
                <w:sz w:val="21"/>
                <w:szCs w:val="21"/>
                <w:lang w:val="en-US" w:bidi="ar-SA"/>
              </w:rPr>
              <w:t>得</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bidi="ar-SA"/>
              </w:rPr>
              <w:t>分，一般得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bidi="ar-SA"/>
              </w:rPr>
              <w:t>分，不切实际不得分。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技术指导专家</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6</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投标人聘用相关专业技术人员为本项目提供技术方面指导培训的，提供中级及以上职称证书或本科学历及以上学历证书并附有聘用合同的一人得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bidi="ar-SA"/>
              </w:rPr>
              <w:t>分，最高得</w:t>
            </w:r>
            <w:r>
              <w:rPr>
                <w:rFonts w:hint="eastAsia" w:cs="宋体"/>
                <w:color w:val="auto"/>
                <w:kern w:val="2"/>
                <w:sz w:val="21"/>
                <w:szCs w:val="21"/>
                <w:lang w:val="en-US" w:eastAsia="zh-CN" w:bidi="ar-SA"/>
              </w:rPr>
              <w:t>6</w:t>
            </w:r>
            <w:r>
              <w:rPr>
                <w:rFonts w:hint="eastAsia" w:ascii="宋体" w:hAnsi="宋体" w:eastAsia="宋体" w:cs="宋体"/>
                <w:color w:val="auto"/>
                <w:kern w:val="2"/>
                <w:sz w:val="21"/>
                <w:szCs w:val="21"/>
                <w:lang w:val="en-US"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投标人财务状况</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6</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eastAsia="zh-CN" w:bidi="ar-SA"/>
              </w:rPr>
              <w:t>提供近三年财务</w:t>
            </w:r>
            <w:r>
              <w:rPr>
                <w:rFonts w:hint="eastAsia" w:cs="宋体"/>
                <w:color w:val="auto"/>
                <w:kern w:val="2"/>
                <w:sz w:val="21"/>
                <w:szCs w:val="21"/>
                <w:lang w:val="en-US" w:eastAsia="zh-CN" w:bidi="ar-SA"/>
              </w:rPr>
              <w:t>报表</w:t>
            </w:r>
            <w:r>
              <w:rPr>
                <w:rFonts w:hint="eastAsia" w:ascii="宋体" w:hAnsi="宋体" w:eastAsia="宋体" w:cs="宋体"/>
                <w:color w:val="auto"/>
                <w:kern w:val="2"/>
                <w:sz w:val="21"/>
                <w:szCs w:val="21"/>
                <w:lang w:val="en-US" w:eastAsia="zh-CN" w:bidi="ar-SA"/>
              </w:rPr>
              <w:t>，提供一年得</w:t>
            </w:r>
            <w:r>
              <w:rPr>
                <w:rFonts w:hint="eastAsia"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分，提供二年得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分，提供三年或三年以上得</w:t>
            </w:r>
            <w:r>
              <w:rPr>
                <w:rFonts w:hint="eastAsia"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作业实施方案</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ascii="宋体" w:hAnsi="宋体" w:eastAsia="宋体" w:cs="宋体"/>
                <w:color w:val="auto"/>
                <w:kern w:val="2"/>
                <w:sz w:val="21"/>
                <w:szCs w:val="21"/>
                <w:lang w:val="en-US" w:eastAsia="zh-CN" w:bidi="ar-SA"/>
              </w:rPr>
              <w:t>8</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根据作业实施方案的合理性、可行性、详尽性等内容进行阐述，优者得</w:t>
            </w:r>
            <w:r>
              <w:rPr>
                <w:rFonts w:hint="eastAsia"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8</w:t>
            </w:r>
            <w:r>
              <w:rPr>
                <w:rFonts w:hint="eastAsia" w:ascii="宋体" w:hAnsi="宋体" w:eastAsia="宋体" w:cs="宋体"/>
                <w:color w:val="auto"/>
                <w:kern w:val="2"/>
                <w:sz w:val="21"/>
                <w:szCs w:val="21"/>
                <w:lang w:val="en-US" w:bidi="ar-SA"/>
              </w:rPr>
              <w:t>分，</w:t>
            </w:r>
            <w:r>
              <w:rPr>
                <w:rFonts w:hint="eastAsia" w:ascii="宋体" w:hAnsi="宋体" w:eastAsia="宋体" w:cs="宋体"/>
                <w:color w:val="auto"/>
                <w:kern w:val="2"/>
                <w:sz w:val="21"/>
                <w:szCs w:val="21"/>
                <w:lang w:val="en-US" w:eastAsia="zh-CN" w:bidi="ar-SA"/>
              </w:rPr>
              <w:t>良者得3-</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bidi="ar-SA"/>
              </w:rPr>
              <w:t>一般得</w:t>
            </w:r>
            <w:r>
              <w:rPr>
                <w:rFonts w:hint="eastAsia" w:ascii="宋体" w:hAnsi="宋体" w:eastAsia="宋体" w:cs="宋体"/>
                <w:color w:val="auto"/>
                <w:kern w:val="2"/>
                <w:sz w:val="21"/>
                <w:szCs w:val="21"/>
                <w:lang w:val="en-US" w:eastAsia="zh-CN" w:bidi="ar-SA"/>
              </w:rPr>
              <w:t>0</w:t>
            </w:r>
            <w:r>
              <w:rPr>
                <w:rFonts w:hint="eastAsia" w:ascii="宋体" w:hAnsi="宋体" w:eastAsia="宋体" w:cs="宋体"/>
                <w:color w:val="auto"/>
                <w:kern w:val="2"/>
                <w:sz w:val="21"/>
                <w:szCs w:val="21"/>
                <w:lang w:val="en-US" w:bidi="ar-S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cs="宋体"/>
                <w:color w:val="auto"/>
                <w:kern w:val="2"/>
                <w:sz w:val="21"/>
                <w:szCs w:val="21"/>
                <w:lang w:val="en-US" w:eastAsia="zh-CN" w:bidi="ar-SA"/>
              </w:rPr>
              <w:t>肥料使用安全</w:t>
            </w:r>
            <w:r>
              <w:rPr>
                <w:rFonts w:hint="eastAsia" w:ascii="宋体" w:hAnsi="宋体" w:eastAsia="宋体" w:cs="宋体"/>
                <w:color w:val="auto"/>
                <w:kern w:val="2"/>
                <w:sz w:val="21"/>
                <w:szCs w:val="21"/>
                <w:lang w:val="en-US" w:bidi="ar-SA"/>
              </w:rPr>
              <w:t>保障方案</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ascii="宋体" w:hAnsi="宋体" w:eastAsia="宋体" w:cs="宋体"/>
                <w:color w:val="auto"/>
                <w:kern w:val="2"/>
                <w:sz w:val="21"/>
                <w:szCs w:val="21"/>
                <w:lang w:val="en-US" w:eastAsia="zh-CN" w:bidi="ar-SA"/>
              </w:rPr>
              <w:t>5</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根据</w:t>
            </w:r>
            <w:r>
              <w:rPr>
                <w:rFonts w:hint="eastAsia" w:cs="宋体"/>
                <w:color w:val="auto"/>
                <w:kern w:val="2"/>
                <w:sz w:val="21"/>
                <w:szCs w:val="21"/>
                <w:lang w:val="en-US" w:eastAsia="zh-CN" w:bidi="ar-SA"/>
              </w:rPr>
              <w:t>所供应的货物的特性，制订详细使用方法，保证使用的安全性、</w:t>
            </w:r>
            <w:r>
              <w:rPr>
                <w:rFonts w:hint="eastAsia" w:ascii="宋体" w:hAnsi="宋体" w:eastAsia="宋体" w:cs="宋体"/>
                <w:color w:val="auto"/>
                <w:kern w:val="2"/>
                <w:sz w:val="21"/>
                <w:szCs w:val="21"/>
                <w:lang w:val="en-US" w:bidi="ar-SA"/>
              </w:rPr>
              <w:t>可行性</w:t>
            </w:r>
            <w:r>
              <w:rPr>
                <w:rFonts w:hint="eastAsia" w:cs="宋体"/>
                <w:color w:val="auto"/>
                <w:kern w:val="2"/>
                <w:sz w:val="21"/>
                <w:szCs w:val="21"/>
                <w:lang w:val="en-US" w:eastAsia="zh-CN" w:bidi="ar-SA"/>
              </w:rPr>
              <w:t>和可操作性</w:t>
            </w:r>
            <w:r>
              <w:rPr>
                <w:rFonts w:hint="eastAsia" w:ascii="宋体" w:hAnsi="宋体" w:eastAsia="宋体" w:cs="宋体"/>
                <w:color w:val="auto"/>
                <w:kern w:val="2"/>
                <w:sz w:val="21"/>
                <w:szCs w:val="21"/>
                <w:lang w:val="en-US" w:bidi="ar-SA"/>
              </w:rPr>
              <w:t>，优者得</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bidi="ar-SA"/>
              </w:rPr>
              <w:t>-</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bidi="ar-SA"/>
              </w:rPr>
              <w:t>分，一般得1-</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质量保证措施</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7</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default" w:ascii="宋体" w:hAnsi="宋体" w:eastAsia="宋体" w:cs="宋体"/>
                <w:color w:val="auto"/>
                <w:kern w:val="2"/>
                <w:sz w:val="21"/>
                <w:szCs w:val="21"/>
                <w:lang w:val="en-US" w:bidi="ar-SA"/>
              </w:rPr>
            </w:pPr>
            <w:r>
              <w:rPr>
                <w:rFonts w:hint="eastAsia" w:cs="宋体"/>
                <w:color w:val="auto"/>
                <w:kern w:val="2"/>
                <w:sz w:val="21"/>
                <w:szCs w:val="21"/>
                <w:lang w:val="en-US" w:eastAsia="zh-CN" w:bidi="ar-SA"/>
              </w:rPr>
              <w:t>所供应的货物必须达到国家规定标准，需提供相应证件，能提供整套合格证件得7分，不能提供得0分。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应急措施</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6</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根据投标人对作业过程中</w:t>
            </w:r>
            <w:r>
              <w:rPr>
                <w:rFonts w:hint="eastAsia" w:cs="宋体"/>
                <w:color w:val="auto"/>
                <w:kern w:val="2"/>
                <w:sz w:val="21"/>
                <w:szCs w:val="21"/>
                <w:lang w:val="en-US" w:eastAsia="zh-CN" w:bidi="ar-SA"/>
              </w:rPr>
              <w:t>机械</w:t>
            </w:r>
            <w:r>
              <w:rPr>
                <w:rFonts w:hint="eastAsia" w:ascii="宋体" w:hAnsi="宋体" w:eastAsia="宋体" w:cs="宋体"/>
                <w:color w:val="auto"/>
                <w:kern w:val="2"/>
                <w:sz w:val="21"/>
                <w:szCs w:val="21"/>
                <w:lang w:val="en-US" w:bidi="ar-SA"/>
              </w:rPr>
              <w:t>、人员等突发状况的应急处理措施，由专家综合对比评价，酌情打分。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服务保证措施</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7</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投标人组织机构及服务质量保证措施等能做到机构健全，建立完整的工作台账，工作信息收集、反馈等客户质量保证措施，由专家综合对比评价，酌情打分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类似业绩</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0～</w:t>
            </w:r>
            <w:r>
              <w:rPr>
                <w:rFonts w:hint="eastAsia" w:cs="宋体"/>
                <w:color w:val="auto"/>
                <w:kern w:val="2"/>
                <w:sz w:val="21"/>
                <w:szCs w:val="21"/>
                <w:lang w:val="en-US" w:eastAsia="zh-CN" w:bidi="ar-SA"/>
              </w:rPr>
              <w:t>6</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投标人近</w:t>
            </w:r>
            <w:r>
              <w:rPr>
                <w:rFonts w:hint="eastAsia" w:ascii="宋体" w:hAnsi="宋体" w:eastAsia="宋体" w:cs="宋体"/>
                <w:color w:val="auto"/>
                <w:kern w:val="2"/>
                <w:sz w:val="21"/>
                <w:szCs w:val="21"/>
                <w:lang w:val="en-US" w:eastAsia="zh-CN" w:bidi="ar-SA"/>
              </w:rPr>
              <w:t>三</w:t>
            </w:r>
            <w:r>
              <w:rPr>
                <w:rFonts w:hint="eastAsia" w:ascii="宋体" w:hAnsi="宋体" w:eastAsia="宋体" w:cs="宋体"/>
                <w:color w:val="auto"/>
                <w:kern w:val="2"/>
                <w:sz w:val="21"/>
                <w:szCs w:val="21"/>
                <w:lang w:val="en-US" w:bidi="ar-SA"/>
              </w:rPr>
              <w:t>年内完成</w:t>
            </w:r>
            <w:r>
              <w:rPr>
                <w:rFonts w:hint="eastAsia" w:cs="宋体"/>
                <w:color w:val="auto"/>
                <w:kern w:val="2"/>
                <w:sz w:val="21"/>
                <w:szCs w:val="21"/>
                <w:lang w:val="en-US" w:eastAsia="zh-CN" w:bidi="ar-SA"/>
              </w:rPr>
              <w:t>类似</w:t>
            </w:r>
            <w:r>
              <w:rPr>
                <w:rFonts w:hint="eastAsia" w:ascii="宋体" w:hAnsi="宋体" w:eastAsia="宋体" w:cs="宋体"/>
                <w:color w:val="auto"/>
                <w:kern w:val="2"/>
                <w:sz w:val="21"/>
                <w:szCs w:val="21"/>
                <w:lang w:val="en-US" w:eastAsia="zh-CN" w:bidi="ar-SA"/>
              </w:rPr>
              <w:t>项目业绩得1个得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分，每多完成1个加</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分最高得</w:t>
            </w:r>
            <w:r>
              <w:rPr>
                <w:rFonts w:hint="eastAsia"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bidi="ar-SA"/>
              </w:rPr>
              <w:t>（业绩证明材料包括中标通知书</w:t>
            </w:r>
            <w:r>
              <w:rPr>
                <w:rFonts w:hint="eastAsia" w:cs="宋体"/>
                <w:color w:val="auto"/>
                <w:kern w:val="2"/>
                <w:sz w:val="21"/>
                <w:szCs w:val="21"/>
                <w:lang w:val="en-US" w:eastAsia="zh-CN" w:bidi="ar-SA"/>
              </w:rPr>
              <w:t>或</w:t>
            </w:r>
            <w:r>
              <w:rPr>
                <w:rFonts w:hint="eastAsia" w:ascii="宋体" w:hAnsi="宋体" w:eastAsia="宋体" w:cs="宋体"/>
                <w:color w:val="auto"/>
                <w:kern w:val="2"/>
                <w:sz w:val="21"/>
                <w:szCs w:val="21"/>
                <w:lang w:val="en-US" w:bidi="ar-SA"/>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Merge w:val="continue"/>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p>
        </w:tc>
        <w:tc>
          <w:tcPr>
            <w:tcW w:w="1673"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标函质量及履约措施</w:t>
            </w:r>
          </w:p>
        </w:tc>
        <w:tc>
          <w:tcPr>
            <w:tcW w:w="736"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bidi="ar-SA"/>
              </w:rPr>
              <w:t>0～</w:t>
            </w:r>
            <w:r>
              <w:rPr>
                <w:rFonts w:hint="eastAsia" w:ascii="宋体" w:hAnsi="宋体" w:eastAsia="宋体" w:cs="宋体"/>
                <w:color w:val="auto"/>
                <w:kern w:val="2"/>
                <w:sz w:val="21"/>
                <w:szCs w:val="21"/>
                <w:lang w:val="en-US" w:eastAsia="zh-CN" w:bidi="ar-SA"/>
              </w:rPr>
              <w:t>3</w:t>
            </w:r>
          </w:p>
        </w:tc>
        <w:tc>
          <w:tcPr>
            <w:tcW w:w="6668" w:type="dxa"/>
            <w:noWrap w:val="0"/>
            <w:vAlign w:val="center"/>
          </w:tcPr>
          <w:p>
            <w:pPr>
              <w:keepNext w:val="0"/>
              <w:keepLines w:val="0"/>
              <w:pageBreakBefore w:val="0"/>
              <w:tabs>
                <w:tab w:val="left" w:pos="7665"/>
              </w:tabs>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标函编制内容完整、齐全、叙述严谨；标书无涂改、错页、漏页现象；履约措施具体、合理、可行，否则酌情扣分。</w:t>
            </w:r>
          </w:p>
        </w:tc>
      </w:tr>
    </w:tbl>
    <w:p>
      <w:pPr>
        <w:spacing w:line="440" w:lineRule="exact"/>
        <w:ind w:firstLine="566" w:firstLineChars="23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8</w:t>
      </w:r>
      <w:r>
        <w:rPr>
          <w:rFonts w:hint="default" w:ascii="Times New Roman" w:hAnsi="Times New Roman" w:cs="Times New Roman"/>
          <w:color w:val="auto"/>
          <w:sz w:val="24"/>
          <w:szCs w:val="24"/>
        </w:rPr>
        <w:t>评审时，磋商小组各成员应当独立对每个有效响应的文件进行评价、打分，然后汇总每个供应商每项评分因素的得分。磋商文件中没有规定的评审标准不得作为评审依据。</w:t>
      </w:r>
    </w:p>
    <w:p>
      <w:pPr>
        <w:spacing w:line="440" w:lineRule="exact"/>
        <w:ind w:firstLine="566" w:firstLineChars="23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9</w:t>
      </w:r>
      <w:r>
        <w:rPr>
          <w:rFonts w:hint="default" w:ascii="Times New Roman" w:hAnsi="Times New Roman" w:cs="Times New Roman"/>
          <w:color w:val="auto"/>
          <w:sz w:val="24"/>
          <w:szCs w:val="24"/>
        </w:rPr>
        <w:t>磋商小组应当按照评审得分由高到低顺序推荐不超过3名成交候选供应商，并编写评审报告。评审得分相同的，最后报价低的优先。评审得分且最后报价相同的，得分最高的</w:t>
      </w:r>
      <w:r>
        <w:rPr>
          <w:rFonts w:hint="default" w:ascii="Times New Roman" w:hAnsi="Times New Roman" w:cs="Times New Roman"/>
          <w:color w:val="auto"/>
          <w:sz w:val="24"/>
        </w:rPr>
        <w:t>工作实施方案</w:t>
      </w:r>
      <w:r>
        <w:rPr>
          <w:rFonts w:hint="default" w:ascii="Times New Roman" w:hAnsi="Times New Roman" w:cs="Times New Roman"/>
          <w:color w:val="auto"/>
          <w:sz w:val="24"/>
          <w:szCs w:val="24"/>
        </w:rPr>
        <w:t>优先。</w:t>
      </w:r>
    </w:p>
    <w:p>
      <w:pPr>
        <w:spacing w:line="440" w:lineRule="exact"/>
        <w:ind w:firstLine="566" w:firstLineChars="236"/>
        <w:jc w:val="left"/>
        <w:rPr>
          <w:rFonts w:hint="default" w:ascii="Times New Roman" w:hAnsi="Times New Roman" w:cs="Times New Roman"/>
          <w:color w:val="auto"/>
          <w:sz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如果磋商小组认为最低报价（无论是总价或是某一分项的价格）与市场上同类项目的普遍价格水平相比下降很多，并且该报价在未来可能不能让供应商令采购人满意的履行合同，应要求供应商提供证据证明其报价是合理的，能够全面顺利履行合同，不会给采购人带来任何风险。否则该供应商不能被推荐为成交候选人。</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5、采购人重新组织竞争性磋商的情形：</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1提交有效</w:t>
      </w:r>
      <w:r>
        <w:rPr>
          <w:rFonts w:hint="default" w:ascii="Times New Roman" w:hAnsi="Times New Roman" w:cs="Times New Roman"/>
          <w:color w:val="auto"/>
          <w:sz w:val="24"/>
          <w:szCs w:val="24"/>
        </w:rPr>
        <w:t>最后报价</w:t>
      </w:r>
      <w:r>
        <w:rPr>
          <w:rFonts w:hint="default" w:ascii="Times New Roman" w:hAnsi="Times New Roman" w:cs="Times New Roman"/>
          <w:color w:val="auto"/>
          <w:sz w:val="24"/>
        </w:rPr>
        <w:t>的合格供应商不足2个的。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2与所有供应商磋商失败。</w:t>
      </w:r>
    </w:p>
    <w:p>
      <w:pPr>
        <w:spacing w:line="440" w:lineRule="exact"/>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3成交供应商放弃合同。</w:t>
      </w:r>
      <w:bookmarkStart w:id="97" w:name="_Toc281309809"/>
      <w:bookmarkStart w:id="98" w:name="_Toc522808499"/>
      <w:bookmarkStart w:id="99" w:name="_Toc42854343"/>
    </w:p>
    <w:p>
      <w:pPr>
        <w:rPr>
          <w:rFonts w:hint="default" w:ascii="Times New Roman" w:hAnsi="Times New Roman" w:cs="Times New Roman"/>
          <w:b/>
          <w:color w:val="auto"/>
          <w:sz w:val="36"/>
          <w:szCs w:val="36"/>
        </w:rPr>
      </w:pPr>
      <w:bookmarkStart w:id="100" w:name="_Toc51143329"/>
      <w:bookmarkStart w:id="101" w:name="_Toc18751"/>
      <w:bookmarkStart w:id="102" w:name="_Toc22081"/>
      <w:r>
        <w:rPr>
          <w:rFonts w:hint="default" w:ascii="Times New Roman" w:hAnsi="Times New Roman" w:cs="Times New Roman"/>
          <w:b/>
          <w:color w:val="auto"/>
          <w:sz w:val="36"/>
          <w:szCs w:val="36"/>
        </w:rPr>
        <w:br w:type="page"/>
      </w:r>
    </w:p>
    <w:p>
      <w:pPr>
        <w:pStyle w:val="3"/>
        <w:bidi w:val="0"/>
        <w:rPr>
          <w:rFonts w:hint="eastAsia" w:eastAsia="宋体"/>
          <w:lang w:eastAsia="zh-CN"/>
        </w:rPr>
      </w:pPr>
      <w:bookmarkStart w:id="103" w:name="_Toc27065"/>
      <w:r>
        <w:rPr>
          <w:rFonts w:hint="default"/>
        </w:rPr>
        <w:t>第三章</w:t>
      </w:r>
      <w:bookmarkEnd w:id="97"/>
      <w:bookmarkEnd w:id="98"/>
      <w:bookmarkEnd w:id="99"/>
      <w:bookmarkEnd w:id="100"/>
      <w:bookmarkEnd w:id="101"/>
      <w:r>
        <w:rPr>
          <w:rFonts w:hint="eastAsia"/>
          <w:lang w:val="en-US" w:eastAsia="zh-CN"/>
        </w:rPr>
        <w:t>采购</w:t>
      </w:r>
      <w:bookmarkEnd w:id="102"/>
      <w:bookmarkEnd w:id="103"/>
      <w:r>
        <w:rPr>
          <w:rFonts w:hint="eastAsia"/>
          <w:lang w:val="en-US" w:eastAsia="zh-CN"/>
        </w:rPr>
        <w:t>需要</w:t>
      </w:r>
    </w:p>
    <w:p>
      <w:pPr>
        <w:snapToGrid w:val="0"/>
        <w:spacing w:line="440" w:lineRule="exact"/>
        <w:ind w:firstLine="482" w:firstLineChars="200"/>
        <w:jc w:val="left"/>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一、项目概况和工作内容</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项目名称：</w:t>
      </w:r>
      <w:r>
        <w:rPr>
          <w:rFonts w:hint="eastAsia" w:cs="Times New Roman"/>
          <w:color w:val="auto"/>
          <w:sz w:val="24"/>
          <w:lang w:eastAsia="zh-CN"/>
        </w:rPr>
        <w:t>木垒县2022年农作物（小麦）救灾补助项目</w:t>
      </w:r>
    </w:p>
    <w:p>
      <w:pPr>
        <w:snapToGrid w:val="0"/>
        <w:spacing w:line="440" w:lineRule="exact"/>
        <w:ind w:firstLine="480" w:firstLineChars="200"/>
        <w:jc w:val="left"/>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项目地点：</w:t>
      </w:r>
      <w:r>
        <w:rPr>
          <w:rFonts w:hint="eastAsia" w:cs="Times New Roman"/>
          <w:color w:val="auto"/>
          <w:sz w:val="24"/>
          <w:lang w:val="en-US" w:eastAsia="zh-CN"/>
        </w:rPr>
        <w:t>木垒县</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eastAsia" w:cs="Times New Roman"/>
          <w:color w:val="auto"/>
          <w:sz w:val="24"/>
          <w:lang w:val="en-US" w:eastAsia="zh-CN"/>
        </w:rPr>
        <w:t>采购内容</w:t>
      </w:r>
      <w:r>
        <w:rPr>
          <w:rFonts w:hint="default" w:ascii="Times New Roman" w:hAnsi="Times New Roman" w:cs="Times New Roman"/>
          <w:color w:val="auto"/>
          <w:sz w:val="24"/>
        </w:rPr>
        <w:t>：2022年，木垒县小麦播种面积53万亩，其中：冬小麦38万亩，春小麦15万亩；（水浇地15万亩，山旱地38万亩）（1）芸苔素内脂，有效成分含量0.01%，亩用量0.008公斤，需采购4240公斤。（2）水溶液0.04公斤/亩，需采购21200公斤。（3）尿素 0.09公斤/亩，需采购47700公斤。共530000亩。</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工作内容：</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bookmarkStart w:id="104" w:name="_Toc4318"/>
      <w:bookmarkStart w:id="105" w:name="_Toc522808502"/>
      <w:bookmarkStart w:id="106" w:name="_Toc42854344"/>
      <w:bookmarkStart w:id="107" w:name="_Toc51143331"/>
      <w:bookmarkStart w:id="108" w:name="_Toc7208"/>
      <w:bookmarkStart w:id="109" w:name="_Toc3852"/>
      <w:bookmarkStart w:id="110" w:name="_Toc281309815"/>
      <w:r>
        <w:rPr>
          <w:rFonts w:hint="eastAsia" w:ascii="Times New Roman" w:hAnsi="Times New Roman" w:eastAsia="宋体" w:cs="Times New Roman"/>
          <w:color w:val="auto"/>
          <w:sz w:val="24"/>
          <w:szCs w:val="22"/>
          <w:lang w:val="en-US" w:eastAsia="zh-CN"/>
        </w:rPr>
        <w:t>木垒县干旱缺水，严重影响农作物的产量，特别在小麦生长关键时期常常出现“卡脖子旱”，导致产量大幅下降，为确保小麦丰产丰收和国家粮食安全，积极开展小麦抗灾补救工作，特制定农作物（小麦）救灾补助防控经费实施方案：</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4.1.小麦种植面积：</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2022年，木垒县小麦播种面积53万亩，其中：冬小麦38万亩，春小麦15万亩；（水浇地15万亩，山旱地38万亩）。</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4.2.补助资金来源：</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根据昌州财农（2022）3号《关于拨付2021年中央农业生产和水利救灾资金预算（第十批）的通知》的文件精神，拨付木垒县种植业生产救灾资金120万元，其中：农作物救灾补助及灾后恢复生产补助资金120万元。</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 xml:space="preserve">4.3.救灾补助面积： </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全县53万亩小麦全覆盖。</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4.4.抗旱药剂需求量：</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（1）芸苔素内脂，有效成分含量0.01%，亩用量0.008公斤。</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（2）水溶液0.04公斤/亩。</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（3）尿素 0.09公斤/亩。</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共计530000亩。</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4.5.救灾资金的运用：</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中央农业生产救灾资金补助120万元，通过政府购买抗旱药剂补助到户，农户需要自付喷施费4元/亩。面积分配以乡镇为单位，按全县实际上报小麦种植面积53.5万亩为依据，按比例进行分配。</w:t>
      </w:r>
    </w:p>
    <w:p>
      <w:pPr>
        <w:snapToGrid w:val="0"/>
        <w:spacing w:line="440" w:lineRule="exact"/>
        <w:ind w:firstLine="480" w:firstLineChars="200"/>
        <w:jc w:val="left"/>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首先，保证全县3个两千亩高产示范区喷施二遍（相当于12000亩），6个万亩农药“化肥减量区”喷施一遍（相当于60000亩）。其次，乡镇要大力宣传“小麦抗灾救灾和药剂发放”工作，积极动员农户开展统防统治工作，促进小麦增产丰收。</w:t>
      </w:r>
    </w:p>
    <w:p>
      <w:pPr>
        <w:keepNext w:val="0"/>
        <w:keepLines w:val="0"/>
        <w:pageBreakBefore w:val="0"/>
        <w:widowControl w:val="0"/>
        <w:kinsoku/>
        <w:wordWrap/>
        <w:overflowPunct/>
        <w:topLinePunct w:val="0"/>
        <w:autoSpaceDE/>
        <w:autoSpaceDN/>
        <w:bidi w:val="0"/>
        <w:adjustRightInd/>
        <w:snapToGrid/>
        <w:spacing w:line="680" w:lineRule="exact"/>
        <w:ind w:left="4150" w:leftChars="1976" w:firstLine="0" w:firstLineChars="0"/>
        <w:textAlignment w:val="auto"/>
        <w:rPr>
          <w:rFonts w:hint="eastAsia" w:ascii="仿宋_GB2312" w:hAnsi="仿宋_GB2312" w:eastAsia="仿宋_GB2312" w:cs="仿宋_GB2312"/>
          <w:sz w:val="32"/>
          <w:szCs w:val="32"/>
          <w:lang w:val="en-US" w:eastAsia="zh-CN"/>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p>
    <w:p>
      <w:pPr>
        <w:pStyle w:val="3"/>
        <w:snapToGrid w:val="0"/>
        <w:spacing w:before="0" w:after="0" w:line="360" w:lineRule="auto"/>
        <w:rPr>
          <w:rFonts w:hint="default" w:ascii="Times New Roman" w:hAnsi="Times New Roman" w:cs="Times New Roman"/>
          <w:color w:val="auto"/>
        </w:rPr>
      </w:pPr>
      <w:r>
        <w:rPr>
          <w:rFonts w:hint="default" w:ascii="Times New Roman" w:hAnsi="Times New Roman" w:cs="Times New Roman"/>
          <w:color w:val="auto"/>
        </w:rPr>
        <w:t>第四章 合同条款</w:t>
      </w:r>
      <w:bookmarkEnd w:id="104"/>
      <w:bookmarkEnd w:id="105"/>
      <w:bookmarkEnd w:id="106"/>
      <w:bookmarkEnd w:id="107"/>
      <w:bookmarkEnd w:id="108"/>
      <w:bookmarkEnd w:id="109"/>
    </w:p>
    <w:p>
      <w:pPr>
        <w:bidi w:val="0"/>
        <w:jc w:val="center"/>
        <w:rPr>
          <w:rFonts w:hint="default"/>
        </w:rPr>
      </w:pPr>
      <w:bookmarkStart w:id="111" w:name="_Toc26911"/>
      <w:bookmarkStart w:id="112" w:name="_Toc522808503"/>
      <w:bookmarkStart w:id="113" w:name="_Toc42854345"/>
      <w:r>
        <w:rPr>
          <w:rFonts w:hint="default" w:ascii="Times New Roman" w:hAnsi="Times New Roman" w:cs="Times New Roman"/>
          <w:b/>
          <w:bCs/>
          <w:color w:val="auto"/>
          <w:sz w:val="32"/>
          <w:szCs w:val="32"/>
        </w:rPr>
        <w:t>合同条款</w:t>
      </w:r>
      <w:r>
        <w:rPr>
          <w:rFonts w:hint="default" w:ascii="Times New Roman" w:hAnsi="Times New Roman" w:cs="Times New Roman"/>
          <w:b w:val="0"/>
          <w:bCs/>
          <w:color w:val="auto"/>
          <w:sz w:val="28"/>
          <w:szCs w:val="28"/>
          <w:lang w:val="zh-CN"/>
        </w:rPr>
        <w:t>（仅供参考具体以后期签署合同为准）</w:t>
      </w:r>
      <w:bookmarkEnd w:id="111"/>
    </w:p>
    <w:bookmarkEnd w:id="110"/>
    <w:bookmarkEnd w:id="112"/>
    <w:bookmarkEnd w:id="113"/>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bookmarkStart w:id="114" w:name="_Toc24992"/>
      <w:bookmarkStart w:id="115" w:name="_Toc485735267"/>
      <w:r>
        <w:rPr>
          <w:rFonts w:hint="default" w:ascii="Times New Roman" w:hAnsi="Times New Roman" w:eastAsia="宋体" w:cs="Times New Roman"/>
          <w:color w:val="auto"/>
          <w:sz w:val="24"/>
          <w:szCs w:val="22"/>
          <w:lang w:val="en-US" w:eastAsia="zh-CN"/>
        </w:rPr>
        <w:t>签订合同</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1中标人在收到招标人发出的《中标通知书》后，应在法律法规规定的时间内与采购人签订采购合同。由于中标人的原因逾期未与采购人签订采购合同的，将视为放弃中标，取消其中标资格并将按相关规定进行处理。</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2采购人不得向中标人提出任何不合理的要求，作为签订合同的条件，不得与中标人私下订立背离合同实质性内容的任何协议，所签订的合同不得对招标文件和中标人投标文件作实质性修改。</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3中标人因不可抗力原因不能履行采购合同或放弃中标的，采购人可以与排在中标人之后第一位的中标候选人签订采购合同，以此类推。</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4中标人在合同签订之后三个工作日内，将签订的合同（一份）送采购代理机构。</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合同分包</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1若本项目允许分包的，经采购人同意，中标人可以依法采取分包方式履行合同。这种要求应当在合同签订之前征得采购人同意，并且分包供应商履行的分包项目的品牌、规格型号及技术要求等，必须与中标的一致。</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2采购合同实行分包履行的，中标人就采购项目和分包项目向采购人负责，分包供应商就分包项目承担责任。</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采购人增加合同标的权利</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履约保证金</w:t>
      </w:r>
      <w:r>
        <w:rPr>
          <w:rFonts w:hint="eastAsia" w:ascii="Times New Roman" w:hAnsi="Times New Roman" w:eastAsia="宋体" w:cs="Times New Roman"/>
          <w:color w:val="auto"/>
          <w:sz w:val="24"/>
          <w:szCs w:val="22"/>
          <w:lang w:val="en-US" w:eastAsia="zh-CN"/>
        </w:rPr>
        <w:t>（若有）</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1中标人应在合同签订之前交纳招标文件规定数额的履约保证金。</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2如果中标人在规定的合同签订时间内，没有按照招标文件的规定交纳履约保证金，且又无正当理由的，将视为放弃中标，其交纳的投标保证金将不与退还。</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履行合同</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1中标人与采购人签订合同后，合同双方应严格执行合同条款，履行合同规定的义务，保证合同的顺利完成。</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2在合同履行过程中，如发生合同纠纷，合同双方应按照《民法典》的有关规定进行处理。</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验收</w:t>
      </w:r>
    </w:p>
    <w:p>
      <w:pPr>
        <w:snapToGrid w:val="0"/>
        <w:spacing w:line="440" w:lineRule="exact"/>
        <w:ind w:firstLine="480" w:firstLineChars="200"/>
        <w:jc w:val="left"/>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中标人与采购人应严格按照国家财政部《关于进一步加强政府采购需求和履约验收管理的指导意见》（财库〔2016〕205 号）的要求进行验收。</w:t>
      </w: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widowControl w:val="0"/>
        <w:spacing w:line="360" w:lineRule="auto"/>
        <w:ind w:firstLine="1800" w:firstLineChars="600"/>
        <w:jc w:val="center"/>
        <w:rPr>
          <w:rFonts w:hint="default" w:ascii="Times New Roman" w:hAnsi="Times New Roman" w:cs="Times New Roman"/>
          <w:color w:val="auto"/>
          <w:sz w:val="30"/>
          <w:szCs w:val="30"/>
        </w:rPr>
      </w:pPr>
    </w:p>
    <w:p>
      <w:pPr>
        <w:pStyle w:val="3"/>
        <w:rPr>
          <w:rFonts w:hint="default" w:ascii="Times New Roman" w:hAnsi="Times New Roman" w:cs="Times New Roman"/>
          <w:color w:val="auto"/>
        </w:rPr>
      </w:pPr>
      <w:bookmarkStart w:id="116" w:name="_Toc16052"/>
      <w:r>
        <w:rPr>
          <w:rFonts w:hint="default" w:ascii="Times New Roman" w:hAnsi="Times New Roman" w:cs="Times New Roman"/>
          <w:color w:val="auto"/>
        </w:rPr>
        <w:t>第五章</w:t>
      </w:r>
      <w:bookmarkStart w:id="117" w:name="_Toc522808504"/>
      <w:r>
        <w:rPr>
          <w:rFonts w:hint="default" w:ascii="Times New Roman" w:hAnsi="Times New Roman" w:cs="Times New Roman"/>
          <w:color w:val="auto"/>
        </w:rPr>
        <w:t xml:space="preserve"> 磋商响应文件格式</w:t>
      </w:r>
      <w:bookmarkEnd w:id="116"/>
      <w:bookmarkEnd w:id="117"/>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bidi w:val="0"/>
        <w:jc w:val="center"/>
        <w:rPr>
          <w:rFonts w:hint="default"/>
          <w:b/>
          <w:bCs/>
          <w:sz w:val="36"/>
          <w:szCs w:val="36"/>
        </w:rPr>
      </w:pPr>
      <w:r>
        <w:rPr>
          <w:rFonts w:hint="default"/>
          <w:b/>
          <w:bCs/>
          <w:sz w:val="36"/>
          <w:szCs w:val="36"/>
        </w:rPr>
        <w:t>（项目名称）</w:t>
      </w:r>
    </w:p>
    <w:p>
      <w:pPr>
        <w:jc w:val="center"/>
        <w:rPr>
          <w:rFonts w:hint="default" w:ascii="Times New Roman" w:hAnsi="Times New Roman" w:cs="Times New Roman"/>
          <w:b/>
          <w:bCs/>
          <w:color w:val="auto"/>
          <w:sz w:val="44"/>
          <w:szCs w:val="44"/>
        </w:rPr>
      </w:pPr>
    </w:p>
    <w:p>
      <w:pPr>
        <w:jc w:val="center"/>
        <w:outlineLvl w:val="0"/>
        <w:rPr>
          <w:rFonts w:hint="default" w:ascii="Times New Roman" w:hAnsi="Times New Roman" w:cs="Times New Roman"/>
          <w:b/>
          <w:bCs/>
          <w:color w:val="auto"/>
          <w:sz w:val="44"/>
          <w:szCs w:val="44"/>
        </w:rPr>
      </w:pPr>
      <w:bookmarkStart w:id="118" w:name="_Toc17422"/>
      <w:r>
        <w:rPr>
          <w:rFonts w:hint="default" w:ascii="Times New Roman" w:hAnsi="Times New Roman" w:cs="Times New Roman"/>
          <w:b/>
          <w:bCs/>
          <w:color w:val="auto"/>
          <w:sz w:val="44"/>
          <w:szCs w:val="44"/>
        </w:rPr>
        <w:t>磋商响应文件</w:t>
      </w:r>
      <w:bookmarkEnd w:id="118"/>
    </w:p>
    <w:p>
      <w:pPr>
        <w:ind w:firstLine="600" w:firstLineChars="200"/>
        <w:rPr>
          <w:rFonts w:hint="default" w:ascii="Times New Roman" w:hAnsi="Times New Roman" w:cs="Times New Roman"/>
          <w:color w:val="auto"/>
          <w:sz w:val="30"/>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采购人：</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供应商：</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（盖章）</w:t>
      </w: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（签字或盖章）</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委托代理人：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联系方式：</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联系地址：</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jc w:val="center"/>
        <w:rPr>
          <w:rFonts w:hint="default" w:ascii="Times New Roman" w:hAnsi="Times New Roman" w:cs="Times New Roman"/>
          <w:color w:val="auto"/>
        </w:rPr>
      </w:pPr>
      <w:r>
        <w:rPr>
          <w:rFonts w:hint="default" w:ascii="Times New Roman" w:hAnsi="Times New Roman" w:cs="Times New Roman"/>
          <w:color w:val="auto"/>
          <w:sz w:val="28"/>
          <w:szCs w:val="28"/>
        </w:rPr>
        <w:t>日期：   年    月    日</w:t>
      </w:r>
      <w:r>
        <w:rPr>
          <w:rFonts w:hint="default" w:ascii="Times New Roman" w:hAnsi="Times New Roman" w:cs="Times New Roman"/>
          <w:color w:val="auto"/>
          <w:sz w:val="28"/>
          <w:szCs w:val="28"/>
        </w:rPr>
        <w:br w:type="page"/>
      </w:r>
      <w:r>
        <w:rPr>
          <w:rFonts w:hint="default" w:ascii="Times New Roman" w:hAnsi="Times New Roman" w:cs="Times New Roman"/>
          <w:color w:val="auto"/>
          <w:sz w:val="30"/>
          <w:szCs w:val="30"/>
        </w:rPr>
        <w:t>目录</w:t>
      </w:r>
      <w:bookmarkEnd w:id="114"/>
      <w:bookmarkEnd w:id="115"/>
    </w:p>
    <w:p>
      <w:pPr>
        <w:spacing w:line="520" w:lineRule="exact"/>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（一）磋商函</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（二）法定代表人身份证明</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（三）法定代表人授权书</w:t>
      </w:r>
    </w:p>
    <w:p>
      <w:pPr>
        <w:spacing w:line="520" w:lineRule="exact"/>
        <w:ind w:firstLine="840" w:firstLineChars="3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（四）供应商基本情况表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（五）项目负责人基本情况表</w:t>
      </w:r>
    </w:p>
    <w:p>
      <w:pPr>
        <w:spacing w:line="520" w:lineRule="exact"/>
        <w:ind w:firstLine="840" w:firstLineChars="3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（六）拟投入本项目的人员情况一览表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（七）类似项目业绩表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（八）磋商保证金缴纳凭证</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（九）报价一览表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（十）不参与围标串标承诺书</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（十一）声明函</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（十二）供应商认为需要提供的其他材料</w:t>
      </w:r>
    </w:p>
    <w:p>
      <w:pPr>
        <w:outlineLvl w:val="0"/>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 xml:space="preserve"> </w:t>
      </w:r>
      <w:r>
        <w:rPr>
          <w:rFonts w:hint="eastAsia" w:cs="Times New Roman"/>
          <w:bCs/>
          <w:color w:val="auto"/>
          <w:sz w:val="28"/>
          <w:szCs w:val="28"/>
          <w:lang w:val="en-US" w:eastAsia="zh-CN"/>
        </w:rPr>
        <w:t xml:space="preserve">     </w:t>
      </w:r>
      <w:r>
        <w:rPr>
          <w:rFonts w:hint="eastAsia" w:ascii="Times New Roman" w:hAnsi="Times New Roman" w:eastAsia="宋体" w:cs="Times New Roman"/>
          <w:bCs/>
          <w:color w:val="auto"/>
          <w:sz w:val="28"/>
          <w:szCs w:val="28"/>
          <w:lang w:eastAsia="zh-CN"/>
        </w:rPr>
        <w:t>（十三）最后报价表</w:t>
      </w:r>
      <w:r>
        <w:rPr>
          <w:rFonts w:hint="default" w:ascii="Times New Roman" w:hAnsi="Times New Roman" w:eastAsia="宋体" w:cs="Times New Roman"/>
          <w:bCs/>
          <w:color w:val="auto"/>
          <w:sz w:val="28"/>
          <w:szCs w:val="28"/>
        </w:rPr>
        <w:br w:type="page"/>
      </w:r>
      <w:bookmarkStart w:id="119" w:name="_Toc25942"/>
      <w:bookmarkStart w:id="120" w:name="_Toc23898"/>
      <w:bookmarkStart w:id="121" w:name="_Toc485735268"/>
      <w:r>
        <w:rPr>
          <w:rFonts w:hint="default" w:ascii="Times New Roman" w:hAnsi="Times New Roman" w:cs="Times New Roman"/>
          <w:b/>
          <w:bCs/>
          <w:color w:val="auto"/>
          <w:kern w:val="28"/>
          <w:sz w:val="28"/>
          <w:szCs w:val="28"/>
        </w:rPr>
        <w:t>附表一：磋商函</w:t>
      </w:r>
      <w:bookmarkEnd w:id="119"/>
      <w:bookmarkEnd w:id="120"/>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磋商函</w:t>
      </w:r>
      <w:bookmarkEnd w:id="121"/>
    </w:p>
    <w:p>
      <w:pPr>
        <w:keepNext w:val="0"/>
        <w:keepLines w:val="0"/>
        <w:pageBreakBefore w:val="0"/>
        <w:widowControl/>
        <w:kinsoku/>
        <w:wordWrap/>
        <w:topLinePunct w:val="0"/>
        <w:autoSpaceDE w:val="0"/>
        <w:autoSpaceDN w:val="0"/>
        <w:bidi w:val="0"/>
        <w:adjustRightInd w:val="0"/>
        <w:snapToGrid/>
        <w:spacing w:line="440" w:lineRule="exact"/>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z w:val="28"/>
          <w:szCs w:val="28"/>
        </w:rPr>
        <w:t>致</w:t>
      </w:r>
      <w:r>
        <w:rPr>
          <w:rFonts w:hint="default" w:ascii="Times New Roman" w:hAnsi="Times New Roman" w:cs="Times New Roman"/>
          <w:color w:val="auto"/>
          <w:sz w:val="28"/>
          <w:szCs w:val="28"/>
          <w:u w:val="single"/>
        </w:rPr>
        <w:t>（采购人）</w:t>
      </w:r>
      <w:r>
        <w:rPr>
          <w:rFonts w:hint="default" w:ascii="Times New Roman" w:hAnsi="Times New Roman" w:cs="Times New Roman"/>
          <w:color w:val="auto"/>
          <w:spacing w:val="6"/>
          <w:kern w:val="0"/>
          <w:sz w:val="28"/>
          <w:szCs w:val="28"/>
          <w:u w:val="single"/>
        </w:rPr>
        <w:t>：</w:t>
      </w:r>
    </w:p>
    <w:p>
      <w:pPr>
        <w:keepNext w:val="0"/>
        <w:keepLines w:val="0"/>
        <w:pageBreakBefore w:val="0"/>
        <w:widowControl/>
        <w:kinsoku/>
        <w:wordWrap/>
        <w:topLinePunct w:val="0"/>
        <w:bidi w:val="0"/>
        <w:snapToGrid/>
        <w:spacing w:line="440" w:lineRule="exact"/>
        <w:ind w:firstLine="584" w:firstLineChars="200"/>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1</w:t>
      </w:r>
      <w:r>
        <w:rPr>
          <w:rFonts w:hint="default" w:ascii="Times New Roman" w:hAnsi="Times New Roman" w:cs="Times New Roman"/>
          <w:color w:val="auto"/>
          <w:spacing w:val="6"/>
          <w:sz w:val="28"/>
          <w:szCs w:val="28"/>
          <w:lang w:eastAsia="zh-CN"/>
        </w:rPr>
        <w:t>.</w:t>
      </w:r>
      <w:r>
        <w:rPr>
          <w:rFonts w:hint="default" w:ascii="Times New Roman" w:hAnsi="Times New Roman" w:cs="Times New Roman"/>
          <w:color w:val="auto"/>
          <w:spacing w:val="6"/>
          <w:sz w:val="28"/>
          <w:szCs w:val="28"/>
        </w:rPr>
        <w:t>我方己仔细研究了</w:t>
      </w:r>
      <w:r>
        <w:rPr>
          <w:rFonts w:hint="eastAsia" w:cs="Times New Roman"/>
          <w:color w:val="auto"/>
          <w:spacing w:val="6"/>
          <w:sz w:val="28"/>
          <w:szCs w:val="28"/>
          <w:u w:val="single"/>
          <w:lang w:val="en-US" w:eastAsia="zh-CN"/>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u w:val="single"/>
        </w:rPr>
        <w:t>项目编号：****</w:t>
      </w:r>
      <w:r>
        <w:rPr>
          <w:rFonts w:hint="default" w:ascii="Times New Roman" w:hAnsi="Times New Roman" w:cs="Times New Roman"/>
          <w:color w:val="auto"/>
          <w:sz w:val="28"/>
          <w:szCs w:val="28"/>
        </w:rPr>
        <w:t>）</w:t>
      </w:r>
      <w:r>
        <w:rPr>
          <w:rFonts w:hint="default" w:ascii="Times New Roman" w:hAnsi="Times New Roman" w:cs="Times New Roman"/>
          <w:color w:val="auto"/>
          <w:spacing w:val="6"/>
          <w:sz w:val="28"/>
          <w:szCs w:val="28"/>
        </w:rPr>
        <w:t>竞争性磋商文件的全部内容</w:t>
      </w:r>
      <w:r>
        <w:rPr>
          <w:rFonts w:hint="default" w:ascii="Times New Roman" w:hAnsi="Times New Roman" w:cs="Times New Roman"/>
          <w:bCs/>
          <w:color w:val="auto"/>
          <w:sz w:val="28"/>
          <w:szCs w:val="28"/>
        </w:rPr>
        <w:t>，决定参加投标。</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2</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我方愿意按照磋商文件的规定和要求提供服务，报价详见《</w:t>
      </w:r>
      <w:r>
        <w:rPr>
          <w:rFonts w:hint="eastAsia" w:ascii="Times New Roman" w:hAnsi="Times New Roman" w:cs="Times New Roman"/>
          <w:bCs/>
          <w:kern w:val="2"/>
          <w:sz w:val="28"/>
          <w:szCs w:val="28"/>
          <w:lang w:eastAsia="zh-CN"/>
        </w:rPr>
        <w:t>报价</w:t>
      </w:r>
      <w:r>
        <w:rPr>
          <w:rFonts w:hint="default" w:ascii="Times New Roman" w:hAnsi="Times New Roman" w:cs="Times New Roman"/>
          <w:bCs/>
          <w:kern w:val="2"/>
          <w:sz w:val="28"/>
          <w:szCs w:val="28"/>
        </w:rPr>
        <w:t>一览表》。</w:t>
      </w:r>
    </w:p>
    <w:p>
      <w:pPr>
        <w:pStyle w:val="27"/>
        <w:keepNext w:val="0"/>
        <w:keepLines w:val="0"/>
        <w:pageBreakBefore w:val="0"/>
        <w:widowControl w:val="0"/>
        <w:kinsoku/>
        <w:wordWrap/>
        <w:overflowPunct/>
        <w:topLinePunct w:val="0"/>
        <w:autoSpaceDE/>
        <w:autoSpaceDN/>
        <w:bidi w:val="0"/>
        <w:adjustRightInd/>
        <w:snapToGrid/>
        <w:spacing w:line="360" w:lineRule="exact"/>
        <w:ind w:left="0" w:leftChars="0" w:right="-119" w:firstLine="560" w:firstLineChars="200"/>
        <w:textAlignment w:val="auto"/>
        <w:rPr>
          <w:rFonts w:hint="default" w:ascii="宋体" w:hAnsi="宋体" w:eastAsia="宋体" w:cs="Times New Roman"/>
          <w:kern w:val="2"/>
          <w:sz w:val="28"/>
          <w:szCs w:val="28"/>
          <w:lang w:val="en-US" w:eastAsia="zh-CN" w:bidi="ar-SA"/>
        </w:rPr>
      </w:pPr>
      <w:r>
        <w:rPr>
          <w:rFonts w:hint="eastAsia" w:ascii="Times New Roman" w:hAnsi="Times New Roman" w:cs="Times New Roman"/>
          <w:bCs/>
          <w:kern w:val="2"/>
          <w:sz w:val="28"/>
          <w:szCs w:val="28"/>
          <w:lang w:val="en-US" w:eastAsia="zh-CN"/>
        </w:rPr>
        <w:t>3.合同签订后</w:t>
      </w:r>
      <w:r>
        <w:rPr>
          <w:rFonts w:hint="eastAsia" w:cs="Times New Roman"/>
          <w:bCs/>
          <w:kern w:val="2"/>
          <w:sz w:val="28"/>
          <w:szCs w:val="28"/>
          <w:lang w:val="en-US" w:eastAsia="zh-CN"/>
        </w:rPr>
        <w:t xml:space="preserve">  </w:t>
      </w:r>
      <w:r>
        <w:rPr>
          <w:rFonts w:hint="eastAsia" w:ascii="Times New Roman" w:hAnsi="Times New Roman" w:cs="Times New Roman"/>
          <w:bCs/>
          <w:kern w:val="2"/>
          <w:sz w:val="28"/>
          <w:szCs w:val="28"/>
          <w:lang w:val="en-US" w:eastAsia="zh-CN"/>
        </w:rPr>
        <w:t>日历日内所购</w:t>
      </w:r>
      <w:r>
        <w:rPr>
          <w:rFonts w:hint="eastAsia" w:cs="Times New Roman"/>
          <w:bCs/>
          <w:kern w:val="2"/>
          <w:sz w:val="28"/>
          <w:szCs w:val="28"/>
          <w:lang w:val="en-US" w:eastAsia="zh-CN"/>
        </w:rPr>
        <w:t>货物</w:t>
      </w:r>
      <w:r>
        <w:rPr>
          <w:rFonts w:hint="eastAsia" w:ascii="Times New Roman" w:hAnsi="Times New Roman" w:cs="Times New Roman"/>
          <w:bCs/>
          <w:kern w:val="2"/>
          <w:sz w:val="28"/>
          <w:szCs w:val="28"/>
          <w:lang w:val="en-US" w:eastAsia="zh-CN"/>
        </w:rPr>
        <w:t>运至甲方指定位置并安装验收合格</w:t>
      </w:r>
      <w:r>
        <w:rPr>
          <w:rFonts w:hint="eastAsia" w:ascii="宋体" w:hAnsi="宋体" w:eastAsia="宋体" w:cs="Times New Roman"/>
          <w:kern w:val="2"/>
          <w:sz w:val="28"/>
          <w:szCs w:val="28"/>
          <w:lang w:val="en-US" w:eastAsia="zh-CN" w:bidi="ar-SA"/>
        </w:rPr>
        <w:t>。</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4</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我方同意</w:t>
      </w:r>
      <w:r>
        <w:rPr>
          <w:rFonts w:hint="eastAsia" w:ascii="Times New Roman" w:hAnsi="Times New Roman" w:cs="Times New Roman"/>
          <w:bCs/>
          <w:kern w:val="2"/>
          <w:sz w:val="28"/>
          <w:szCs w:val="28"/>
          <w:lang w:val="en-US" w:eastAsia="zh-CN"/>
        </w:rPr>
        <w:t>60</w:t>
      </w:r>
      <w:r>
        <w:rPr>
          <w:rFonts w:hint="default" w:ascii="Times New Roman" w:hAnsi="Times New Roman" w:cs="Times New Roman"/>
          <w:bCs/>
          <w:kern w:val="2"/>
          <w:sz w:val="28"/>
          <w:szCs w:val="28"/>
        </w:rPr>
        <w:t>日</w:t>
      </w:r>
      <w:r>
        <w:rPr>
          <w:rFonts w:hint="eastAsia" w:ascii="Times New Roman" w:hAnsi="Times New Roman" w:cs="Times New Roman"/>
          <w:bCs/>
          <w:kern w:val="2"/>
          <w:sz w:val="28"/>
          <w:szCs w:val="28"/>
          <w:lang w:val="en-US" w:eastAsia="zh-CN"/>
        </w:rPr>
        <w:t>内</w:t>
      </w:r>
      <w:r>
        <w:rPr>
          <w:rFonts w:hint="default" w:ascii="Times New Roman" w:hAnsi="Times New Roman" w:cs="Times New Roman"/>
          <w:bCs/>
          <w:kern w:val="2"/>
          <w:sz w:val="28"/>
          <w:szCs w:val="28"/>
        </w:rPr>
        <w:t>的磋商有效期，严格遵守响应文件的各项承诺。在此期限届满之前，本响应文件始终对我方具有约束力，并随时接受成交。我方承诺在磋商有效期内不修改、不撤销响应文件。</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5</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我方愿意遵守磋商文件的规定和要求，并提供磋商文件中要求的所有资料。</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6</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我方愿意按磋商文件规定，全额交纳磋商保证金。</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7</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如果我方成交：</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（1）我方承诺将按照磋商文件的规定全额交纳履约保证金；</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（2）我方承诺在成交通知书发出后，在规定期限内与招标人签订合同；</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（3）我方承诺在合同约定的期限内，按期、保质、保量完成服务任务。</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8</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所有有关本投标的函电，请按下列地址联系：</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单    位：                     邮政编码：</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地    址：                     联 系 人：</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电    话：                     传    真：</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开户名称：</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开户银行：</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开户帐号：</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法定代表人或授权代理人（签字或盖章）：</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投标日期：   年   月   日 </w:t>
      </w:r>
      <w:bookmarkStart w:id="122" w:name="_Toc485735269"/>
    </w:p>
    <w:p>
      <w:pPr>
        <w:pStyle w:val="49"/>
        <w:jc w:val="left"/>
        <w:outlineLvl w:val="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注：磋商函及报价一览表单独密封。</w:t>
      </w:r>
      <w:r>
        <w:rPr>
          <w:rFonts w:hint="default" w:ascii="Times New Roman" w:hAnsi="Times New Roman" w:cs="Times New Roman"/>
          <w:color w:val="auto"/>
          <w:sz w:val="28"/>
          <w:szCs w:val="28"/>
        </w:rPr>
        <w:br w:type="page"/>
      </w:r>
      <w:bookmarkEnd w:id="122"/>
      <w:bookmarkStart w:id="123" w:name="_Toc485735271"/>
      <w:bookmarkStart w:id="124" w:name="_Toc339282177"/>
      <w:bookmarkStart w:id="125" w:name="_Toc21402"/>
      <w:bookmarkStart w:id="126" w:name="_Toc4897"/>
      <w:bookmarkStart w:id="127" w:name="_Toc25597"/>
      <w:r>
        <w:rPr>
          <w:rFonts w:hint="default" w:ascii="Times New Roman" w:hAnsi="Times New Roman" w:cs="Times New Roman"/>
          <w:color w:val="auto"/>
          <w:sz w:val="28"/>
          <w:szCs w:val="28"/>
        </w:rPr>
        <w:t>附表二：法定代表人身份证明书</w:t>
      </w:r>
      <w:bookmarkEnd w:id="123"/>
      <w:bookmarkEnd w:id="124"/>
      <w:bookmarkEnd w:id="125"/>
      <w:bookmarkEnd w:id="126"/>
      <w:bookmarkEnd w:id="127"/>
    </w:p>
    <w:p>
      <w:pPr>
        <w:pStyle w:val="36"/>
        <w:spacing w:line="5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法定代表人身份证明书</w:t>
      </w:r>
    </w:p>
    <w:p>
      <w:pPr>
        <w:pStyle w:val="36"/>
        <w:spacing w:line="520" w:lineRule="exact"/>
        <w:jc w:val="center"/>
        <w:rPr>
          <w:rFonts w:hint="default" w:ascii="Times New Roman" w:hAnsi="Times New Roman" w:cs="Times New Roman"/>
          <w:bCs/>
          <w:kern w:val="2"/>
          <w:sz w:val="28"/>
          <w:szCs w:val="28"/>
        </w:rPr>
      </w:pP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单位名称：</w:t>
      </w:r>
      <w:r>
        <w:rPr>
          <w:rFonts w:hint="default" w:ascii="Times New Roman" w:hAnsi="Times New Roman" w:cs="Times New Roman"/>
          <w:bCs/>
          <w:kern w:val="2"/>
          <w:sz w:val="28"/>
          <w:szCs w:val="28"/>
          <w:u w:val="single"/>
        </w:rPr>
        <w:t xml:space="preserve">                                         </w:t>
      </w: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联系地址：</w:t>
      </w:r>
      <w:r>
        <w:rPr>
          <w:rFonts w:hint="default" w:ascii="Times New Roman" w:hAnsi="Times New Roman" w:cs="Times New Roman"/>
          <w:bCs/>
          <w:kern w:val="2"/>
          <w:sz w:val="28"/>
          <w:szCs w:val="28"/>
          <w:u w:val="single"/>
        </w:rPr>
        <w:t xml:space="preserve">                                           </w:t>
      </w: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姓    名：</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性别：</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年龄：</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职务：</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w:t>
      </w:r>
    </w:p>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系</w:t>
      </w:r>
      <w:r>
        <w:rPr>
          <w:rFonts w:hint="default" w:ascii="Times New Roman" w:hAnsi="Times New Roman" w:cs="Times New Roman"/>
          <w:bCs/>
          <w:kern w:val="2"/>
          <w:sz w:val="28"/>
          <w:szCs w:val="28"/>
          <w:u w:val="single"/>
        </w:rPr>
        <w:t xml:space="preserve">      &lt;供应商名称&gt;                 </w:t>
      </w:r>
      <w:r>
        <w:rPr>
          <w:rFonts w:hint="default" w:ascii="Times New Roman" w:hAnsi="Times New Roman" w:cs="Times New Roman"/>
          <w:bCs/>
          <w:kern w:val="2"/>
          <w:sz w:val="28"/>
          <w:szCs w:val="28"/>
        </w:rPr>
        <w:t xml:space="preserve">     的法定代表人。</w:t>
      </w:r>
    </w:p>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特此证明。</w:t>
      </w:r>
    </w:p>
    <w:p>
      <w:pPr>
        <w:pStyle w:val="36"/>
        <w:spacing w:line="580" w:lineRule="exact"/>
        <w:ind w:firstLine="560" w:firstLineChars="200"/>
        <w:rPr>
          <w:rFonts w:hint="default" w:ascii="Times New Roman" w:hAnsi="Times New Roman" w:cs="Times New Roman"/>
          <w:bCs/>
          <w:kern w:val="2"/>
          <w:sz w:val="28"/>
          <w:szCs w:val="28"/>
        </w:rPr>
      </w:pPr>
    </w:p>
    <w:tbl>
      <w:tblPr>
        <w:tblStyle w:val="65"/>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7973" w:type="dxa"/>
            <w:vAlign w:val="center"/>
          </w:tcPr>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（此处附贴法定代表人身份证复印件正、反面）</w:t>
            </w:r>
          </w:p>
          <w:p>
            <w:pPr>
              <w:spacing w:before="100" w:beforeAutospacing="1" w:after="100" w:afterAutospacing="1" w:line="440" w:lineRule="exact"/>
              <w:jc w:val="center"/>
              <w:rPr>
                <w:rFonts w:hint="default" w:ascii="Times New Roman" w:hAnsi="Times New Roman" w:cs="Times New Roman"/>
                <w:bCs/>
                <w:color w:val="auto"/>
                <w:sz w:val="28"/>
                <w:szCs w:val="28"/>
              </w:rPr>
            </w:pPr>
          </w:p>
        </w:tc>
      </w:tr>
    </w:tbl>
    <w:p>
      <w:pPr>
        <w:pStyle w:val="36"/>
        <w:spacing w:line="580" w:lineRule="exact"/>
        <w:ind w:firstLine="560" w:firstLineChars="200"/>
        <w:rPr>
          <w:rFonts w:hint="default" w:ascii="Times New Roman" w:hAnsi="Times New Roman" w:cs="Times New Roman"/>
          <w:bCs/>
          <w:kern w:val="2"/>
          <w:sz w:val="28"/>
          <w:szCs w:val="28"/>
        </w:rPr>
      </w:pPr>
    </w:p>
    <w:p>
      <w:pPr>
        <w:pStyle w:val="36"/>
        <w:spacing w:line="58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spacing w:line="52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年   月   日</w:t>
      </w:r>
    </w:p>
    <w:p>
      <w:pPr>
        <w:pStyle w:val="36"/>
        <w:spacing w:line="520" w:lineRule="exact"/>
        <w:ind w:firstLine="560" w:firstLineChars="200"/>
        <w:rPr>
          <w:rFonts w:hint="default" w:ascii="Times New Roman" w:hAnsi="Times New Roman" w:cs="Times New Roman"/>
          <w:bCs/>
          <w:kern w:val="2"/>
          <w:sz w:val="28"/>
          <w:szCs w:val="28"/>
        </w:rPr>
      </w:pPr>
    </w:p>
    <w:p>
      <w:pPr>
        <w:pStyle w:val="49"/>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bookmarkStart w:id="128" w:name="_Toc18677"/>
      <w:bookmarkStart w:id="129" w:name="_Toc485735272"/>
      <w:bookmarkStart w:id="130" w:name="_Toc12258"/>
      <w:bookmarkStart w:id="131" w:name="_Toc15911"/>
      <w:r>
        <w:rPr>
          <w:rFonts w:hint="default" w:ascii="Times New Roman" w:hAnsi="Times New Roman" w:cs="Times New Roman"/>
          <w:color w:val="auto"/>
          <w:sz w:val="28"/>
          <w:szCs w:val="28"/>
        </w:rPr>
        <w:t>附表三：法定代表人授权委托书</w:t>
      </w:r>
      <w:bookmarkEnd w:id="128"/>
      <w:bookmarkEnd w:id="129"/>
      <w:bookmarkEnd w:id="130"/>
      <w:bookmarkEnd w:id="131"/>
    </w:p>
    <w:p>
      <w:pPr>
        <w:pStyle w:val="36"/>
        <w:spacing w:line="5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法定代表人授权委托书</w:t>
      </w:r>
    </w:p>
    <w:p>
      <w:pPr>
        <w:pStyle w:val="36"/>
        <w:spacing w:line="520" w:lineRule="exact"/>
        <w:jc w:val="center"/>
        <w:rPr>
          <w:rFonts w:hint="default" w:ascii="Times New Roman" w:hAnsi="Times New Roman" w:cs="Times New Roman"/>
          <w:b/>
          <w:sz w:val="28"/>
          <w:szCs w:val="28"/>
        </w:rPr>
      </w:pP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本授权书声明：</w:t>
      </w:r>
      <w:r>
        <w:rPr>
          <w:rFonts w:hint="default" w:ascii="Times New Roman" w:hAnsi="Times New Roman" w:cs="Times New Roman"/>
          <w:bCs/>
          <w:kern w:val="2"/>
          <w:sz w:val="28"/>
          <w:szCs w:val="28"/>
          <w:u w:val="single"/>
        </w:rPr>
        <w:t xml:space="preserve">注册于   (国家或地区的名称)  </w:t>
      </w:r>
      <w:r>
        <w:rPr>
          <w:rFonts w:hint="default" w:ascii="Times New Roman" w:hAnsi="Times New Roman" w:cs="Times New Roman"/>
          <w:bCs/>
          <w:kern w:val="2"/>
          <w:sz w:val="28"/>
          <w:szCs w:val="28"/>
        </w:rPr>
        <w:t>的</w:t>
      </w:r>
      <w:r>
        <w:rPr>
          <w:rFonts w:hint="default" w:ascii="Times New Roman" w:hAnsi="Times New Roman" w:cs="Times New Roman"/>
          <w:bCs/>
          <w:kern w:val="2"/>
          <w:sz w:val="28"/>
          <w:szCs w:val="28"/>
          <w:u w:val="single"/>
        </w:rPr>
        <w:t xml:space="preserve">  (公司名称)  </w:t>
      </w:r>
      <w:r>
        <w:rPr>
          <w:rFonts w:hint="default" w:ascii="Times New Roman" w:hAnsi="Times New Roman" w:cs="Times New Roman"/>
          <w:bCs/>
          <w:kern w:val="2"/>
          <w:sz w:val="28"/>
          <w:szCs w:val="28"/>
        </w:rPr>
        <w:t>的</w:t>
      </w:r>
      <w:r>
        <w:rPr>
          <w:rFonts w:hint="default" w:ascii="Times New Roman" w:hAnsi="Times New Roman" w:cs="Times New Roman"/>
          <w:bCs/>
          <w:kern w:val="2"/>
          <w:sz w:val="28"/>
          <w:szCs w:val="28"/>
          <w:u w:val="single"/>
        </w:rPr>
        <w:t xml:space="preserve"> (法人代表姓名、职务)  </w:t>
      </w:r>
      <w:r>
        <w:rPr>
          <w:rFonts w:hint="default" w:ascii="Times New Roman" w:hAnsi="Times New Roman" w:cs="Times New Roman"/>
          <w:bCs/>
          <w:kern w:val="2"/>
          <w:sz w:val="28"/>
          <w:szCs w:val="28"/>
        </w:rPr>
        <w:t>，代表本公司授权</w:t>
      </w:r>
      <w:r>
        <w:rPr>
          <w:rFonts w:hint="default" w:ascii="Times New Roman" w:hAnsi="Times New Roman" w:cs="Times New Roman"/>
          <w:bCs/>
          <w:kern w:val="2"/>
          <w:sz w:val="28"/>
          <w:szCs w:val="28"/>
          <w:u w:val="single"/>
        </w:rPr>
        <w:t xml:space="preserve">  (被授权单位名称) </w:t>
      </w:r>
      <w:r>
        <w:rPr>
          <w:rFonts w:hint="default" w:ascii="Times New Roman" w:hAnsi="Times New Roman" w:cs="Times New Roman"/>
          <w:bCs/>
          <w:kern w:val="2"/>
          <w:sz w:val="28"/>
          <w:szCs w:val="28"/>
        </w:rPr>
        <w:t xml:space="preserve"> 的</w:t>
      </w:r>
      <w:r>
        <w:rPr>
          <w:rFonts w:hint="default" w:ascii="Times New Roman" w:hAnsi="Times New Roman" w:cs="Times New Roman"/>
          <w:bCs/>
          <w:kern w:val="2"/>
          <w:sz w:val="28"/>
          <w:szCs w:val="28"/>
          <w:u w:val="single"/>
        </w:rPr>
        <w:t xml:space="preserve">        (授权代理人的姓名、职务)</w:t>
      </w:r>
      <w:r>
        <w:rPr>
          <w:rFonts w:hint="default" w:ascii="Times New Roman" w:hAnsi="Times New Roman" w:cs="Times New Roman"/>
          <w:bCs/>
          <w:kern w:val="2"/>
          <w:sz w:val="28"/>
          <w:szCs w:val="28"/>
        </w:rPr>
        <w:t>为本公司的合法代理人，参加编号为</w:t>
      </w:r>
      <w:r>
        <w:rPr>
          <w:rFonts w:hint="default" w:ascii="Times New Roman" w:hAnsi="Times New Roman" w:cs="Times New Roman"/>
          <w:bCs/>
          <w:kern w:val="2"/>
          <w:sz w:val="28"/>
          <w:szCs w:val="28"/>
          <w:u w:val="single"/>
        </w:rPr>
        <w:t xml:space="preserve">  项目编号 </w:t>
      </w:r>
      <w:r>
        <w:rPr>
          <w:rFonts w:hint="default" w:ascii="Times New Roman" w:hAnsi="Times New Roman" w:cs="Times New Roman"/>
          <w:bCs/>
          <w:kern w:val="2"/>
          <w:sz w:val="28"/>
          <w:szCs w:val="28"/>
        </w:rPr>
        <w:t xml:space="preserve"> 的竞争性磋商活动，以本公司名义处理一切与之有关的事宜。</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如果本公司在此次竞争性磋商活动中成交，授权代理人有权代表本公司签署咨询服务合同。</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本授权书于</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年</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月</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日法定代表人签字或盖章并由授权代理人签字、单位盖章生效，特此声明。</w:t>
      </w:r>
    </w:p>
    <w:p>
      <w:pPr>
        <w:pStyle w:val="36"/>
        <w:spacing w:line="480" w:lineRule="exact"/>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授权代理人无转委托权。</w:t>
      </w:r>
    </w:p>
    <w:p>
      <w:pPr>
        <w:pStyle w:val="36"/>
        <w:spacing w:line="480" w:lineRule="exact"/>
        <w:ind w:firstLine="1111"/>
        <w:rPr>
          <w:rFonts w:hint="default" w:ascii="Times New Roman" w:hAnsi="Times New Roman" w:cs="Times New Roman"/>
          <w:bCs/>
          <w:kern w:val="2"/>
          <w:sz w:val="28"/>
          <w:szCs w:val="28"/>
        </w:rPr>
      </w:pP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法定代表人（签字或盖章）：                      </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授权代理人（签字）：                              </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spacing w:line="480" w:lineRule="exact"/>
        <w:ind w:firstLine="560" w:firstLineChars="200"/>
        <w:jc w:val="center"/>
        <w:rPr>
          <w:rFonts w:hint="default" w:ascii="Times New Roman" w:hAnsi="Times New Roman" w:cs="Times New Roman"/>
          <w:sz w:val="28"/>
          <w:szCs w:val="28"/>
          <w:lang w:val="en-US"/>
        </w:rPr>
      </w:pPr>
      <w:r>
        <w:rPr>
          <w:rFonts w:hint="default" w:ascii="Times New Roman" w:hAnsi="Times New Roman" w:cs="Times New Roman"/>
          <w:bCs/>
          <w:kern w:val="2"/>
          <w:sz w:val="28"/>
          <w:szCs w:val="28"/>
        </w:rPr>
        <w:t xml:space="preserve">             </w:t>
      </w:r>
      <w:r>
        <w:rPr>
          <w:rFonts w:hint="default" w:ascii="Times New Roman" w:hAnsi="Times New Roman" w:cs="Times New Roman"/>
          <w:sz w:val="28"/>
          <w:szCs w:val="28"/>
        </w:rPr>
        <w:t>日期：    年   月</w:t>
      </w:r>
      <w:r>
        <w:rPr>
          <w:rFonts w:hint="default" w:ascii="Times New Roman" w:hAnsi="Times New Roman" w:cs="Times New Roman"/>
          <w:sz w:val="28"/>
          <w:szCs w:val="28"/>
          <w:lang w:val="en-US"/>
        </w:rPr>
        <w:t xml:space="preserve">   日</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w:t>
      </w:r>
    </w:p>
    <w:p>
      <w:pPr>
        <w:pStyle w:val="36"/>
        <w:spacing w:line="480" w:lineRule="exact"/>
        <w:rPr>
          <w:rFonts w:hint="default" w:ascii="Times New Roman" w:hAnsi="Times New Roman" w:cs="Times New Roman"/>
          <w:bCs/>
          <w:kern w:val="2"/>
          <w:sz w:val="28"/>
          <w:szCs w:val="28"/>
        </w:rPr>
      </w:pPr>
    </w:p>
    <w:tbl>
      <w:tblPr>
        <w:tblStyle w:val="65"/>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6912" w:type="dxa"/>
            <w:vAlign w:val="center"/>
          </w:tcPr>
          <w:p>
            <w:pPr>
              <w:pStyle w:val="61"/>
              <w:spacing w:line="440" w:lineRule="exact"/>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（授权代理人身份证复印件正、反面）</w:t>
            </w:r>
          </w:p>
        </w:tc>
      </w:tr>
    </w:tbl>
    <w:p>
      <w:pPr>
        <w:pStyle w:val="36"/>
        <w:spacing w:line="520" w:lineRule="exact"/>
        <w:jc w:val="center"/>
        <w:rPr>
          <w:rFonts w:hint="default" w:ascii="Times New Roman" w:hAnsi="Times New Roman" w:cs="Times New Roman"/>
          <w:bCs/>
          <w:kern w:val="2"/>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pStyle w:val="36"/>
        <w:spacing w:line="520" w:lineRule="exact"/>
        <w:jc w:val="center"/>
        <w:rPr>
          <w:rFonts w:hint="default" w:ascii="Times New Roman" w:hAnsi="Times New Roman" w:cs="Times New Roman"/>
          <w:color w:val="auto"/>
          <w:sz w:val="28"/>
          <w:szCs w:val="28"/>
        </w:rPr>
      </w:pPr>
      <w:bookmarkStart w:id="132" w:name="_Toc32448"/>
      <w:bookmarkStart w:id="133" w:name="_Toc26089"/>
      <w:r>
        <w:rPr>
          <w:rFonts w:hint="default" w:ascii="Times New Roman" w:hAnsi="Times New Roman" w:cs="Times New Roman"/>
          <w:color w:val="auto"/>
          <w:sz w:val="28"/>
          <w:szCs w:val="28"/>
        </w:rPr>
        <w:br w:type="page"/>
      </w:r>
    </w:p>
    <w:p>
      <w:pPr>
        <w:pStyle w:val="49"/>
        <w:jc w:val="left"/>
        <w:outlineLvl w:val="0"/>
        <w:rPr>
          <w:rFonts w:hint="default" w:ascii="Times New Roman" w:hAnsi="Times New Roman" w:cs="Times New Roman"/>
          <w:color w:val="auto"/>
          <w:sz w:val="28"/>
          <w:szCs w:val="28"/>
        </w:rPr>
      </w:pPr>
      <w:bookmarkStart w:id="134" w:name="_Toc3489"/>
      <w:r>
        <w:rPr>
          <w:rFonts w:hint="default" w:ascii="Times New Roman" w:hAnsi="Times New Roman" w:cs="Times New Roman"/>
          <w:color w:val="auto"/>
          <w:sz w:val="28"/>
          <w:szCs w:val="28"/>
        </w:rPr>
        <w:t>附表四：供应商基本情况表</w:t>
      </w:r>
      <w:bookmarkEnd w:id="132"/>
      <w:bookmarkEnd w:id="133"/>
      <w:bookmarkEnd w:id="134"/>
      <w:r>
        <w:rPr>
          <w:rFonts w:hint="default" w:ascii="Times New Roman" w:hAnsi="Times New Roman" w:cs="Times New Roman"/>
          <w:color w:val="auto"/>
          <w:sz w:val="28"/>
          <w:szCs w:val="28"/>
        </w:rPr>
        <w:t xml:space="preserve">       </w:t>
      </w:r>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供应商基本情况表</w:t>
      </w:r>
    </w:p>
    <w:tbl>
      <w:tblPr>
        <w:tblStyle w:val="65"/>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83"/>
        <w:gridCol w:w="1906"/>
        <w:gridCol w:w="973"/>
        <w:gridCol w:w="16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供应商名称</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资信等级</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资质等级</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单位地址</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法定代表人</w:t>
            </w:r>
          </w:p>
        </w:tc>
        <w:tc>
          <w:tcPr>
            <w:tcW w:w="287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1603" w:type="dxa"/>
            <w:vAlign w:val="center"/>
          </w:tcPr>
          <w:p>
            <w:pPr>
              <w:pStyle w:val="36"/>
              <w:spacing w:line="520" w:lineRule="exact"/>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单位类型</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统一社会信用代码</w:t>
            </w:r>
          </w:p>
        </w:tc>
        <w:tc>
          <w:tcPr>
            <w:tcW w:w="287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1603" w:type="dxa"/>
            <w:vAlign w:val="center"/>
          </w:tcPr>
          <w:p>
            <w:pPr>
              <w:pStyle w:val="36"/>
              <w:spacing w:line="520" w:lineRule="exact"/>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成立时间</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经营范围</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p>
        </w:tc>
        <w:tc>
          <w:tcPr>
            <w:tcW w:w="2879" w:type="dxa"/>
            <w:gridSpan w:val="2"/>
            <w:vAlign w:val="center"/>
          </w:tcPr>
          <w:p>
            <w:pPr>
              <w:ind w:left="482"/>
              <w:jc w:val="center"/>
              <w:rPr>
                <w:rFonts w:hint="default" w:ascii="Times New Roman" w:hAnsi="Times New Roman" w:cs="Times New Roman"/>
                <w:color w:val="auto"/>
                <w:sz w:val="24"/>
                <w:szCs w:val="24"/>
              </w:rPr>
            </w:pPr>
          </w:p>
        </w:tc>
        <w:tc>
          <w:tcPr>
            <w:tcW w:w="1603"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传真号</w:t>
            </w:r>
          </w:p>
        </w:tc>
        <w:tc>
          <w:tcPr>
            <w:tcW w:w="2879" w:type="dxa"/>
            <w:gridSpan w:val="2"/>
            <w:vAlign w:val="center"/>
          </w:tcPr>
          <w:p>
            <w:pPr>
              <w:ind w:left="482"/>
              <w:jc w:val="center"/>
              <w:rPr>
                <w:rFonts w:hint="default" w:ascii="Times New Roman" w:hAnsi="Times New Roman" w:cs="Times New Roman"/>
                <w:color w:val="auto"/>
                <w:sz w:val="24"/>
                <w:szCs w:val="24"/>
              </w:rPr>
            </w:pPr>
          </w:p>
        </w:tc>
        <w:tc>
          <w:tcPr>
            <w:tcW w:w="1603"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电子邮箱</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8699" w:type="dxa"/>
            <w:gridSpan w:val="6"/>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4486" w:type="dxa"/>
            <w:gridSpan w:val="3"/>
            <w:vAlign w:val="center"/>
          </w:tcPr>
          <w:p>
            <w:pPr>
              <w:pStyle w:val="36"/>
              <w:spacing w:line="520" w:lineRule="exact"/>
              <w:ind w:firstLine="1080" w:firstLineChars="45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单位总人数</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97" w:type="dxa"/>
            <w:vMerge w:val="restart"/>
            <w:vAlign w:val="center"/>
          </w:tcPr>
          <w:p>
            <w:pPr>
              <w:pStyle w:val="36"/>
              <w:spacing w:line="520" w:lineRule="exact"/>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其中</w:t>
            </w:r>
          </w:p>
        </w:tc>
        <w:tc>
          <w:tcPr>
            <w:tcW w:w="3889" w:type="dxa"/>
            <w:gridSpan w:val="2"/>
            <w:vAlign w:val="center"/>
          </w:tcPr>
          <w:p>
            <w:pPr>
              <w:pStyle w:val="36"/>
              <w:spacing w:line="520" w:lineRule="exact"/>
              <w:ind w:firstLine="2880" w:firstLineChars="1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97" w:type="dxa"/>
            <w:vMerge w:val="continue"/>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3889" w:type="dxa"/>
            <w:gridSpan w:val="2"/>
            <w:vAlign w:val="center"/>
          </w:tcPr>
          <w:p>
            <w:pPr>
              <w:pStyle w:val="36"/>
              <w:spacing w:line="520" w:lineRule="exact"/>
              <w:ind w:firstLine="2880" w:firstLineChars="1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597" w:type="dxa"/>
            <w:vMerge w:val="continue"/>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3889" w:type="dxa"/>
            <w:gridSpan w:val="2"/>
            <w:vAlign w:val="center"/>
          </w:tcPr>
          <w:p>
            <w:pPr>
              <w:pStyle w:val="36"/>
              <w:spacing w:line="520" w:lineRule="exact"/>
              <w:ind w:firstLine="2880" w:firstLineChars="1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bl>
    <w:p>
      <w:pPr>
        <w:pStyle w:val="36"/>
        <w:spacing w:line="520" w:lineRule="exact"/>
        <w:ind w:firstLine="843" w:firstLineChars="350"/>
        <w:rPr>
          <w:rFonts w:hint="default" w:ascii="Times New Roman" w:hAnsi="Times New Roman" w:eastAsia="宋体" w:cs="Times New Roman"/>
          <w:bCs/>
          <w:kern w:val="2"/>
          <w:sz w:val="24"/>
          <w:szCs w:val="24"/>
          <w:lang w:val="en-US" w:eastAsia="zh-CN"/>
        </w:rPr>
      </w:pPr>
      <w:r>
        <w:rPr>
          <w:rFonts w:hint="default" w:ascii="Times New Roman" w:hAnsi="Times New Roman" w:cs="Times New Roman"/>
          <w:b/>
          <w:bCs/>
          <w:sz w:val="24"/>
          <w:szCs w:val="24"/>
        </w:rPr>
        <w:t>后附</w:t>
      </w:r>
      <w:r>
        <w:rPr>
          <w:rFonts w:hint="default" w:ascii="Times New Roman" w:hAnsi="Times New Roman" w:cs="Times New Roman"/>
          <w:bCs/>
          <w:sz w:val="24"/>
          <w:szCs w:val="24"/>
        </w:rPr>
        <w:t>：营业执照复印证件。</w:t>
      </w:r>
      <w:r>
        <w:rPr>
          <w:rFonts w:hint="eastAsia" w:ascii="Times New Roman" w:hAnsi="Times New Roman" w:cs="Times New Roman"/>
          <w:bCs/>
          <w:sz w:val="24"/>
          <w:szCs w:val="24"/>
          <w:lang w:val="en-US" w:eastAsia="zh-CN"/>
        </w:rPr>
        <w:t>人员职位自行填写。</w:t>
      </w:r>
    </w:p>
    <w:p>
      <w:pPr>
        <w:pStyle w:val="36"/>
        <w:spacing w:line="520" w:lineRule="exact"/>
        <w:ind w:firstLine="4480" w:firstLineChars="16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供应商(公章):</w:t>
      </w: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法定代表人或授权代理人（签字）:</w:t>
      </w:r>
    </w:p>
    <w:p>
      <w:pPr>
        <w:pStyle w:val="36"/>
        <w:spacing w:line="520" w:lineRule="exact"/>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日期：    年   月</w:t>
      </w:r>
      <w:r>
        <w:rPr>
          <w:rFonts w:hint="default" w:ascii="Times New Roman" w:hAnsi="Times New Roman" w:cs="Times New Roman"/>
          <w:sz w:val="28"/>
          <w:szCs w:val="28"/>
          <w:lang w:val="en-US"/>
        </w:rPr>
        <w:t xml:space="preserve">   日</w:t>
      </w:r>
      <w:bookmarkStart w:id="135" w:name="_Toc9360"/>
    </w:p>
    <w:p>
      <w:pPr>
        <w:pStyle w:val="49"/>
        <w:jc w:val="left"/>
        <w:outlineLvl w:val="0"/>
        <w:rPr>
          <w:rFonts w:hint="default" w:ascii="Times New Roman" w:hAnsi="Times New Roman" w:cs="Times New Roman"/>
          <w:color w:val="auto"/>
          <w:sz w:val="28"/>
          <w:szCs w:val="28"/>
        </w:rPr>
      </w:pPr>
      <w:bookmarkStart w:id="136" w:name="_Toc5030"/>
      <w:bookmarkStart w:id="137" w:name="_Toc19855"/>
    </w:p>
    <w:p>
      <w:pPr>
        <w:pStyle w:val="49"/>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附表五：项目负责人基本情况表</w:t>
      </w:r>
      <w:bookmarkEnd w:id="135"/>
      <w:bookmarkEnd w:id="136"/>
      <w:bookmarkEnd w:id="137"/>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项目负责人基本情况表</w:t>
      </w:r>
    </w:p>
    <w:tbl>
      <w:tblPr>
        <w:tblStyle w:val="65"/>
        <w:tblpPr w:leftFromText="180" w:rightFromText="180" w:vertAnchor="text" w:horzAnchor="page" w:tblpX="1086" w:tblpY="165"/>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869"/>
        <w:gridCol w:w="549"/>
        <w:gridCol w:w="584"/>
        <w:gridCol w:w="1257"/>
        <w:gridCol w:w="404"/>
        <w:gridCol w:w="637"/>
        <w:gridCol w:w="566"/>
        <w:gridCol w:w="327"/>
        <w:gridCol w:w="822"/>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姓名  </w:t>
            </w:r>
          </w:p>
        </w:tc>
        <w:tc>
          <w:tcPr>
            <w:tcW w:w="2002" w:type="dxa"/>
            <w:gridSpan w:val="3"/>
            <w:vAlign w:val="center"/>
          </w:tcPr>
          <w:p>
            <w:pPr>
              <w:ind w:right="140"/>
              <w:jc w:val="center"/>
              <w:rPr>
                <w:rFonts w:hint="default" w:ascii="Times New Roman" w:hAnsi="Times New Roman" w:cs="Times New Roman"/>
                <w:color w:val="auto"/>
                <w:sz w:val="24"/>
                <w:szCs w:val="24"/>
              </w:rPr>
            </w:pPr>
          </w:p>
        </w:tc>
        <w:tc>
          <w:tcPr>
            <w:tcW w:w="1257"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41" w:type="dxa"/>
            <w:gridSpan w:val="2"/>
            <w:vAlign w:val="center"/>
          </w:tcPr>
          <w:p>
            <w:pPr>
              <w:ind w:right="140"/>
              <w:jc w:val="center"/>
              <w:rPr>
                <w:rFonts w:hint="default" w:ascii="Times New Roman" w:hAnsi="Times New Roman" w:cs="Times New Roman"/>
                <w:color w:val="auto"/>
                <w:sz w:val="24"/>
                <w:szCs w:val="24"/>
              </w:rPr>
            </w:pPr>
          </w:p>
        </w:tc>
        <w:tc>
          <w:tcPr>
            <w:tcW w:w="1715" w:type="dxa"/>
            <w:gridSpan w:val="3"/>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出生日期</w:t>
            </w:r>
          </w:p>
        </w:tc>
        <w:tc>
          <w:tcPr>
            <w:tcW w:w="159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毕业院校及专业</w:t>
            </w:r>
          </w:p>
        </w:tc>
        <w:tc>
          <w:tcPr>
            <w:tcW w:w="1418" w:type="dxa"/>
            <w:gridSpan w:val="2"/>
          </w:tcPr>
          <w:p>
            <w:pPr>
              <w:ind w:right="140"/>
              <w:jc w:val="center"/>
              <w:rPr>
                <w:rFonts w:hint="default" w:ascii="Times New Roman" w:hAnsi="Times New Roman" w:cs="Times New Roman"/>
                <w:color w:val="auto"/>
                <w:sz w:val="24"/>
                <w:szCs w:val="24"/>
              </w:rPr>
            </w:pPr>
          </w:p>
        </w:tc>
        <w:tc>
          <w:tcPr>
            <w:tcW w:w="2882" w:type="dxa"/>
            <w:gridSpan w:val="4"/>
            <w:vAlign w:val="center"/>
          </w:tcPr>
          <w:p>
            <w:pPr>
              <w:ind w:right="140"/>
              <w:jc w:val="center"/>
              <w:rPr>
                <w:rFonts w:hint="default" w:ascii="Times New Roman" w:hAnsi="Times New Roman" w:cs="Times New Roman"/>
                <w:color w:val="auto"/>
                <w:sz w:val="24"/>
                <w:szCs w:val="24"/>
              </w:rPr>
            </w:pPr>
          </w:p>
        </w:tc>
        <w:tc>
          <w:tcPr>
            <w:tcW w:w="1715" w:type="dxa"/>
            <w:gridSpan w:val="3"/>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毕业时间</w:t>
            </w:r>
          </w:p>
        </w:tc>
        <w:tc>
          <w:tcPr>
            <w:tcW w:w="159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从事本专业时间</w:t>
            </w:r>
          </w:p>
        </w:tc>
        <w:tc>
          <w:tcPr>
            <w:tcW w:w="1418" w:type="dxa"/>
            <w:gridSpan w:val="2"/>
          </w:tcPr>
          <w:p>
            <w:pPr>
              <w:ind w:right="140"/>
              <w:jc w:val="center"/>
              <w:rPr>
                <w:rFonts w:hint="default" w:ascii="Times New Roman" w:hAnsi="Times New Roman" w:cs="Times New Roman"/>
                <w:color w:val="auto"/>
                <w:sz w:val="24"/>
                <w:szCs w:val="24"/>
              </w:rPr>
            </w:pPr>
          </w:p>
        </w:tc>
        <w:tc>
          <w:tcPr>
            <w:tcW w:w="6196" w:type="dxa"/>
            <w:gridSpan w:val="8"/>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执业注册</w:t>
            </w:r>
          </w:p>
        </w:tc>
        <w:tc>
          <w:tcPr>
            <w:tcW w:w="1418" w:type="dxa"/>
            <w:gridSpan w:val="2"/>
          </w:tcPr>
          <w:p>
            <w:pPr>
              <w:ind w:right="140"/>
              <w:jc w:val="center"/>
              <w:rPr>
                <w:rFonts w:hint="default" w:ascii="Times New Roman" w:hAnsi="Times New Roman" w:cs="Times New Roman"/>
                <w:color w:val="auto"/>
                <w:sz w:val="24"/>
                <w:szCs w:val="24"/>
              </w:rPr>
            </w:pPr>
          </w:p>
        </w:tc>
        <w:tc>
          <w:tcPr>
            <w:tcW w:w="3448" w:type="dxa"/>
            <w:gridSpan w:val="5"/>
            <w:vAlign w:val="center"/>
          </w:tcPr>
          <w:p>
            <w:pPr>
              <w:ind w:right="140"/>
              <w:jc w:val="center"/>
              <w:rPr>
                <w:rFonts w:hint="default" w:ascii="Times New Roman" w:hAnsi="Times New Roman" w:cs="Times New Roman"/>
                <w:color w:val="auto"/>
                <w:sz w:val="24"/>
                <w:szCs w:val="24"/>
              </w:rPr>
            </w:pPr>
          </w:p>
        </w:tc>
        <w:tc>
          <w:tcPr>
            <w:tcW w:w="1149" w:type="dxa"/>
            <w:gridSpan w:val="2"/>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职称</w:t>
            </w:r>
          </w:p>
        </w:tc>
        <w:tc>
          <w:tcPr>
            <w:tcW w:w="1599" w:type="dxa"/>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restart"/>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本人主要类似</w:t>
            </w:r>
          </w:p>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业绩</w:t>
            </w: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2794" w:type="dxa"/>
            <w:gridSpan w:val="4"/>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1530" w:type="dxa"/>
            <w:gridSpan w:val="3"/>
            <w:vAlign w:val="center"/>
          </w:tcPr>
          <w:p>
            <w:pPr>
              <w:ind w:right="140"/>
              <w:jc w:val="center"/>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 </w:t>
            </w:r>
            <w:r>
              <w:rPr>
                <w:rFonts w:hint="eastAsia" w:cs="Times New Roman"/>
                <w:color w:val="auto"/>
                <w:sz w:val="24"/>
                <w:szCs w:val="24"/>
                <w:lang w:val="en-US" w:eastAsia="zh-CN"/>
              </w:rPr>
              <w:t>采购内容</w:t>
            </w:r>
          </w:p>
        </w:tc>
        <w:tc>
          <w:tcPr>
            <w:tcW w:w="2421" w:type="dxa"/>
            <w:gridSpan w:val="2"/>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本人主要获奖</w:t>
            </w:r>
          </w:p>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情况</w:t>
            </w:r>
          </w:p>
        </w:tc>
        <w:tc>
          <w:tcPr>
            <w:tcW w:w="7614" w:type="dxa"/>
            <w:gridSpan w:val="10"/>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其他需要补充的情况</w:t>
            </w:r>
          </w:p>
        </w:tc>
        <w:tc>
          <w:tcPr>
            <w:tcW w:w="7614" w:type="dxa"/>
            <w:gridSpan w:val="10"/>
          </w:tcPr>
          <w:p>
            <w:pPr>
              <w:ind w:right="140"/>
              <w:jc w:val="center"/>
              <w:rPr>
                <w:rFonts w:hint="default" w:ascii="Times New Roman" w:hAnsi="Times New Roman" w:cs="Times New Roman"/>
                <w:color w:val="auto"/>
                <w:sz w:val="24"/>
                <w:szCs w:val="24"/>
              </w:rPr>
            </w:pPr>
          </w:p>
        </w:tc>
      </w:tr>
    </w:tbl>
    <w:p>
      <w:pPr>
        <w:pStyle w:val="36"/>
        <w:spacing w:line="520" w:lineRule="exact"/>
        <w:rPr>
          <w:rFonts w:hint="default" w:ascii="Times New Roman" w:hAnsi="Times New Roman" w:cs="Times New Roman"/>
          <w:bCs/>
          <w:sz w:val="28"/>
          <w:szCs w:val="28"/>
        </w:rPr>
      </w:pPr>
    </w:p>
    <w:p>
      <w:pPr>
        <w:pStyle w:val="36"/>
        <w:spacing w:line="520" w:lineRule="exact"/>
        <w:rPr>
          <w:rFonts w:hint="default" w:ascii="Times New Roman" w:hAnsi="Times New Roman" w:cs="Times New Roman"/>
          <w:bCs/>
          <w:sz w:val="24"/>
        </w:rPr>
      </w:pPr>
      <w:r>
        <w:rPr>
          <w:rFonts w:hint="default" w:ascii="Times New Roman" w:hAnsi="Times New Roman" w:cs="Times New Roman"/>
          <w:b/>
          <w:bCs/>
          <w:sz w:val="24"/>
          <w:szCs w:val="24"/>
        </w:rPr>
        <w:t>后附</w:t>
      </w:r>
      <w:r>
        <w:rPr>
          <w:rFonts w:hint="default" w:ascii="Times New Roman" w:hAnsi="Times New Roman" w:cs="Times New Roman"/>
          <w:bCs/>
          <w:sz w:val="24"/>
          <w:szCs w:val="24"/>
        </w:rPr>
        <w:t>：</w:t>
      </w:r>
      <w:r>
        <w:rPr>
          <w:rFonts w:hint="default" w:ascii="Times New Roman" w:hAnsi="Times New Roman" w:cs="Times New Roman"/>
          <w:bCs/>
          <w:sz w:val="24"/>
        </w:rPr>
        <w:t>项目负责人的</w:t>
      </w:r>
      <w:r>
        <w:rPr>
          <w:rFonts w:hint="eastAsia" w:ascii="Times New Roman" w:hAnsi="Times New Roman" w:cs="Times New Roman"/>
          <w:bCs/>
          <w:sz w:val="24"/>
          <w:lang w:val="en-US" w:eastAsia="zh-CN"/>
        </w:rPr>
        <w:t>相关</w:t>
      </w:r>
      <w:r>
        <w:rPr>
          <w:rFonts w:hint="default" w:ascii="Times New Roman" w:hAnsi="Times New Roman" w:cs="Times New Roman"/>
          <w:bCs/>
          <w:sz w:val="24"/>
        </w:rPr>
        <w:t>证书。</w:t>
      </w:r>
    </w:p>
    <w:p>
      <w:pPr>
        <w:pStyle w:val="36"/>
        <w:spacing w:line="520" w:lineRule="exact"/>
        <w:rPr>
          <w:rFonts w:hint="default" w:ascii="Times New Roman" w:hAnsi="Times New Roman" w:cs="Times New Roman"/>
          <w:bCs/>
          <w:sz w:val="24"/>
          <w:szCs w:val="24"/>
        </w:rPr>
      </w:pP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供应商(公章):</w:t>
      </w: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法定代表人或授权代理人（签字）:</w:t>
      </w:r>
    </w:p>
    <w:p>
      <w:pPr>
        <w:pStyle w:val="36"/>
        <w:spacing w:line="520" w:lineRule="exact"/>
        <w:ind w:firstLine="560" w:firstLineChars="200"/>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日期：    年   月</w:t>
      </w:r>
      <w:r>
        <w:rPr>
          <w:rFonts w:hint="default" w:ascii="Times New Roman" w:hAnsi="Times New Roman" w:cs="Times New Roman"/>
          <w:sz w:val="28"/>
          <w:szCs w:val="28"/>
          <w:lang w:val="en-US"/>
        </w:rPr>
        <w:t xml:space="preserve">   日</w:t>
      </w:r>
    </w:p>
    <w:p>
      <w:pPr>
        <w:pStyle w:val="49"/>
        <w:jc w:val="left"/>
        <w:outlineLvl w:val="9"/>
        <w:rPr>
          <w:rFonts w:hint="default" w:ascii="Times New Roman" w:hAnsi="Times New Roman" w:cs="Times New Roman"/>
          <w:color w:val="auto"/>
          <w:sz w:val="28"/>
          <w:szCs w:val="28"/>
        </w:rPr>
      </w:pPr>
      <w:bookmarkStart w:id="138" w:name="_Toc485735275"/>
      <w:bookmarkStart w:id="139" w:name="_Toc16410"/>
    </w:p>
    <w:p>
      <w:pPr>
        <w:rPr>
          <w:rFonts w:hint="default" w:ascii="Times New Roman" w:hAnsi="Times New Roman" w:cs="Times New Roman"/>
          <w:color w:val="auto"/>
          <w:sz w:val="28"/>
          <w:szCs w:val="28"/>
        </w:rPr>
      </w:pPr>
      <w:bookmarkStart w:id="140" w:name="_Toc1039"/>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41" w:name="_Toc12150"/>
      <w:r>
        <w:rPr>
          <w:rFonts w:hint="default" w:ascii="Times New Roman" w:hAnsi="Times New Roman" w:cs="Times New Roman"/>
          <w:color w:val="auto"/>
          <w:sz w:val="28"/>
          <w:szCs w:val="28"/>
        </w:rPr>
        <w:t>附表六：拟投入本项目的人员情况一览表</w:t>
      </w:r>
      <w:bookmarkEnd w:id="138"/>
      <w:bookmarkEnd w:id="139"/>
      <w:bookmarkEnd w:id="140"/>
      <w:bookmarkEnd w:id="141"/>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拟投入本项目的人员情况一览表</w:t>
      </w:r>
    </w:p>
    <w:tbl>
      <w:tblPr>
        <w:tblStyle w:val="65"/>
        <w:tblW w:w="9322" w:type="dxa"/>
        <w:jc w:val="center"/>
        <w:tblInd w:w="0" w:type="dxa"/>
        <w:tblLayout w:type="fixed"/>
        <w:tblCellMar>
          <w:top w:w="0" w:type="dxa"/>
          <w:left w:w="108" w:type="dxa"/>
          <w:bottom w:w="0" w:type="dxa"/>
          <w:right w:w="108" w:type="dxa"/>
        </w:tblCellMar>
      </w:tblPr>
      <w:tblGrid>
        <w:gridCol w:w="835"/>
        <w:gridCol w:w="1559"/>
        <w:gridCol w:w="992"/>
        <w:gridCol w:w="1560"/>
        <w:gridCol w:w="2835"/>
        <w:gridCol w:w="1541"/>
      </w:tblGrid>
      <w:tr>
        <w:tblPrEx>
          <w:tblLayout w:type="fixed"/>
          <w:tblCellMar>
            <w:top w:w="0" w:type="dxa"/>
            <w:left w:w="108" w:type="dxa"/>
            <w:bottom w:w="0" w:type="dxa"/>
            <w:right w:w="108" w:type="dxa"/>
          </w:tblCellMar>
        </w:tblPrEx>
        <w:trPr>
          <w:trHeight w:val="20" w:hRule="atLeast"/>
          <w:jc w:val="center"/>
        </w:trPr>
        <w:tc>
          <w:tcPr>
            <w:tcW w:w="835" w:type="dxa"/>
            <w:tcBorders>
              <w:top w:val="single" w:color="auto" w:sz="8" w:space="0"/>
              <w:left w:val="single" w:color="auto" w:sz="8" w:space="0"/>
              <w:bottom w:val="single" w:color="000000" w:sz="8" w:space="0"/>
              <w:right w:val="single" w:color="auto" w:sz="8" w:space="0"/>
            </w:tcBorders>
            <w:vAlign w:val="center"/>
          </w:tcPr>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序号</w:t>
            </w:r>
          </w:p>
        </w:tc>
        <w:tc>
          <w:tcPr>
            <w:tcW w:w="1559" w:type="dxa"/>
            <w:tcBorders>
              <w:top w:val="single" w:color="auto" w:sz="8" w:space="0"/>
              <w:left w:val="single" w:color="auto" w:sz="8" w:space="0"/>
              <w:bottom w:val="single" w:color="000000"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992" w:type="dxa"/>
            <w:tcBorders>
              <w:top w:val="single" w:color="auto" w:sz="8" w:space="0"/>
              <w:left w:val="single" w:color="auto" w:sz="8" w:space="0"/>
              <w:bottom w:val="single" w:color="000000"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560" w:type="dxa"/>
            <w:tcBorders>
              <w:top w:val="single" w:color="auto" w:sz="8" w:space="0"/>
              <w:left w:val="nil"/>
              <w:bottom w:val="single" w:color="auto" w:sz="4"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2835" w:type="dxa"/>
            <w:tcBorders>
              <w:top w:val="single" w:color="auto" w:sz="8" w:space="0"/>
              <w:left w:val="nil"/>
              <w:bottom w:val="single" w:color="auto" w:sz="8" w:space="0"/>
              <w:right w:val="single" w:color="auto" w:sz="8" w:space="0"/>
            </w:tcBorders>
            <w:vAlign w:val="center"/>
          </w:tcPr>
          <w:p>
            <w:pPr>
              <w:spacing w:line="360" w:lineRule="auto"/>
              <w:ind w:left="-122" w:leftChars="-58"/>
              <w:jc w:val="center"/>
              <w:rPr>
                <w:rFonts w:hint="eastAsia" w:ascii="Times New Roman" w:hAnsi="Times New Roman" w:eastAsia="宋体" w:cs="Times New Roman"/>
                <w:color w:val="auto"/>
                <w:sz w:val="24"/>
                <w:szCs w:val="24"/>
                <w:lang w:eastAsia="zh-CN"/>
              </w:rPr>
            </w:pPr>
            <w:r>
              <w:rPr>
                <w:rFonts w:hint="eastAsia" w:cs="Times New Roman"/>
                <w:color w:val="auto"/>
                <w:sz w:val="24"/>
                <w:szCs w:val="24"/>
                <w:lang w:val="en-US" w:eastAsia="zh-CN"/>
              </w:rPr>
              <w:t>相关证书</w:t>
            </w:r>
          </w:p>
        </w:tc>
        <w:tc>
          <w:tcPr>
            <w:tcW w:w="1541" w:type="dxa"/>
            <w:tcBorders>
              <w:top w:val="single" w:color="auto" w:sz="8" w:space="0"/>
              <w:left w:val="nil"/>
              <w:bottom w:val="single" w:color="auto" w:sz="4"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559"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1560" w:type="dxa"/>
            <w:tcBorders>
              <w:top w:val="single" w:color="auto" w:sz="4" w:space="0"/>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1541" w:type="dxa"/>
            <w:tcBorders>
              <w:top w:val="single" w:color="auto" w:sz="4" w:space="0"/>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bl>
    <w:p>
      <w:pPr>
        <w:pStyle w:val="36"/>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后附</w:t>
      </w:r>
      <w:r>
        <w:rPr>
          <w:rFonts w:hint="default" w:ascii="Times New Roman" w:hAnsi="Times New Roman" w:cs="Times New Roman"/>
          <w:sz w:val="24"/>
          <w:szCs w:val="24"/>
        </w:rPr>
        <w:t>：本项目</w:t>
      </w:r>
      <w:r>
        <w:rPr>
          <w:rFonts w:hint="eastAsia" w:ascii="Times New Roman" w:hAnsi="Times New Roman" w:cs="Times New Roman"/>
          <w:sz w:val="24"/>
          <w:szCs w:val="24"/>
          <w:lang w:val="en-US" w:eastAsia="zh-CN"/>
        </w:rPr>
        <w:t>服务人员相关</w:t>
      </w:r>
      <w:r>
        <w:rPr>
          <w:rFonts w:hint="default" w:ascii="Times New Roman" w:hAnsi="Times New Roman" w:cs="Times New Roman"/>
          <w:sz w:val="24"/>
          <w:szCs w:val="24"/>
        </w:rPr>
        <w:t>证书等复印件。</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供应商</w:t>
      </w:r>
      <w:r>
        <w:rPr>
          <w:rFonts w:hint="default" w:ascii="Times New Roman" w:hAnsi="Times New Roman" w:cs="Times New Roman"/>
          <w:color w:val="auto"/>
          <w:sz w:val="28"/>
          <w:szCs w:val="28"/>
        </w:rPr>
        <w:t xml:space="preserve">(盖章):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法定代表人或授权代理人签字: </w:t>
      </w:r>
    </w:p>
    <w:p>
      <w:pPr>
        <w:spacing w:line="360" w:lineRule="auto"/>
        <w:ind w:firstLine="4900" w:firstLineChars="17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    年   月   日</w:t>
      </w:r>
    </w:p>
    <w:p>
      <w:pPr>
        <w:pStyle w:val="49"/>
        <w:spacing w:line="360" w:lineRule="auto"/>
        <w:jc w:val="left"/>
        <w:outlineLvl w:val="9"/>
        <w:rPr>
          <w:rFonts w:hint="default" w:ascii="Times New Roman" w:hAnsi="Times New Roman" w:cs="Times New Roman"/>
          <w:color w:val="auto"/>
          <w:sz w:val="28"/>
          <w:szCs w:val="28"/>
        </w:rPr>
      </w:pPr>
      <w:bookmarkStart w:id="142" w:name="_Toc485735276"/>
      <w:bookmarkStart w:id="143" w:name="_Toc11261"/>
    </w:p>
    <w:p>
      <w:pPr>
        <w:rPr>
          <w:rFonts w:hint="default" w:ascii="Times New Roman" w:hAnsi="Times New Roman" w:cs="Times New Roman"/>
          <w:color w:val="auto"/>
          <w:sz w:val="28"/>
          <w:szCs w:val="28"/>
        </w:rPr>
      </w:pPr>
      <w:bookmarkStart w:id="144" w:name="_Toc28584"/>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45" w:name="_Toc23831"/>
      <w:r>
        <w:rPr>
          <w:rFonts w:hint="default" w:ascii="Times New Roman" w:hAnsi="Times New Roman" w:cs="Times New Roman"/>
          <w:color w:val="auto"/>
          <w:sz w:val="28"/>
          <w:szCs w:val="28"/>
        </w:rPr>
        <w:t>附表七： 类似项目业绩表</w:t>
      </w:r>
      <w:bookmarkEnd w:id="142"/>
      <w:bookmarkEnd w:id="143"/>
      <w:bookmarkEnd w:id="144"/>
      <w:bookmarkEnd w:id="145"/>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类似项目业绩表</w:t>
      </w:r>
    </w:p>
    <w:tbl>
      <w:tblPr>
        <w:tblStyle w:val="65"/>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504"/>
        <w:gridCol w:w="1418"/>
        <w:gridCol w:w="212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800"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150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项目内容</w:t>
            </w:r>
          </w:p>
        </w:tc>
        <w:tc>
          <w:tcPr>
            <w:tcW w:w="1418"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合同总价</w:t>
            </w:r>
          </w:p>
        </w:tc>
        <w:tc>
          <w:tcPr>
            <w:tcW w:w="2126"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合同签订时间</w:t>
            </w:r>
          </w:p>
        </w:tc>
        <w:tc>
          <w:tcPr>
            <w:tcW w:w="1288"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bl>
    <w:p>
      <w:pPr>
        <w:spacing w:line="360" w:lineRule="auto"/>
        <w:ind w:firstLine="331" w:firstLineChars="13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备注：此表应认真填写，不得提供虚假业绩，表后附合同关键页复印件。</w:t>
      </w:r>
    </w:p>
    <w:p>
      <w:pPr>
        <w:spacing w:line="360" w:lineRule="auto"/>
        <w:ind w:firstLine="386" w:firstLineChars="138"/>
        <w:rPr>
          <w:rFonts w:hint="default" w:ascii="Times New Roman" w:hAnsi="Times New Roman" w:cs="Times New Roman"/>
          <w:color w:val="auto"/>
          <w:sz w:val="24"/>
          <w:szCs w:val="24"/>
        </w:rPr>
      </w:pPr>
      <w:r>
        <w:rPr>
          <w:rFonts w:hint="default" w:ascii="Times New Roman" w:hAnsi="Times New Roman" w:cs="Times New Roman"/>
          <w:color w:val="auto"/>
          <w:sz w:val="28"/>
          <w:szCs w:val="28"/>
        </w:rPr>
        <w:t xml:space="preserve">                               </w:t>
      </w:r>
    </w:p>
    <w:p>
      <w:pPr>
        <w:spacing w:line="360" w:lineRule="auto"/>
        <w:ind w:firstLine="386" w:firstLineChars="138"/>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供应商</w:t>
      </w:r>
      <w:r>
        <w:rPr>
          <w:rFonts w:hint="default" w:ascii="Times New Roman" w:hAnsi="Times New Roman" w:cs="Times New Roman"/>
          <w:color w:val="auto"/>
          <w:sz w:val="28"/>
          <w:szCs w:val="28"/>
        </w:rPr>
        <w:t xml:space="preserve">(盖章):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法定代表人或授权代理人签字: </w:t>
      </w:r>
    </w:p>
    <w:p>
      <w:pPr>
        <w:spacing w:line="360" w:lineRule="auto"/>
        <w:ind w:firstLine="4900" w:firstLineChars="17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    年   月  日</w:t>
      </w:r>
    </w:p>
    <w:p>
      <w:pPr>
        <w:rPr>
          <w:rFonts w:hint="default" w:ascii="Times New Roman" w:hAnsi="Times New Roman" w:cs="Times New Roman"/>
          <w:color w:val="auto"/>
          <w:sz w:val="28"/>
          <w:szCs w:val="28"/>
        </w:rPr>
      </w:pPr>
      <w:bookmarkStart w:id="146" w:name="_Toc485735277"/>
      <w:bookmarkStart w:id="147" w:name="_Toc15489"/>
      <w:bookmarkStart w:id="148" w:name="_Toc14672"/>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49" w:name="_Toc28900"/>
      <w:r>
        <w:rPr>
          <w:rFonts w:hint="default" w:ascii="Times New Roman" w:hAnsi="Times New Roman" w:cs="Times New Roman"/>
          <w:color w:val="auto"/>
          <w:sz w:val="28"/>
          <w:szCs w:val="28"/>
        </w:rPr>
        <w:t>附表八：</w:t>
      </w:r>
      <w:bookmarkEnd w:id="146"/>
      <w:bookmarkStart w:id="150" w:name="_Toc485735278"/>
      <w:r>
        <w:rPr>
          <w:rFonts w:hint="default" w:ascii="Times New Roman" w:hAnsi="Times New Roman" w:cs="Times New Roman"/>
          <w:color w:val="auto"/>
          <w:sz w:val="28"/>
          <w:szCs w:val="28"/>
        </w:rPr>
        <w:t>投标保证金</w:t>
      </w:r>
      <w:bookmarkEnd w:id="147"/>
      <w:r>
        <w:rPr>
          <w:rFonts w:hint="default" w:ascii="Times New Roman" w:hAnsi="Times New Roman" w:cs="Times New Roman"/>
          <w:color w:val="auto"/>
          <w:sz w:val="28"/>
          <w:szCs w:val="28"/>
        </w:rPr>
        <w:t>收据</w:t>
      </w:r>
      <w:bookmarkEnd w:id="148"/>
      <w:bookmarkEnd w:id="149"/>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投标保证金收据</w:t>
      </w:r>
    </w:p>
    <w:tbl>
      <w:tblPr>
        <w:tblStyle w:val="65"/>
        <w:tblpPr w:leftFromText="180" w:rightFromText="180" w:vertAnchor="text" w:horzAnchor="margin" w:tblpY="30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9220" w:type="dxa"/>
          </w:tcPr>
          <w:p>
            <w:pPr>
              <w:spacing w:line="360" w:lineRule="auto"/>
              <w:rPr>
                <w:rFonts w:hint="default" w:ascii="Times New Roman" w:hAnsi="Times New Roman" w:cs="Times New Roman"/>
                <w:color w:val="auto"/>
                <w:sz w:val="24"/>
                <w:szCs w:val="24"/>
              </w:rPr>
            </w:pPr>
          </w:p>
          <w:p>
            <w:pPr>
              <w:spacing w:line="360" w:lineRule="auto"/>
              <w:rPr>
                <w:rFonts w:hint="default" w:ascii="Times New Roman" w:hAnsi="Times New Roman" w:cs="Times New Roman"/>
                <w:color w:val="auto"/>
                <w:sz w:val="24"/>
                <w:szCs w:val="24"/>
              </w:rPr>
            </w:pPr>
          </w:p>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（复印件加盖公章）</w:t>
            </w:r>
          </w:p>
        </w:tc>
      </w:tr>
    </w:tbl>
    <w:p>
      <w:pPr>
        <w:spacing w:line="360" w:lineRule="auto"/>
        <w:rPr>
          <w:rFonts w:hint="default" w:ascii="Times New Roman" w:hAnsi="Times New Roman" w:cs="Times New Roman"/>
          <w:b/>
          <w:bCs/>
          <w:color w:val="auto"/>
          <w:kern w:val="28"/>
          <w:sz w:val="28"/>
          <w:szCs w:val="28"/>
        </w:rPr>
      </w:pPr>
    </w:p>
    <w:p>
      <w:pPr>
        <w:rPr>
          <w:rFonts w:hint="default" w:ascii="Times New Roman" w:hAnsi="Times New Roman" w:cs="Times New Roman"/>
          <w:b/>
          <w:bCs/>
          <w:color w:val="auto"/>
          <w:kern w:val="28"/>
          <w:sz w:val="28"/>
          <w:szCs w:val="28"/>
        </w:rPr>
      </w:pPr>
    </w:p>
    <w:p>
      <w:pPr>
        <w:rPr>
          <w:rFonts w:hint="default" w:ascii="Times New Roman" w:hAnsi="Times New Roman" w:cs="Times New Roman"/>
          <w:b/>
          <w:bCs/>
          <w:color w:val="auto"/>
          <w:kern w:val="28"/>
          <w:sz w:val="28"/>
          <w:szCs w:val="28"/>
        </w:rPr>
      </w:pPr>
    </w:p>
    <w:p>
      <w:pPr>
        <w:rPr>
          <w:rFonts w:hint="default" w:ascii="Times New Roman" w:hAnsi="Times New Roman" w:eastAsia="宋体" w:cs="Times New Roman"/>
          <w:b/>
          <w:bCs/>
          <w:color w:val="auto"/>
          <w:kern w:val="28"/>
          <w:sz w:val="28"/>
          <w:szCs w:val="28"/>
          <w:lang w:val="en-US" w:eastAsia="zh-CN"/>
        </w:rPr>
      </w:pPr>
      <w:r>
        <w:rPr>
          <w:rFonts w:hint="eastAsia" w:cs="Times New Roman"/>
          <w:b/>
          <w:bCs/>
          <w:color w:val="auto"/>
          <w:kern w:val="28"/>
          <w:sz w:val="28"/>
          <w:szCs w:val="28"/>
          <w:lang w:val="en-US" w:eastAsia="zh-CN"/>
        </w:rPr>
        <w:t>注：必须是招标代理开具的保证金收据复印件，否则做废标处理。</w:t>
      </w:r>
    </w:p>
    <w:p>
      <w:pPr>
        <w:pStyle w:val="49"/>
        <w:spacing w:line="360" w:lineRule="auto"/>
        <w:jc w:val="left"/>
        <w:outlineLvl w:val="0"/>
        <w:rPr>
          <w:rFonts w:hint="default" w:ascii="Times New Roman" w:hAnsi="Times New Roman" w:cs="Times New Roman"/>
          <w:color w:val="auto"/>
          <w:sz w:val="28"/>
          <w:szCs w:val="28"/>
        </w:rPr>
      </w:pPr>
      <w:bookmarkStart w:id="151" w:name="_Toc23395"/>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附表九：报价一览表</w:t>
      </w:r>
      <w:bookmarkEnd w:id="151"/>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报价一览表</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项目编号：</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项目名称： </w:t>
      </w:r>
    </w:p>
    <w:tbl>
      <w:tblPr>
        <w:tblStyle w:val="65"/>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3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247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项目类别</w:t>
            </w:r>
          </w:p>
        </w:tc>
        <w:tc>
          <w:tcPr>
            <w:tcW w:w="613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报价（元）</w:t>
            </w:r>
          </w:p>
        </w:tc>
        <w:tc>
          <w:tcPr>
            <w:tcW w:w="948"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rFonts w:hint="default" w:ascii="Times New Roman" w:hAnsi="Times New Roman" w:cs="Times New Roman"/>
                <w:bCs/>
                <w:color w:val="auto"/>
                <w:sz w:val="24"/>
                <w:szCs w:val="24"/>
              </w:rPr>
            </w:pPr>
          </w:p>
        </w:tc>
        <w:tc>
          <w:tcPr>
            <w:tcW w:w="6135" w:type="dxa"/>
            <w:vAlign w:val="center"/>
          </w:tcPr>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（大写）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（小写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tc>
        <w:tc>
          <w:tcPr>
            <w:tcW w:w="948" w:type="dxa"/>
            <w:vAlign w:val="center"/>
          </w:tcPr>
          <w:p>
            <w:pPr>
              <w:spacing w:line="360" w:lineRule="auto"/>
              <w:jc w:val="center"/>
              <w:rPr>
                <w:rFonts w:hint="default" w:ascii="Times New Roman" w:hAnsi="Times New Roman" w:cs="Times New Roman"/>
                <w:bCs/>
                <w:color w:val="auto"/>
                <w:sz w:val="24"/>
                <w:szCs w:val="24"/>
              </w:rPr>
            </w:pPr>
          </w:p>
        </w:tc>
      </w:tr>
    </w:tbl>
    <w:p>
      <w:pPr>
        <w:spacing w:line="360" w:lineRule="auto"/>
        <w:ind w:firstLine="640"/>
        <w:rPr>
          <w:rFonts w:hint="eastAsia" w:ascii="Times New Roman" w:hAnsi="Times New Roman" w:eastAsia="新宋体" w:cs="Times New Roman"/>
          <w:b/>
          <w:bCs/>
          <w:color w:val="000000"/>
          <w:kern w:val="2"/>
          <w:sz w:val="28"/>
          <w:szCs w:val="22"/>
          <w:lang w:val="en-US" w:eastAsia="zh-CN" w:bidi="ar-SA"/>
        </w:rPr>
      </w:pPr>
      <w:r>
        <w:rPr>
          <w:rFonts w:hint="eastAsia" w:ascii="Times New Roman" w:hAnsi="Times New Roman" w:eastAsia="新宋体" w:cs="Times New Roman"/>
          <w:b/>
          <w:bCs/>
          <w:color w:val="000000"/>
          <w:kern w:val="2"/>
          <w:sz w:val="28"/>
          <w:szCs w:val="22"/>
          <w:lang w:val="en-US" w:eastAsia="zh-CN" w:bidi="ar-SA"/>
        </w:rPr>
        <w:t>（后附报价明细，格式自拟）</w:t>
      </w:r>
    </w:p>
    <w:p>
      <w:pPr>
        <w:spacing w:line="360" w:lineRule="auto"/>
        <w:ind w:firstLine="64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供应商(公章):                 </w:t>
      </w:r>
      <w:bookmarkStart w:id="158" w:name="_GoBack"/>
      <w:bookmarkEnd w:id="158"/>
    </w:p>
    <w:p>
      <w:pPr>
        <w:spacing w:line="360" w:lineRule="auto"/>
        <w:ind w:firstLine="640"/>
        <w:rPr>
          <w:rFonts w:hint="default" w:ascii="Times New Roman" w:hAnsi="Times New Roman" w:cs="Times New Roman"/>
          <w:color w:val="auto"/>
          <w:kern w:val="0"/>
          <w:sz w:val="28"/>
          <w:szCs w:val="28"/>
          <w:u w:val="single"/>
        </w:rPr>
      </w:pPr>
      <w:r>
        <w:rPr>
          <w:rFonts w:hint="default" w:ascii="Times New Roman" w:hAnsi="Times New Roman" w:cs="Times New Roman"/>
          <w:bCs/>
          <w:color w:val="auto"/>
          <w:sz w:val="28"/>
          <w:szCs w:val="28"/>
        </w:rPr>
        <w:t xml:space="preserve">法定代表人或授权代理人（签字）:  </w:t>
      </w:r>
      <w:r>
        <w:rPr>
          <w:rFonts w:hint="default" w:ascii="Times New Roman" w:hAnsi="Times New Roman" w:cs="Times New Roman"/>
          <w:bCs/>
          <w:color w:val="auto"/>
          <w:sz w:val="28"/>
          <w:szCs w:val="28"/>
          <w:u w:val="single"/>
        </w:rPr>
        <w:t xml:space="preserve">   </w:t>
      </w:r>
      <w:r>
        <w:rPr>
          <w:rFonts w:hint="default" w:ascii="Times New Roman" w:hAnsi="Times New Roman" w:cs="Times New Roman"/>
          <w:color w:val="auto"/>
          <w:kern w:val="0"/>
          <w:sz w:val="28"/>
          <w:szCs w:val="28"/>
          <w:u w:val="single"/>
        </w:rPr>
        <w:t xml:space="preserve">  </w:t>
      </w:r>
    </w:p>
    <w:p>
      <w:pPr>
        <w:spacing w:line="360" w:lineRule="auto"/>
        <w:ind w:right="420" w:firstLine="280" w:firstLineChars="100"/>
        <w:jc w:val="righ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年    月    日</w:t>
      </w:r>
    </w:p>
    <w:p>
      <w:pPr>
        <w:pStyle w:val="35"/>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pStyle w:val="35"/>
        <w:rPr>
          <w:rFonts w:hint="default"/>
          <w:b/>
          <w:bCs/>
        </w:rPr>
      </w:pPr>
      <w:r>
        <w:rPr>
          <w:rFonts w:hint="default"/>
          <w:b/>
          <w:bCs/>
        </w:rPr>
        <w:t>注：磋商函及报价一览表单独密封。</w:t>
      </w:r>
    </w:p>
    <w:p>
      <w:pP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2" w:name="_Toc30310"/>
      <w:r>
        <w:rPr>
          <w:rFonts w:hint="default" w:ascii="Times New Roman" w:hAnsi="Times New Roman" w:cs="Times New Roman"/>
          <w:color w:val="auto"/>
          <w:sz w:val="28"/>
          <w:szCs w:val="28"/>
        </w:rPr>
        <w:t>附表十：不参与围标串标承诺书</w:t>
      </w:r>
      <w:bookmarkEnd w:id="152"/>
    </w:p>
    <w:p>
      <w:pPr>
        <w:spacing w:line="360" w:lineRule="auto"/>
        <w:ind w:firstLine="360"/>
        <w:jc w:val="center"/>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不参与围标串标承诺书</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本人作为经授权供应商代表，清楚知晓我单位本项目竞争性磋商活动，对以下事项作出承诺：</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一、我单位和我本人遵循空开、公平、公正、诚实信用的原则，依法依规参与本项目竞标。</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二、我单位和我本人在本项目竞争性磋商投标活动中，未参与围标串标。</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三、我单位如被查实在本项目竞争性磋商活动中存在围标串标的，递交响应文件行为作为实施磋商违法行为的关键环节，本人承担直接责任人员法律责任，接受行政处罚和失信惩戒。</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特此承诺！</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供应商(公章):                 </w:t>
      </w:r>
    </w:p>
    <w:p>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color w:val="auto"/>
          <w:kern w:val="0"/>
          <w:sz w:val="28"/>
          <w:szCs w:val="28"/>
          <w:u w:val="single"/>
        </w:rPr>
      </w:pPr>
      <w:r>
        <w:rPr>
          <w:rFonts w:hint="default" w:ascii="Times New Roman" w:hAnsi="Times New Roman" w:cs="Times New Roman"/>
          <w:bCs/>
          <w:color w:val="auto"/>
          <w:sz w:val="28"/>
          <w:szCs w:val="28"/>
        </w:rPr>
        <w:t xml:space="preserve">法定代表人或授权代理人（签字）:  </w:t>
      </w:r>
      <w:r>
        <w:rPr>
          <w:rFonts w:hint="default" w:ascii="Times New Roman" w:hAnsi="Times New Roman" w:cs="Times New Roman"/>
          <w:bCs/>
          <w:color w:val="auto"/>
          <w:sz w:val="28"/>
          <w:szCs w:val="28"/>
          <w:u w:val="single"/>
        </w:rPr>
        <w:t xml:space="preserve">   </w:t>
      </w:r>
      <w:r>
        <w:rPr>
          <w:rFonts w:hint="default" w:ascii="Times New Roman" w:hAnsi="Times New Roman" w:cs="Times New Roman"/>
          <w:color w:val="auto"/>
          <w:kern w:val="0"/>
          <w:sz w:val="28"/>
          <w:szCs w:val="28"/>
          <w:u w:val="single"/>
        </w:rPr>
        <w:t xml:space="preserve">  </w:t>
      </w:r>
    </w:p>
    <w:p>
      <w:pPr>
        <w:spacing w:line="360" w:lineRule="auto"/>
        <w:ind w:firstLine="5180" w:firstLineChars="1850"/>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w:t>
      </w:r>
    </w:p>
    <w:p>
      <w:pPr>
        <w:spacing w:line="360" w:lineRule="auto"/>
        <w:ind w:firstLine="5180" w:firstLineChars="18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日期：  年   月   日</w:t>
      </w:r>
    </w:p>
    <w:p>
      <w:pPr>
        <w:rPr>
          <w:rFonts w:hint="default" w:ascii="Times New Roman" w:hAnsi="Times New Roman" w:cs="Times New Roman"/>
          <w:b/>
          <w:bCs/>
          <w:color w:val="auto"/>
          <w:kern w:val="28"/>
          <w:sz w:val="28"/>
          <w:szCs w:val="28"/>
        </w:rPr>
      </w:pPr>
      <w:bookmarkStart w:id="153" w:name="_Toc8024"/>
      <w:r>
        <w:rPr>
          <w:rFonts w:hint="default" w:ascii="Times New Roman" w:hAnsi="Times New Roman" w:cs="Times New Roman"/>
          <w:b/>
          <w:bCs/>
          <w:color w:val="auto"/>
          <w:kern w:val="28"/>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4" w:name="_Toc29004"/>
      <w:r>
        <w:rPr>
          <w:rFonts w:hint="default" w:ascii="Times New Roman" w:hAnsi="Times New Roman" w:cs="Times New Roman"/>
          <w:color w:val="auto"/>
          <w:sz w:val="28"/>
          <w:szCs w:val="28"/>
        </w:rPr>
        <w:t>附表十一：声明函</w:t>
      </w:r>
      <w:bookmarkEnd w:id="154"/>
    </w:p>
    <w:p>
      <w:pPr>
        <w:spacing w:line="440" w:lineRule="exact"/>
        <w:jc w:val="center"/>
        <w:rPr>
          <w:rFonts w:hint="default" w:ascii="Times New Roman" w:hAnsi="Times New Roman" w:eastAsia="宋体" w:cs="Times New Roman"/>
          <w:b/>
          <w:color w:val="auto"/>
          <w:kern w:val="28"/>
          <w:sz w:val="28"/>
          <w:szCs w:val="28"/>
          <w:lang w:val="en-US" w:eastAsia="zh-CN" w:bidi="ar-SA"/>
        </w:rPr>
      </w:pPr>
      <w:r>
        <w:rPr>
          <w:rFonts w:hint="default" w:ascii="Times New Roman" w:hAnsi="Times New Roman" w:eastAsia="宋体" w:cs="Times New Roman"/>
          <w:b/>
          <w:color w:val="auto"/>
          <w:kern w:val="28"/>
          <w:sz w:val="28"/>
          <w:szCs w:val="28"/>
          <w:lang w:val="en-US" w:eastAsia="zh-CN" w:bidi="ar-SA"/>
        </w:rPr>
        <w:t>11.1中小微企业声明函</w:t>
      </w:r>
    </w:p>
    <w:p>
      <w:pPr>
        <w:spacing w:line="440" w:lineRule="exact"/>
        <w:ind w:firstLine="560" w:firstLineChars="200"/>
        <w:jc w:val="center"/>
        <w:rPr>
          <w:rFonts w:hint="default" w:ascii="Times New Roman" w:hAnsi="Times New Roman" w:cs="Times New Roman"/>
          <w:color w:val="auto"/>
          <w:kern w:val="0"/>
          <w:sz w:val="28"/>
          <w:szCs w:val="28"/>
        </w:rPr>
      </w:pPr>
    </w:p>
    <w:p>
      <w:pPr>
        <w:spacing w:line="440" w:lineRule="exact"/>
        <w:ind w:firstLine="560" w:firstLineChars="200"/>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中小企业声明函（货物）</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本公司（联合体） 郑重声明， 根据《政府采购促进中小企业发展管理办法》（财库﹝ 2020﹞ 46 号） 的规定， 本公司（联合体） 参加</w:t>
      </w:r>
      <w:r>
        <w:rPr>
          <w:rFonts w:hint="default" w:ascii="Times New Roman" w:hAnsi="Times New Roman" w:cs="Times New Roman"/>
          <w:color w:val="auto"/>
          <w:kern w:val="0"/>
          <w:sz w:val="28"/>
          <w:szCs w:val="28"/>
          <w:u w:val="single"/>
        </w:rPr>
        <w:t>（单位名称）</w:t>
      </w:r>
      <w:r>
        <w:rPr>
          <w:rFonts w:hint="default" w:ascii="Times New Roman" w:hAnsi="Times New Roman" w:cs="Times New Roman"/>
          <w:color w:val="auto"/>
          <w:kern w:val="0"/>
          <w:sz w:val="28"/>
          <w:szCs w:val="28"/>
        </w:rPr>
        <w:t xml:space="preserve"> 的</w:t>
      </w:r>
      <w:r>
        <w:rPr>
          <w:rFonts w:hint="default" w:ascii="Times New Roman" w:hAnsi="Times New Roman" w:cs="Times New Roman"/>
          <w:color w:val="auto"/>
          <w:kern w:val="0"/>
          <w:sz w:val="28"/>
          <w:szCs w:val="28"/>
          <w:u w:val="single"/>
        </w:rPr>
        <w:t>（项目名称）</w:t>
      </w:r>
      <w:r>
        <w:rPr>
          <w:rFonts w:hint="default" w:ascii="Times New Roman" w:hAnsi="Times New Roman" w:cs="Times New Roman"/>
          <w:color w:val="auto"/>
          <w:kern w:val="0"/>
          <w:sz w:val="28"/>
          <w:szCs w:val="28"/>
        </w:rPr>
        <w:t xml:space="preserve"> 采购活动， 提供的货物全部由符合政策要求的中小企业制造。 相关企业（含联合体中的中小企业、 签订分包意向协议的中小企业）的具体情况如下：</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1</w:t>
      </w:r>
      <w:r>
        <w:rPr>
          <w:rFonts w:hint="default"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（采购文件中明确的所属行业）行业</w:t>
      </w:r>
      <w:r>
        <w:rPr>
          <w:rFonts w:hint="default" w:ascii="Times New Roman" w:hAnsi="Times New Roman" w:cs="Times New Roman"/>
          <w:color w:val="auto"/>
          <w:kern w:val="0"/>
          <w:sz w:val="28"/>
          <w:szCs w:val="28"/>
        </w:rPr>
        <w:t>；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营业收入为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w:t>
      </w:r>
      <w:r>
        <w:rPr>
          <w:rFonts w:hint="default" w:ascii="Times New Roman" w:hAnsi="Times New Roman" w:cs="Times New Roman"/>
          <w:color w:val="auto"/>
          <w:kern w:val="0"/>
          <w:sz w:val="28"/>
          <w:szCs w:val="28"/>
          <w:vertAlign w:val="superscript"/>
        </w:rPr>
        <w:t>1</w:t>
      </w:r>
      <w:r>
        <w:rPr>
          <w:rFonts w:hint="default" w:ascii="Times New Roman" w:hAnsi="Times New Roman" w:cs="Times New Roman"/>
          <w:color w:val="auto"/>
          <w:kern w:val="0"/>
          <w:sz w:val="28"/>
          <w:szCs w:val="28"/>
        </w:rPr>
        <w:t>，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2</w:t>
      </w:r>
      <w:r>
        <w:rPr>
          <w:rFonts w:hint="default"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w:t>
      </w:r>
      <w:r>
        <w:rPr>
          <w:rFonts w:hint="default" w:ascii="Times New Roman" w:hAnsi="Times New Roman" w:cs="Times New Roman"/>
          <w:color w:val="auto"/>
          <w:kern w:val="0"/>
          <w:sz w:val="28"/>
          <w:szCs w:val="28"/>
        </w:rPr>
        <w:t>行业；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以上企业， 不属于大企业的分支机构， 不存在控股股东为大企业的情形， 也不存在与大企业的负责人为同一人的情形。</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本企业对上述声明内容的真实性负责。 如有虚假， 将依法承担相应责任。</w:t>
      </w:r>
    </w:p>
    <w:p>
      <w:pPr>
        <w:wordWrap w:val="0"/>
        <w:spacing w:line="440" w:lineRule="exact"/>
        <w:ind w:firstLine="560" w:firstLineChars="200"/>
        <w:jc w:val="right"/>
        <w:rPr>
          <w:rFonts w:hint="default" w:ascii="Times New Roman" w:hAnsi="Times New Roman" w:cs="Times New Roman"/>
          <w:color w:val="auto"/>
          <w:kern w:val="0"/>
          <w:sz w:val="28"/>
          <w:szCs w:val="28"/>
        </w:rPr>
      </w:pPr>
    </w:p>
    <w:p>
      <w:pPr>
        <w:wordWrap w:val="0"/>
        <w:spacing w:line="440" w:lineRule="exact"/>
        <w:ind w:firstLine="560" w:firstLineChars="200"/>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供应商名称（盖章）：        </w:t>
      </w:r>
    </w:p>
    <w:p>
      <w:pPr>
        <w:wordWrap w:val="0"/>
        <w:spacing w:line="440" w:lineRule="exact"/>
        <w:ind w:right="480" w:firstLine="560" w:firstLineChars="200"/>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日 期：   </w:t>
      </w:r>
    </w:p>
    <w:p>
      <w:pPr>
        <w:pStyle w:val="27"/>
        <w:spacing w:line="440" w:lineRule="exact"/>
        <w:rPr>
          <w:rFonts w:hint="default" w:ascii="Times New Roman" w:hAnsi="Times New Roman" w:cs="Times New Roman"/>
          <w:color w:val="auto"/>
        </w:rPr>
      </w:pP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从业人员、 营业收入、 资产总额填报上一年度数据， 无上一年度数据的新成立企业可不填报。</w:t>
      </w: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（若响应文件中无上述文件，则在评审时不考虑对该小、微企业的相关优惠。） </w:t>
      </w:r>
    </w:p>
    <w:p>
      <w:pPr>
        <w:tabs>
          <w:tab w:val="left" w:pos="3777"/>
          <w:tab w:val="center" w:pos="4819"/>
        </w:tabs>
        <w:spacing w:line="440" w:lineRule="exact"/>
        <w:jc w:val="center"/>
        <w:rPr>
          <w:rFonts w:hint="default" w:ascii="Times New Roman" w:hAnsi="Times New Roman" w:cs="Times New Roman"/>
          <w:b/>
          <w:color w:val="auto"/>
          <w:kern w:val="0"/>
          <w:sz w:val="28"/>
          <w:szCs w:val="28"/>
        </w:rPr>
      </w:pPr>
      <w:r>
        <w:rPr>
          <w:rFonts w:hint="default" w:ascii="Times New Roman" w:hAnsi="Times New Roman" w:cs="Times New Roman"/>
          <w:b/>
          <w:color w:val="auto"/>
          <w:sz w:val="28"/>
          <w:szCs w:val="28"/>
        </w:rPr>
        <w:br w:type="page"/>
      </w:r>
      <w:r>
        <w:rPr>
          <w:rFonts w:hint="default" w:ascii="Times New Roman" w:hAnsi="Times New Roman" w:eastAsia="宋体" w:cs="Times New Roman"/>
          <w:b/>
          <w:color w:val="auto"/>
          <w:kern w:val="28"/>
          <w:sz w:val="28"/>
          <w:szCs w:val="28"/>
          <w:lang w:val="en-US" w:eastAsia="zh-CN" w:bidi="ar-SA"/>
        </w:rPr>
        <w:t>11.2监狱企业声明函</w:t>
      </w:r>
    </w:p>
    <w:p>
      <w:pPr>
        <w:spacing w:line="440" w:lineRule="exact"/>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（监狱企业适用）</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本公司郑重声明，根据《关于政府采购支持监狱企业发展有关问题的通知》（财库[2014]68号）的规定，本公司为监狱企业。</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本公司参加______单位的______项目采购活动，采购活动提供本企业（填写制造的货物，由本企业承担工程、提供服务）。</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本条所称货物不包括使用大型企业注册商标的货物和服务。</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本公司对上述声明的真实性负责。如有虚假，将依法承担相应责任。</w:t>
      </w:r>
    </w:p>
    <w:p>
      <w:pPr>
        <w:spacing w:line="440" w:lineRule="exact"/>
        <w:ind w:firstLine="4200" w:firstLineChars="15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供应商名称（盖公章）：</w:t>
      </w:r>
    </w:p>
    <w:p>
      <w:pPr>
        <w:spacing w:line="440" w:lineRule="exact"/>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法定代表人（负责人）或其授权代表(签字)：</w:t>
      </w:r>
    </w:p>
    <w:p>
      <w:pPr>
        <w:tabs>
          <w:tab w:val="left" w:pos="2880"/>
        </w:tabs>
        <w:spacing w:line="440" w:lineRule="exact"/>
        <w:ind w:firstLine="5600" w:firstLineChars="20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日期：</w:t>
      </w: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注：后附监狱企业资格证明文件</w:t>
      </w:r>
    </w:p>
    <w:p>
      <w:pPr>
        <w:spacing w:line="440" w:lineRule="exact"/>
        <w:ind w:firstLine="567"/>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 xml:space="preserve"> 省级以上监狱管理局、戒毒管理局（含新疆生产建设兵团）出具的属于监狱企业的证明文件；</w:t>
      </w:r>
    </w:p>
    <w:p>
      <w:pPr>
        <w:tabs>
          <w:tab w:val="left" w:pos="2880"/>
        </w:tabs>
        <w:spacing w:line="440" w:lineRule="exact"/>
        <w:ind w:firstLine="660" w:firstLineChars="236"/>
        <w:jc w:val="left"/>
        <w:rPr>
          <w:rFonts w:hint="default" w:ascii="Times New Roman" w:hAnsi="Times New Roman" w:cs="Times New Roman"/>
          <w:b/>
          <w:color w:val="auto"/>
          <w:kern w:val="0"/>
          <w:sz w:val="28"/>
          <w:szCs w:val="28"/>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证明材料加盖供应商公章。</w:t>
      </w:r>
    </w:p>
    <w:p>
      <w:pPr>
        <w:spacing w:line="440" w:lineRule="exac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（若响应性文件中无上述证明文件，则在评审时不考虑对该监狱企业的相关优惠。） </w:t>
      </w:r>
    </w:p>
    <w:p>
      <w:pPr>
        <w:jc w:val="center"/>
        <w:rPr>
          <w:rFonts w:hint="default" w:ascii="Times New Roman" w:hAnsi="Times New Roman" w:cs="Times New Roman"/>
          <w:b/>
          <w:bCs/>
          <w:color w:val="auto"/>
          <w:sz w:val="28"/>
          <w:szCs w:val="28"/>
        </w:rPr>
      </w:pPr>
    </w:p>
    <w:p>
      <w:pPr>
        <w:tabs>
          <w:tab w:val="left" w:pos="3777"/>
          <w:tab w:val="center" w:pos="4819"/>
        </w:tabs>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w:t>
      </w:r>
      <w:r>
        <w:rPr>
          <w:rFonts w:hint="default" w:ascii="Times New Roman" w:hAnsi="Times New Roman" w:cs="Times New Roman"/>
          <w:b/>
          <w:color w:val="auto"/>
          <w:sz w:val="28"/>
          <w:szCs w:val="28"/>
          <w:lang w:eastAsia="zh-CN"/>
        </w:rPr>
        <w:t>.</w:t>
      </w:r>
      <w:r>
        <w:rPr>
          <w:rFonts w:hint="default" w:ascii="Times New Roman" w:hAnsi="Times New Roman" w:cs="Times New Roman"/>
          <w:b/>
          <w:color w:val="auto"/>
          <w:sz w:val="28"/>
          <w:szCs w:val="28"/>
        </w:rPr>
        <w:t>3残疾人福利性单位声明函</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本单位对上述声明的真实性负责。如有虚假，将依法承担相应责任。 </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p>
    <w:p>
      <w:pPr>
        <w:adjustRightInd w:val="0"/>
        <w:snapToGrid w:val="0"/>
        <w:spacing w:line="360" w:lineRule="auto"/>
        <w:ind w:firstLine="4760" w:firstLineChars="17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kern w:val="0"/>
          <w:sz w:val="28"/>
          <w:szCs w:val="28"/>
        </w:rPr>
        <w:t>供应商</w:t>
      </w:r>
      <w:r>
        <w:rPr>
          <w:rFonts w:hint="default" w:ascii="Times New Roman" w:hAnsi="Times New Roman" w:cs="Times New Roman"/>
          <w:color w:val="auto"/>
          <w:spacing w:val="6"/>
          <w:kern w:val="0"/>
          <w:sz w:val="28"/>
          <w:szCs w:val="28"/>
        </w:rPr>
        <w:t>名称（盖章）：</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                           日  期：</w:t>
      </w:r>
      <w:r>
        <w:rPr>
          <w:rFonts w:hint="default" w:ascii="Times New Roman" w:hAnsi="Times New Roman" w:cs="Times New Roman"/>
          <w:color w:val="auto"/>
          <w:spacing w:val="6"/>
          <w:kern w:val="0"/>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5" w:name="_Toc11822"/>
      <w:bookmarkStart w:id="156" w:name="_Toc19065"/>
      <w:r>
        <w:rPr>
          <w:rFonts w:hint="default" w:ascii="Times New Roman" w:hAnsi="Times New Roman" w:cs="Times New Roman"/>
          <w:bCs/>
          <w:color w:val="auto"/>
          <w:sz w:val="28"/>
          <w:szCs w:val="28"/>
        </w:rPr>
        <w:t>附表十二：</w:t>
      </w:r>
      <w:r>
        <w:rPr>
          <w:rFonts w:hint="default" w:ascii="Times New Roman" w:hAnsi="Times New Roman" w:cs="Times New Roman"/>
          <w:color w:val="auto"/>
          <w:sz w:val="28"/>
          <w:szCs w:val="28"/>
        </w:rPr>
        <w:t>供应商认为需要提供的其他材料</w:t>
      </w:r>
      <w:bookmarkEnd w:id="150"/>
      <w:bookmarkEnd w:id="153"/>
      <w:bookmarkEnd w:id="155"/>
      <w:bookmarkEnd w:id="156"/>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供应商认为需要提供的其他材料</w:t>
      </w:r>
    </w:p>
    <w:p>
      <w:pPr>
        <w:pStyle w:val="36"/>
        <w:tabs>
          <w:tab w:val="left" w:pos="580"/>
        </w:tabs>
        <w:spacing w:line="360" w:lineRule="auto"/>
        <w:ind w:left="167" w:leftChars="50" w:hanging="62" w:hangingChars="22"/>
        <w:jc w:val="center"/>
        <w:rPr>
          <w:rFonts w:hint="default" w:ascii="Times New Roman" w:hAnsi="Times New Roman" w:cs="Times New Roman"/>
          <w:b/>
          <w:bCs/>
          <w:sz w:val="28"/>
          <w:szCs w:val="28"/>
        </w:rPr>
      </w:pPr>
      <w:r>
        <w:rPr>
          <w:rFonts w:hint="default" w:ascii="Times New Roman" w:hAnsi="Times New Roman" w:cs="Times New Roman"/>
          <w:b/>
          <w:bCs/>
          <w:sz w:val="28"/>
          <w:szCs w:val="28"/>
        </w:rPr>
        <w:t>（格式自定）</w:t>
      </w: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r>
        <w:rPr>
          <w:rFonts w:hint="eastAsia"/>
          <w:b/>
          <w:bCs/>
          <w:color w:val="auto"/>
          <w:sz w:val="28"/>
          <w:szCs w:val="28"/>
          <w:lang w:val="en-US" w:eastAsia="zh-CN"/>
        </w:rPr>
        <w:t xml:space="preserve">附表十三：                                                      </w:t>
      </w:r>
    </w:p>
    <w:p>
      <w:pPr>
        <w:pStyle w:val="168"/>
        <w:numPr>
          <w:ilvl w:val="0"/>
          <w:numId w:val="0"/>
        </w:numPr>
        <w:spacing w:line="440" w:lineRule="exact"/>
        <w:ind w:left="5049" w:leftChars="1869" w:hanging="1124" w:hangingChars="400"/>
        <w:jc w:val="left"/>
        <w:rPr>
          <w:b/>
          <w:bCs/>
          <w:color w:val="auto"/>
          <w:sz w:val="28"/>
          <w:szCs w:val="28"/>
        </w:rPr>
      </w:pPr>
      <w:r>
        <w:rPr>
          <w:b/>
          <w:bCs/>
          <w:color w:val="auto"/>
          <w:sz w:val="28"/>
          <w:szCs w:val="28"/>
        </w:rPr>
        <w:t>最</w:t>
      </w:r>
      <w:r>
        <w:rPr>
          <w:rFonts w:hint="eastAsia"/>
          <w:b/>
          <w:bCs/>
          <w:color w:val="auto"/>
          <w:sz w:val="28"/>
          <w:szCs w:val="28"/>
          <w:lang w:val="en-US" w:eastAsia="zh-CN"/>
        </w:rPr>
        <w:t>终</w:t>
      </w:r>
      <w:r>
        <w:rPr>
          <w:b/>
          <w:bCs/>
          <w:color w:val="auto"/>
          <w:sz w:val="28"/>
          <w:szCs w:val="28"/>
        </w:rPr>
        <w:t>报价表</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项目编号：</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项目名称： </w:t>
      </w:r>
    </w:p>
    <w:tbl>
      <w:tblPr>
        <w:tblStyle w:val="65"/>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3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247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项目类别</w:t>
            </w:r>
          </w:p>
        </w:tc>
        <w:tc>
          <w:tcPr>
            <w:tcW w:w="613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报价（元）</w:t>
            </w:r>
          </w:p>
        </w:tc>
        <w:tc>
          <w:tcPr>
            <w:tcW w:w="948"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rFonts w:hint="default" w:ascii="Times New Roman" w:hAnsi="Times New Roman" w:cs="Times New Roman"/>
                <w:bCs/>
                <w:color w:val="auto"/>
                <w:sz w:val="24"/>
                <w:szCs w:val="24"/>
              </w:rPr>
            </w:pPr>
          </w:p>
        </w:tc>
        <w:tc>
          <w:tcPr>
            <w:tcW w:w="6135" w:type="dxa"/>
            <w:vAlign w:val="center"/>
          </w:tcPr>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（大写）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（小写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tc>
        <w:tc>
          <w:tcPr>
            <w:tcW w:w="948" w:type="dxa"/>
            <w:vAlign w:val="center"/>
          </w:tcPr>
          <w:p>
            <w:pPr>
              <w:spacing w:line="360" w:lineRule="auto"/>
              <w:jc w:val="center"/>
              <w:rPr>
                <w:rFonts w:hint="default" w:ascii="Times New Roman" w:hAnsi="Times New Roman"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9558"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 w:val="24"/>
                <w:szCs w:val="24"/>
              </w:rPr>
            </w:pPr>
            <w:r>
              <w:rPr>
                <w:sz w:val="24"/>
                <w:szCs w:val="24"/>
              </w:rPr>
              <w:t>说明：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sz w:val="24"/>
                <w:szCs w:val="24"/>
              </w:rPr>
              <w:t>1.本表按照磋商小组的要求另外单独提交，不放在磋商响应文件中。该表的价格可以事先填写，也可以磋商结束后根据磋商情况填写。</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color w:val="auto"/>
                <w:sz w:val="24"/>
                <w:szCs w:val="24"/>
              </w:rPr>
            </w:pPr>
            <w:r>
              <w:rPr>
                <w:rFonts w:hint="eastAsia"/>
                <w:sz w:val="24"/>
                <w:szCs w:val="24"/>
                <w:lang w:val="en-US" w:eastAsia="zh-CN"/>
              </w:rPr>
              <w:t>2.</w:t>
            </w:r>
            <w:r>
              <w:rPr>
                <w:sz w:val="24"/>
                <w:szCs w:val="24"/>
              </w:rPr>
              <w:t>本表应按照第一章</w:t>
            </w:r>
            <w:r>
              <w:rPr>
                <w:color w:val="auto"/>
                <w:sz w:val="24"/>
                <w:szCs w:val="24"/>
              </w:rPr>
              <w:t>供应商须知9.6款的规定签署。签署不符合规定的最后报价无效。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szCs w:val="24"/>
              </w:rPr>
            </w:pPr>
            <w:r>
              <w:rPr>
                <w:rFonts w:hint="eastAsia"/>
                <w:b/>
                <w:bCs/>
                <w:color w:val="auto"/>
                <w:sz w:val="24"/>
                <w:lang w:val="en-US" w:eastAsia="zh-CN"/>
              </w:rPr>
              <w:t>3.</w:t>
            </w:r>
            <w:r>
              <w:rPr>
                <w:b/>
                <w:bCs/>
                <w:color w:val="auto"/>
                <w:sz w:val="24"/>
              </w:rPr>
              <w:t>最后报价应是供应商完成</w:t>
            </w:r>
            <w:r>
              <w:rPr>
                <w:rFonts w:hint="eastAsia"/>
                <w:b/>
                <w:bCs/>
                <w:color w:val="auto"/>
                <w:sz w:val="24"/>
              </w:rPr>
              <w:t>供应商须知前附表采购内容</w:t>
            </w:r>
            <w:r>
              <w:rPr>
                <w:b/>
                <w:bCs/>
                <w:color w:val="auto"/>
                <w:sz w:val="24"/>
              </w:rPr>
              <w:t>中说明的全部工作内容的所有费用和合理的利润</w:t>
            </w:r>
            <w:r>
              <w:rPr>
                <w:rFonts w:hint="eastAsia"/>
                <w:b/>
                <w:bCs/>
                <w:color w:val="auto"/>
                <w:sz w:val="24"/>
              </w:rPr>
              <w:t>。</w:t>
            </w:r>
          </w:p>
        </w:tc>
      </w:tr>
    </w:tbl>
    <w:p>
      <w:pPr>
        <w:rPr>
          <w:sz w:val="32"/>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402" w:firstLineChars="200"/>
        <w:jc w:val="left"/>
        <w:outlineLvl w:val="9"/>
        <w:rPr>
          <w:rFonts w:hint="default" w:ascii="Times New Roman" w:hAnsi="Times New Roman" w:cs="Times New Roman"/>
          <w:b/>
          <w:bCs/>
          <w:color w:val="auto"/>
          <w:kern w:val="28"/>
          <w:sz w:val="20"/>
          <w:szCs w:val="32"/>
        </w:rPr>
      </w:pPr>
      <w:bookmarkStart w:id="157" w:name="_Toc24890"/>
      <w:bookmarkEnd w:id="157"/>
    </w:p>
    <w:sectPr>
      <w:footerReference r:id="rId5" w:type="default"/>
      <w:pgSz w:w="11906" w:h="16838"/>
      <w:pgMar w:top="1417" w:right="1417" w:bottom="1417" w:left="1417" w:header="851" w:footer="992" w:gutter="0"/>
      <w:pgNumType w:fmt="decimal" w:start="1"/>
      <w:cols w:space="720" w:num="1"/>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O8FtICqAQAAQgMAAA4A&#10;AAAAAAAAAQAgAAAAHgEAAGRycy9lMm9Eb2MueG1sUEsFBgAAAAAGAAYAWQEAADoFAAAAAA==&#10;">
              <v:fill on="f" focussize="0,0"/>
              <v:stroke on="f"/>
              <v:imagedata o:title=""/>
              <o:lock v:ext="edit" aspectratio="f"/>
              <v:textbox inset="0mm,0mm,0mm,0mm" style="mso-fit-shape-to-text:t;">
                <w:txbxContent>
                  <w:p>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bullet"/>
      <w:pStyle w:val="26"/>
      <w:lvlText w:val=""/>
      <w:lvlJc w:val="left"/>
      <w:pPr>
        <w:tabs>
          <w:tab w:val="left" w:pos="1200"/>
        </w:tabs>
        <w:ind w:left="1200" w:hanging="360"/>
      </w:pPr>
      <w:rPr>
        <w:rFonts w:hint="default" w:ascii="Wingdings" w:hAnsi="Wingdings"/>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
    <w:nsid w:val="00000007"/>
    <w:multiLevelType w:val="multilevel"/>
    <w:tmpl w:val="00000007"/>
    <w:lvl w:ilvl="0" w:tentative="0">
      <w:start w:val="1"/>
      <w:numFmt w:val="bullet"/>
      <w:pStyle w:val="33"/>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476"/>
        </w:tabs>
        <w:ind w:left="1476" w:hanging="840"/>
      </w:pPr>
      <w:rPr>
        <w:rFonts w:hint="eastAsia" w:ascii="黑体" w:eastAsia="黑体"/>
        <w:b/>
      </w:rPr>
    </w:lvl>
    <w:lvl w:ilvl="2" w:tentative="0">
      <w:start w:val="1"/>
      <w:numFmt w:val="decimal"/>
      <w:lvlText w:val="%1.%2.%3"/>
      <w:lvlJc w:val="left"/>
      <w:pPr>
        <w:tabs>
          <w:tab w:val="left" w:pos="2112"/>
        </w:tabs>
        <w:ind w:left="2112" w:hanging="840"/>
      </w:pPr>
      <w:rPr>
        <w:rFonts w:hint="eastAsia" w:ascii="黑体" w:eastAsia="黑体"/>
        <w:b/>
      </w:rPr>
    </w:lvl>
    <w:lvl w:ilvl="3" w:tentative="0">
      <w:start w:val="1"/>
      <w:numFmt w:val="decimal"/>
      <w:lvlText w:val="%1.%2.%3.%4"/>
      <w:lvlJc w:val="left"/>
      <w:pPr>
        <w:tabs>
          <w:tab w:val="left" w:pos="2748"/>
        </w:tabs>
        <w:ind w:left="2748" w:hanging="840"/>
      </w:pPr>
      <w:rPr>
        <w:rFonts w:hint="eastAsia" w:ascii="黑体" w:eastAsia="黑体"/>
        <w:b/>
      </w:rPr>
    </w:lvl>
    <w:lvl w:ilvl="4" w:tentative="0">
      <w:start w:val="1"/>
      <w:numFmt w:val="decimal"/>
      <w:lvlText w:val="%1.%2.%3.%4.%5"/>
      <w:lvlJc w:val="left"/>
      <w:pPr>
        <w:tabs>
          <w:tab w:val="left" w:pos="3384"/>
        </w:tabs>
        <w:ind w:left="3384" w:hanging="840"/>
      </w:pPr>
      <w:rPr>
        <w:rFonts w:hint="eastAsia" w:ascii="黑体" w:eastAsia="黑体"/>
        <w:b/>
      </w:rPr>
    </w:lvl>
    <w:lvl w:ilvl="5" w:tentative="0">
      <w:start w:val="1"/>
      <w:numFmt w:val="decimal"/>
      <w:lvlText w:val="%1.%2.%3.%4.%5.%6"/>
      <w:lvlJc w:val="left"/>
      <w:pPr>
        <w:tabs>
          <w:tab w:val="left" w:pos="4020"/>
        </w:tabs>
        <w:ind w:left="4020" w:hanging="840"/>
      </w:pPr>
      <w:rPr>
        <w:rFonts w:hint="eastAsia" w:ascii="黑体" w:eastAsia="黑体"/>
        <w:b/>
      </w:rPr>
    </w:lvl>
    <w:lvl w:ilvl="6" w:tentative="0">
      <w:start w:val="1"/>
      <w:numFmt w:val="decimal"/>
      <w:lvlText w:val="%1.%2.%3.%4.%5.%6.%7"/>
      <w:lvlJc w:val="left"/>
      <w:pPr>
        <w:tabs>
          <w:tab w:val="left" w:pos="4656"/>
        </w:tabs>
        <w:ind w:left="4656" w:hanging="840"/>
      </w:pPr>
      <w:rPr>
        <w:rFonts w:hint="eastAsia" w:ascii="黑体" w:eastAsia="黑体"/>
        <w:b/>
      </w:rPr>
    </w:lvl>
    <w:lvl w:ilvl="7" w:tentative="0">
      <w:start w:val="1"/>
      <w:numFmt w:val="decimal"/>
      <w:lvlText w:val="%1.%2.%3.%4.%5.%6.%7.%8"/>
      <w:lvlJc w:val="left"/>
      <w:pPr>
        <w:tabs>
          <w:tab w:val="left" w:pos="5292"/>
        </w:tabs>
        <w:ind w:left="5292" w:hanging="840"/>
      </w:pPr>
      <w:rPr>
        <w:rFonts w:hint="eastAsia" w:ascii="黑体" w:eastAsia="黑体"/>
        <w:b/>
      </w:rPr>
    </w:lvl>
    <w:lvl w:ilvl="8" w:tentative="0">
      <w:start w:val="1"/>
      <w:numFmt w:val="decimal"/>
      <w:lvlText w:val="%1.%2.%3.%4.%5.%6.%7.%8.%9"/>
      <w:lvlJc w:val="left"/>
      <w:pPr>
        <w:tabs>
          <w:tab w:val="left" w:pos="5928"/>
        </w:tabs>
        <w:ind w:left="5928" w:hanging="840"/>
      </w:pPr>
      <w:rPr>
        <w:rFonts w:hint="eastAsia" w:ascii="黑体" w:eastAsia="黑体"/>
        <w:b/>
      </w:rPr>
    </w:lvl>
  </w:abstractNum>
  <w:abstractNum w:abstractNumId="2">
    <w:nsid w:val="00000008"/>
    <w:multiLevelType w:val="singleLevel"/>
    <w:tmpl w:val="00000008"/>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3">
    <w:nsid w:val="0000000B"/>
    <w:multiLevelType w:val="multilevel"/>
    <w:tmpl w:val="0000000B"/>
    <w:lvl w:ilvl="0" w:tentative="0">
      <w:start w:val="1"/>
      <w:numFmt w:val="decimal"/>
      <w:pStyle w:val="29"/>
      <w:lvlText w:val="%1."/>
      <w:lvlJc w:val="left"/>
      <w:pPr>
        <w:tabs>
          <w:tab w:val="left" w:pos="1200"/>
        </w:tabs>
        <w:ind w:left="1200" w:hanging="360"/>
      </w:p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4">
    <w:nsid w:val="0000000D"/>
    <w:multiLevelType w:val="multilevel"/>
    <w:tmpl w:val="0000000D"/>
    <w:lvl w:ilvl="0" w:tentative="0">
      <w:start w:val="1"/>
      <w:numFmt w:val="decimal"/>
      <w:pStyle w:val="38"/>
      <w:lvlText w:val="%1."/>
      <w:lvlJc w:val="left"/>
      <w:pPr>
        <w:tabs>
          <w:tab w:val="left" w:pos="1620"/>
        </w:tabs>
        <w:ind w:left="1620" w:hanging="360"/>
      </w:pPr>
    </w:lvl>
    <w:lvl w:ilvl="1" w:tentative="0">
      <w:start w:val="1"/>
      <w:numFmt w:val="decimal"/>
      <w:lvlText w:val="%1.%2"/>
      <w:lvlJc w:val="left"/>
      <w:pPr>
        <w:tabs>
          <w:tab w:val="left" w:pos="1596"/>
        </w:tabs>
        <w:ind w:left="1596" w:hanging="840"/>
      </w:pPr>
      <w:rPr>
        <w:rFonts w:hint="eastAsia" w:ascii="黑体" w:eastAsia="黑体"/>
        <w:b/>
      </w:rPr>
    </w:lvl>
    <w:lvl w:ilvl="2" w:tentative="0">
      <w:start w:val="1"/>
      <w:numFmt w:val="decimal"/>
      <w:lvlText w:val="%1.%2.%3"/>
      <w:lvlJc w:val="left"/>
      <w:pPr>
        <w:tabs>
          <w:tab w:val="left" w:pos="2352"/>
        </w:tabs>
        <w:ind w:left="2352" w:hanging="840"/>
      </w:pPr>
      <w:rPr>
        <w:rFonts w:hint="eastAsia" w:ascii="黑体" w:eastAsia="黑体"/>
        <w:b/>
      </w:rPr>
    </w:lvl>
    <w:lvl w:ilvl="3" w:tentative="0">
      <w:start w:val="1"/>
      <w:numFmt w:val="decimal"/>
      <w:lvlText w:val="%1.%2.%3.%4"/>
      <w:lvlJc w:val="left"/>
      <w:pPr>
        <w:tabs>
          <w:tab w:val="left" w:pos="3108"/>
        </w:tabs>
        <w:ind w:left="3108" w:hanging="840"/>
      </w:pPr>
      <w:rPr>
        <w:rFonts w:hint="eastAsia" w:ascii="黑体" w:eastAsia="黑体"/>
        <w:b/>
      </w:rPr>
    </w:lvl>
    <w:lvl w:ilvl="4" w:tentative="0">
      <w:start w:val="1"/>
      <w:numFmt w:val="decimal"/>
      <w:lvlText w:val="%1.%2.%3.%4.%5"/>
      <w:lvlJc w:val="left"/>
      <w:pPr>
        <w:tabs>
          <w:tab w:val="left" w:pos="3864"/>
        </w:tabs>
        <w:ind w:left="3864" w:hanging="840"/>
      </w:pPr>
      <w:rPr>
        <w:rFonts w:hint="eastAsia" w:ascii="黑体" w:eastAsia="黑体"/>
        <w:b/>
      </w:rPr>
    </w:lvl>
    <w:lvl w:ilvl="5" w:tentative="0">
      <w:start w:val="1"/>
      <w:numFmt w:val="decimal"/>
      <w:lvlText w:val="%1.%2.%3.%4.%5.%6"/>
      <w:lvlJc w:val="left"/>
      <w:pPr>
        <w:tabs>
          <w:tab w:val="left" w:pos="4620"/>
        </w:tabs>
        <w:ind w:left="4620" w:hanging="840"/>
      </w:pPr>
      <w:rPr>
        <w:rFonts w:hint="eastAsia" w:ascii="黑体" w:eastAsia="黑体"/>
        <w:b/>
      </w:rPr>
    </w:lvl>
    <w:lvl w:ilvl="6" w:tentative="0">
      <w:start w:val="1"/>
      <w:numFmt w:val="decimal"/>
      <w:lvlText w:val="%1.%2.%3.%4.%5.%6.%7"/>
      <w:lvlJc w:val="left"/>
      <w:pPr>
        <w:tabs>
          <w:tab w:val="left" w:pos="5376"/>
        </w:tabs>
        <w:ind w:left="5376" w:hanging="840"/>
      </w:pPr>
      <w:rPr>
        <w:rFonts w:hint="eastAsia" w:ascii="黑体" w:eastAsia="黑体"/>
        <w:b/>
      </w:rPr>
    </w:lvl>
    <w:lvl w:ilvl="7" w:tentative="0">
      <w:start w:val="1"/>
      <w:numFmt w:val="decimal"/>
      <w:lvlText w:val="%1.%2.%3.%4.%5.%6.%7.%8"/>
      <w:lvlJc w:val="left"/>
      <w:pPr>
        <w:tabs>
          <w:tab w:val="left" w:pos="6132"/>
        </w:tabs>
        <w:ind w:left="6132" w:hanging="840"/>
      </w:pPr>
      <w:rPr>
        <w:rFonts w:hint="eastAsia" w:ascii="黑体" w:eastAsia="黑体"/>
        <w:b/>
      </w:rPr>
    </w:lvl>
    <w:lvl w:ilvl="8" w:tentative="0">
      <w:start w:val="1"/>
      <w:numFmt w:val="decimal"/>
      <w:lvlText w:val="%1.%2.%3.%4.%5.%6.%7.%8.%9"/>
      <w:lvlJc w:val="left"/>
      <w:pPr>
        <w:tabs>
          <w:tab w:val="left" w:pos="6888"/>
        </w:tabs>
        <w:ind w:left="6888" w:hanging="840"/>
      </w:pPr>
      <w:rPr>
        <w:rFonts w:hint="eastAsia" w:ascii="黑体" w:eastAsia="黑体"/>
        <w:b/>
      </w:rPr>
    </w:lvl>
  </w:abstractNum>
  <w:abstractNum w:abstractNumId="5">
    <w:nsid w:val="0000000E"/>
    <w:multiLevelType w:val="singleLevel"/>
    <w:tmpl w:val="0000000E"/>
    <w:lvl w:ilvl="0" w:tentative="0">
      <w:start w:val="1"/>
      <w:numFmt w:val="decimal"/>
      <w:pStyle w:val="17"/>
      <w:lvlText w:val="%1."/>
      <w:lvlJc w:val="left"/>
      <w:pPr>
        <w:tabs>
          <w:tab w:val="left" w:pos="360"/>
        </w:tabs>
        <w:ind w:left="360" w:hanging="360"/>
      </w:pPr>
    </w:lvl>
  </w:abstractNum>
  <w:abstractNum w:abstractNumId="6">
    <w:nsid w:val="0000000F"/>
    <w:multiLevelType w:val="multilevel"/>
    <w:tmpl w:val="0000000F"/>
    <w:lvl w:ilvl="0" w:tentative="0">
      <w:start w:val="1"/>
      <w:numFmt w:val="bullet"/>
      <w:pStyle w:val="37"/>
      <w:lvlText w:val=""/>
      <w:lvlJc w:val="left"/>
      <w:pPr>
        <w:tabs>
          <w:tab w:val="left" w:pos="2040"/>
        </w:tabs>
        <w:ind w:left="2040" w:hanging="360"/>
      </w:pPr>
      <w:rPr>
        <w:rFonts w:hint="default" w:ascii="Wingdings" w:hAnsi="Wingdings"/>
      </w:rPr>
    </w:lvl>
    <w:lvl w:ilvl="1" w:tentative="0">
      <w:start w:val="1"/>
      <w:numFmt w:val="decimal"/>
      <w:lvlText w:val="%1．%2"/>
      <w:lvlJc w:val="left"/>
      <w:pPr>
        <w:tabs>
          <w:tab w:val="left" w:pos="1860"/>
        </w:tabs>
        <w:ind w:left="1860" w:hanging="1464"/>
      </w:pPr>
      <w:rPr>
        <w:rFonts w:hint="eastAsia" w:ascii="黑体" w:eastAsia="黑体"/>
        <w:b/>
      </w:rPr>
    </w:lvl>
    <w:lvl w:ilvl="2" w:tentative="0">
      <w:start w:val="8"/>
      <w:numFmt w:val="decimal"/>
      <w:lvlText w:val="%1．%2．%3"/>
      <w:lvlJc w:val="left"/>
      <w:pPr>
        <w:tabs>
          <w:tab w:val="left" w:pos="2256"/>
        </w:tabs>
        <w:ind w:left="2256" w:hanging="1464"/>
      </w:pPr>
      <w:rPr>
        <w:rFonts w:hint="eastAsia" w:ascii="黑体" w:eastAsia="黑体"/>
        <w:b/>
      </w:rPr>
    </w:lvl>
    <w:lvl w:ilvl="3" w:tentative="0">
      <w:start w:val="1"/>
      <w:numFmt w:val="decimal"/>
      <w:lvlText w:val="%1．%2．%3.%4"/>
      <w:lvlJc w:val="left"/>
      <w:pPr>
        <w:tabs>
          <w:tab w:val="left" w:pos="2652"/>
        </w:tabs>
        <w:ind w:left="2652" w:hanging="1464"/>
      </w:pPr>
      <w:rPr>
        <w:rFonts w:hint="eastAsia" w:ascii="黑体" w:eastAsia="黑体"/>
        <w:b/>
      </w:rPr>
    </w:lvl>
    <w:lvl w:ilvl="4" w:tentative="0">
      <w:start w:val="1"/>
      <w:numFmt w:val="decimal"/>
      <w:lvlText w:val="%1．%2．%3.%4.%5"/>
      <w:lvlJc w:val="left"/>
      <w:pPr>
        <w:tabs>
          <w:tab w:val="left" w:pos="3048"/>
        </w:tabs>
        <w:ind w:left="3048" w:hanging="1464"/>
      </w:pPr>
      <w:rPr>
        <w:rFonts w:hint="eastAsia" w:ascii="黑体" w:eastAsia="黑体"/>
        <w:b/>
      </w:rPr>
    </w:lvl>
    <w:lvl w:ilvl="5" w:tentative="0">
      <w:start w:val="1"/>
      <w:numFmt w:val="decimal"/>
      <w:lvlText w:val="%1．%2．%3.%4.%5.%6"/>
      <w:lvlJc w:val="left"/>
      <w:pPr>
        <w:tabs>
          <w:tab w:val="left" w:pos="3444"/>
        </w:tabs>
        <w:ind w:left="3444" w:hanging="1464"/>
      </w:pPr>
      <w:rPr>
        <w:rFonts w:hint="eastAsia" w:ascii="黑体" w:eastAsia="黑体"/>
        <w:b/>
      </w:rPr>
    </w:lvl>
    <w:lvl w:ilvl="6" w:tentative="0">
      <w:start w:val="1"/>
      <w:numFmt w:val="decimal"/>
      <w:lvlText w:val="%1．%2．%3.%4.%5.%6.%7"/>
      <w:lvlJc w:val="left"/>
      <w:pPr>
        <w:tabs>
          <w:tab w:val="left" w:pos="3840"/>
        </w:tabs>
        <w:ind w:left="3840" w:hanging="1464"/>
      </w:pPr>
      <w:rPr>
        <w:rFonts w:hint="eastAsia" w:ascii="黑体" w:eastAsia="黑体"/>
        <w:b/>
      </w:rPr>
    </w:lvl>
    <w:lvl w:ilvl="7" w:tentative="0">
      <w:start w:val="1"/>
      <w:numFmt w:val="decimal"/>
      <w:lvlText w:val="%1．%2．%3.%4.%5.%6.%7.%8"/>
      <w:lvlJc w:val="left"/>
      <w:pPr>
        <w:tabs>
          <w:tab w:val="left" w:pos="4236"/>
        </w:tabs>
        <w:ind w:left="4236" w:hanging="1464"/>
      </w:pPr>
      <w:rPr>
        <w:rFonts w:hint="eastAsia" w:ascii="黑体" w:eastAsia="黑体"/>
        <w:b/>
      </w:rPr>
    </w:lvl>
    <w:lvl w:ilvl="8" w:tentative="0">
      <w:start w:val="1"/>
      <w:numFmt w:val="decimal"/>
      <w:lvlText w:val="%1．%2．%3.%4.%5.%6.%7.%8.%9"/>
      <w:lvlJc w:val="left"/>
      <w:pPr>
        <w:tabs>
          <w:tab w:val="left" w:pos="4632"/>
        </w:tabs>
        <w:ind w:left="4632" w:hanging="1464"/>
      </w:pPr>
      <w:rPr>
        <w:rFonts w:hint="eastAsia" w:ascii="黑体" w:eastAsia="黑体"/>
        <w:b/>
      </w:rPr>
    </w:lvl>
  </w:abstractNum>
  <w:abstractNum w:abstractNumId="7">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8">
    <w:nsid w:val="00000012"/>
    <w:multiLevelType w:val="singleLevel"/>
    <w:tmpl w:val="00000012"/>
    <w:lvl w:ilvl="0" w:tentative="0">
      <w:start w:val="1"/>
      <w:numFmt w:val="decimal"/>
      <w:pStyle w:val="50"/>
      <w:lvlText w:val="%1."/>
      <w:lvlJc w:val="left"/>
      <w:pPr>
        <w:tabs>
          <w:tab w:val="left" w:pos="2040"/>
        </w:tabs>
        <w:ind w:left="2040" w:hanging="360"/>
      </w:pPr>
    </w:lvl>
  </w:abstractNum>
  <w:abstractNum w:abstractNumId="9">
    <w:nsid w:val="1F234733"/>
    <w:multiLevelType w:val="multilevel"/>
    <w:tmpl w:val="1F234733"/>
    <w:lvl w:ilvl="0" w:tentative="0">
      <w:start w:val="1"/>
      <w:numFmt w:val="decimal"/>
      <w:pStyle w:val="13"/>
      <w:lvlText w:val="%1."/>
      <w:lvlJc w:val="left"/>
      <w:pPr>
        <w:ind w:left="730" w:hanging="420"/>
      </w:pPr>
      <w:rPr>
        <w:rFonts w:hint="default"/>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num w:numId="1">
    <w:abstractNumId w:val="9"/>
  </w:num>
  <w:num w:numId="2">
    <w:abstractNumId w:val="7"/>
  </w:num>
  <w:num w:numId="3">
    <w:abstractNumId w:val="5"/>
  </w:num>
  <w:num w:numId="4">
    <w:abstractNumId w:val="2"/>
  </w:num>
  <w:num w:numId="5">
    <w:abstractNumId w:val="0"/>
  </w:num>
  <w:num w:numId="6">
    <w:abstractNumId w:val="3"/>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3"/>
    </o:shapelayou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4"/>
    <w:rsid w:val="00003501"/>
    <w:rsid w:val="00016A8F"/>
    <w:rsid w:val="0003203F"/>
    <w:rsid w:val="00032125"/>
    <w:rsid w:val="0003353D"/>
    <w:rsid w:val="000350C6"/>
    <w:rsid w:val="0004148C"/>
    <w:rsid w:val="000422BF"/>
    <w:rsid w:val="00043718"/>
    <w:rsid w:val="000504CF"/>
    <w:rsid w:val="00050F6D"/>
    <w:rsid w:val="00053422"/>
    <w:rsid w:val="00053D9F"/>
    <w:rsid w:val="000550F0"/>
    <w:rsid w:val="00056771"/>
    <w:rsid w:val="000610E4"/>
    <w:rsid w:val="00061CE6"/>
    <w:rsid w:val="00063B0C"/>
    <w:rsid w:val="0006490F"/>
    <w:rsid w:val="0007133F"/>
    <w:rsid w:val="00077B9E"/>
    <w:rsid w:val="000824E8"/>
    <w:rsid w:val="00082AF7"/>
    <w:rsid w:val="000871FC"/>
    <w:rsid w:val="00091919"/>
    <w:rsid w:val="00091F4C"/>
    <w:rsid w:val="00093B72"/>
    <w:rsid w:val="000976DF"/>
    <w:rsid w:val="000A2144"/>
    <w:rsid w:val="000A4216"/>
    <w:rsid w:val="000A4E51"/>
    <w:rsid w:val="000A58FC"/>
    <w:rsid w:val="000A7EF9"/>
    <w:rsid w:val="000B6C73"/>
    <w:rsid w:val="000C26BC"/>
    <w:rsid w:val="000D1D64"/>
    <w:rsid w:val="000E05BB"/>
    <w:rsid w:val="000E2D20"/>
    <w:rsid w:val="000E7DA2"/>
    <w:rsid w:val="000F12F5"/>
    <w:rsid w:val="000F2E1C"/>
    <w:rsid w:val="000F2F65"/>
    <w:rsid w:val="000F312F"/>
    <w:rsid w:val="00100E41"/>
    <w:rsid w:val="00104283"/>
    <w:rsid w:val="0010593E"/>
    <w:rsid w:val="001063F7"/>
    <w:rsid w:val="001064A2"/>
    <w:rsid w:val="00110257"/>
    <w:rsid w:val="0011583C"/>
    <w:rsid w:val="00116502"/>
    <w:rsid w:val="00120605"/>
    <w:rsid w:val="00120F01"/>
    <w:rsid w:val="0012114C"/>
    <w:rsid w:val="001216EF"/>
    <w:rsid w:val="00121B3D"/>
    <w:rsid w:val="00124155"/>
    <w:rsid w:val="001254B2"/>
    <w:rsid w:val="00135DC3"/>
    <w:rsid w:val="00137B00"/>
    <w:rsid w:val="00137CEB"/>
    <w:rsid w:val="00137F05"/>
    <w:rsid w:val="00144247"/>
    <w:rsid w:val="00160F91"/>
    <w:rsid w:val="00161A97"/>
    <w:rsid w:val="00165487"/>
    <w:rsid w:val="00166877"/>
    <w:rsid w:val="00166AF5"/>
    <w:rsid w:val="0016774C"/>
    <w:rsid w:val="001677AD"/>
    <w:rsid w:val="00170226"/>
    <w:rsid w:val="00170D27"/>
    <w:rsid w:val="00172A27"/>
    <w:rsid w:val="0017454E"/>
    <w:rsid w:val="00176CBB"/>
    <w:rsid w:val="00177B07"/>
    <w:rsid w:val="00182AFD"/>
    <w:rsid w:val="001852F6"/>
    <w:rsid w:val="00185532"/>
    <w:rsid w:val="00192566"/>
    <w:rsid w:val="001925E3"/>
    <w:rsid w:val="00194314"/>
    <w:rsid w:val="00196B70"/>
    <w:rsid w:val="001A0ED2"/>
    <w:rsid w:val="001B23B5"/>
    <w:rsid w:val="001B3E87"/>
    <w:rsid w:val="001B6622"/>
    <w:rsid w:val="001B69CC"/>
    <w:rsid w:val="001C074F"/>
    <w:rsid w:val="001C0D3E"/>
    <w:rsid w:val="001C0F72"/>
    <w:rsid w:val="001C3741"/>
    <w:rsid w:val="001D18C2"/>
    <w:rsid w:val="001D4591"/>
    <w:rsid w:val="001E390F"/>
    <w:rsid w:val="001E7053"/>
    <w:rsid w:val="001E7C8D"/>
    <w:rsid w:val="00200B68"/>
    <w:rsid w:val="002017E4"/>
    <w:rsid w:val="00201980"/>
    <w:rsid w:val="002023C7"/>
    <w:rsid w:val="00203AB8"/>
    <w:rsid w:val="00210938"/>
    <w:rsid w:val="00213ECD"/>
    <w:rsid w:val="002162AE"/>
    <w:rsid w:val="00226A77"/>
    <w:rsid w:val="0023061A"/>
    <w:rsid w:val="00233205"/>
    <w:rsid w:val="00242C5E"/>
    <w:rsid w:val="002524B7"/>
    <w:rsid w:val="00253746"/>
    <w:rsid w:val="00254ACE"/>
    <w:rsid w:val="00260D9C"/>
    <w:rsid w:val="0026123A"/>
    <w:rsid w:val="00261BE8"/>
    <w:rsid w:val="0026265B"/>
    <w:rsid w:val="00263294"/>
    <w:rsid w:val="00265F82"/>
    <w:rsid w:val="00266D18"/>
    <w:rsid w:val="00271C5C"/>
    <w:rsid w:val="00272041"/>
    <w:rsid w:val="00273AEC"/>
    <w:rsid w:val="00276F10"/>
    <w:rsid w:val="00277891"/>
    <w:rsid w:val="00282E78"/>
    <w:rsid w:val="002874D5"/>
    <w:rsid w:val="002923E0"/>
    <w:rsid w:val="00292DD5"/>
    <w:rsid w:val="00292DE8"/>
    <w:rsid w:val="00293A24"/>
    <w:rsid w:val="00294B41"/>
    <w:rsid w:val="002A0213"/>
    <w:rsid w:val="002A2411"/>
    <w:rsid w:val="002A3607"/>
    <w:rsid w:val="002B0B0D"/>
    <w:rsid w:val="002B0DF8"/>
    <w:rsid w:val="002B38D1"/>
    <w:rsid w:val="002B3EDC"/>
    <w:rsid w:val="002B4D03"/>
    <w:rsid w:val="002B5562"/>
    <w:rsid w:val="002C1C15"/>
    <w:rsid w:val="002C1CFA"/>
    <w:rsid w:val="002C1FA5"/>
    <w:rsid w:val="002C32B5"/>
    <w:rsid w:val="002C7D19"/>
    <w:rsid w:val="002D5F0B"/>
    <w:rsid w:val="002D61DD"/>
    <w:rsid w:val="002D653B"/>
    <w:rsid w:val="002E0A3C"/>
    <w:rsid w:val="002E0DA8"/>
    <w:rsid w:val="002E39E0"/>
    <w:rsid w:val="002E56AC"/>
    <w:rsid w:val="002F5B03"/>
    <w:rsid w:val="00305968"/>
    <w:rsid w:val="00307F11"/>
    <w:rsid w:val="0031004C"/>
    <w:rsid w:val="00313190"/>
    <w:rsid w:val="00313AF2"/>
    <w:rsid w:val="003158BA"/>
    <w:rsid w:val="00315907"/>
    <w:rsid w:val="00317BD4"/>
    <w:rsid w:val="00321D5E"/>
    <w:rsid w:val="0032262C"/>
    <w:rsid w:val="003308EF"/>
    <w:rsid w:val="00332999"/>
    <w:rsid w:val="0033465E"/>
    <w:rsid w:val="0033579F"/>
    <w:rsid w:val="0033676F"/>
    <w:rsid w:val="00336DF7"/>
    <w:rsid w:val="00342837"/>
    <w:rsid w:val="003465F6"/>
    <w:rsid w:val="00346A47"/>
    <w:rsid w:val="00350283"/>
    <w:rsid w:val="00350F85"/>
    <w:rsid w:val="00351DBE"/>
    <w:rsid w:val="0035206C"/>
    <w:rsid w:val="00353620"/>
    <w:rsid w:val="00354A3E"/>
    <w:rsid w:val="003614A2"/>
    <w:rsid w:val="00363B13"/>
    <w:rsid w:val="00364020"/>
    <w:rsid w:val="0036464B"/>
    <w:rsid w:val="003646B3"/>
    <w:rsid w:val="00364FE3"/>
    <w:rsid w:val="0036621D"/>
    <w:rsid w:val="00366DA2"/>
    <w:rsid w:val="00370342"/>
    <w:rsid w:val="003704F0"/>
    <w:rsid w:val="00371DC3"/>
    <w:rsid w:val="00374377"/>
    <w:rsid w:val="00377457"/>
    <w:rsid w:val="003840D1"/>
    <w:rsid w:val="0038553F"/>
    <w:rsid w:val="00385C6B"/>
    <w:rsid w:val="00385D3A"/>
    <w:rsid w:val="00385FD4"/>
    <w:rsid w:val="003863CF"/>
    <w:rsid w:val="003863FB"/>
    <w:rsid w:val="00386FA6"/>
    <w:rsid w:val="003906EC"/>
    <w:rsid w:val="003935F2"/>
    <w:rsid w:val="00393ACA"/>
    <w:rsid w:val="00393EF5"/>
    <w:rsid w:val="0039447D"/>
    <w:rsid w:val="00397A85"/>
    <w:rsid w:val="00397F61"/>
    <w:rsid w:val="003A2097"/>
    <w:rsid w:val="003A2880"/>
    <w:rsid w:val="003A4B9F"/>
    <w:rsid w:val="003A5C6B"/>
    <w:rsid w:val="003A695F"/>
    <w:rsid w:val="003A6D4A"/>
    <w:rsid w:val="003A7869"/>
    <w:rsid w:val="003B1AB9"/>
    <w:rsid w:val="003B2751"/>
    <w:rsid w:val="003B4E2C"/>
    <w:rsid w:val="003B7DCE"/>
    <w:rsid w:val="003C1299"/>
    <w:rsid w:val="003C271C"/>
    <w:rsid w:val="003C6E6B"/>
    <w:rsid w:val="003D01DC"/>
    <w:rsid w:val="003D25CC"/>
    <w:rsid w:val="003D4163"/>
    <w:rsid w:val="003D4E7F"/>
    <w:rsid w:val="003E19D0"/>
    <w:rsid w:val="003E65F2"/>
    <w:rsid w:val="003E745F"/>
    <w:rsid w:val="003E7E49"/>
    <w:rsid w:val="003F0B69"/>
    <w:rsid w:val="003F24AA"/>
    <w:rsid w:val="003F528E"/>
    <w:rsid w:val="003F5D8B"/>
    <w:rsid w:val="004011B8"/>
    <w:rsid w:val="004011E8"/>
    <w:rsid w:val="00403B26"/>
    <w:rsid w:val="00405708"/>
    <w:rsid w:val="004065C0"/>
    <w:rsid w:val="004067FD"/>
    <w:rsid w:val="00406D12"/>
    <w:rsid w:val="00410842"/>
    <w:rsid w:val="00414642"/>
    <w:rsid w:val="00415EF8"/>
    <w:rsid w:val="00416654"/>
    <w:rsid w:val="00416870"/>
    <w:rsid w:val="00425FEA"/>
    <w:rsid w:val="00427433"/>
    <w:rsid w:val="004278DE"/>
    <w:rsid w:val="00430A06"/>
    <w:rsid w:val="00435E93"/>
    <w:rsid w:val="00436634"/>
    <w:rsid w:val="00440225"/>
    <w:rsid w:val="004440AA"/>
    <w:rsid w:val="004448C0"/>
    <w:rsid w:val="00445F19"/>
    <w:rsid w:val="00446382"/>
    <w:rsid w:val="00451426"/>
    <w:rsid w:val="00456710"/>
    <w:rsid w:val="00467162"/>
    <w:rsid w:val="00470CA1"/>
    <w:rsid w:val="00471B40"/>
    <w:rsid w:val="00474F08"/>
    <w:rsid w:val="004754A4"/>
    <w:rsid w:val="00481088"/>
    <w:rsid w:val="004819FA"/>
    <w:rsid w:val="00486D48"/>
    <w:rsid w:val="004923DB"/>
    <w:rsid w:val="00493E11"/>
    <w:rsid w:val="0049579E"/>
    <w:rsid w:val="00497E91"/>
    <w:rsid w:val="004B0923"/>
    <w:rsid w:val="004B24CD"/>
    <w:rsid w:val="004C0C53"/>
    <w:rsid w:val="004C6998"/>
    <w:rsid w:val="004D04B7"/>
    <w:rsid w:val="004D1BAE"/>
    <w:rsid w:val="004D3600"/>
    <w:rsid w:val="004D422B"/>
    <w:rsid w:val="004D42CD"/>
    <w:rsid w:val="004E10E2"/>
    <w:rsid w:val="004E4759"/>
    <w:rsid w:val="004E714F"/>
    <w:rsid w:val="004E79D3"/>
    <w:rsid w:val="004F1701"/>
    <w:rsid w:val="004F1DEB"/>
    <w:rsid w:val="004F274E"/>
    <w:rsid w:val="004F57C0"/>
    <w:rsid w:val="00510982"/>
    <w:rsid w:val="00511130"/>
    <w:rsid w:val="005115C5"/>
    <w:rsid w:val="005129AD"/>
    <w:rsid w:val="005131AC"/>
    <w:rsid w:val="0051784F"/>
    <w:rsid w:val="00522478"/>
    <w:rsid w:val="005226F4"/>
    <w:rsid w:val="005235A4"/>
    <w:rsid w:val="00523BF7"/>
    <w:rsid w:val="00526D6C"/>
    <w:rsid w:val="00527AB5"/>
    <w:rsid w:val="00531DED"/>
    <w:rsid w:val="00532D5B"/>
    <w:rsid w:val="0053472C"/>
    <w:rsid w:val="00535EF4"/>
    <w:rsid w:val="00541D09"/>
    <w:rsid w:val="00541E56"/>
    <w:rsid w:val="00545D43"/>
    <w:rsid w:val="0054696E"/>
    <w:rsid w:val="00546BA8"/>
    <w:rsid w:val="00547C53"/>
    <w:rsid w:val="00552526"/>
    <w:rsid w:val="00553C8A"/>
    <w:rsid w:val="00554596"/>
    <w:rsid w:val="0055547E"/>
    <w:rsid w:val="00562916"/>
    <w:rsid w:val="00565752"/>
    <w:rsid w:val="00567395"/>
    <w:rsid w:val="00573426"/>
    <w:rsid w:val="0058264B"/>
    <w:rsid w:val="005827EA"/>
    <w:rsid w:val="005838DA"/>
    <w:rsid w:val="0059095E"/>
    <w:rsid w:val="00596D63"/>
    <w:rsid w:val="005A215B"/>
    <w:rsid w:val="005B080B"/>
    <w:rsid w:val="005B3DF7"/>
    <w:rsid w:val="005B40D6"/>
    <w:rsid w:val="005B5417"/>
    <w:rsid w:val="005B755D"/>
    <w:rsid w:val="005C1898"/>
    <w:rsid w:val="005C7BF2"/>
    <w:rsid w:val="005D0455"/>
    <w:rsid w:val="005D0508"/>
    <w:rsid w:val="005D19F9"/>
    <w:rsid w:val="005D282A"/>
    <w:rsid w:val="005D4F1B"/>
    <w:rsid w:val="005D5FDC"/>
    <w:rsid w:val="005D6024"/>
    <w:rsid w:val="005E1CB1"/>
    <w:rsid w:val="005E2C73"/>
    <w:rsid w:val="005E4A31"/>
    <w:rsid w:val="005E5C5D"/>
    <w:rsid w:val="005E5E4C"/>
    <w:rsid w:val="005E6ACF"/>
    <w:rsid w:val="005E6BA0"/>
    <w:rsid w:val="005F4ECB"/>
    <w:rsid w:val="005F5367"/>
    <w:rsid w:val="005F7274"/>
    <w:rsid w:val="006002C1"/>
    <w:rsid w:val="006027D7"/>
    <w:rsid w:val="00610265"/>
    <w:rsid w:val="00613FE8"/>
    <w:rsid w:val="00614682"/>
    <w:rsid w:val="0061672A"/>
    <w:rsid w:val="00617053"/>
    <w:rsid w:val="00622157"/>
    <w:rsid w:val="00622993"/>
    <w:rsid w:val="0062396A"/>
    <w:rsid w:val="0062669F"/>
    <w:rsid w:val="00626C9C"/>
    <w:rsid w:val="00627517"/>
    <w:rsid w:val="00631558"/>
    <w:rsid w:val="00634A63"/>
    <w:rsid w:val="00637AF5"/>
    <w:rsid w:val="00637D1C"/>
    <w:rsid w:val="0064090F"/>
    <w:rsid w:val="00641FF9"/>
    <w:rsid w:val="00644D0E"/>
    <w:rsid w:val="006458D2"/>
    <w:rsid w:val="0064651E"/>
    <w:rsid w:val="00647907"/>
    <w:rsid w:val="00652CED"/>
    <w:rsid w:val="0065553A"/>
    <w:rsid w:val="0065700A"/>
    <w:rsid w:val="00660DAF"/>
    <w:rsid w:val="006619FA"/>
    <w:rsid w:val="00661E2A"/>
    <w:rsid w:val="00663B84"/>
    <w:rsid w:val="0066431A"/>
    <w:rsid w:val="00665B62"/>
    <w:rsid w:val="00666BED"/>
    <w:rsid w:val="00666F9E"/>
    <w:rsid w:val="00667BF8"/>
    <w:rsid w:val="0067504A"/>
    <w:rsid w:val="0067551A"/>
    <w:rsid w:val="00680BD3"/>
    <w:rsid w:val="006810CA"/>
    <w:rsid w:val="006854AF"/>
    <w:rsid w:val="0068559B"/>
    <w:rsid w:val="006907AF"/>
    <w:rsid w:val="0069208C"/>
    <w:rsid w:val="00694B99"/>
    <w:rsid w:val="00695A1B"/>
    <w:rsid w:val="006970C7"/>
    <w:rsid w:val="006971B7"/>
    <w:rsid w:val="006A134D"/>
    <w:rsid w:val="006A5FD7"/>
    <w:rsid w:val="006A7433"/>
    <w:rsid w:val="006B3BDB"/>
    <w:rsid w:val="006B473E"/>
    <w:rsid w:val="006B6068"/>
    <w:rsid w:val="006B60A8"/>
    <w:rsid w:val="006B78AC"/>
    <w:rsid w:val="006C3356"/>
    <w:rsid w:val="006C47BD"/>
    <w:rsid w:val="006C583A"/>
    <w:rsid w:val="006D215F"/>
    <w:rsid w:val="006D3BFA"/>
    <w:rsid w:val="006D4AB7"/>
    <w:rsid w:val="006E37AB"/>
    <w:rsid w:val="006E7B7E"/>
    <w:rsid w:val="006F143B"/>
    <w:rsid w:val="006F22A8"/>
    <w:rsid w:val="006F2A0F"/>
    <w:rsid w:val="006F3524"/>
    <w:rsid w:val="006F4846"/>
    <w:rsid w:val="006F68CC"/>
    <w:rsid w:val="00701692"/>
    <w:rsid w:val="00705D01"/>
    <w:rsid w:val="00710906"/>
    <w:rsid w:val="00712121"/>
    <w:rsid w:val="007129BE"/>
    <w:rsid w:val="007137FC"/>
    <w:rsid w:val="00714216"/>
    <w:rsid w:val="0071502E"/>
    <w:rsid w:val="0071636E"/>
    <w:rsid w:val="00717944"/>
    <w:rsid w:val="007255A4"/>
    <w:rsid w:val="00725E03"/>
    <w:rsid w:val="007315D4"/>
    <w:rsid w:val="0073313F"/>
    <w:rsid w:val="00735A0C"/>
    <w:rsid w:val="007369B6"/>
    <w:rsid w:val="00737C20"/>
    <w:rsid w:val="0074009F"/>
    <w:rsid w:val="00746FD9"/>
    <w:rsid w:val="007506CB"/>
    <w:rsid w:val="007614A6"/>
    <w:rsid w:val="00762E45"/>
    <w:rsid w:val="007654EE"/>
    <w:rsid w:val="00765FE6"/>
    <w:rsid w:val="00766E81"/>
    <w:rsid w:val="0077165A"/>
    <w:rsid w:val="00771E7F"/>
    <w:rsid w:val="00773291"/>
    <w:rsid w:val="00774F0A"/>
    <w:rsid w:val="007763B5"/>
    <w:rsid w:val="00777110"/>
    <w:rsid w:val="00784E4F"/>
    <w:rsid w:val="00786729"/>
    <w:rsid w:val="00787881"/>
    <w:rsid w:val="0079123C"/>
    <w:rsid w:val="00793289"/>
    <w:rsid w:val="007959C8"/>
    <w:rsid w:val="00795BCD"/>
    <w:rsid w:val="00795C06"/>
    <w:rsid w:val="0079737D"/>
    <w:rsid w:val="007977C1"/>
    <w:rsid w:val="00797C1E"/>
    <w:rsid w:val="007A38F7"/>
    <w:rsid w:val="007A48CE"/>
    <w:rsid w:val="007A4C1D"/>
    <w:rsid w:val="007A54FD"/>
    <w:rsid w:val="007B0A57"/>
    <w:rsid w:val="007B0CE0"/>
    <w:rsid w:val="007B203A"/>
    <w:rsid w:val="007B4DFA"/>
    <w:rsid w:val="007C2736"/>
    <w:rsid w:val="007C32A1"/>
    <w:rsid w:val="007D51BE"/>
    <w:rsid w:val="007D6E95"/>
    <w:rsid w:val="007D6EFA"/>
    <w:rsid w:val="007D78A1"/>
    <w:rsid w:val="007D7C32"/>
    <w:rsid w:val="007E29BE"/>
    <w:rsid w:val="007E57CF"/>
    <w:rsid w:val="007E708D"/>
    <w:rsid w:val="007E732C"/>
    <w:rsid w:val="007E784E"/>
    <w:rsid w:val="007F0361"/>
    <w:rsid w:val="00800906"/>
    <w:rsid w:val="008029B9"/>
    <w:rsid w:val="00802D3F"/>
    <w:rsid w:val="00805EA2"/>
    <w:rsid w:val="008077EA"/>
    <w:rsid w:val="00810ACF"/>
    <w:rsid w:val="008131EA"/>
    <w:rsid w:val="00815188"/>
    <w:rsid w:val="00817117"/>
    <w:rsid w:val="00820B90"/>
    <w:rsid w:val="00826F73"/>
    <w:rsid w:val="008278A0"/>
    <w:rsid w:val="00831E96"/>
    <w:rsid w:val="008325FF"/>
    <w:rsid w:val="008350F2"/>
    <w:rsid w:val="00837EB8"/>
    <w:rsid w:val="008406ED"/>
    <w:rsid w:val="00841369"/>
    <w:rsid w:val="0084165D"/>
    <w:rsid w:val="00841DE3"/>
    <w:rsid w:val="0084314B"/>
    <w:rsid w:val="008434E6"/>
    <w:rsid w:val="00843E0E"/>
    <w:rsid w:val="00847625"/>
    <w:rsid w:val="00847CF6"/>
    <w:rsid w:val="00852675"/>
    <w:rsid w:val="00852F0E"/>
    <w:rsid w:val="00853BDA"/>
    <w:rsid w:val="0085595A"/>
    <w:rsid w:val="00855D73"/>
    <w:rsid w:val="0085717C"/>
    <w:rsid w:val="00862146"/>
    <w:rsid w:val="00862B64"/>
    <w:rsid w:val="00863269"/>
    <w:rsid w:val="0086405A"/>
    <w:rsid w:val="00865068"/>
    <w:rsid w:val="00866461"/>
    <w:rsid w:val="00866622"/>
    <w:rsid w:val="00866A72"/>
    <w:rsid w:val="00872088"/>
    <w:rsid w:val="00872AB5"/>
    <w:rsid w:val="008745D6"/>
    <w:rsid w:val="00880D4C"/>
    <w:rsid w:val="0088196C"/>
    <w:rsid w:val="008915A1"/>
    <w:rsid w:val="008916C5"/>
    <w:rsid w:val="00893C64"/>
    <w:rsid w:val="008954CD"/>
    <w:rsid w:val="008A06A8"/>
    <w:rsid w:val="008A18F2"/>
    <w:rsid w:val="008A21AF"/>
    <w:rsid w:val="008A22BF"/>
    <w:rsid w:val="008A22C5"/>
    <w:rsid w:val="008A53BE"/>
    <w:rsid w:val="008B1929"/>
    <w:rsid w:val="008B3193"/>
    <w:rsid w:val="008C403E"/>
    <w:rsid w:val="008C5059"/>
    <w:rsid w:val="008C5E75"/>
    <w:rsid w:val="008D0741"/>
    <w:rsid w:val="008D076B"/>
    <w:rsid w:val="008E1F47"/>
    <w:rsid w:val="008E62A2"/>
    <w:rsid w:val="008F3087"/>
    <w:rsid w:val="008F41F0"/>
    <w:rsid w:val="008F7C4D"/>
    <w:rsid w:val="00900BD7"/>
    <w:rsid w:val="009043EF"/>
    <w:rsid w:val="00904E48"/>
    <w:rsid w:val="009155F4"/>
    <w:rsid w:val="00926431"/>
    <w:rsid w:val="00926651"/>
    <w:rsid w:val="0092676C"/>
    <w:rsid w:val="009300EB"/>
    <w:rsid w:val="0093126D"/>
    <w:rsid w:val="009365DB"/>
    <w:rsid w:val="0093733C"/>
    <w:rsid w:val="009413F0"/>
    <w:rsid w:val="0094274A"/>
    <w:rsid w:val="00943AFA"/>
    <w:rsid w:val="00946139"/>
    <w:rsid w:val="009471D3"/>
    <w:rsid w:val="00947851"/>
    <w:rsid w:val="009505CE"/>
    <w:rsid w:val="00955307"/>
    <w:rsid w:val="00963887"/>
    <w:rsid w:val="00963EB0"/>
    <w:rsid w:val="00966546"/>
    <w:rsid w:val="00966832"/>
    <w:rsid w:val="00966A38"/>
    <w:rsid w:val="00967A68"/>
    <w:rsid w:val="0097047D"/>
    <w:rsid w:val="00970768"/>
    <w:rsid w:val="00972F0A"/>
    <w:rsid w:val="00975B86"/>
    <w:rsid w:val="00976579"/>
    <w:rsid w:val="00980519"/>
    <w:rsid w:val="00981E7D"/>
    <w:rsid w:val="00986414"/>
    <w:rsid w:val="009926C4"/>
    <w:rsid w:val="009927F2"/>
    <w:rsid w:val="009934FA"/>
    <w:rsid w:val="009963E6"/>
    <w:rsid w:val="009A301D"/>
    <w:rsid w:val="009A388F"/>
    <w:rsid w:val="009A43FA"/>
    <w:rsid w:val="009A5228"/>
    <w:rsid w:val="009A5B48"/>
    <w:rsid w:val="009A69E8"/>
    <w:rsid w:val="009A6A17"/>
    <w:rsid w:val="009B1698"/>
    <w:rsid w:val="009B18C7"/>
    <w:rsid w:val="009B1C00"/>
    <w:rsid w:val="009C055E"/>
    <w:rsid w:val="009C3A76"/>
    <w:rsid w:val="009C5DE3"/>
    <w:rsid w:val="009C60E1"/>
    <w:rsid w:val="009D011D"/>
    <w:rsid w:val="009D01A5"/>
    <w:rsid w:val="009D264F"/>
    <w:rsid w:val="009D314F"/>
    <w:rsid w:val="009D6F80"/>
    <w:rsid w:val="009E181F"/>
    <w:rsid w:val="009E1911"/>
    <w:rsid w:val="009E352C"/>
    <w:rsid w:val="009E5010"/>
    <w:rsid w:val="009F1715"/>
    <w:rsid w:val="009F4E7E"/>
    <w:rsid w:val="009F7233"/>
    <w:rsid w:val="009F73FE"/>
    <w:rsid w:val="00A0099B"/>
    <w:rsid w:val="00A01E1A"/>
    <w:rsid w:val="00A02D86"/>
    <w:rsid w:val="00A02F1F"/>
    <w:rsid w:val="00A053E5"/>
    <w:rsid w:val="00A06B79"/>
    <w:rsid w:val="00A075AE"/>
    <w:rsid w:val="00A12018"/>
    <w:rsid w:val="00A12BF5"/>
    <w:rsid w:val="00A12F65"/>
    <w:rsid w:val="00A16236"/>
    <w:rsid w:val="00A21308"/>
    <w:rsid w:val="00A21D2C"/>
    <w:rsid w:val="00A22882"/>
    <w:rsid w:val="00A24475"/>
    <w:rsid w:val="00A3252E"/>
    <w:rsid w:val="00A33EA9"/>
    <w:rsid w:val="00A3662A"/>
    <w:rsid w:val="00A37664"/>
    <w:rsid w:val="00A42839"/>
    <w:rsid w:val="00A4397E"/>
    <w:rsid w:val="00A453B0"/>
    <w:rsid w:val="00A463A7"/>
    <w:rsid w:val="00A47F29"/>
    <w:rsid w:val="00A506CD"/>
    <w:rsid w:val="00A51245"/>
    <w:rsid w:val="00A51BF5"/>
    <w:rsid w:val="00A520F6"/>
    <w:rsid w:val="00A54A55"/>
    <w:rsid w:val="00A55110"/>
    <w:rsid w:val="00A61E7C"/>
    <w:rsid w:val="00A62752"/>
    <w:rsid w:val="00A66586"/>
    <w:rsid w:val="00A66C09"/>
    <w:rsid w:val="00A7087A"/>
    <w:rsid w:val="00A72FB7"/>
    <w:rsid w:val="00A72FBC"/>
    <w:rsid w:val="00A736E4"/>
    <w:rsid w:val="00A841F0"/>
    <w:rsid w:val="00A84844"/>
    <w:rsid w:val="00A85E78"/>
    <w:rsid w:val="00A87CC7"/>
    <w:rsid w:val="00A9468F"/>
    <w:rsid w:val="00A967EE"/>
    <w:rsid w:val="00A978EA"/>
    <w:rsid w:val="00AA3B1D"/>
    <w:rsid w:val="00AA3B8D"/>
    <w:rsid w:val="00AA517F"/>
    <w:rsid w:val="00AA67E9"/>
    <w:rsid w:val="00AA78B6"/>
    <w:rsid w:val="00AB17B0"/>
    <w:rsid w:val="00AB49DC"/>
    <w:rsid w:val="00AB4B12"/>
    <w:rsid w:val="00AB56DC"/>
    <w:rsid w:val="00AB6808"/>
    <w:rsid w:val="00AC14D9"/>
    <w:rsid w:val="00AC1C1F"/>
    <w:rsid w:val="00AC4473"/>
    <w:rsid w:val="00AD4109"/>
    <w:rsid w:val="00AD43A3"/>
    <w:rsid w:val="00AD5029"/>
    <w:rsid w:val="00AD551C"/>
    <w:rsid w:val="00AD6A94"/>
    <w:rsid w:val="00AD7D82"/>
    <w:rsid w:val="00AE2BD5"/>
    <w:rsid w:val="00AE2BE1"/>
    <w:rsid w:val="00AE70C4"/>
    <w:rsid w:val="00AE7363"/>
    <w:rsid w:val="00AF2B1B"/>
    <w:rsid w:val="00AF6E85"/>
    <w:rsid w:val="00AF742F"/>
    <w:rsid w:val="00B018DA"/>
    <w:rsid w:val="00B04B99"/>
    <w:rsid w:val="00B10F84"/>
    <w:rsid w:val="00B13DEF"/>
    <w:rsid w:val="00B149C9"/>
    <w:rsid w:val="00B14B53"/>
    <w:rsid w:val="00B16D29"/>
    <w:rsid w:val="00B2527A"/>
    <w:rsid w:val="00B27EB1"/>
    <w:rsid w:val="00B302C8"/>
    <w:rsid w:val="00B31652"/>
    <w:rsid w:val="00B32245"/>
    <w:rsid w:val="00B32261"/>
    <w:rsid w:val="00B33A71"/>
    <w:rsid w:val="00B35105"/>
    <w:rsid w:val="00B36681"/>
    <w:rsid w:val="00B37EF0"/>
    <w:rsid w:val="00B41973"/>
    <w:rsid w:val="00B42984"/>
    <w:rsid w:val="00B46EE6"/>
    <w:rsid w:val="00B47F10"/>
    <w:rsid w:val="00B5063D"/>
    <w:rsid w:val="00B50F73"/>
    <w:rsid w:val="00B54FD7"/>
    <w:rsid w:val="00B61851"/>
    <w:rsid w:val="00B62F37"/>
    <w:rsid w:val="00B667AE"/>
    <w:rsid w:val="00B67508"/>
    <w:rsid w:val="00B726AE"/>
    <w:rsid w:val="00B73D9B"/>
    <w:rsid w:val="00B742C5"/>
    <w:rsid w:val="00B74348"/>
    <w:rsid w:val="00B75974"/>
    <w:rsid w:val="00B80C77"/>
    <w:rsid w:val="00B8208A"/>
    <w:rsid w:val="00B8438D"/>
    <w:rsid w:val="00B95626"/>
    <w:rsid w:val="00B9672F"/>
    <w:rsid w:val="00BA2623"/>
    <w:rsid w:val="00BA5D0A"/>
    <w:rsid w:val="00BB5F6A"/>
    <w:rsid w:val="00BC0B02"/>
    <w:rsid w:val="00BC0CEC"/>
    <w:rsid w:val="00BC3FEA"/>
    <w:rsid w:val="00BC4D05"/>
    <w:rsid w:val="00BC51E6"/>
    <w:rsid w:val="00BC73EA"/>
    <w:rsid w:val="00BD0319"/>
    <w:rsid w:val="00BD102E"/>
    <w:rsid w:val="00BD184B"/>
    <w:rsid w:val="00BD1FA2"/>
    <w:rsid w:val="00BD297B"/>
    <w:rsid w:val="00BD2DA9"/>
    <w:rsid w:val="00BD57D8"/>
    <w:rsid w:val="00BD6C84"/>
    <w:rsid w:val="00BD6CB6"/>
    <w:rsid w:val="00BE04B5"/>
    <w:rsid w:val="00BE0E43"/>
    <w:rsid w:val="00BE1E76"/>
    <w:rsid w:val="00BE1E9E"/>
    <w:rsid w:val="00BE290F"/>
    <w:rsid w:val="00BE547C"/>
    <w:rsid w:val="00BE57D4"/>
    <w:rsid w:val="00BF13BC"/>
    <w:rsid w:val="00BF198C"/>
    <w:rsid w:val="00BF2103"/>
    <w:rsid w:val="00BF539B"/>
    <w:rsid w:val="00BF669B"/>
    <w:rsid w:val="00C04382"/>
    <w:rsid w:val="00C05503"/>
    <w:rsid w:val="00C06A0F"/>
    <w:rsid w:val="00C0711B"/>
    <w:rsid w:val="00C167CA"/>
    <w:rsid w:val="00C179ED"/>
    <w:rsid w:val="00C207AD"/>
    <w:rsid w:val="00C231CA"/>
    <w:rsid w:val="00C23224"/>
    <w:rsid w:val="00C240BB"/>
    <w:rsid w:val="00C25E1D"/>
    <w:rsid w:val="00C26291"/>
    <w:rsid w:val="00C31522"/>
    <w:rsid w:val="00C33B76"/>
    <w:rsid w:val="00C3406D"/>
    <w:rsid w:val="00C3452B"/>
    <w:rsid w:val="00C4355E"/>
    <w:rsid w:val="00C44E49"/>
    <w:rsid w:val="00C45B93"/>
    <w:rsid w:val="00C46A95"/>
    <w:rsid w:val="00C50904"/>
    <w:rsid w:val="00C5152F"/>
    <w:rsid w:val="00C522BA"/>
    <w:rsid w:val="00C574B8"/>
    <w:rsid w:val="00C613E8"/>
    <w:rsid w:val="00C648D6"/>
    <w:rsid w:val="00C66112"/>
    <w:rsid w:val="00C715CC"/>
    <w:rsid w:val="00C763E6"/>
    <w:rsid w:val="00C7676C"/>
    <w:rsid w:val="00C8143E"/>
    <w:rsid w:val="00C82B6F"/>
    <w:rsid w:val="00C833D9"/>
    <w:rsid w:val="00C857F4"/>
    <w:rsid w:val="00C93A78"/>
    <w:rsid w:val="00C961E4"/>
    <w:rsid w:val="00CA0392"/>
    <w:rsid w:val="00CA073A"/>
    <w:rsid w:val="00CA26A1"/>
    <w:rsid w:val="00CA364E"/>
    <w:rsid w:val="00CA471C"/>
    <w:rsid w:val="00CA746E"/>
    <w:rsid w:val="00CB073A"/>
    <w:rsid w:val="00CB3D46"/>
    <w:rsid w:val="00CB3E6D"/>
    <w:rsid w:val="00CB41E4"/>
    <w:rsid w:val="00CC3C11"/>
    <w:rsid w:val="00CC40B5"/>
    <w:rsid w:val="00CC644F"/>
    <w:rsid w:val="00CD0644"/>
    <w:rsid w:val="00CD0C8D"/>
    <w:rsid w:val="00CD164B"/>
    <w:rsid w:val="00CD166F"/>
    <w:rsid w:val="00CD1A8F"/>
    <w:rsid w:val="00CD2463"/>
    <w:rsid w:val="00CD7062"/>
    <w:rsid w:val="00CD70E9"/>
    <w:rsid w:val="00CD736B"/>
    <w:rsid w:val="00CD7F16"/>
    <w:rsid w:val="00CE2E39"/>
    <w:rsid w:val="00CE400D"/>
    <w:rsid w:val="00CF0FB8"/>
    <w:rsid w:val="00CF3961"/>
    <w:rsid w:val="00CF44DC"/>
    <w:rsid w:val="00CF4ECB"/>
    <w:rsid w:val="00CF68CA"/>
    <w:rsid w:val="00D0296B"/>
    <w:rsid w:val="00D02DE8"/>
    <w:rsid w:val="00D06CE4"/>
    <w:rsid w:val="00D10E48"/>
    <w:rsid w:val="00D1129B"/>
    <w:rsid w:val="00D14172"/>
    <w:rsid w:val="00D17D2F"/>
    <w:rsid w:val="00D2032F"/>
    <w:rsid w:val="00D2058D"/>
    <w:rsid w:val="00D22AB2"/>
    <w:rsid w:val="00D22BAE"/>
    <w:rsid w:val="00D24BB3"/>
    <w:rsid w:val="00D25FB7"/>
    <w:rsid w:val="00D324B2"/>
    <w:rsid w:val="00D32BC3"/>
    <w:rsid w:val="00D32C4B"/>
    <w:rsid w:val="00D32F81"/>
    <w:rsid w:val="00D35DFE"/>
    <w:rsid w:val="00D37FAC"/>
    <w:rsid w:val="00D40059"/>
    <w:rsid w:val="00D40B13"/>
    <w:rsid w:val="00D44203"/>
    <w:rsid w:val="00D44D71"/>
    <w:rsid w:val="00D4539C"/>
    <w:rsid w:val="00D45CF5"/>
    <w:rsid w:val="00D52582"/>
    <w:rsid w:val="00D55084"/>
    <w:rsid w:val="00D55187"/>
    <w:rsid w:val="00D57E48"/>
    <w:rsid w:val="00D61E36"/>
    <w:rsid w:val="00D62602"/>
    <w:rsid w:val="00D63807"/>
    <w:rsid w:val="00D63864"/>
    <w:rsid w:val="00D63B08"/>
    <w:rsid w:val="00D64478"/>
    <w:rsid w:val="00D66E30"/>
    <w:rsid w:val="00D713F3"/>
    <w:rsid w:val="00D7417C"/>
    <w:rsid w:val="00D74BE1"/>
    <w:rsid w:val="00D77F12"/>
    <w:rsid w:val="00D80004"/>
    <w:rsid w:val="00D81623"/>
    <w:rsid w:val="00D84261"/>
    <w:rsid w:val="00D8523E"/>
    <w:rsid w:val="00D86209"/>
    <w:rsid w:val="00D87298"/>
    <w:rsid w:val="00D91EEE"/>
    <w:rsid w:val="00D95556"/>
    <w:rsid w:val="00D95DC3"/>
    <w:rsid w:val="00D963E1"/>
    <w:rsid w:val="00D9657F"/>
    <w:rsid w:val="00DA0365"/>
    <w:rsid w:val="00DA1DC2"/>
    <w:rsid w:val="00DB2A5E"/>
    <w:rsid w:val="00DB5386"/>
    <w:rsid w:val="00DB7CC8"/>
    <w:rsid w:val="00DC0059"/>
    <w:rsid w:val="00DC00AC"/>
    <w:rsid w:val="00DC2372"/>
    <w:rsid w:val="00DC56B4"/>
    <w:rsid w:val="00DC67A3"/>
    <w:rsid w:val="00DC6DF0"/>
    <w:rsid w:val="00DC6E8A"/>
    <w:rsid w:val="00DD0B31"/>
    <w:rsid w:val="00DD1C0A"/>
    <w:rsid w:val="00DD21AA"/>
    <w:rsid w:val="00DD2DC1"/>
    <w:rsid w:val="00DD5991"/>
    <w:rsid w:val="00DD5B8B"/>
    <w:rsid w:val="00DE14E9"/>
    <w:rsid w:val="00DE4596"/>
    <w:rsid w:val="00DE5121"/>
    <w:rsid w:val="00DE6E8A"/>
    <w:rsid w:val="00DF079B"/>
    <w:rsid w:val="00DF0B94"/>
    <w:rsid w:val="00DF1A8D"/>
    <w:rsid w:val="00DF2949"/>
    <w:rsid w:val="00DF4E18"/>
    <w:rsid w:val="00E028FC"/>
    <w:rsid w:val="00E02BB5"/>
    <w:rsid w:val="00E03F9A"/>
    <w:rsid w:val="00E1305D"/>
    <w:rsid w:val="00E171AA"/>
    <w:rsid w:val="00E2124B"/>
    <w:rsid w:val="00E215A0"/>
    <w:rsid w:val="00E222CA"/>
    <w:rsid w:val="00E235FD"/>
    <w:rsid w:val="00E2367A"/>
    <w:rsid w:val="00E27859"/>
    <w:rsid w:val="00E30558"/>
    <w:rsid w:val="00E4101D"/>
    <w:rsid w:val="00E41C4B"/>
    <w:rsid w:val="00E42252"/>
    <w:rsid w:val="00E432AE"/>
    <w:rsid w:val="00E530C7"/>
    <w:rsid w:val="00E5324A"/>
    <w:rsid w:val="00E533EE"/>
    <w:rsid w:val="00E54F93"/>
    <w:rsid w:val="00E609FF"/>
    <w:rsid w:val="00E61F9B"/>
    <w:rsid w:val="00E6245B"/>
    <w:rsid w:val="00E62506"/>
    <w:rsid w:val="00E63982"/>
    <w:rsid w:val="00E65BF6"/>
    <w:rsid w:val="00E65C5F"/>
    <w:rsid w:val="00E65DA6"/>
    <w:rsid w:val="00E66453"/>
    <w:rsid w:val="00E720AF"/>
    <w:rsid w:val="00E733D0"/>
    <w:rsid w:val="00E73EA7"/>
    <w:rsid w:val="00E748BC"/>
    <w:rsid w:val="00E76B41"/>
    <w:rsid w:val="00E7713A"/>
    <w:rsid w:val="00E804BD"/>
    <w:rsid w:val="00E80FF1"/>
    <w:rsid w:val="00E810FE"/>
    <w:rsid w:val="00E8286D"/>
    <w:rsid w:val="00E92B8F"/>
    <w:rsid w:val="00E92E1A"/>
    <w:rsid w:val="00E935CC"/>
    <w:rsid w:val="00E94958"/>
    <w:rsid w:val="00EA49AC"/>
    <w:rsid w:val="00EA60AD"/>
    <w:rsid w:val="00EA7669"/>
    <w:rsid w:val="00EB1125"/>
    <w:rsid w:val="00EB2D7B"/>
    <w:rsid w:val="00EB4078"/>
    <w:rsid w:val="00EB6503"/>
    <w:rsid w:val="00EB7D90"/>
    <w:rsid w:val="00EB7F4F"/>
    <w:rsid w:val="00EC0D0C"/>
    <w:rsid w:val="00EC2DAD"/>
    <w:rsid w:val="00EC6782"/>
    <w:rsid w:val="00ED6E74"/>
    <w:rsid w:val="00EE015D"/>
    <w:rsid w:val="00EE0DD9"/>
    <w:rsid w:val="00EE19AA"/>
    <w:rsid w:val="00EE6A2D"/>
    <w:rsid w:val="00EE6DE7"/>
    <w:rsid w:val="00EF0AD6"/>
    <w:rsid w:val="00EF20CD"/>
    <w:rsid w:val="00EF2961"/>
    <w:rsid w:val="00EF5015"/>
    <w:rsid w:val="00EF5B32"/>
    <w:rsid w:val="00F006E4"/>
    <w:rsid w:val="00F01838"/>
    <w:rsid w:val="00F035DF"/>
    <w:rsid w:val="00F06302"/>
    <w:rsid w:val="00F12A68"/>
    <w:rsid w:val="00F155EE"/>
    <w:rsid w:val="00F15CCD"/>
    <w:rsid w:val="00F2082C"/>
    <w:rsid w:val="00F20911"/>
    <w:rsid w:val="00F240D1"/>
    <w:rsid w:val="00F2443C"/>
    <w:rsid w:val="00F25C4B"/>
    <w:rsid w:val="00F26A47"/>
    <w:rsid w:val="00F270DD"/>
    <w:rsid w:val="00F27375"/>
    <w:rsid w:val="00F3040C"/>
    <w:rsid w:val="00F30F5B"/>
    <w:rsid w:val="00F343A1"/>
    <w:rsid w:val="00F347A7"/>
    <w:rsid w:val="00F34E7F"/>
    <w:rsid w:val="00F34FC4"/>
    <w:rsid w:val="00F43611"/>
    <w:rsid w:val="00F43C3A"/>
    <w:rsid w:val="00F5249D"/>
    <w:rsid w:val="00F54D92"/>
    <w:rsid w:val="00F55B61"/>
    <w:rsid w:val="00F56E6D"/>
    <w:rsid w:val="00F61335"/>
    <w:rsid w:val="00F63082"/>
    <w:rsid w:val="00F64F9A"/>
    <w:rsid w:val="00F662BF"/>
    <w:rsid w:val="00F71331"/>
    <w:rsid w:val="00F7724E"/>
    <w:rsid w:val="00F838B4"/>
    <w:rsid w:val="00F86253"/>
    <w:rsid w:val="00F90C8B"/>
    <w:rsid w:val="00F933DA"/>
    <w:rsid w:val="00F94AE2"/>
    <w:rsid w:val="00F970C8"/>
    <w:rsid w:val="00FA76B9"/>
    <w:rsid w:val="00FB03A1"/>
    <w:rsid w:val="00FB1169"/>
    <w:rsid w:val="00FB2DE3"/>
    <w:rsid w:val="00FB3DCF"/>
    <w:rsid w:val="00FB59A2"/>
    <w:rsid w:val="00FB724F"/>
    <w:rsid w:val="00FB799E"/>
    <w:rsid w:val="00FC046D"/>
    <w:rsid w:val="00FC06B8"/>
    <w:rsid w:val="00FC08EF"/>
    <w:rsid w:val="00FC1870"/>
    <w:rsid w:val="00FC503B"/>
    <w:rsid w:val="00FC5705"/>
    <w:rsid w:val="00FC6641"/>
    <w:rsid w:val="00FD21DC"/>
    <w:rsid w:val="00FD23E2"/>
    <w:rsid w:val="00FD5568"/>
    <w:rsid w:val="00FD6345"/>
    <w:rsid w:val="00FD675A"/>
    <w:rsid w:val="00FD6BC4"/>
    <w:rsid w:val="00FE22A6"/>
    <w:rsid w:val="00FE292F"/>
    <w:rsid w:val="00FE4F56"/>
    <w:rsid w:val="00FE620B"/>
    <w:rsid w:val="00FE6D94"/>
    <w:rsid w:val="00FE72F5"/>
    <w:rsid w:val="00FF0DD6"/>
    <w:rsid w:val="00FF0E13"/>
    <w:rsid w:val="00FF2E7C"/>
    <w:rsid w:val="00FF674F"/>
    <w:rsid w:val="00FF68E0"/>
    <w:rsid w:val="00FF7133"/>
    <w:rsid w:val="00FF7624"/>
    <w:rsid w:val="010A4D8D"/>
    <w:rsid w:val="01407517"/>
    <w:rsid w:val="03285D66"/>
    <w:rsid w:val="03644D87"/>
    <w:rsid w:val="03DD430B"/>
    <w:rsid w:val="03EC2F0C"/>
    <w:rsid w:val="040E5EC2"/>
    <w:rsid w:val="04574370"/>
    <w:rsid w:val="05BC524C"/>
    <w:rsid w:val="06653B54"/>
    <w:rsid w:val="06CB5250"/>
    <w:rsid w:val="070274C5"/>
    <w:rsid w:val="071305C3"/>
    <w:rsid w:val="07A33ED5"/>
    <w:rsid w:val="07BF0342"/>
    <w:rsid w:val="0822538D"/>
    <w:rsid w:val="09D352DB"/>
    <w:rsid w:val="09DA3738"/>
    <w:rsid w:val="09FC1A4D"/>
    <w:rsid w:val="0AD21C32"/>
    <w:rsid w:val="0AE72E4E"/>
    <w:rsid w:val="0B2230E9"/>
    <w:rsid w:val="0C8A12B8"/>
    <w:rsid w:val="0D1862AC"/>
    <w:rsid w:val="0D9E0052"/>
    <w:rsid w:val="0E023C9B"/>
    <w:rsid w:val="0E1C2920"/>
    <w:rsid w:val="0E4748DD"/>
    <w:rsid w:val="0FE11293"/>
    <w:rsid w:val="10E87499"/>
    <w:rsid w:val="12D95AF0"/>
    <w:rsid w:val="149B00F0"/>
    <w:rsid w:val="17132756"/>
    <w:rsid w:val="1A0A4107"/>
    <w:rsid w:val="1AA944A9"/>
    <w:rsid w:val="1B803E91"/>
    <w:rsid w:val="1B8E0A84"/>
    <w:rsid w:val="1D177C7F"/>
    <w:rsid w:val="1DDF0396"/>
    <w:rsid w:val="1FC40679"/>
    <w:rsid w:val="1FE145FD"/>
    <w:rsid w:val="21C14826"/>
    <w:rsid w:val="247659E7"/>
    <w:rsid w:val="25274ABB"/>
    <w:rsid w:val="25363F9F"/>
    <w:rsid w:val="25D91277"/>
    <w:rsid w:val="26E81CB9"/>
    <w:rsid w:val="270765A2"/>
    <w:rsid w:val="2787741B"/>
    <w:rsid w:val="282C5021"/>
    <w:rsid w:val="28365233"/>
    <w:rsid w:val="28BF2D87"/>
    <w:rsid w:val="28C74B0B"/>
    <w:rsid w:val="28E246C0"/>
    <w:rsid w:val="2B693F09"/>
    <w:rsid w:val="2DC241FD"/>
    <w:rsid w:val="2DCA784C"/>
    <w:rsid w:val="2E1B6F1D"/>
    <w:rsid w:val="300F14FF"/>
    <w:rsid w:val="30124148"/>
    <w:rsid w:val="30160AA3"/>
    <w:rsid w:val="30BE3809"/>
    <w:rsid w:val="318713DE"/>
    <w:rsid w:val="3244359D"/>
    <w:rsid w:val="3244647C"/>
    <w:rsid w:val="33EE248B"/>
    <w:rsid w:val="340335EB"/>
    <w:rsid w:val="366E7205"/>
    <w:rsid w:val="36F776A6"/>
    <w:rsid w:val="374646B4"/>
    <w:rsid w:val="37D456B0"/>
    <w:rsid w:val="37EA3BD0"/>
    <w:rsid w:val="37F662BC"/>
    <w:rsid w:val="3893059E"/>
    <w:rsid w:val="39157F63"/>
    <w:rsid w:val="394E405F"/>
    <w:rsid w:val="3A3554B7"/>
    <w:rsid w:val="3B735B88"/>
    <w:rsid w:val="3C3222D8"/>
    <w:rsid w:val="3C776033"/>
    <w:rsid w:val="3CCF6EA0"/>
    <w:rsid w:val="3EDA02DC"/>
    <w:rsid w:val="3FD034A1"/>
    <w:rsid w:val="40435444"/>
    <w:rsid w:val="411C18D7"/>
    <w:rsid w:val="417F44E0"/>
    <w:rsid w:val="422F5ED2"/>
    <w:rsid w:val="42622CD4"/>
    <w:rsid w:val="42D15423"/>
    <w:rsid w:val="433C7106"/>
    <w:rsid w:val="43B20763"/>
    <w:rsid w:val="43F11A0D"/>
    <w:rsid w:val="4553791F"/>
    <w:rsid w:val="45970889"/>
    <w:rsid w:val="461A0A8A"/>
    <w:rsid w:val="499B64A5"/>
    <w:rsid w:val="49B40522"/>
    <w:rsid w:val="49E3376D"/>
    <w:rsid w:val="4A2A072B"/>
    <w:rsid w:val="4A610A3C"/>
    <w:rsid w:val="4A7B7596"/>
    <w:rsid w:val="4AF73367"/>
    <w:rsid w:val="4BAB5C2D"/>
    <w:rsid w:val="4CA37631"/>
    <w:rsid w:val="4D4477F8"/>
    <w:rsid w:val="4DD41151"/>
    <w:rsid w:val="4E79359C"/>
    <w:rsid w:val="4EE00E94"/>
    <w:rsid w:val="50050B6E"/>
    <w:rsid w:val="50BC0001"/>
    <w:rsid w:val="538759C9"/>
    <w:rsid w:val="5526543F"/>
    <w:rsid w:val="56371DE3"/>
    <w:rsid w:val="591034CD"/>
    <w:rsid w:val="59C44F1A"/>
    <w:rsid w:val="59DB4DA6"/>
    <w:rsid w:val="5A4A3DAF"/>
    <w:rsid w:val="5A5064EB"/>
    <w:rsid w:val="5AB91238"/>
    <w:rsid w:val="5AF93996"/>
    <w:rsid w:val="5BAB1733"/>
    <w:rsid w:val="5C0677ED"/>
    <w:rsid w:val="5C2C2027"/>
    <w:rsid w:val="5D7503A7"/>
    <w:rsid w:val="5F5B2935"/>
    <w:rsid w:val="5FD37BFE"/>
    <w:rsid w:val="6032518D"/>
    <w:rsid w:val="60336E21"/>
    <w:rsid w:val="605E0557"/>
    <w:rsid w:val="6320218A"/>
    <w:rsid w:val="63A049C8"/>
    <w:rsid w:val="64EB2F31"/>
    <w:rsid w:val="65170534"/>
    <w:rsid w:val="651A5E52"/>
    <w:rsid w:val="654C6FF7"/>
    <w:rsid w:val="65B141E9"/>
    <w:rsid w:val="6686165C"/>
    <w:rsid w:val="66F55A05"/>
    <w:rsid w:val="68D70F67"/>
    <w:rsid w:val="698C51DA"/>
    <w:rsid w:val="69E50716"/>
    <w:rsid w:val="6B07737A"/>
    <w:rsid w:val="6B662937"/>
    <w:rsid w:val="6BA1699B"/>
    <w:rsid w:val="6BD56677"/>
    <w:rsid w:val="6C4D6C4A"/>
    <w:rsid w:val="6CD20543"/>
    <w:rsid w:val="6CF34244"/>
    <w:rsid w:val="6D383B1E"/>
    <w:rsid w:val="6DF5140A"/>
    <w:rsid w:val="6E82722B"/>
    <w:rsid w:val="6F2A61B2"/>
    <w:rsid w:val="6FDB4970"/>
    <w:rsid w:val="700903BA"/>
    <w:rsid w:val="706765BC"/>
    <w:rsid w:val="70C05B3F"/>
    <w:rsid w:val="70ED1365"/>
    <w:rsid w:val="710F5B89"/>
    <w:rsid w:val="730563BE"/>
    <w:rsid w:val="7358543E"/>
    <w:rsid w:val="738B5EBC"/>
    <w:rsid w:val="73EC03DC"/>
    <w:rsid w:val="74C712EB"/>
    <w:rsid w:val="756577DE"/>
    <w:rsid w:val="75CC66A9"/>
    <w:rsid w:val="7612775E"/>
    <w:rsid w:val="76E366DA"/>
    <w:rsid w:val="771C5923"/>
    <w:rsid w:val="77C46225"/>
    <w:rsid w:val="78A964A9"/>
    <w:rsid w:val="78F642BC"/>
    <w:rsid w:val="791D164A"/>
    <w:rsid w:val="79784B01"/>
    <w:rsid w:val="79E83463"/>
    <w:rsid w:val="79F94F79"/>
    <w:rsid w:val="7A2E14C8"/>
    <w:rsid w:val="7BC45B72"/>
    <w:rsid w:val="7C146B0C"/>
    <w:rsid w:val="7C441D50"/>
    <w:rsid w:val="7C516CD8"/>
    <w:rsid w:val="7C9D52F7"/>
    <w:rsid w:val="7DBC3E42"/>
    <w:rsid w:val="7E59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3">
    <w:name w:val="heading 1"/>
    <w:basedOn w:val="1"/>
    <w:next w:val="1"/>
    <w:link w:val="165"/>
    <w:qFormat/>
    <w:uiPriority w:val="0"/>
    <w:pPr>
      <w:spacing w:before="340" w:after="320"/>
      <w:jc w:val="center"/>
      <w:outlineLvl w:val="0"/>
    </w:pPr>
    <w:rPr>
      <w:b/>
      <w:sz w:val="32"/>
    </w:rPr>
  </w:style>
  <w:style w:type="paragraph" w:styleId="4">
    <w:name w:val="heading 2"/>
    <w:basedOn w:val="1"/>
    <w:next w:val="5"/>
    <w:qFormat/>
    <w:uiPriority w:val="0"/>
    <w:pPr>
      <w:spacing w:before="120" w:after="360" w:line="360" w:lineRule="auto"/>
      <w:jc w:val="center"/>
      <w:outlineLvl w:val="1"/>
    </w:pPr>
    <w:rPr>
      <w:rFonts w:ascii="文鼎小标宋简" w:eastAsia="文鼎小标宋简"/>
      <w:b/>
      <w:sz w:val="44"/>
    </w:rPr>
  </w:style>
  <w:style w:type="paragraph" w:styleId="5">
    <w:name w:val="heading 3"/>
    <w:basedOn w:val="1"/>
    <w:next w:val="6"/>
    <w:qFormat/>
    <w:uiPriority w:val="0"/>
    <w:pPr>
      <w:keepLines/>
      <w:spacing w:before="260" w:after="260" w:line="408" w:lineRule="auto"/>
      <w:outlineLvl w:val="2"/>
    </w:pPr>
    <w:rPr>
      <w:b/>
      <w:sz w:val="32"/>
    </w:rPr>
  </w:style>
  <w:style w:type="paragraph" w:styleId="6">
    <w:name w:val="heading 4"/>
    <w:basedOn w:val="1"/>
    <w:next w:val="7"/>
    <w:qFormat/>
    <w:uiPriority w:val="0"/>
    <w:pPr>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Lines/>
      <w:spacing w:before="280" w:after="290" w:line="372" w:lineRule="auto"/>
      <w:outlineLvl w:val="4"/>
    </w:pPr>
    <w:rPr>
      <w:b/>
      <w:sz w:val="28"/>
    </w:rPr>
  </w:style>
  <w:style w:type="paragraph" w:styleId="8">
    <w:name w:val="heading 6"/>
    <w:basedOn w:val="1"/>
    <w:next w:val="1"/>
    <w:qFormat/>
    <w:uiPriority w:val="0"/>
    <w:pPr>
      <w:keepLines/>
      <w:spacing w:before="240" w:after="64" w:line="312" w:lineRule="auto"/>
      <w:outlineLvl w:val="5"/>
    </w:pPr>
    <w:rPr>
      <w:rFonts w:ascii="Arial" w:hAnsi="Arial" w:eastAsia="黑体"/>
      <w:b/>
      <w:sz w:val="24"/>
    </w:rPr>
  </w:style>
  <w:style w:type="paragraph" w:styleId="9">
    <w:name w:val="heading 7"/>
    <w:basedOn w:val="1"/>
    <w:next w:val="1"/>
    <w:qFormat/>
    <w:uiPriority w:val="0"/>
    <w:pPr>
      <w:keepLines/>
      <w:spacing w:before="240" w:after="64" w:line="312" w:lineRule="auto"/>
      <w:outlineLvl w:val="6"/>
    </w:pPr>
    <w:rPr>
      <w:b/>
      <w:sz w:val="24"/>
    </w:rPr>
  </w:style>
  <w:style w:type="paragraph" w:styleId="10">
    <w:name w:val="heading 8"/>
    <w:basedOn w:val="1"/>
    <w:next w:val="1"/>
    <w:qFormat/>
    <w:uiPriority w:val="0"/>
    <w:pPr>
      <w:keepLines/>
      <w:spacing w:before="240" w:after="64" w:line="312" w:lineRule="auto"/>
      <w:outlineLvl w:val="7"/>
    </w:pPr>
    <w:rPr>
      <w:rFonts w:ascii="Arial" w:hAnsi="Arial" w:eastAsia="黑体"/>
      <w:sz w:val="24"/>
    </w:rPr>
  </w:style>
  <w:style w:type="paragraph" w:styleId="11">
    <w:name w:val="heading 9"/>
    <w:basedOn w:val="1"/>
    <w:next w:val="1"/>
    <w:qFormat/>
    <w:uiPriority w:val="0"/>
    <w:pPr>
      <w:keepLines/>
      <w:spacing w:before="240" w:after="64" w:line="312" w:lineRule="auto"/>
      <w:outlineLvl w:val="8"/>
    </w:pPr>
    <w:rPr>
      <w:rFonts w:ascii="Arial" w:hAnsi="Arial" w:eastAsia="黑体"/>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12">
    <w:name w:val="List 3"/>
    <w:basedOn w:val="1"/>
    <w:qFormat/>
    <w:uiPriority w:val="0"/>
    <w:pPr>
      <w:ind w:left="100" w:leftChars="400" w:hanging="200" w:hangingChars="200"/>
    </w:pPr>
  </w:style>
  <w:style w:type="paragraph" w:styleId="13">
    <w:name w:val="List Number 2"/>
    <w:basedOn w:val="1"/>
    <w:qFormat/>
    <w:uiPriority w:val="0"/>
    <w:pPr>
      <w:numPr>
        <w:ilvl w:val="0"/>
        <w:numId w:val="1"/>
      </w:numPr>
      <w:tabs>
        <w:tab w:val="left" w:pos="670"/>
      </w:tabs>
    </w:pPr>
  </w:style>
  <w:style w:type="paragraph" w:styleId="14">
    <w:name w:val="Note Heading"/>
    <w:basedOn w:val="1"/>
    <w:next w:val="1"/>
    <w:qFormat/>
    <w:uiPriority w:val="0"/>
    <w:pPr>
      <w:jc w:val="center"/>
    </w:pPr>
  </w:style>
  <w:style w:type="paragraph" w:styleId="15">
    <w:name w:val="List Bullet 4"/>
    <w:basedOn w:val="1"/>
    <w:qFormat/>
    <w:uiPriority w:val="0"/>
    <w:pPr>
      <w:numPr>
        <w:ilvl w:val="0"/>
        <w:numId w:val="2"/>
      </w:numPr>
    </w:pPr>
  </w:style>
  <w:style w:type="paragraph" w:styleId="16">
    <w:name w:val="E-mail Signature"/>
    <w:basedOn w:val="1"/>
    <w:qFormat/>
    <w:uiPriority w:val="0"/>
  </w:style>
  <w:style w:type="paragraph" w:styleId="17">
    <w:name w:val="List Number"/>
    <w:basedOn w:val="1"/>
    <w:qFormat/>
    <w:uiPriority w:val="0"/>
    <w:pPr>
      <w:numPr>
        <w:ilvl w:val="0"/>
        <w:numId w:val="3"/>
      </w:numPr>
    </w:pPr>
  </w:style>
  <w:style w:type="paragraph" w:styleId="18">
    <w:name w:val="Normal Indent"/>
    <w:basedOn w:val="1"/>
    <w:link w:val="182"/>
    <w:qFormat/>
    <w:uiPriority w:val="0"/>
    <w:pPr>
      <w:ind w:firstLine="420" w:firstLineChars="200"/>
    </w:pPr>
  </w:style>
  <w:style w:type="paragraph" w:styleId="19">
    <w:name w:val="List Bullet"/>
    <w:basedOn w:val="1"/>
    <w:qFormat/>
    <w:uiPriority w:val="0"/>
    <w:pPr>
      <w:numPr>
        <w:ilvl w:val="0"/>
        <w:numId w:val="4"/>
      </w:numPr>
    </w:pPr>
  </w:style>
  <w:style w:type="paragraph" w:styleId="20">
    <w:name w:val="envelope address"/>
    <w:basedOn w:val="1"/>
    <w:qFormat/>
    <w:uiPriority w:val="0"/>
    <w:pPr>
      <w:snapToGrid w:val="0"/>
      <w:ind w:left="100" w:leftChars="1400"/>
    </w:pPr>
    <w:rPr>
      <w:rFonts w:ascii="Arial" w:hAnsi="Arial"/>
      <w:sz w:val="24"/>
    </w:rPr>
  </w:style>
  <w:style w:type="paragraph" w:styleId="21">
    <w:name w:val="Document Map"/>
    <w:basedOn w:val="1"/>
    <w:qFormat/>
    <w:uiPriority w:val="0"/>
    <w:pPr>
      <w:shd w:val="clear" w:color="auto" w:fill="000080"/>
    </w:pPr>
  </w:style>
  <w:style w:type="paragraph" w:styleId="22">
    <w:name w:val="annotation text"/>
    <w:basedOn w:val="1"/>
    <w:link w:val="191"/>
    <w:qFormat/>
    <w:uiPriority w:val="0"/>
    <w:pPr>
      <w:widowControl w:val="0"/>
      <w:jc w:val="left"/>
    </w:pPr>
    <w:rPr>
      <w:color w:val="auto"/>
      <w:szCs w:val="24"/>
    </w:rPr>
  </w:style>
  <w:style w:type="paragraph" w:styleId="23">
    <w:name w:val="Salutation"/>
    <w:basedOn w:val="1"/>
    <w:next w:val="1"/>
    <w:qFormat/>
    <w:uiPriority w:val="0"/>
  </w:style>
  <w:style w:type="paragraph" w:styleId="24">
    <w:name w:val="Body Text 3"/>
    <w:basedOn w:val="1"/>
    <w:qFormat/>
    <w:uiPriority w:val="0"/>
    <w:pPr>
      <w:spacing w:after="120"/>
    </w:pPr>
    <w:rPr>
      <w:sz w:val="16"/>
    </w:rPr>
  </w:style>
  <w:style w:type="paragraph" w:styleId="25">
    <w:name w:val="Closing"/>
    <w:basedOn w:val="1"/>
    <w:qFormat/>
    <w:uiPriority w:val="0"/>
    <w:pPr>
      <w:ind w:left="100" w:leftChars="2100"/>
    </w:pPr>
  </w:style>
  <w:style w:type="paragraph" w:styleId="26">
    <w:name w:val="List Bullet 3"/>
    <w:basedOn w:val="1"/>
    <w:qFormat/>
    <w:uiPriority w:val="0"/>
    <w:pPr>
      <w:numPr>
        <w:ilvl w:val="0"/>
        <w:numId w:val="5"/>
      </w:numPr>
    </w:pPr>
  </w:style>
  <w:style w:type="paragraph" w:styleId="27">
    <w:name w:val="Body Text"/>
    <w:basedOn w:val="1"/>
    <w:next w:val="1"/>
    <w:link w:val="201"/>
    <w:qFormat/>
    <w:uiPriority w:val="99"/>
    <w:pPr>
      <w:spacing w:line="528" w:lineRule="auto"/>
      <w:ind w:left="840" w:right="-120"/>
      <w:jc w:val="left"/>
    </w:pPr>
    <w:rPr>
      <w:sz w:val="20"/>
    </w:rPr>
  </w:style>
  <w:style w:type="paragraph" w:styleId="28">
    <w:name w:val="Body Text Indent"/>
    <w:basedOn w:val="1"/>
    <w:link w:val="192"/>
    <w:qFormat/>
    <w:uiPriority w:val="0"/>
    <w:pPr>
      <w:spacing w:after="120"/>
      <w:ind w:left="420" w:leftChars="200"/>
    </w:pPr>
  </w:style>
  <w:style w:type="paragraph" w:styleId="29">
    <w:name w:val="List Number 3"/>
    <w:basedOn w:val="1"/>
    <w:qFormat/>
    <w:uiPriority w:val="0"/>
    <w:pPr>
      <w:numPr>
        <w:ilvl w:val="0"/>
        <w:numId w:val="6"/>
      </w:numPr>
    </w:pPr>
  </w:style>
  <w:style w:type="paragraph" w:styleId="30">
    <w:name w:val="List 2"/>
    <w:basedOn w:val="1"/>
    <w:qFormat/>
    <w:uiPriority w:val="0"/>
    <w:pPr>
      <w:ind w:left="100" w:leftChars="200" w:hanging="200" w:hangingChars="200"/>
    </w:pPr>
  </w:style>
  <w:style w:type="paragraph" w:styleId="31">
    <w:name w:val="List Continue"/>
    <w:basedOn w:val="1"/>
    <w:qFormat/>
    <w:uiPriority w:val="0"/>
    <w:pPr>
      <w:spacing w:after="120"/>
      <w:ind w:left="420" w:leftChars="200"/>
    </w:pPr>
  </w:style>
  <w:style w:type="paragraph" w:styleId="32">
    <w:name w:val="Block Text"/>
    <w:basedOn w:val="1"/>
    <w:qFormat/>
    <w:uiPriority w:val="0"/>
    <w:pPr>
      <w:spacing w:after="120"/>
      <w:ind w:left="1440" w:leftChars="700" w:right="700" w:rightChars="700"/>
    </w:pPr>
  </w:style>
  <w:style w:type="paragraph" w:styleId="33">
    <w:name w:val="List Bullet 2"/>
    <w:basedOn w:val="1"/>
    <w:qFormat/>
    <w:uiPriority w:val="0"/>
    <w:pPr>
      <w:numPr>
        <w:ilvl w:val="0"/>
        <w:numId w:val="7"/>
      </w:numPr>
    </w:pPr>
  </w:style>
  <w:style w:type="paragraph" w:styleId="34">
    <w:name w:val="HTML Address"/>
    <w:basedOn w:val="1"/>
    <w:qFormat/>
    <w:uiPriority w:val="0"/>
    <w:rPr>
      <w:i/>
    </w:rPr>
  </w:style>
  <w:style w:type="paragraph" w:styleId="35">
    <w:name w:val="toc 3"/>
    <w:basedOn w:val="1"/>
    <w:next w:val="1"/>
    <w:qFormat/>
    <w:uiPriority w:val="0"/>
    <w:pPr>
      <w:tabs>
        <w:tab w:val="right" w:leader="dot" w:pos="8834"/>
      </w:tabs>
      <w:spacing w:line="440" w:lineRule="exact"/>
      <w:jc w:val="left"/>
    </w:pPr>
    <w:rPr>
      <w:rFonts w:eastAsia="新宋体"/>
      <w:sz w:val="28"/>
    </w:rPr>
  </w:style>
  <w:style w:type="paragraph" w:styleId="36">
    <w:name w:val="Plain Text"/>
    <w:basedOn w:val="1"/>
    <w:link w:val="163"/>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7">
    <w:name w:val="List Bullet 5"/>
    <w:basedOn w:val="1"/>
    <w:qFormat/>
    <w:uiPriority w:val="0"/>
    <w:pPr>
      <w:numPr>
        <w:ilvl w:val="0"/>
        <w:numId w:val="8"/>
      </w:numPr>
    </w:pPr>
  </w:style>
  <w:style w:type="paragraph" w:styleId="38">
    <w:name w:val="List Number 4"/>
    <w:basedOn w:val="1"/>
    <w:qFormat/>
    <w:uiPriority w:val="0"/>
    <w:pPr>
      <w:numPr>
        <w:ilvl w:val="0"/>
        <w:numId w:val="9"/>
      </w:numPr>
    </w:pPr>
  </w:style>
  <w:style w:type="paragraph" w:styleId="39">
    <w:name w:val="Date"/>
    <w:basedOn w:val="1"/>
    <w:next w:val="1"/>
    <w:qFormat/>
    <w:uiPriority w:val="0"/>
    <w:pPr>
      <w:ind w:left="100"/>
    </w:pPr>
    <w:rPr>
      <w:sz w:val="24"/>
    </w:rPr>
  </w:style>
  <w:style w:type="paragraph" w:styleId="40">
    <w:name w:val="Body Text Indent 2"/>
    <w:basedOn w:val="1"/>
    <w:qFormat/>
    <w:uiPriority w:val="0"/>
    <w:pPr>
      <w:spacing w:after="120" w:line="480" w:lineRule="auto"/>
      <w:ind w:left="420" w:leftChars="200"/>
    </w:pPr>
  </w:style>
  <w:style w:type="paragraph" w:styleId="41">
    <w:name w:val="List Continue 5"/>
    <w:basedOn w:val="1"/>
    <w:qFormat/>
    <w:uiPriority w:val="0"/>
    <w:pPr>
      <w:spacing w:after="120"/>
      <w:ind w:left="2100" w:leftChars="1000"/>
    </w:pPr>
  </w:style>
  <w:style w:type="paragraph" w:styleId="42">
    <w:name w:val="Balloon Text"/>
    <w:basedOn w:val="1"/>
    <w:link w:val="193"/>
    <w:qFormat/>
    <w:uiPriority w:val="0"/>
    <w:rPr>
      <w:sz w:val="18"/>
    </w:rPr>
  </w:style>
  <w:style w:type="paragraph" w:styleId="43">
    <w:name w:val="footer"/>
    <w:basedOn w:val="1"/>
    <w:link w:val="194"/>
    <w:qFormat/>
    <w:uiPriority w:val="99"/>
    <w:pPr>
      <w:tabs>
        <w:tab w:val="center" w:pos="4153"/>
        <w:tab w:val="right" w:pos="8306"/>
      </w:tabs>
      <w:snapToGrid w:val="0"/>
      <w:jc w:val="left"/>
    </w:pPr>
    <w:rPr>
      <w:sz w:val="18"/>
    </w:rPr>
  </w:style>
  <w:style w:type="paragraph" w:styleId="44">
    <w:name w:val="envelope return"/>
    <w:basedOn w:val="1"/>
    <w:qFormat/>
    <w:uiPriority w:val="0"/>
    <w:pPr>
      <w:snapToGrid w:val="0"/>
    </w:pPr>
    <w:rPr>
      <w:rFonts w:ascii="Arial" w:hAnsi="Arial"/>
    </w:rPr>
  </w:style>
  <w:style w:type="paragraph" w:styleId="45">
    <w:name w:val="header"/>
    <w:basedOn w:val="1"/>
    <w:next w:val="1"/>
    <w:link w:val="195"/>
    <w:qFormat/>
    <w:uiPriority w:val="99"/>
    <w:pPr>
      <w:pBdr>
        <w:bottom w:val="single" w:color="000000" w:sz="6" w:space="1"/>
      </w:pBdr>
      <w:tabs>
        <w:tab w:val="center" w:pos="4153"/>
        <w:tab w:val="right" w:pos="8306"/>
      </w:tabs>
      <w:snapToGrid w:val="0"/>
      <w:jc w:val="center"/>
    </w:pPr>
    <w:rPr>
      <w:sz w:val="18"/>
    </w:rPr>
  </w:style>
  <w:style w:type="paragraph" w:styleId="46">
    <w:name w:val="Signature"/>
    <w:basedOn w:val="1"/>
    <w:qFormat/>
    <w:uiPriority w:val="0"/>
    <w:pPr>
      <w:ind w:left="100" w:leftChars="2100"/>
    </w:pPr>
  </w:style>
  <w:style w:type="paragraph" w:styleId="47">
    <w:name w:val="toc 1"/>
    <w:basedOn w:val="1"/>
    <w:next w:val="1"/>
    <w:unhideWhenUsed/>
    <w:qFormat/>
    <w:uiPriority w:val="39"/>
  </w:style>
  <w:style w:type="paragraph" w:styleId="48">
    <w:name w:val="List Continue 4"/>
    <w:basedOn w:val="1"/>
    <w:qFormat/>
    <w:uiPriority w:val="0"/>
    <w:pPr>
      <w:spacing w:after="120"/>
      <w:ind w:left="1680" w:leftChars="800"/>
    </w:pPr>
  </w:style>
  <w:style w:type="paragraph" w:styleId="49">
    <w:name w:val="Subtitle"/>
    <w:basedOn w:val="1"/>
    <w:next w:val="1"/>
    <w:qFormat/>
    <w:uiPriority w:val="0"/>
    <w:pPr>
      <w:spacing w:before="240" w:after="60" w:line="312" w:lineRule="auto"/>
      <w:jc w:val="center"/>
      <w:outlineLvl w:val="1"/>
    </w:pPr>
    <w:rPr>
      <w:rFonts w:ascii="Arial" w:hAnsi="Arial"/>
      <w:b/>
      <w:kern w:val="28"/>
      <w:sz w:val="32"/>
    </w:rPr>
  </w:style>
  <w:style w:type="paragraph" w:styleId="50">
    <w:name w:val="List Number 5"/>
    <w:basedOn w:val="1"/>
    <w:qFormat/>
    <w:uiPriority w:val="0"/>
    <w:pPr>
      <w:numPr>
        <w:ilvl w:val="0"/>
        <w:numId w:val="10"/>
      </w:numPr>
    </w:pPr>
  </w:style>
  <w:style w:type="paragraph" w:styleId="51">
    <w:name w:val="List"/>
    <w:basedOn w:val="1"/>
    <w:qFormat/>
    <w:uiPriority w:val="0"/>
    <w:pPr>
      <w:ind w:left="200" w:hanging="200" w:hangingChars="200"/>
    </w:pPr>
  </w:style>
  <w:style w:type="paragraph" w:styleId="52">
    <w:name w:val="footnote text"/>
    <w:basedOn w:val="1"/>
    <w:link w:val="189"/>
    <w:unhideWhenUsed/>
    <w:qFormat/>
    <w:uiPriority w:val="99"/>
    <w:pPr>
      <w:widowControl w:val="0"/>
      <w:snapToGrid w:val="0"/>
      <w:jc w:val="left"/>
    </w:pPr>
    <w:rPr>
      <w:rFonts w:asciiTheme="minorHAnsi" w:hAnsiTheme="minorHAnsi" w:eastAsiaTheme="minorEastAsia" w:cstheme="minorBidi"/>
      <w:color w:val="auto"/>
      <w:sz w:val="18"/>
      <w:szCs w:val="24"/>
    </w:rPr>
  </w:style>
  <w:style w:type="paragraph" w:styleId="53">
    <w:name w:val="List 5"/>
    <w:basedOn w:val="1"/>
    <w:qFormat/>
    <w:uiPriority w:val="0"/>
    <w:pPr>
      <w:ind w:left="100" w:leftChars="800" w:hanging="200" w:hangingChars="200"/>
    </w:pPr>
  </w:style>
  <w:style w:type="paragraph" w:styleId="54">
    <w:name w:val="Body Text Indent 3"/>
    <w:basedOn w:val="1"/>
    <w:qFormat/>
    <w:uiPriority w:val="0"/>
    <w:pPr>
      <w:spacing w:after="120"/>
      <w:ind w:left="420" w:leftChars="200"/>
    </w:pPr>
    <w:rPr>
      <w:sz w:val="16"/>
    </w:rPr>
  </w:style>
  <w:style w:type="paragraph" w:styleId="55">
    <w:name w:val="toc 2"/>
    <w:basedOn w:val="1"/>
    <w:next w:val="1"/>
    <w:unhideWhenUsed/>
    <w:qFormat/>
    <w:uiPriority w:val="39"/>
    <w:pPr>
      <w:ind w:left="420" w:leftChars="200"/>
    </w:pPr>
  </w:style>
  <w:style w:type="paragraph" w:styleId="56">
    <w:name w:val="Body Text 2"/>
    <w:basedOn w:val="1"/>
    <w:next w:val="1"/>
    <w:qFormat/>
    <w:uiPriority w:val="0"/>
    <w:pPr>
      <w:spacing w:after="120" w:line="480" w:lineRule="auto"/>
    </w:pPr>
  </w:style>
  <w:style w:type="paragraph" w:styleId="57">
    <w:name w:val="List 4"/>
    <w:basedOn w:val="1"/>
    <w:qFormat/>
    <w:uiPriority w:val="0"/>
    <w:pPr>
      <w:ind w:left="100" w:leftChars="600" w:hanging="200" w:hangingChars="200"/>
    </w:pPr>
  </w:style>
  <w:style w:type="paragraph" w:styleId="58">
    <w:name w:val="List Continue 2"/>
    <w:basedOn w:val="1"/>
    <w:qFormat/>
    <w:uiPriority w:val="0"/>
    <w:pPr>
      <w:spacing w:after="120"/>
      <w:ind w:left="840" w:leftChars="400"/>
    </w:pPr>
  </w:style>
  <w:style w:type="paragraph" w:styleId="5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0">
    <w:name w:val="HTML Preformatted"/>
    <w:basedOn w:val="1"/>
    <w:qFormat/>
    <w:uiPriority w:val="0"/>
    <w:rPr>
      <w:rFonts w:ascii="Courier New" w:hAnsi="Courier New"/>
      <w:sz w:val="20"/>
    </w:rPr>
  </w:style>
  <w:style w:type="paragraph" w:styleId="61">
    <w:name w:val="Normal (Web)"/>
    <w:basedOn w:val="1"/>
    <w:qFormat/>
    <w:uiPriority w:val="0"/>
    <w:rPr>
      <w:sz w:val="24"/>
    </w:rPr>
  </w:style>
  <w:style w:type="paragraph" w:styleId="62">
    <w:name w:val="List Continue 3"/>
    <w:basedOn w:val="1"/>
    <w:qFormat/>
    <w:uiPriority w:val="0"/>
    <w:pPr>
      <w:spacing w:after="120"/>
      <w:ind w:left="1260" w:leftChars="600"/>
    </w:pPr>
  </w:style>
  <w:style w:type="paragraph" w:styleId="63">
    <w:name w:val="Title"/>
    <w:basedOn w:val="1"/>
    <w:next w:val="1"/>
    <w:qFormat/>
    <w:uiPriority w:val="0"/>
    <w:pPr>
      <w:spacing w:before="240" w:after="60"/>
      <w:jc w:val="center"/>
      <w:outlineLvl w:val="0"/>
    </w:pPr>
    <w:rPr>
      <w:rFonts w:ascii="Arial" w:hAnsi="Arial"/>
      <w:b/>
      <w:sz w:val="32"/>
    </w:rPr>
  </w:style>
  <w:style w:type="paragraph" w:styleId="64">
    <w:name w:val="annotation subject"/>
    <w:basedOn w:val="22"/>
    <w:next w:val="22"/>
    <w:link w:val="196"/>
    <w:qFormat/>
    <w:uiPriority w:val="0"/>
    <w:rPr>
      <w:b/>
      <w:bCs/>
    </w:rPr>
  </w:style>
  <w:style w:type="table" w:styleId="66">
    <w:name w:val="Table Grid"/>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8">
    <w:name w:val="Strong"/>
    <w:qFormat/>
    <w:uiPriority w:val="0"/>
    <w:rPr>
      <w:b/>
    </w:rPr>
  </w:style>
  <w:style w:type="character" w:styleId="69">
    <w:name w:val="page number"/>
    <w:basedOn w:val="67"/>
    <w:qFormat/>
    <w:uiPriority w:val="0"/>
  </w:style>
  <w:style w:type="character" w:styleId="70">
    <w:name w:val="Emphasis"/>
    <w:qFormat/>
    <w:uiPriority w:val="0"/>
    <w:rPr>
      <w:i/>
    </w:rPr>
  </w:style>
  <w:style w:type="character" w:styleId="71">
    <w:name w:val="line number"/>
    <w:basedOn w:val="67"/>
    <w:qFormat/>
    <w:uiPriority w:val="0"/>
  </w:style>
  <w:style w:type="character" w:styleId="72">
    <w:name w:val="HTML Definition"/>
    <w:qFormat/>
    <w:uiPriority w:val="0"/>
    <w:rPr>
      <w:i/>
    </w:rPr>
  </w:style>
  <w:style w:type="character" w:styleId="73">
    <w:name w:val="HTML Typewriter"/>
    <w:qFormat/>
    <w:uiPriority w:val="0"/>
    <w:rPr>
      <w:rFonts w:ascii="Courier New" w:hAnsi="Courier New"/>
      <w:sz w:val="20"/>
    </w:rPr>
  </w:style>
  <w:style w:type="character" w:styleId="74">
    <w:name w:val="HTML Acronym"/>
    <w:basedOn w:val="67"/>
    <w:qFormat/>
    <w:uiPriority w:val="0"/>
  </w:style>
  <w:style w:type="character" w:styleId="75">
    <w:name w:val="HTML Variable"/>
    <w:qFormat/>
    <w:uiPriority w:val="0"/>
    <w:rPr>
      <w:i/>
    </w:rPr>
  </w:style>
  <w:style w:type="character" w:styleId="76">
    <w:name w:val="Hyperlink"/>
    <w:qFormat/>
    <w:uiPriority w:val="99"/>
    <w:rPr>
      <w:color w:val="0000FF"/>
      <w:u w:val="single"/>
    </w:rPr>
  </w:style>
  <w:style w:type="character" w:styleId="77">
    <w:name w:val="HTML Code"/>
    <w:qFormat/>
    <w:uiPriority w:val="0"/>
    <w:rPr>
      <w:rFonts w:ascii="Courier New" w:hAnsi="Courier New"/>
      <w:sz w:val="20"/>
    </w:rPr>
  </w:style>
  <w:style w:type="character" w:styleId="78">
    <w:name w:val="annotation reference"/>
    <w:qFormat/>
    <w:uiPriority w:val="0"/>
    <w:rPr>
      <w:sz w:val="21"/>
      <w:szCs w:val="21"/>
    </w:rPr>
  </w:style>
  <w:style w:type="character" w:styleId="79">
    <w:name w:val="HTML Cite"/>
    <w:qFormat/>
    <w:uiPriority w:val="0"/>
    <w:rPr>
      <w:i/>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character" w:customStyle="1" w:styleId="82">
    <w:name w:val="已访问的超链接1"/>
    <w:qFormat/>
    <w:uiPriority w:val="0"/>
    <w:rPr>
      <w:color w:val="800080"/>
      <w:u w:val="single"/>
    </w:rPr>
  </w:style>
  <w:style w:type="character" w:customStyle="1" w:styleId="83">
    <w:name w:val="lh131"/>
    <w:basedOn w:val="67"/>
    <w:qFormat/>
    <w:uiPriority w:val="0"/>
  </w:style>
  <w:style w:type="paragraph" w:customStyle="1" w:styleId="84">
    <w:name w:val="目录 61"/>
    <w:basedOn w:val="1"/>
    <w:next w:val="1"/>
    <w:qFormat/>
    <w:uiPriority w:val="0"/>
    <w:pPr>
      <w:ind w:left="1050"/>
      <w:jc w:val="left"/>
    </w:pPr>
    <w:rPr>
      <w:sz w:val="18"/>
    </w:rPr>
  </w:style>
  <w:style w:type="paragraph" w:customStyle="1" w:styleId="85">
    <w:name w:val="目录 41"/>
    <w:basedOn w:val="1"/>
    <w:next w:val="1"/>
    <w:qFormat/>
    <w:uiPriority w:val="0"/>
    <w:pPr>
      <w:ind w:left="630"/>
      <w:jc w:val="left"/>
    </w:pPr>
    <w:rPr>
      <w:sz w:val="18"/>
    </w:rPr>
  </w:style>
  <w:style w:type="paragraph" w:customStyle="1" w:styleId="86">
    <w:name w:val="目录 71"/>
    <w:basedOn w:val="1"/>
    <w:next w:val="1"/>
    <w:qFormat/>
    <w:uiPriority w:val="0"/>
    <w:pPr>
      <w:ind w:left="1260"/>
      <w:jc w:val="left"/>
    </w:pPr>
    <w:rPr>
      <w:sz w:val="18"/>
    </w:rPr>
  </w:style>
  <w:style w:type="paragraph" w:customStyle="1" w:styleId="87">
    <w:name w:val="正文首行缩进1"/>
    <w:basedOn w:val="27"/>
    <w:qFormat/>
    <w:uiPriority w:val="0"/>
    <w:pPr>
      <w:spacing w:after="120" w:line="240" w:lineRule="auto"/>
      <w:ind w:left="0" w:right="0" w:firstLine="420" w:firstLineChars="100"/>
      <w:jc w:val="both"/>
    </w:pPr>
    <w:rPr>
      <w:sz w:val="21"/>
    </w:rPr>
  </w:style>
  <w:style w:type="paragraph" w:customStyle="1" w:styleId="88">
    <w:name w:val="目录 91"/>
    <w:basedOn w:val="1"/>
    <w:next w:val="1"/>
    <w:qFormat/>
    <w:uiPriority w:val="0"/>
    <w:pPr>
      <w:ind w:left="1680"/>
      <w:jc w:val="left"/>
    </w:pPr>
    <w:rPr>
      <w:sz w:val="18"/>
    </w:rPr>
  </w:style>
  <w:style w:type="paragraph" w:customStyle="1" w:styleId="89">
    <w:name w:val="普通表格2"/>
    <w:basedOn w:val="1"/>
    <w:next w:val="1"/>
    <w:qFormat/>
    <w:uiPriority w:val="0"/>
    <w:pPr>
      <w:jc w:val="left"/>
    </w:pPr>
    <w:rPr>
      <w:kern w:val="0"/>
      <w:sz w:val="24"/>
    </w:rPr>
  </w:style>
  <w:style w:type="paragraph" w:customStyle="1" w:styleId="90">
    <w:name w:val="目录 21"/>
    <w:basedOn w:val="1"/>
    <w:next w:val="1"/>
    <w:qFormat/>
    <w:uiPriority w:val="39"/>
    <w:pPr>
      <w:ind w:left="210"/>
      <w:jc w:val="left"/>
    </w:pPr>
    <w:rPr>
      <w:smallCaps/>
      <w:sz w:val="20"/>
    </w:rPr>
  </w:style>
  <w:style w:type="paragraph" w:customStyle="1" w:styleId="91">
    <w:name w:val="普通表格1"/>
    <w:basedOn w:val="1"/>
    <w:next w:val="1"/>
    <w:qFormat/>
    <w:uiPriority w:val="0"/>
    <w:pPr>
      <w:jc w:val="left"/>
    </w:pPr>
    <w:rPr>
      <w:kern w:val="0"/>
      <w:sz w:val="24"/>
    </w:rPr>
  </w:style>
  <w:style w:type="paragraph" w:customStyle="1" w:styleId="92">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3">
    <w:name w:val="目录 51"/>
    <w:basedOn w:val="1"/>
    <w:next w:val="1"/>
    <w:qFormat/>
    <w:uiPriority w:val="0"/>
    <w:pPr>
      <w:ind w:left="840"/>
      <w:jc w:val="left"/>
    </w:pPr>
    <w:rPr>
      <w:sz w:val="18"/>
    </w:rPr>
  </w:style>
  <w:style w:type="paragraph" w:customStyle="1" w:styleId="94">
    <w:name w:val="目录 31"/>
    <w:basedOn w:val="1"/>
    <w:next w:val="1"/>
    <w:qFormat/>
    <w:uiPriority w:val="0"/>
    <w:pPr>
      <w:ind w:left="420"/>
      <w:jc w:val="left"/>
    </w:pPr>
    <w:rPr>
      <w:i/>
      <w:sz w:val="20"/>
    </w:rPr>
  </w:style>
  <w:style w:type="paragraph" w:customStyle="1" w:styleId="95">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6">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7">
    <w:name w:val="目录 81"/>
    <w:basedOn w:val="1"/>
    <w:next w:val="1"/>
    <w:qFormat/>
    <w:uiPriority w:val="0"/>
    <w:pPr>
      <w:ind w:left="1470"/>
      <w:jc w:val="left"/>
    </w:pPr>
    <w:rPr>
      <w:sz w:val="18"/>
    </w:rPr>
  </w:style>
  <w:style w:type="paragraph" w:customStyle="1" w:styleId="98">
    <w:name w:val="xl37"/>
    <w:basedOn w:val="1"/>
    <w:next w:val="1"/>
    <w:qFormat/>
    <w:uiPriority w:val="0"/>
    <w:pPr>
      <w:pBdr>
        <w:right w:val="single" w:color="000000" w:sz="4" w:space="0"/>
      </w:pBdr>
      <w:spacing w:before="100" w:after="100"/>
      <w:jc w:val="center"/>
    </w:pPr>
    <w:rPr>
      <w:kern w:val="0"/>
      <w:sz w:val="20"/>
    </w:rPr>
  </w:style>
  <w:style w:type="paragraph" w:customStyle="1" w:styleId="99">
    <w:name w:val="正文首行缩进 21"/>
    <w:basedOn w:val="28"/>
    <w:qFormat/>
    <w:uiPriority w:val="0"/>
    <w:pPr>
      <w:ind w:firstLine="420" w:firstLineChars="200"/>
    </w:pPr>
  </w:style>
  <w:style w:type="paragraph" w:customStyle="1" w:styleId="100">
    <w:name w:val="font6"/>
    <w:basedOn w:val="1"/>
    <w:next w:val="1"/>
    <w:qFormat/>
    <w:uiPriority w:val="0"/>
    <w:pPr>
      <w:spacing w:before="100" w:after="100"/>
      <w:jc w:val="left"/>
    </w:pPr>
    <w:rPr>
      <w:rFonts w:ascii="宋体"/>
      <w:kern w:val="0"/>
      <w:sz w:val="18"/>
    </w:rPr>
  </w:style>
  <w:style w:type="paragraph" w:customStyle="1" w:styleId="101">
    <w:name w:val="已访问的超级链接"/>
    <w:basedOn w:val="1"/>
    <w:next w:val="1"/>
    <w:qFormat/>
    <w:uiPriority w:val="0"/>
  </w:style>
  <w:style w:type="paragraph" w:customStyle="1" w:styleId="102">
    <w:name w:val="目录 11"/>
    <w:basedOn w:val="1"/>
    <w:next w:val="1"/>
    <w:qFormat/>
    <w:uiPriority w:val="39"/>
    <w:pPr>
      <w:spacing w:before="120" w:after="120"/>
      <w:jc w:val="left"/>
    </w:pPr>
    <w:rPr>
      <w:b/>
      <w:caps/>
      <w:sz w:val="20"/>
    </w:rPr>
  </w:style>
  <w:style w:type="paragraph" w:customStyle="1" w:styleId="103">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5">
    <w:name w:val="Char Char Char Char"/>
    <w:basedOn w:val="21"/>
    <w:qFormat/>
    <w:uiPriority w:val="0"/>
  </w:style>
  <w:style w:type="paragraph" w:customStyle="1" w:styleId="106">
    <w:name w:val="普通表格3"/>
    <w:basedOn w:val="1"/>
    <w:next w:val="1"/>
    <w:qFormat/>
    <w:uiPriority w:val="0"/>
    <w:pPr>
      <w:jc w:val="left"/>
    </w:pPr>
    <w:rPr>
      <w:kern w:val="0"/>
      <w:sz w:val="24"/>
    </w:rPr>
  </w:style>
  <w:style w:type="paragraph" w:customStyle="1" w:styleId="107">
    <w:name w:val="样式2"/>
    <w:basedOn w:val="4"/>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8">
    <w:name w:val="无列表3"/>
    <w:basedOn w:val="1"/>
    <w:next w:val="1"/>
    <w:qFormat/>
    <w:uiPriority w:val="0"/>
    <w:pPr>
      <w:widowControl w:val="0"/>
      <w:jc w:val="left"/>
    </w:pPr>
    <w:rPr>
      <w:kern w:val="0"/>
      <w:sz w:val="24"/>
    </w:rPr>
  </w:style>
  <w:style w:type="paragraph" w:customStyle="1" w:styleId="109">
    <w:name w:val="网格型1"/>
    <w:basedOn w:val="1"/>
    <w:next w:val="1"/>
    <w:qFormat/>
    <w:uiPriority w:val="0"/>
    <w:pPr>
      <w:jc w:val="left"/>
    </w:pPr>
    <w:rPr>
      <w:kern w:val="0"/>
      <w:sz w:val="24"/>
    </w:rPr>
  </w:style>
  <w:style w:type="paragraph" w:customStyle="1" w:styleId="110">
    <w:name w:val="批注引用1"/>
    <w:basedOn w:val="1"/>
    <w:next w:val="1"/>
    <w:qFormat/>
    <w:uiPriority w:val="0"/>
  </w:style>
  <w:style w:type="paragraph" w:customStyle="1" w:styleId="111">
    <w:name w:val="正文文本缩进1"/>
    <w:basedOn w:val="1"/>
    <w:next w:val="1"/>
    <w:qFormat/>
    <w:uiPriority w:val="0"/>
    <w:pPr>
      <w:ind w:firstLine="540"/>
    </w:pPr>
    <w:rPr>
      <w:sz w:val="28"/>
    </w:rPr>
  </w:style>
  <w:style w:type="paragraph" w:customStyle="1" w:styleId="112">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3">
    <w:name w:val="text-file1"/>
    <w:basedOn w:val="1"/>
    <w:next w:val="1"/>
    <w:qFormat/>
    <w:uiPriority w:val="0"/>
    <w:rPr>
      <w:rFonts w:ascii="Arial" w:hAnsi="Arial"/>
      <w:sz w:val="18"/>
    </w:rPr>
  </w:style>
  <w:style w:type="paragraph" w:customStyle="1" w:styleId="114">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5">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6">
    <w:name w:val="无列表2"/>
    <w:basedOn w:val="1"/>
    <w:next w:val="1"/>
    <w:qFormat/>
    <w:uiPriority w:val="0"/>
    <w:pPr>
      <w:widowControl w:val="0"/>
      <w:jc w:val="left"/>
    </w:pPr>
    <w:rPr>
      <w:kern w:val="0"/>
      <w:sz w:val="24"/>
    </w:rPr>
  </w:style>
  <w:style w:type="paragraph" w:customStyle="1" w:styleId="117">
    <w:name w:val="批注文字1"/>
    <w:basedOn w:val="1"/>
    <w:next w:val="1"/>
    <w:qFormat/>
    <w:uiPriority w:val="0"/>
    <w:pPr>
      <w:jc w:val="left"/>
    </w:pPr>
  </w:style>
  <w:style w:type="paragraph" w:customStyle="1" w:styleId="118">
    <w:name w:val="标题3"/>
    <w:basedOn w:val="5"/>
    <w:qFormat/>
    <w:uiPriority w:val="0"/>
    <w:pPr>
      <w:spacing w:line="440" w:lineRule="exact"/>
    </w:pPr>
    <w:rPr>
      <w:rFonts w:ascii="仿宋_GB2312" w:eastAsia="仿宋_GB2312"/>
    </w:rPr>
  </w:style>
  <w:style w:type="paragraph" w:customStyle="1" w:styleId="119">
    <w:name w:val="小节"/>
    <w:basedOn w:val="5"/>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20">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1">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2">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3">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4">
    <w:name w:val="无列表1"/>
    <w:basedOn w:val="1"/>
    <w:next w:val="1"/>
    <w:qFormat/>
    <w:uiPriority w:val="0"/>
    <w:pPr>
      <w:widowControl w:val="0"/>
      <w:jc w:val="left"/>
    </w:pPr>
    <w:rPr>
      <w:kern w:val="0"/>
      <w:sz w:val="24"/>
    </w:rPr>
  </w:style>
  <w:style w:type="paragraph" w:customStyle="1" w:styleId="125">
    <w:name w:val="表内文字"/>
    <w:basedOn w:val="1"/>
    <w:next w:val="1"/>
    <w:qFormat/>
    <w:uiPriority w:val="0"/>
    <w:pPr>
      <w:jc w:val="center"/>
    </w:pPr>
    <w:rPr>
      <w:sz w:val="32"/>
    </w:rPr>
  </w:style>
  <w:style w:type="paragraph" w:customStyle="1" w:styleId="126">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7">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8">
    <w:name w:val="超级链接"/>
    <w:basedOn w:val="1"/>
    <w:next w:val="1"/>
    <w:qFormat/>
    <w:uiPriority w:val="0"/>
    <w:pPr>
      <w:widowControl w:val="0"/>
      <w:jc w:val="left"/>
    </w:pPr>
    <w:rPr>
      <w:rFonts w:ascii="仿宋_GB2312" w:eastAsia="仿宋_GB2312"/>
      <w:kern w:val="0"/>
      <w:sz w:val="24"/>
    </w:rPr>
  </w:style>
  <w:style w:type="paragraph" w:customStyle="1" w:styleId="129">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30">
    <w:name w:val="xl38"/>
    <w:basedOn w:val="1"/>
    <w:next w:val="1"/>
    <w:qFormat/>
    <w:uiPriority w:val="0"/>
    <w:pPr>
      <w:pBdr>
        <w:right w:val="single" w:color="000000" w:sz="4" w:space="0"/>
      </w:pBdr>
      <w:spacing w:before="100" w:after="100"/>
      <w:jc w:val="left"/>
    </w:pPr>
    <w:rPr>
      <w:kern w:val="0"/>
      <w:sz w:val="20"/>
    </w:rPr>
  </w:style>
  <w:style w:type="paragraph" w:customStyle="1" w:styleId="131">
    <w:name w:val="正文文字缩进"/>
    <w:basedOn w:val="1"/>
    <w:next w:val="1"/>
    <w:qFormat/>
    <w:uiPriority w:val="0"/>
    <w:pPr>
      <w:widowControl w:val="0"/>
      <w:ind w:firstLine="540"/>
    </w:pPr>
    <w:rPr>
      <w:sz w:val="28"/>
    </w:rPr>
  </w:style>
  <w:style w:type="paragraph" w:customStyle="1" w:styleId="132">
    <w:name w:val="表正文"/>
    <w:basedOn w:val="1"/>
    <w:next w:val="1"/>
    <w:qFormat/>
    <w:uiPriority w:val="0"/>
    <w:pPr>
      <w:ind w:firstLine="420"/>
    </w:pPr>
  </w:style>
  <w:style w:type="paragraph" w:customStyle="1" w:styleId="133">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4">
    <w:name w:val="普通文字"/>
    <w:basedOn w:val="1"/>
    <w:next w:val="1"/>
    <w:qFormat/>
    <w:uiPriority w:val="0"/>
    <w:rPr>
      <w:rFonts w:ascii="宋体"/>
    </w:rPr>
  </w:style>
  <w:style w:type="paragraph" w:customStyle="1" w:styleId="135">
    <w:name w:val="xl43"/>
    <w:basedOn w:val="1"/>
    <w:next w:val="1"/>
    <w:qFormat/>
    <w:uiPriority w:val="0"/>
    <w:pPr>
      <w:pBdr>
        <w:right w:val="single" w:color="000000" w:sz="4" w:space="0"/>
      </w:pBdr>
      <w:spacing w:before="100" w:after="100"/>
      <w:jc w:val="left"/>
    </w:pPr>
    <w:rPr>
      <w:kern w:val="0"/>
      <w:sz w:val="20"/>
    </w:rPr>
  </w:style>
  <w:style w:type="paragraph" w:customStyle="1" w:styleId="136">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7">
    <w:name w:val="超链接1"/>
    <w:basedOn w:val="1"/>
    <w:next w:val="1"/>
    <w:qFormat/>
    <w:uiPriority w:val="0"/>
  </w:style>
  <w:style w:type="paragraph" w:customStyle="1" w:styleId="138">
    <w:name w:val="Body Text 21"/>
    <w:basedOn w:val="1"/>
    <w:next w:val="1"/>
    <w:qFormat/>
    <w:uiPriority w:val="0"/>
    <w:pPr>
      <w:spacing w:line="300" w:lineRule="auto"/>
      <w:jc w:val="center"/>
    </w:pPr>
    <w:rPr>
      <w:rFonts w:ascii="宋体"/>
      <w:sz w:val="24"/>
    </w:rPr>
  </w:style>
  <w:style w:type="paragraph" w:customStyle="1" w:styleId="139">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0">
    <w:name w:val="标题2"/>
    <w:basedOn w:val="4"/>
    <w:qFormat/>
    <w:uiPriority w:val="0"/>
    <w:pPr>
      <w:spacing w:line="440" w:lineRule="exact"/>
      <w:jc w:val="left"/>
    </w:pPr>
    <w:rPr>
      <w:rFonts w:ascii="仿宋_GB2312" w:eastAsia="仿宋_GB2312"/>
      <w:sz w:val="28"/>
    </w:rPr>
  </w:style>
  <w:style w:type="paragraph" w:customStyle="1" w:styleId="141">
    <w:name w:val="正文（首行缩进两字）"/>
    <w:basedOn w:val="1"/>
    <w:next w:val="1"/>
    <w:qFormat/>
    <w:uiPriority w:val="0"/>
    <w:pPr>
      <w:widowControl w:val="0"/>
      <w:ind w:firstLine="420"/>
    </w:pPr>
  </w:style>
  <w:style w:type="paragraph" w:customStyle="1" w:styleId="142">
    <w:name w:val="font7"/>
    <w:basedOn w:val="1"/>
    <w:next w:val="1"/>
    <w:qFormat/>
    <w:uiPriority w:val="0"/>
    <w:pPr>
      <w:spacing w:before="100" w:after="100"/>
      <w:jc w:val="left"/>
    </w:pPr>
    <w:rPr>
      <w:kern w:val="0"/>
      <w:sz w:val="20"/>
    </w:rPr>
  </w:style>
  <w:style w:type="paragraph" w:customStyle="1" w:styleId="143">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4">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5">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6">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7">
    <w:name w:val="标题1"/>
    <w:basedOn w:val="3"/>
    <w:next w:val="3"/>
    <w:qFormat/>
    <w:uiPriority w:val="0"/>
    <w:pPr>
      <w:spacing w:line="440" w:lineRule="exact"/>
    </w:pPr>
    <w:rPr>
      <w:rFonts w:ascii="仿宋_GB2312" w:eastAsia="仿宋_GB2312"/>
    </w:rPr>
  </w:style>
  <w:style w:type="paragraph" w:customStyle="1" w:styleId="148">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9">
    <w:name w:val="Char1"/>
    <w:basedOn w:val="1"/>
    <w:qFormat/>
    <w:uiPriority w:val="0"/>
    <w:pPr>
      <w:widowControl w:val="0"/>
      <w:jc w:val="center"/>
    </w:pPr>
    <w:rPr>
      <w:b/>
      <w:color w:val="auto"/>
      <w:kern w:val="44"/>
      <w:sz w:val="44"/>
    </w:rPr>
  </w:style>
  <w:style w:type="paragraph" w:customStyle="1" w:styleId="150">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1">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2">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3">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4">
    <w:name w:val="纯文本1"/>
    <w:basedOn w:val="1"/>
    <w:next w:val="1"/>
    <w:qFormat/>
    <w:uiPriority w:val="0"/>
    <w:rPr>
      <w:rFonts w:ascii="宋体"/>
    </w:rPr>
  </w:style>
  <w:style w:type="paragraph" w:customStyle="1" w:styleId="155">
    <w:name w:val="纯文本3"/>
    <w:basedOn w:val="1"/>
    <w:next w:val="1"/>
    <w:qFormat/>
    <w:uiPriority w:val="0"/>
    <w:pPr>
      <w:jc w:val="left"/>
      <w:textAlignment w:val="baseline"/>
    </w:pPr>
    <w:rPr>
      <w:rFonts w:ascii="宋体"/>
      <w:sz w:val="24"/>
    </w:rPr>
  </w:style>
  <w:style w:type="paragraph" w:customStyle="1" w:styleId="156">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7">
    <w:name w:val="font5"/>
    <w:basedOn w:val="1"/>
    <w:next w:val="1"/>
    <w:qFormat/>
    <w:uiPriority w:val="0"/>
    <w:pPr>
      <w:spacing w:before="100" w:after="100"/>
      <w:jc w:val="left"/>
    </w:pPr>
    <w:rPr>
      <w:rFonts w:ascii="宋体"/>
      <w:kern w:val="0"/>
      <w:sz w:val="20"/>
    </w:rPr>
  </w:style>
  <w:style w:type="paragraph" w:customStyle="1" w:styleId="158">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59">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60">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1">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2">
    <w:name w:val="页码1"/>
    <w:basedOn w:val="1"/>
    <w:next w:val="1"/>
    <w:qFormat/>
    <w:uiPriority w:val="0"/>
  </w:style>
  <w:style w:type="character" w:customStyle="1" w:styleId="163">
    <w:name w:val="纯文本 字符"/>
    <w:link w:val="36"/>
    <w:qFormat/>
    <w:locked/>
    <w:uiPriority w:val="0"/>
    <w:rPr>
      <w:rFonts w:ascii="宋体" w:hAnsi="Courier New"/>
      <w:sz w:val="21"/>
    </w:rPr>
  </w:style>
  <w:style w:type="character" w:customStyle="1" w:styleId="164">
    <w:name w:val="纯文本 字符1"/>
    <w:semiHidden/>
    <w:qFormat/>
    <w:locked/>
    <w:uiPriority w:val="0"/>
    <w:rPr>
      <w:rFonts w:ascii="宋体" w:hAnsi="Courier New"/>
      <w:sz w:val="21"/>
      <w:szCs w:val="21"/>
      <w:lang w:val="zh-CN" w:eastAsia="zh-CN"/>
    </w:rPr>
  </w:style>
  <w:style w:type="character" w:customStyle="1" w:styleId="165">
    <w:name w:val="标题 1 字符"/>
    <w:link w:val="3"/>
    <w:qFormat/>
    <w:uiPriority w:val="0"/>
    <w:rPr>
      <w:rFonts w:eastAsia="宋体"/>
      <w:b/>
      <w:color w:val="000000"/>
      <w:kern w:val="2"/>
      <w:sz w:val="32"/>
    </w:rPr>
  </w:style>
  <w:style w:type="paragraph" w:customStyle="1" w:styleId="166">
    <w:name w:val="TOC 标题1"/>
    <w:basedOn w:val="3"/>
    <w:next w:val="1"/>
    <w:unhideWhenUsed/>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7">
    <w:name w:val="TOC 标题2"/>
    <w:basedOn w:val="3"/>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styleId="168">
    <w:name w:val="List Paragraph"/>
    <w:basedOn w:val="1"/>
    <w:qFormat/>
    <w:uiPriority w:val="34"/>
    <w:pPr>
      <w:ind w:firstLine="420" w:firstLineChars="200"/>
    </w:pPr>
  </w:style>
  <w:style w:type="paragraph" w:customStyle="1" w:styleId="169">
    <w:name w:val="正文（首行不缩进）"/>
    <w:basedOn w:val="1"/>
    <w:qFormat/>
    <w:uiPriority w:val="0"/>
    <w:pPr>
      <w:widowControl w:val="0"/>
      <w:spacing w:beforeLines="50" w:afterLines="50" w:line="360" w:lineRule="auto"/>
      <w:ind w:firstLine="480" w:firstLineChars="200"/>
    </w:pPr>
    <w:rPr>
      <w:rFonts w:asciiTheme="minorHAnsi" w:hAnsiTheme="minorHAnsi" w:eastAsiaTheme="minorEastAsia" w:cstheme="minorBidi"/>
      <w:color w:val="auto"/>
      <w:sz w:val="24"/>
      <w:szCs w:val="24"/>
    </w:rPr>
  </w:style>
  <w:style w:type="character" w:customStyle="1" w:styleId="170">
    <w:name w:val="font01"/>
    <w:basedOn w:val="67"/>
    <w:qFormat/>
    <w:uiPriority w:val="0"/>
    <w:rPr>
      <w:rFonts w:hint="default" w:ascii="Times New Roman" w:hAnsi="Times New Roman" w:cs="Times New Roman"/>
      <w:color w:val="000000"/>
      <w:sz w:val="24"/>
      <w:szCs w:val="24"/>
      <w:u w:val="none"/>
    </w:rPr>
  </w:style>
  <w:style w:type="character" w:customStyle="1" w:styleId="171">
    <w:name w:val="font51"/>
    <w:basedOn w:val="67"/>
    <w:qFormat/>
    <w:uiPriority w:val="0"/>
    <w:rPr>
      <w:rFonts w:hint="eastAsia" w:ascii="宋体" w:hAnsi="宋体" w:eastAsia="宋体" w:cs="宋体"/>
      <w:color w:val="000000"/>
      <w:sz w:val="24"/>
      <w:szCs w:val="24"/>
      <w:u w:val="none"/>
    </w:rPr>
  </w:style>
  <w:style w:type="character" w:customStyle="1" w:styleId="172">
    <w:name w:val="font11"/>
    <w:basedOn w:val="67"/>
    <w:qFormat/>
    <w:uiPriority w:val="0"/>
    <w:rPr>
      <w:rFonts w:hint="default" w:ascii="??_GB2312" w:hAnsi="??_GB2312" w:eastAsia="??_GB2312" w:cs="??_GB2312"/>
      <w:color w:val="000000"/>
      <w:sz w:val="24"/>
      <w:szCs w:val="24"/>
      <w:u w:val="none"/>
    </w:rPr>
  </w:style>
  <w:style w:type="character" w:customStyle="1" w:styleId="173">
    <w:name w:val="font71"/>
    <w:basedOn w:val="67"/>
    <w:qFormat/>
    <w:uiPriority w:val="0"/>
    <w:rPr>
      <w:rFonts w:ascii="等线" w:hAnsi="等线" w:eastAsia="等线" w:cs="等线"/>
      <w:color w:val="000000"/>
      <w:sz w:val="24"/>
      <w:szCs w:val="24"/>
      <w:u w:val="none"/>
    </w:rPr>
  </w:style>
  <w:style w:type="character" w:customStyle="1" w:styleId="174">
    <w:name w:val="font21"/>
    <w:basedOn w:val="67"/>
    <w:qFormat/>
    <w:uiPriority w:val="0"/>
    <w:rPr>
      <w:rFonts w:hint="eastAsia" w:ascii="宋体" w:hAnsi="宋体" w:eastAsia="宋体" w:cs="宋体"/>
      <w:b/>
      <w:color w:val="000000"/>
      <w:sz w:val="24"/>
      <w:szCs w:val="24"/>
      <w:u w:val="none"/>
    </w:rPr>
  </w:style>
  <w:style w:type="character" w:customStyle="1" w:styleId="175">
    <w:name w:val="font31"/>
    <w:basedOn w:val="67"/>
    <w:qFormat/>
    <w:uiPriority w:val="0"/>
    <w:rPr>
      <w:rFonts w:ascii="微软雅黑" w:hAnsi="微软雅黑" w:eastAsia="微软雅黑" w:cs="微软雅黑"/>
      <w:color w:val="000000"/>
      <w:sz w:val="21"/>
      <w:szCs w:val="21"/>
      <w:u w:val="none"/>
    </w:rPr>
  </w:style>
  <w:style w:type="character" w:customStyle="1" w:styleId="176">
    <w:name w:val="font41"/>
    <w:basedOn w:val="67"/>
    <w:qFormat/>
    <w:uiPriority w:val="0"/>
    <w:rPr>
      <w:rFonts w:hint="eastAsia" w:ascii="宋体" w:hAnsi="宋体" w:eastAsia="宋体" w:cs="宋体"/>
      <w:color w:val="000000"/>
      <w:sz w:val="24"/>
      <w:szCs w:val="24"/>
      <w:u w:val="none"/>
    </w:rPr>
  </w:style>
  <w:style w:type="character" w:customStyle="1" w:styleId="177">
    <w:name w:val="font61"/>
    <w:basedOn w:val="67"/>
    <w:qFormat/>
    <w:uiPriority w:val="0"/>
    <w:rPr>
      <w:rFonts w:hint="default" w:ascii="Times New Roman" w:hAnsi="Times New Roman" w:cs="Times New Roman"/>
      <w:color w:val="000000"/>
      <w:sz w:val="24"/>
      <w:szCs w:val="24"/>
      <w:u w:val="none"/>
    </w:rPr>
  </w:style>
  <w:style w:type="paragraph" w:customStyle="1" w:styleId="178">
    <w:name w:val="Normal_5"/>
    <w:qFormat/>
    <w:uiPriority w:val="0"/>
    <w:rPr>
      <w:rFonts w:ascii="黑体" w:hAnsi="黑体" w:eastAsia="黑体" w:cs="Times New Roman"/>
      <w:b/>
      <w:sz w:val="32"/>
      <w:szCs w:val="24"/>
      <w:lang w:val="en-US" w:eastAsia="zh-CN" w:bidi="ar-SA"/>
    </w:rPr>
  </w:style>
  <w:style w:type="paragraph" w:customStyle="1" w:styleId="179">
    <w:name w:val="Normal_3"/>
    <w:qFormat/>
    <w:uiPriority w:val="0"/>
    <w:rPr>
      <w:rFonts w:ascii="黑体" w:hAnsi="黑体" w:eastAsia="黑体" w:cs="Times New Roman"/>
      <w:b/>
      <w:sz w:val="32"/>
      <w:szCs w:val="24"/>
      <w:lang w:val="en-US" w:eastAsia="zh-CN" w:bidi="ar-SA"/>
    </w:rPr>
  </w:style>
  <w:style w:type="paragraph" w:customStyle="1" w:styleId="180">
    <w:name w:val="标题 3_0"/>
    <w:basedOn w:val="1"/>
    <w:next w:val="1"/>
    <w:qFormat/>
    <w:uiPriority w:val="0"/>
    <w:pPr>
      <w:widowControl w:val="0"/>
      <w:adjustRightInd w:val="0"/>
      <w:snapToGrid w:val="0"/>
      <w:spacing w:line="500" w:lineRule="exact"/>
      <w:jc w:val="center"/>
      <w:outlineLvl w:val="2"/>
    </w:pPr>
    <w:rPr>
      <w:rFonts w:ascii="宋体" w:hAnsi="宋体"/>
      <w:b/>
      <w:color w:val="auto"/>
      <w:sz w:val="32"/>
      <w:szCs w:val="32"/>
    </w:rPr>
  </w:style>
  <w:style w:type="paragraph" w:customStyle="1" w:styleId="18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正文缩进 字符"/>
    <w:link w:val="18"/>
    <w:qFormat/>
    <w:uiPriority w:val="0"/>
    <w:rPr>
      <w:color w:val="000000"/>
      <w:kern w:val="2"/>
      <w:sz w:val="21"/>
    </w:rPr>
  </w:style>
  <w:style w:type="paragraph" w:customStyle="1" w:styleId="18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5">
    <w:name w:val="Normal_16"/>
    <w:qFormat/>
    <w:uiPriority w:val="0"/>
    <w:rPr>
      <w:rFonts w:ascii="黑体" w:hAnsi="黑体" w:eastAsia="黑体" w:cs="Times New Roman"/>
      <w:b/>
      <w:sz w:val="32"/>
      <w:szCs w:val="24"/>
      <w:lang w:val="en-US" w:eastAsia="zh-CN" w:bidi="ar-SA"/>
    </w:rPr>
  </w:style>
  <w:style w:type="paragraph" w:customStyle="1" w:styleId="186">
    <w:name w:val="正文文本缩进_0_0"/>
    <w:basedOn w:val="187"/>
    <w:qFormat/>
    <w:uiPriority w:val="0"/>
    <w:pPr>
      <w:spacing w:line="500" w:lineRule="exact"/>
      <w:ind w:left="1588" w:leftChars="832" w:firstLine="433" w:firstLineChars="196"/>
    </w:pPr>
    <w:rPr>
      <w:kern w:val="0"/>
      <w:sz w:val="24"/>
    </w:rPr>
  </w:style>
  <w:style w:type="paragraph" w:customStyle="1" w:styleId="18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8">
    <w:name w:val="网格型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9">
    <w:name w:val="脚注文本 字符"/>
    <w:basedOn w:val="67"/>
    <w:link w:val="52"/>
    <w:qFormat/>
    <w:uiPriority w:val="99"/>
    <w:rPr>
      <w:rFonts w:asciiTheme="minorHAnsi" w:hAnsiTheme="minorHAnsi" w:eastAsiaTheme="minorEastAsia" w:cstheme="minorBidi"/>
      <w:kern w:val="2"/>
      <w:sz w:val="18"/>
      <w:szCs w:val="24"/>
    </w:rPr>
  </w:style>
  <w:style w:type="paragraph" w:customStyle="1" w:styleId="190">
    <w:name w:val="样式 首行缩进:  2 字符"/>
    <w:basedOn w:val="1"/>
    <w:qFormat/>
    <w:uiPriority w:val="99"/>
    <w:pPr>
      <w:widowControl w:val="0"/>
      <w:ind w:firstLine="560"/>
    </w:pPr>
    <w:rPr>
      <w:rFonts w:asciiTheme="minorHAnsi" w:hAnsiTheme="minorHAnsi" w:eastAsiaTheme="minorEastAsia" w:cstheme="minorBidi"/>
      <w:color w:val="auto"/>
      <w:szCs w:val="21"/>
    </w:rPr>
  </w:style>
  <w:style w:type="character" w:customStyle="1" w:styleId="191">
    <w:name w:val="批注文字 字符"/>
    <w:basedOn w:val="67"/>
    <w:link w:val="22"/>
    <w:qFormat/>
    <w:uiPriority w:val="0"/>
    <w:rPr>
      <w:rFonts w:ascii="Times New Roman" w:hAnsi="Times New Roman"/>
      <w:kern w:val="2"/>
      <w:sz w:val="21"/>
      <w:szCs w:val="24"/>
    </w:rPr>
  </w:style>
  <w:style w:type="character" w:customStyle="1" w:styleId="192">
    <w:name w:val="正文文本缩进 字符"/>
    <w:basedOn w:val="67"/>
    <w:link w:val="28"/>
    <w:qFormat/>
    <w:uiPriority w:val="0"/>
    <w:rPr>
      <w:rFonts w:ascii="Times New Roman" w:hAnsi="Times New Roman"/>
      <w:color w:val="000000"/>
      <w:kern w:val="2"/>
      <w:sz w:val="21"/>
    </w:rPr>
  </w:style>
  <w:style w:type="character" w:customStyle="1" w:styleId="193">
    <w:name w:val="批注框文本 字符"/>
    <w:basedOn w:val="67"/>
    <w:link w:val="42"/>
    <w:qFormat/>
    <w:uiPriority w:val="0"/>
    <w:rPr>
      <w:rFonts w:ascii="Times New Roman" w:hAnsi="Times New Roman"/>
      <w:color w:val="000000"/>
      <w:kern w:val="2"/>
      <w:sz w:val="18"/>
    </w:rPr>
  </w:style>
  <w:style w:type="character" w:customStyle="1" w:styleId="194">
    <w:name w:val="页脚 字符"/>
    <w:basedOn w:val="67"/>
    <w:link w:val="43"/>
    <w:qFormat/>
    <w:uiPriority w:val="99"/>
    <w:rPr>
      <w:rFonts w:ascii="Times New Roman" w:hAnsi="Times New Roman"/>
      <w:color w:val="000000"/>
      <w:kern w:val="2"/>
      <w:sz w:val="18"/>
    </w:rPr>
  </w:style>
  <w:style w:type="character" w:customStyle="1" w:styleId="195">
    <w:name w:val="页眉 字符"/>
    <w:basedOn w:val="67"/>
    <w:link w:val="45"/>
    <w:qFormat/>
    <w:uiPriority w:val="99"/>
    <w:rPr>
      <w:rFonts w:ascii="Times New Roman" w:hAnsi="Times New Roman"/>
      <w:color w:val="000000"/>
      <w:kern w:val="2"/>
      <w:sz w:val="18"/>
    </w:rPr>
  </w:style>
  <w:style w:type="character" w:customStyle="1" w:styleId="196">
    <w:name w:val="批注主题 字符"/>
    <w:basedOn w:val="191"/>
    <w:link w:val="64"/>
    <w:qFormat/>
    <w:uiPriority w:val="0"/>
    <w:rPr>
      <w:rFonts w:ascii="Times New Roman" w:hAnsi="Times New Roman"/>
      <w:b/>
      <w:bCs/>
      <w:kern w:val="2"/>
      <w:sz w:val="21"/>
      <w:szCs w:val="24"/>
    </w:rPr>
  </w:style>
  <w:style w:type="table" w:customStyle="1" w:styleId="197">
    <w:name w:val="网格型3"/>
    <w:basedOn w:val="6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8">
    <w:name w:val="bds_more1"/>
    <w:basedOn w:val="67"/>
    <w:qFormat/>
    <w:uiPriority w:val="0"/>
  </w:style>
  <w:style w:type="character" w:customStyle="1" w:styleId="199">
    <w:name w:val="正文文本缩进 Char1"/>
    <w:basedOn w:val="67"/>
    <w:semiHidden/>
    <w:qFormat/>
    <w:locked/>
    <w:uiPriority w:val="0"/>
    <w:rPr>
      <w:rFonts w:eastAsia="仿宋_GB2312"/>
      <w:b/>
      <w:kern w:val="2"/>
      <w:sz w:val="28"/>
      <w:szCs w:val="30"/>
    </w:rPr>
  </w:style>
  <w:style w:type="character" w:customStyle="1" w:styleId="200">
    <w:name w:val="Char Char4"/>
    <w:qFormat/>
    <w:uiPriority w:val="0"/>
    <w:rPr>
      <w:rFonts w:eastAsia="仿宋_GB2312"/>
      <w:b/>
      <w:kern w:val="2"/>
      <w:sz w:val="28"/>
      <w:szCs w:val="30"/>
      <w:lang w:val="en-US" w:eastAsia="zh-CN" w:bidi="ar-SA"/>
    </w:rPr>
  </w:style>
  <w:style w:type="character" w:customStyle="1" w:styleId="201">
    <w:name w:val="正文文本 字符"/>
    <w:basedOn w:val="67"/>
    <w:link w:val="27"/>
    <w:qFormat/>
    <w:uiPriority w:val="99"/>
    <w:rPr>
      <w:rFonts w:ascii="Times New Roman" w:hAnsi="Times New Roman"/>
      <w:color w:val="000000"/>
      <w:kern w:val="2"/>
    </w:rPr>
  </w:style>
  <w:style w:type="paragraph" w:customStyle="1" w:styleId="202">
    <w:name w:val="WPSOffice手动目录 1"/>
    <w:qFormat/>
    <w:uiPriority w:val="0"/>
    <w:pPr>
      <w:ind w:leftChars="0"/>
    </w:pPr>
    <w:rPr>
      <w:rFonts w:ascii="Times New Roman" w:hAnsi="Times New Roman" w:eastAsia="宋体" w:cs="Times New Roman"/>
      <w:sz w:val="20"/>
      <w:szCs w:val="20"/>
    </w:rPr>
  </w:style>
  <w:style w:type="paragraph" w:customStyle="1" w:styleId="203">
    <w:name w:val="WPSOffice手动目录 2"/>
    <w:qFormat/>
    <w:uiPriority w:val="0"/>
    <w:pPr>
      <w:ind w:leftChars="200"/>
    </w:pPr>
    <w:rPr>
      <w:rFonts w:ascii="Times New Roman" w:hAnsi="Times New Roman" w:eastAsia="宋体" w:cs="Times New Roman"/>
      <w:sz w:val="20"/>
      <w:szCs w:val="20"/>
    </w:rPr>
  </w:style>
  <w:style w:type="paragraph" w:customStyle="1" w:styleId="20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样式1"/>
    <w:basedOn w:val="1"/>
    <w:qFormat/>
    <w:uiPriority w:val="99"/>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color w:val="000000"/>
      <w:kern w:val="0"/>
      <w:szCs w:val="20"/>
    </w:rPr>
  </w:style>
  <w:style w:type="paragraph" w:customStyle="1" w:styleId="206">
    <w:name w:val="Normal_0"/>
    <w:qFormat/>
    <w:uiPriority w:val="0"/>
    <w:rPr>
      <w:rFonts w:ascii="Times New Roman" w:hAnsi="Times New Roman" w:eastAsia="Times New Roman" w:cs="Times New Roman"/>
      <w:sz w:val="24"/>
      <w:szCs w:val="24"/>
      <w:lang w:val="en-US" w:eastAsia="zh-CN" w:bidi="ar-SA"/>
    </w:rPr>
  </w:style>
  <w:style w:type="paragraph" w:customStyle="1" w:styleId="2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D4F3E-A0D9-4B75-BE73-17AF913B64CE}">
  <ds:schemaRefs/>
</ds:datastoreItem>
</file>

<file path=docProps/app.xml><?xml version="1.0" encoding="utf-8"?>
<Properties xmlns="http://schemas.openxmlformats.org/officeDocument/2006/extended-properties" xmlns:vt="http://schemas.openxmlformats.org/officeDocument/2006/docPropsVTypes">
  <Template>Normal</Template>
  <Company>zfcg</Company>
  <Pages>42</Pages>
  <Words>3549</Words>
  <Characters>20230</Characters>
  <Lines>168</Lines>
  <Paragraphs>47</Paragraphs>
  <TotalTime>0</TotalTime>
  <ScaleCrop>false</ScaleCrop>
  <LinksUpToDate>false</LinksUpToDate>
  <CharactersWithSpaces>23732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lenovo</cp:lastModifiedBy>
  <cp:lastPrinted>2022-03-02T02:13:00Z</cp:lastPrinted>
  <dcterms:modified xsi:type="dcterms:W3CDTF">2022-05-25T04:12:49Z</dcterms:modified>
  <dc:title>竞争性谈判文件</dc:title>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081DDFC47EB74478996785B7767699D5</vt:lpwstr>
  </property>
</Properties>
</file>