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16684">
      <w:pPr>
        <w:spacing w:line="760" w:lineRule="exact"/>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哈密市公共资源交易服务中心</w:t>
      </w:r>
    </w:p>
    <w:p w14:paraId="1BA353C9">
      <w:pPr>
        <w:spacing w:line="640" w:lineRule="exact"/>
        <w:rPr>
          <w:rFonts w:hint="eastAsia" w:ascii="宋体" w:hAnsi="宋体"/>
          <w:b/>
          <w:sz w:val="64"/>
          <w:szCs w:val="64"/>
          <w:highlight w:val="none"/>
        </w:rPr>
      </w:pPr>
    </w:p>
    <w:p w14:paraId="75DBF844">
      <w:pPr>
        <w:spacing w:line="800" w:lineRule="exact"/>
        <w:jc w:val="center"/>
        <w:rPr>
          <w:rFonts w:hint="default" w:ascii="宋体" w:hAnsi="宋体" w:eastAsia="宋体"/>
          <w:b/>
          <w:sz w:val="32"/>
          <w:szCs w:val="32"/>
          <w:highlight w:val="none"/>
          <w:lang w:val="en-US" w:eastAsia="zh-CN"/>
        </w:rPr>
      </w:pPr>
      <w:r>
        <w:rPr>
          <w:rFonts w:hint="eastAsia" w:ascii="宋体" w:hAnsi="宋体"/>
          <w:b/>
          <w:sz w:val="32"/>
          <w:szCs w:val="32"/>
          <w:highlight w:val="none"/>
          <w:lang w:val="en-US" w:eastAsia="zh-CN"/>
        </w:rPr>
        <w:t xml:space="preserve">                                                                                                                                                                                                                                                                                                                                                                                                                                                                                                                                                                                                                                                                            </w:t>
      </w:r>
    </w:p>
    <w:p w14:paraId="05386E34">
      <w:pPr>
        <w:spacing w:line="800" w:lineRule="exact"/>
        <w:jc w:val="center"/>
        <w:rPr>
          <w:rFonts w:hint="eastAsia" w:ascii="宋体" w:hAnsi="宋体"/>
          <w:b/>
          <w:sz w:val="32"/>
          <w:szCs w:val="32"/>
          <w:highlight w:val="none"/>
        </w:rPr>
      </w:pPr>
    </w:p>
    <w:p w14:paraId="1924E12E">
      <w:pPr>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招  标  文  件</w:t>
      </w:r>
    </w:p>
    <w:p w14:paraId="4D5AC79C">
      <w:pPr>
        <w:spacing w:line="1000" w:lineRule="exact"/>
        <w:jc w:val="center"/>
        <w:rPr>
          <w:rFonts w:hint="eastAsia" w:ascii="宋体" w:hAnsi="宋体"/>
          <w:b/>
          <w:sz w:val="84"/>
          <w:szCs w:val="84"/>
          <w:highlight w:val="none"/>
        </w:rPr>
      </w:pPr>
    </w:p>
    <w:p w14:paraId="044E5CCE">
      <w:pPr>
        <w:spacing w:line="640" w:lineRule="exact"/>
        <w:ind w:left="2796" w:leftChars="665" w:hanging="1400" w:hangingChars="500"/>
        <w:rPr>
          <w:rFonts w:hint="eastAsia" w:ascii="仿宋" w:hAnsi="仿宋" w:eastAsia="仿宋" w:cs="仿宋"/>
          <w:sz w:val="28"/>
          <w:szCs w:val="32"/>
          <w:highlight w:val="none"/>
        </w:rPr>
      </w:pPr>
    </w:p>
    <w:p w14:paraId="71B95C9D">
      <w:pPr>
        <w:spacing w:line="640" w:lineRule="exact"/>
        <w:ind w:left="2796" w:leftChars="665" w:hanging="1400" w:hangingChars="500"/>
        <w:rPr>
          <w:rFonts w:hint="eastAsia" w:ascii="仿宋" w:hAnsi="仿宋" w:eastAsia="仿宋" w:cs="仿宋"/>
          <w:sz w:val="28"/>
          <w:szCs w:val="32"/>
          <w:highlight w:val="none"/>
        </w:rPr>
      </w:pPr>
      <w:r>
        <w:rPr>
          <w:rFonts w:hint="eastAsia" w:ascii="仿宋" w:hAnsi="仿宋" w:eastAsia="仿宋" w:cs="仿宋"/>
          <w:sz w:val="28"/>
          <w:szCs w:val="32"/>
          <w:highlight w:val="none"/>
        </w:rPr>
        <w:t>项目名称：</w:t>
      </w:r>
      <w:bookmarkStart w:id="0" w:name="OLE_LINK7"/>
      <w:r>
        <w:rPr>
          <w:rFonts w:hint="eastAsia" w:ascii="仿宋" w:hAnsi="仿宋" w:eastAsia="仿宋" w:cs="仿宋"/>
          <w:sz w:val="28"/>
          <w:szCs w:val="32"/>
          <w:highlight w:val="none"/>
        </w:rPr>
        <w:t>新疆铁道与能源技术大学主校区（筹）信息化项目（二期）</w:t>
      </w:r>
      <w:bookmarkEnd w:id="0"/>
    </w:p>
    <w:p w14:paraId="0104C546">
      <w:pPr>
        <w:spacing w:line="640" w:lineRule="exact"/>
        <w:ind w:left="2796" w:leftChars="665" w:hanging="1400" w:hangingChars="500"/>
        <w:rPr>
          <w:rFonts w:hint="eastAsia" w:ascii="仿宋" w:hAnsi="仿宋" w:eastAsia="仿宋" w:cs="仿宋"/>
          <w:sz w:val="28"/>
          <w:szCs w:val="32"/>
          <w:highlight w:val="none"/>
        </w:rPr>
      </w:pPr>
      <w:r>
        <w:rPr>
          <w:rFonts w:hint="eastAsia" w:ascii="仿宋" w:hAnsi="仿宋" w:eastAsia="仿宋" w:cs="仿宋"/>
          <w:sz w:val="28"/>
          <w:szCs w:val="32"/>
          <w:highlight w:val="none"/>
        </w:rPr>
        <w:t>招标单位：哈密市公共资源交易服务中心</w:t>
      </w:r>
    </w:p>
    <w:p w14:paraId="206ED736">
      <w:pPr>
        <w:keepNext w:val="0"/>
        <w:keepLines w:val="0"/>
        <w:pageBreakBefore w:val="0"/>
        <w:widowControl w:val="0"/>
        <w:kinsoku/>
        <w:wordWrap/>
        <w:overflowPunct/>
        <w:topLinePunct w:val="0"/>
        <w:autoSpaceDE/>
        <w:autoSpaceDN/>
        <w:bidi w:val="0"/>
        <w:adjustRightInd/>
        <w:snapToGrid/>
        <w:spacing w:line="640" w:lineRule="exact"/>
        <w:ind w:firstLine="1400" w:firstLineChars="500"/>
        <w:jc w:val="both"/>
        <w:textAlignment w:val="auto"/>
        <w:rPr>
          <w:rFonts w:hint="default" w:ascii="仿宋" w:hAnsi="仿宋" w:eastAsia="仿宋" w:cs="仿宋"/>
          <w:sz w:val="28"/>
          <w:szCs w:val="32"/>
          <w:highlight w:val="none"/>
          <w:lang w:val="en-US"/>
        </w:rPr>
      </w:pPr>
      <w:r>
        <w:rPr>
          <w:rFonts w:hint="eastAsia" w:ascii="仿宋" w:hAnsi="仿宋" w:eastAsia="仿宋" w:cs="仿宋"/>
          <w:sz w:val="28"/>
          <w:szCs w:val="32"/>
          <w:highlight w:val="none"/>
        </w:rPr>
        <w:t>采购单位：</w:t>
      </w:r>
      <w:r>
        <w:rPr>
          <w:rFonts w:hint="eastAsia" w:ascii="仿宋" w:hAnsi="仿宋" w:eastAsia="仿宋" w:cs="仿宋"/>
          <w:sz w:val="28"/>
          <w:szCs w:val="32"/>
          <w:highlight w:val="none"/>
          <w:lang w:val="en-US" w:eastAsia="zh-CN"/>
        </w:rPr>
        <w:t>哈密市教育局</w:t>
      </w:r>
    </w:p>
    <w:p w14:paraId="2B48E532">
      <w:pPr>
        <w:spacing w:line="640" w:lineRule="exact"/>
        <w:ind w:left="2796" w:leftChars="665" w:hanging="1400" w:hangingChars="500"/>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文件编号：GGZY-（GK）CG</w:t>
      </w:r>
      <w:r>
        <w:rPr>
          <w:rFonts w:hint="eastAsia" w:ascii="仿宋" w:hAnsi="仿宋" w:eastAsia="仿宋" w:cs="仿宋"/>
          <w:sz w:val="28"/>
          <w:szCs w:val="32"/>
          <w:highlight w:val="none"/>
          <w:lang w:val="en-US" w:eastAsia="zh-CN"/>
        </w:rPr>
        <w:t xml:space="preserve">2025006 </w:t>
      </w:r>
    </w:p>
    <w:p w14:paraId="57620BF8">
      <w:pPr>
        <w:spacing w:line="640" w:lineRule="exact"/>
        <w:ind w:firstLine="1400" w:firstLineChars="500"/>
        <w:rPr>
          <w:rFonts w:hint="eastAsia" w:ascii="仿宋" w:hAnsi="仿宋" w:eastAsia="仿宋" w:cs="仿宋"/>
          <w:sz w:val="28"/>
          <w:szCs w:val="32"/>
          <w:highlight w:val="none"/>
        </w:rPr>
      </w:pPr>
    </w:p>
    <w:p w14:paraId="1B5D57AE">
      <w:pPr>
        <w:spacing w:line="640" w:lineRule="exact"/>
        <w:jc w:val="left"/>
        <w:rPr>
          <w:rFonts w:hint="eastAsia" w:ascii="宋体" w:hAnsi="宋体"/>
          <w:sz w:val="28"/>
          <w:highlight w:val="none"/>
        </w:rPr>
      </w:pPr>
    </w:p>
    <w:p w14:paraId="1A2F1A85">
      <w:pPr>
        <w:spacing w:line="580" w:lineRule="exact"/>
        <w:jc w:val="left"/>
        <w:rPr>
          <w:rFonts w:hint="eastAsia" w:ascii="宋体" w:hAnsi="宋体"/>
          <w:b/>
          <w:sz w:val="56"/>
          <w:highlight w:val="none"/>
        </w:rPr>
      </w:pPr>
    </w:p>
    <w:p w14:paraId="415A1DE4">
      <w:pPr>
        <w:spacing w:line="580" w:lineRule="exact"/>
        <w:ind w:firstLine="3269" w:firstLineChars="740"/>
        <w:jc w:val="center"/>
        <w:rPr>
          <w:rFonts w:hint="eastAsia" w:ascii="宋体" w:hAnsi="宋体"/>
          <w:b/>
          <w:sz w:val="44"/>
          <w:highlight w:val="none"/>
        </w:rPr>
      </w:pPr>
    </w:p>
    <w:p w14:paraId="3210E0AA">
      <w:pPr>
        <w:spacing w:line="580" w:lineRule="exact"/>
        <w:ind w:firstLine="3092" w:firstLineChars="700"/>
        <w:jc w:val="center"/>
        <w:rPr>
          <w:rFonts w:hint="eastAsia" w:ascii="宋体" w:hAnsi="宋体"/>
          <w:b/>
          <w:sz w:val="44"/>
          <w:highlight w:val="none"/>
        </w:rPr>
      </w:pPr>
    </w:p>
    <w:p w14:paraId="53DAD458">
      <w:pPr>
        <w:spacing w:line="580" w:lineRule="exact"/>
        <w:jc w:val="center"/>
        <w:rPr>
          <w:rFonts w:hint="eastAsia" w:ascii="仿宋" w:hAnsi="仿宋" w:eastAsia="仿宋" w:cs="仿宋"/>
          <w:b/>
          <w:sz w:val="44"/>
          <w:highlight w:val="none"/>
        </w:rPr>
      </w:pPr>
      <w:r>
        <w:rPr>
          <w:rFonts w:hint="eastAsia" w:ascii="仿宋" w:hAnsi="仿宋" w:eastAsia="仿宋" w:cs="仿宋"/>
          <w:b/>
          <w:sz w:val="44"/>
          <w:highlight w:val="none"/>
        </w:rPr>
        <w:t>二○二五年三月</w:t>
      </w:r>
    </w:p>
    <w:p w14:paraId="7320A7FA">
      <w:pPr>
        <w:spacing w:line="580" w:lineRule="exact"/>
        <w:jc w:val="center"/>
        <w:rPr>
          <w:rFonts w:hint="eastAsia" w:ascii="宋体" w:hAnsi="宋体"/>
          <w:b/>
          <w:sz w:val="44"/>
          <w:highlight w:val="none"/>
        </w:rPr>
      </w:pPr>
    </w:p>
    <w:p w14:paraId="06392187">
      <w:pPr>
        <w:spacing w:line="620" w:lineRule="exact"/>
        <w:ind w:firstLine="3740" w:firstLineChars="850"/>
        <w:rPr>
          <w:rFonts w:hint="eastAsia" w:ascii="宋体" w:hAnsi="宋体"/>
          <w:sz w:val="44"/>
          <w:szCs w:val="44"/>
          <w:highlight w:val="none"/>
        </w:rPr>
      </w:pPr>
    </w:p>
    <w:p w14:paraId="281F63EC">
      <w:pPr>
        <w:pStyle w:val="13"/>
        <w:rPr>
          <w:highlight w:val="none"/>
        </w:rPr>
      </w:pPr>
    </w:p>
    <w:p w14:paraId="5B4BF162">
      <w:pPr>
        <w:spacing w:line="620" w:lineRule="exact"/>
        <w:ind w:firstLine="3740" w:firstLineChars="85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    录</w:t>
      </w:r>
    </w:p>
    <w:p w14:paraId="5BD20D9B">
      <w:pPr>
        <w:pStyle w:val="21"/>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第一部分  投标须知</w:t>
      </w:r>
    </w:p>
    <w:p w14:paraId="1DEF5277">
      <w:pPr>
        <w:pStyle w:val="21"/>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第二部分  招标说明</w:t>
      </w:r>
    </w:p>
    <w:p w14:paraId="1192A4A7">
      <w:pPr>
        <w:pStyle w:val="21"/>
        <w:spacing w:line="600" w:lineRule="exact"/>
        <w:rPr>
          <w:rFonts w:hint="eastAsia" w:ascii="仿宋" w:hAnsi="仿宋" w:eastAsia="仿宋" w:cs="仿宋"/>
          <w:color w:val="auto"/>
          <w:sz w:val="28"/>
          <w:szCs w:val="36"/>
          <w:highlight w:val="none"/>
        </w:rPr>
      </w:pPr>
      <w:r>
        <w:rPr>
          <w:rFonts w:hint="eastAsia" w:ascii="仿宋" w:hAnsi="仿宋" w:eastAsia="仿宋" w:cs="仿宋"/>
          <w:b/>
          <w:bCs/>
          <w:color w:val="auto"/>
          <w:sz w:val="32"/>
          <w:szCs w:val="36"/>
          <w:highlight w:val="none"/>
        </w:rPr>
        <w:t>第三部分  投标说明</w:t>
      </w:r>
    </w:p>
    <w:p w14:paraId="4B1DF58B">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第一章、对投标方的资质要求</w:t>
      </w:r>
      <w:r>
        <w:rPr>
          <w:rFonts w:hint="eastAsia" w:ascii="仿宋" w:hAnsi="仿宋" w:eastAsia="仿宋" w:cs="仿宋"/>
          <w:sz w:val="11"/>
          <w:szCs w:val="36"/>
          <w:highlight w:val="none"/>
        </w:rPr>
        <w:t>……………………………………………………………………………………………………</w:t>
      </w:r>
    </w:p>
    <w:p w14:paraId="7EDF3670">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第二章、投标文件的编写</w:t>
      </w:r>
      <w:r>
        <w:rPr>
          <w:rFonts w:hint="eastAsia" w:ascii="仿宋" w:hAnsi="仿宋" w:eastAsia="仿宋" w:cs="仿宋"/>
          <w:sz w:val="11"/>
          <w:szCs w:val="36"/>
          <w:highlight w:val="none"/>
        </w:rPr>
        <w:t>…………………………………………………………………………………………………………………</w:t>
      </w:r>
    </w:p>
    <w:p w14:paraId="2427042E">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第三章、投标文件的递交</w:t>
      </w:r>
      <w:r>
        <w:rPr>
          <w:rFonts w:hint="eastAsia" w:ascii="仿宋" w:hAnsi="仿宋" w:eastAsia="仿宋" w:cs="仿宋"/>
          <w:sz w:val="11"/>
          <w:szCs w:val="36"/>
          <w:highlight w:val="none"/>
        </w:rPr>
        <w:t>…………………………………………………………………………………………………………………</w:t>
      </w:r>
    </w:p>
    <w:p w14:paraId="5A21204F">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 xml:space="preserve">第四章、开标、招标及评标  </w:t>
      </w:r>
      <w:r>
        <w:rPr>
          <w:rFonts w:hint="eastAsia" w:ascii="仿宋" w:hAnsi="仿宋" w:eastAsia="仿宋" w:cs="仿宋"/>
          <w:sz w:val="11"/>
          <w:szCs w:val="36"/>
          <w:highlight w:val="none"/>
        </w:rPr>
        <w:t>…………………………………………………………………………………………………</w:t>
      </w:r>
    </w:p>
    <w:p w14:paraId="46939F86">
      <w:pPr>
        <w:spacing w:line="500" w:lineRule="exact"/>
        <w:rPr>
          <w:rFonts w:hint="eastAsia" w:ascii="仿宋" w:hAnsi="仿宋" w:eastAsia="仿宋" w:cs="仿宋"/>
          <w:sz w:val="11"/>
          <w:szCs w:val="36"/>
          <w:highlight w:val="none"/>
        </w:rPr>
      </w:pPr>
      <w:r>
        <w:rPr>
          <w:rFonts w:hint="eastAsia" w:ascii="仿宋" w:hAnsi="仿宋" w:eastAsia="仿宋" w:cs="仿宋"/>
          <w:bCs/>
          <w:sz w:val="28"/>
          <w:szCs w:val="32"/>
          <w:highlight w:val="none"/>
        </w:rPr>
        <w:t>第五章、定　标</w:t>
      </w:r>
      <w:r>
        <w:rPr>
          <w:rFonts w:hint="eastAsia" w:ascii="仿宋" w:hAnsi="仿宋" w:eastAsia="仿宋" w:cs="仿宋"/>
          <w:sz w:val="11"/>
          <w:szCs w:val="36"/>
          <w:highlight w:val="none"/>
        </w:rPr>
        <w:t>……………………………………………………………………………………………………………………………………………</w:t>
      </w:r>
    </w:p>
    <w:p w14:paraId="4C0E93F3">
      <w:pPr>
        <w:spacing w:line="500" w:lineRule="exact"/>
        <w:rPr>
          <w:rFonts w:hint="eastAsia" w:ascii="仿宋" w:hAnsi="仿宋" w:eastAsia="仿宋" w:cs="仿宋"/>
          <w:highlight w:val="none"/>
        </w:rPr>
      </w:pPr>
      <w:r>
        <w:rPr>
          <w:rFonts w:hint="eastAsia" w:ascii="仿宋" w:hAnsi="仿宋" w:eastAsia="仿宋" w:cs="仿宋"/>
          <w:bCs/>
          <w:sz w:val="28"/>
          <w:szCs w:val="32"/>
          <w:highlight w:val="none"/>
          <w:lang w:val="zh-CN"/>
        </w:rPr>
        <w:t>第六章、授予合同</w:t>
      </w:r>
      <w:r>
        <w:rPr>
          <w:rFonts w:hint="eastAsia" w:ascii="仿宋" w:hAnsi="仿宋" w:eastAsia="仿宋" w:cs="仿宋"/>
          <w:sz w:val="11"/>
          <w:szCs w:val="36"/>
          <w:highlight w:val="none"/>
        </w:rPr>
        <w:t>……………………………………………………………………………………………………………………………………</w:t>
      </w:r>
    </w:p>
    <w:p w14:paraId="49457C4F">
      <w:pPr>
        <w:pStyle w:val="21"/>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第四部分  货物需求、技术规格说明</w:t>
      </w:r>
    </w:p>
    <w:p w14:paraId="0AE2C7A5">
      <w:pPr>
        <w:pStyle w:val="21"/>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第五部分  商务部分</w:t>
      </w:r>
    </w:p>
    <w:p w14:paraId="79CEF3C5">
      <w:pPr>
        <w:pStyle w:val="21"/>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第一章   合同一般条款</w:t>
      </w:r>
      <w:r>
        <w:rPr>
          <w:rFonts w:hint="eastAsia" w:ascii="仿宋" w:hAnsi="仿宋" w:eastAsia="仿宋" w:cs="仿宋"/>
          <w:color w:val="auto"/>
          <w:sz w:val="11"/>
          <w:szCs w:val="36"/>
          <w:highlight w:val="none"/>
        </w:rPr>
        <w:t>……………………………………………………………………………………………………………………</w:t>
      </w:r>
    </w:p>
    <w:p w14:paraId="1C6F5D9A">
      <w:pPr>
        <w:pStyle w:val="21"/>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第二章   合同特殊条款</w:t>
      </w:r>
      <w:r>
        <w:rPr>
          <w:rFonts w:hint="eastAsia" w:ascii="仿宋" w:hAnsi="仿宋" w:eastAsia="仿宋" w:cs="仿宋"/>
          <w:color w:val="auto"/>
          <w:sz w:val="11"/>
          <w:szCs w:val="36"/>
          <w:highlight w:val="none"/>
        </w:rPr>
        <w:t>……………………………………………………………………………………………………………………</w:t>
      </w:r>
    </w:p>
    <w:p w14:paraId="60A7343D">
      <w:pPr>
        <w:pStyle w:val="21"/>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第六部分  附件</w:t>
      </w:r>
    </w:p>
    <w:p w14:paraId="67E8F7E7">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投标书编制格式</w:t>
      </w:r>
      <w:r>
        <w:rPr>
          <w:rFonts w:hint="eastAsia" w:ascii="仿宋" w:hAnsi="仿宋" w:eastAsia="仿宋" w:cs="仿宋"/>
          <w:sz w:val="11"/>
          <w:szCs w:val="36"/>
          <w:highlight w:val="none"/>
        </w:rPr>
        <w:t>…………………………………………………………………………………………………………………………………………</w:t>
      </w:r>
    </w:p>
    <w:p w14:paraId="23CE3F60">
      <w:pPr>
        <w:pStyle w:val="21"/>
        <w:spacing w:line="500" w:lineRule="exact"/>
        <w:rPr>
          <w:rFonts w:hint="eastAsia" w:ascii="仿宋" w:hAnsi="仿宋" w:eastAsia="仿宋" w:cs="仿宋"/>
          <w:color w:val="auto"/>
          <w:sz w:val="32"/>
          <w:szCs w:val="36"/>
          <w:highlight w:val="none"/>
        </w:rPr>
      </w:pPr>
      <w:r>
        <w:rPr>
          <w:rFonts w:hint="eastAsia" w:ascii="仿宋" w:hAnsi="仿宋" w:eastAsia="仿宋" w:cs="仿宋"/>
          <w:color w:val="auto"/>
          <w:sz w:val="28"/>
          <w:szCs w:val="36"/>
          <w:highlight w:val="none"/>
        </w:rPr>
        <w:t>有关附件格式范本</w:t>
      </w:r>
      <w:r>
        <w:rPr>
          <w:rFonts w:hint="eastAsia" w:ascii="仿宋" w:hAnsi="仿宋" w:eastAsia="仿宋" w:cs="仿宋"/>
          <w:color w:val="auto"/>
          <w:sz w:val="11"/>
          <w:szCs w:val="36"/>
          <w:highlight w:val="none"/>
        </w:rPr>
        <w:t>…………………………………………………………………………………………………………………</w:t>
      </w:r>
    </w:p>
    <w:p w14:paraId="0F8C3A4B">
      <w:pPr>
        <w:rPr>
          <w:rFonts w:hint="eastAsia" w:ascii="仿宋" w:hAnsi="仿宋" w:eastAsia="仿宋" w:cs="仿宋"/>
          <w:highlight w:val="none"/>
        </w:rPr>
      </w:pPr>
      <w:r>
        <w:rPr>
          <w:rFonts w:hint="eastAsia" w:ascii="仿宋" w:hAnsi="仿宋" w:eastAsia="仿宋" w:cs="仿宋"/>
          <w:highlight w:val="none"/>
        </w:rPr>
        <w:t>　　　</w:t>
      </w:r>
    </w:p>
    <w:p w14:paraId="783FCDB6">
      <w:pPr>
        <w:rPr>
          <w:rFonts w:hint="eastAsia" w:ascii="宋体" w:hAnsi="宋体"/>
          <w:b/>
          <w:sz w:val="36"/>
          <w:highlight w:val="none"/>
        </w:rPr>
      </w:pPr>
    </w:p>
    <w:p w14:paraId="29C26261">
      <w:pPr>
        <w:rPr>
          <w:rFonts w:hint="eastAsia" w:ascii="宋体" w:hAnsi="宋体"/>
          <w:highlight w:val="none"/>
        </w:rPr>
      </w:pPr>
    </w:p>
    <w:p w14:paraId="0866652B">
      <w:pPr>
        <w:rPr>
          <w:rFonts w:hint="eastAsia" w:ascii="宋体" w:hAnsi="宋体"/>
          <w:highlight w:val="none"/>
        </w:rPr>
      </w:pPr>
      <w:r>
        <w:rPr>
          <w:rFonts w:hint="eastAsia" w:ascii="宋体" w:hAnsi="宋体"/>
          <w:highlight w:val="none"/>
        </w:rPr>
        <w:t>　　　</w:t>
      </w:r>
    </w:p>
    <w:p w14:paraId="771E7925">
      <w:pPr>
        <w:rPr>
          <w:rFonts w:hint="eastAsia" w:ascii="宋体" w:hAnsi="宋体"/>
          <w:b/>
          <w:sz w:val="36"/>
          <w:highlight w:val="none"/>
        </w:rPr>
      </w:pPr>
    </w:p>
    <w:p w14:paraId="1B21F3A4">
      <w:pPr>
        <w:ind w:firstLine="1807" w:firstLineChars="500"/>
        <w:rPr>
          <w:rFonts w:hint="eastAsia" w:ascii="宋体" w:hAnsi="宋体"/>
          <w:b/>
          <w:sz w:val="36"/>
          <w:highlight w:val="none"/>
        </w:rPr>
      </w:pPr>
    </w:p>
    <w:p w14:paraId="3368000F">
      <w:pPr>
        <w:ind w:firstLine="1807" w:firstLineChars="500"/>
        <w:rPr>
          <w:rFonts w:hint="eastAsia" w:ascii="宋体" w:hAnsi="宋体"/>
          <w:b/>
          <w:sz w:val="36"/>
          <w:highlight w:val="none"/>
        </w:rPr>
      </w:pPr>
    </w:p>
    <w:p w14:paraId="5A44193B">
      <w:pPr>
        <w:pStyle w:val="13"/>
        <w:rPr>
          <w:highlight w:val="none"/>
        </w:rPr>
      </w:pPr>
    </w:p>
    <w:p w14:paraId="76E67E87">
      <w:pPr>
        <w:pStyle w:val="13"/>
        <w:rPr>
          <w:highlight w:val="none"/>
        </w:rPr>
      </w:pPr>
    </w:p>
    <w:p w14:paraId="0ABF6B14">
      <w:pPr>
        <w:rPr>
          <w:rFonts w:hint="eastAsia" w:ascii="方正小标宋简体" w:hAnsi="方正小标宋简体" w:eastAsia="方正小标宋简体" w:cs="方正小标宋简体"/>
          <w:bCs/>
          <w:sz w:val="40"/>
          <w:szCs w:val="40"/>
          <w:highlight w:val="none"/>
        </w:rPr>
      </w:pPr>
    </w:p>
    <w:p w14:paraId="724398F8">
      <w:pPr>
        <w:rPr>
          <w:rFonts w:hint="eastAsia" w:ascii="方正小标宋简体" w:hAnsi="方正小标宋简体" w:eastAsia="方正小标宋简体" w:cs="方正小标宋简体"/>
          <w:bCs/>
          <w:sz w:val="40"/>
          <w:szCs w:val="40"/>
          <w:highlight w:val="none"/>
        </w:rPr>
      </w:pPr>
    </w:p>
    <w:p w14:paraId="7818BCBE">
      <w:pPr>
        <w:jc w:val="center"/>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第一部分   投标须知</w:t>
      </w:r>
    </w:p>
    <w:p w14:paraId="207E54A7">
      <w:pPr>
        <w:spacing w:line="640" w:lineRule="exact"/>
        <w:ind w:firstLine="600" w:firstLineChars="200"/>
        <w:rPr>
          <w:rFonts w:hint="eastAsia" w:ascii="仿宋" w:hAnsi="仿宋" w:eastAsia="仿宋" w:cs="仿宋"/>
          <w:sz w:val="28"/>
          <w:szCs w:val="32"/>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项目名称：</w:t>
      </w:r>
      <w:bookmarkStart w:id="1" w:name="OLE_LINK1"/>
      <w:r>
        <w:rPr>
          <w:rFonts w:hint="eastAsia" w:ascii="仿宋" w:hAnsi="仿宋" w:eastAsia="仿宋" w:cs="仿宋"/>
          <w:sz w:val="28"/>
          <w:szCs w:val="32"/>
          <w:highlight w:val="none"/>
        </w:rPr>
        <w:t>新疆铁道与能源技术大学主校区（筹）信息化项目（二期）</w:t>
      </w:r>
    </w:p>
    <w:bookmarkEnd w:id="1"/>
    <w:p w14:paraId="0F1FDB31">
      <w:pPr>
        <w:spacing w:line="640" w:lineRule="exact"/>
        <w:ind w:firstLine="600" w:firstLineChars="200"/>
        <w:rPr>
          <w:rFonts w:hint="eastAsia" w:ascii="仿宋" w:hAnsi="仿宋" w:eastAsia="仿宋" w:cs="仿宋"/>
          <w:sz w:val="28"/>
          <w:szCs w:val="32"/>
          <w:highlight w:val="none"/>
          <w:lang w:val="en-US" w:eastAsia="zh-CN"/>
        </w:rPr>
      </w:pPr>
      <w:r>
        <w:rPr>
          <w:rFonts w:hint="eastAsia" w:ascii="仿宋" w:hAnsi="仿宋" w:eastAsia="仿宋" w:cs="仿宋"/>
          <w:sz w:val="30"/>
          <w:szCs w:val="30"/>
          <w:highlight w:val="none"/>
        </w:rPr>
        <w:t>2、招标文件编号：</w:t>
      </w:r>
      <w:r>
        <w:rPr>
          <w:rFonts w:hint="eastAsia" w:ascii="仿宋" w:hAnsi="仿宋" w:eastAsia="仿宋" w:cs="仿宋"/>
          <w:sz w:val="28"/>
          <w:szCs w:val="32"/>
          <w:highlight w:val="none"/>
        </w:rPr>
        <w:t>GGZY-（GK）CG</w:t>
      </w:r>
      <w:r>
        <w:rPr>
          <w:rFonts w:hint="eastAsia" w:ascii="仿宋" w:hAnsi="仿宋" w:eastAsia="仿宋" w:cs="仿宋"/>
          <w:sz w:val="28"/>
          <w:szCs w:val="32"/>
          <w:highlight w:val="none"/>
          <w:lang w:val="en-US" w:eastAsia="zh-CN"/>
        </w:rPr>
        <w:t>2025006</w:t>
      </w:r>
    </w:p>
    <w:p w14:paraId="3D09CD46">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3、招标单位名称：哈密市公共资源交易服务中心</w:t>
      </w:r>
    </w:p>
    <w:p w14:paraId="07972BDC">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4、招标单位地址：哈密市伊州区伊州大道167号</w:t>
      </w:r>
    </w:p>
    <w:p w14:paraId="61CDE57F">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5、邮编：839000</w:t>
      </w:r>
    </w:p>
    <w:p w14:paraId="397BAB3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6、采购内容及预算金额：</w:t>
      </w:r>
    </w:p>
    <w:p w14:paraId="6298333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采购校园基础网络、网络安全、数据中心、平安校园、校园一卡通、可视化运营中心、软件平台、智慧教室等</w:t>
      </w:r>
      <w:r>
        <w:rPr>
          <w:rFonts w:hint="eastAsia" w:ascii="仿宋" w:hAnsi="仿宋" w:eastAsia="仿宋" w:cs="仿宋"/>
          <w:sz w:val="30"/>
          <w:szCs w:val="30"/>
          <w:highlight w:val="none"/>
          <w:lang w:eastAsia="zh-CN"/>
        </w:rPr>
        <w:t>。</w:t>
      </w:r>
    </w:p>
    <w:p w14:paraId="7ABF83E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预算金额：</w:t>
      </w:r>
      <w:r>
        <w:rPr>
          <w:rFonts w:hint="eastAsia" w:ascii="仿宋" w:hAnsi="仿宋" w:eastAsia="仿宋" w:cs="仿宋"/>
          <w:color w:val="auto"/>
          <w:sz w:val="30"/>
          <w:szCs w:val="30"/>
          <w:highlight w:val="none"/>
          <w:lang w:val="en-US" w:eastAsia="zh-CN"/>
        </w:rPr>
        <w:t>43000000元</w:t>
      </w:r>
    </w:p>
    <w:p w14:paraId="2DA6CC2B">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7、投标保函：预算金额1%提交投标保函</w:t>
      </w:r>
    </w:p>
    <w:p w14:paraId="7819CC20">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8、投标文件包含：商务技术文件、报价文件</w:t>
      </w:r>
    </w:p>
    <w:p w14:paraId="6DA79079">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9、投标文件线上递交至：</w:t>
      </w:r>
      <w:bookmarkStart w:id="2" w:name="OLE_LINK8"/>
      <w:r>
        <w:rPr>
          <w:rFonts w:hint="eastAsia" w:ascii="仿宋" w:hAnsi="仿宋" w:eastAsia="仿宋" w:cs="仿宋"/>
          <w:sz w:val="30"/>
          <w:szCs w:val="30"/>
          <w:highlight w:val="none"/>
          <w:lang w:val="zh-CN"/>
        </w:rPr>
        <w:t>新疆政府采购网</w:t>
      </w:r>
      <w:r>
        <w:rPr>
          <w:rFonts w:hint="eastAsia" w:ascii="仿宋" w:hAnsi="仿宋" w:eastAsia="仿宋" w:cs="仿宋"/>
          <w:sz w:val="28"/>
          <w:szCs w:val="28"/>
          <w:highlight w:val="none"/>
          <w:lang w:val="zh-CN"/>
        </w:rPr>
        <w:t>指定栏目</w:t>
      </w:r>
      <w:r>
        <w:rPr>
          <w:rFonts w:hint="eastAsia" w:ascii="仿宋" w:hAnsi="仿宋" w:eastAsia="仿宋" w:cs="仿宋"/>
          <w:sz w:val="28"/>
          <w:szCs w:val="28"/>
          <w:highlight w:val="none"/>
        </w:rPr>
        <w:t>（http://www.ccgp-xinjiang.gov.cn）</w:t>
      </w:r>
    </w:p>
    <w:bookmarkEnd w:id="2"/>
    <w:p w14:paraId="28DDC8DA">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10、投标文件有效期：90天</w:t>
      </w:r>
    </w:p>
    <w:p w14:paraId="411005C8">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11、评标办法：</w:t>
      </w:r>
      <w:r>
        <w:rPr>
          <w:rFonts w:hint="eastAsia" w:ascii="仿宋" w:hAnsi="仿宋" w:eastAsia="仿宋" w:cs="仿宋"/>
          <w:sz w:val="30"/>
          <w:szCs w:val="30"/>
          <w:highlight w:val="none"/>
          <w:u w:val="single"/>
        </w:rPr>
        <w:t>综合评分法</w:t>
      </w:r>
    </w:p>
    <w:p w14:paraId="0F122E98">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12、招标文件发放日期：2025年3月</w:t>
      </w:r>
      <w:r>
        <w:rPr>
          <w:rFonts w:hint="eastAsia" w:ascii="仿宋" w:hAnsi="仿宋" w:eastAsia="仿宋" w:cs="仿宋"/>
          <w:sz w:val="30"/>
          <w:szCs w:val="30"/>
          <w:highlight w:val="none"/>
          <w:lang w:val="en-US" w:eastAsia="zh-CN"/>
        </w:rPr>
        <w:t>14</w:t>
      </w:r>
      <w:r>
        <w:rPr>
          <w:rFonts w:hint="eastAsia" w:ascii="仿宋" w:hAnsi="仿宋" w:eastAsia="仿宋" w:cs="仿宋"/>
          <w:sz w:val="30"/>
          <w:szCs w:val="30"/>
          <w:highlight w:val="none"/>
        </w:rPr>
        <w:t>日-3月</w:t>
      </w:r>
      <w:r>
        <w:rPr>
          <w:rFonts w:hint="eastAsia" w:ascii="仿宋" w:hAnsi="仿宋" w:eastAsia="仿宋" w:cs="仿宋"/>
          <w:sz w:val="30"/>
          <w:szCs w:val="30"/>
          <w:highlight w:val="none"/>
          <w:lang w:val="en-US" w:eastAsia="zh-CN"/>
        </w:rPr>
        <w:t>21</w:t>
      </w:r>
      <w:r>
        <w:rPr>
          <w:rFonts w:hint="eastAsia" w:ascii="仿宋" w:hAnsi="仿宋" w:eastAsia="仿宋" w:cs="仿宋"/>
          <w:sz w:val="30"/>
          <w:szCs w:val="30"/>
          <w:highlight w:val="none"/>
        </w:rPr>
        <w:t>日（节假日除外）</w:t>
      </w:r>
    </w:p>
    <w:p w14:paraId="314E0CEE">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13、开标日期: 2025年</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日上午10:00(北京时间)</w:t>
      </w:r>
    </w:p>
    <w:p w14:paraId="28071054">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14、开标地点：</w:t>
      </w:r>
      <w:r>
        <w:rPr>
          <w:rFonts w:hint="eastAsia" w:ascii="仿宋" w:hAnsi="仿宋" w:eastAsia="仿宋" w:cs="仿宋"/>
          <w:sz w:val="30"/>
          <w:szCs w:val="30"/>
          <w:highlight w:val="none"/>
          <w:lang w:val="zh-CN"/>
        </w:rPr>
        <w:t>新疆政府采购网政采云平台电子开标厅</w:t>
      </w:r>
    </w:p>
    <w:p w14:paraId="2DD3E7B1">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15、联系电话：0902-2206007（哈密市公共资源交易服务中心）</w:t>
      </w:r>
    </w:p>
    <w:p w14:paraId="35DD0C15">
      <w:pPr>
        <w:pStyle w:val="13"/>
        <w:rPr>
          <w:rFonts w:hint="default" w:ascii="仿宋" w:hAnsi="仿宋" w:eastAsia="仿宋" w:cs="仿宋"/>
          <w:sz w:val="28"/>
          <w:szCs w:val="28"/>
          <w:highlight w:val="none"/>
          <w:lang w:val="en-US" w:eastAsia="zh-CN"/>
        </w:rPr>
      </w:pPr>
      <w:r>
        <w:rPr>
          <w:rFonts w:hint="eastAsia" w:ascii="仿宋" w:hAnsi="仿宋" w:eastAsia="仿宋" w:cs="仿宋"/>
          <w:sz w:val="30"/>
          <w:szCs w:val="30"/>
          <w:highlight w:val="none"/>
        </w:rPr>
        <w:t>16、采购单位联系人及联系电话：</w:t>
      </w:r>
      <w:r>
        <w:rPr>
          <w:rFonts w:hint="eastAsia" w:ascii="仿宋" w:hAnsi="仿宋" w:eastAsia="仿宋" w:cs="仿宋"/>
          <w:sz w:val="30"/>
          <w:szCs w:val="30"/>
          <w:highlight w:val="none"/>
          <w:lang w:val="en-US" w:eastAsia="zh-CN"/>
        </w:rPr>
        <w:t>王志斌</w:t>
      </w:r>
      <w:r>
        <w:rPr>
          <w:rFonts w:hint="eastAsia" w:ascii="仿宋" w:hAnsi="仿宋" w:eastAsia="仿宋" w:cs="仿宋"/>
          <w:sz w:val="28"/>
          <w:szCs w:val="28"/>
          <w:highlight w:val="none"/>
          <w:lang w:val="en-US" w:eastAsia="zh-CN"/>
        </w:rPr>
        <w:t>15352669977</w:t>
      </w:r>
    </w:p>
    <w:p w14:paraId="04620B5A">
      <w:pPr>
        <w:pStyle w:val="21"/>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第二部分   招标说明</w:t>
      </w:r>
    </w:p>
    <w:p w14:paraId="1AC13E6E">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  适用范围</w:t>
      </w:r>
    </w:p>
    <w:p w14:paraId="70B2194F">
      <w:pPr>
        <w:spacing w:line="640" w:lineRule="exact"/>
        <w:ind w:firstLine="600" w:firstLineChars="200"/>
        <w:rPr>
          <w:rFonts w:hint="eastAsia" w:ascii="宋体" w:hAnsi="宋体"/>
          <w:sz w:val="24"/>
          <w:highlight w:val="none"/>
        </w:rPr>
      </w:pPr>
      <w:r>
        <w:rPr>
          <w:rFonts w:hint="eastAsia" w:ascii="仿宋" w:hAnsi="仿宋" w:eastAsia="仿宋" w:cs="仿宋"/>
          <w:sz w:val="30"/>
          <w:szCs w:val="30"/>
          <w:highlight w:val="none"/>
        </w:rPr>
        <w:t>1.1　本招标文件仅适用于在招标文件中所叙述的</w:t>
      </w:r>
      <w:r>
        <w:rPr>
          <w:rFonts w:hint="eastAsia" w:ascii="仿宋" w:hAnsi="仿宋" w:eastAsia="仿宋" w:cs="仿宋"/>
          <w:sz w:val="28"/>
          <w:szCs w:val="32"/>
          <w:highlight w:val="none"/>
        </w:rPr>
        <w:t>新疆铁道与能源技术大学主校区（筹）信息化项目（二期）</w:t>
      </w:r>
      <w:r>
        <w:rPr>
          <w:rFonts w:hint="eastAsia" w:ascii="仿宋" w:hAnsi="仿宋" w:eastAsia="仿宋" w:cs="仿宋"/>
          <w:sz w:val="30"/>
          <w:szCs w:val="30"/>
          <w:highlight w:val="none"/>
        </w:rPr>
        <w:t>的合格供应商参加投标</w:t>
      </w:r>
      <w:r>
        <w:rPr>
          <w:rFonts w:hint="eastAsia" w:ascii="宋体" w:hAnsi="宋体"/>
          <w:sz w:val="24"/>
          <w:highlight w:val="none"/>
        </w:rPr>
        <w:t>。</w:t>
      </w:r>
    </w:p>
    <w:p w14:paraId="41F9607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  投标资质</w:t>
      </w:r>
    </w:p>
    <w:p w14:paraId="7BF1778C">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2.1投标人应遵守中华人民共和国法律、法规和行政规章。信誉良好，没有处于被责令停业，投标资格被取消，财产被接管、冻结、破产状态；在最近三年内没有骗取中标、严重违约或重大工程质量事故的不良记录。</w:t>
      </w:r>
      <w:r>
        <w:rPr>
          <w:rFonts w:hint="eastAsia" w:ascii="仿宋" w:hAnsi="仿宋" w:eastAsia="仿宋" w:cs="仿宋"/>
          <w:sz w:val="28"/>
          <w:szCs w:val="28"/>
          <w:highlight w:val="none"/>
          <w:lang w:val="zh-CN"/>
        </w:rPr>
        <w:t>上一年度</w:t>
      </w:r>
      <w:r>
        <w:rPr>
          <w:rFonts w:hint="eastAsia" w:ascii="仿宋" w:hAnsi="仿宋" w:eastAsia="仿宋" w:cs="仿宋"/>
          <w:sz w:val="30"/>
          <w:szCs w:val="30"/>
          <w:highlight w:val="none"/>
        </w:rPr>
        <w:t>财务状况良好。</w:t>
      </w:r>
    </w:p>
    <w:p w14:paraId="5056C4F2">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 定义</w:t>
      </w:r>
    </w:p>
    <w:p w14:paraId="58386E7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下列术语和缩写的定义为：</w:t>
      </w:r>
    </w:p>
    <w:p w14:paraId="6847367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3.1 “招标方”系指哈密市公共资源交易服务中心。</w:t>
      </w:r>
    </w:p>
    <w:p w14:paraId="0FEDFC7F">
      <w:pPr>
        <w:keepNext w:val="0"/>
        <w:keepLines w:val="0"/>
        <w:pageBreakBefore w:val="0"/>
        <w:widowControl w:val="0"/>
        <w:kinsoku/>
        <w:wordWrap/>
        <w:overflowPunct/>
        <w:topLinePunct w:val="0"/>
        <w:autoSpaceDE/>
        <w:autoSpaceDN/>
        <w:bidi w:val="0"/>
        <w:adjustRightInd/>
        <w:snapToGrid/>
        <w:spacing w:line="640" w:lineRule="exact"/>
        <w:ind w:firstLine="600" w:firstLineChars="200"/>
        <w:jc w:val="both"/>
        <w:textAlignment w:val="auto"/>
        <w:rPr>
          <w:rFonts w:hint="default" w:ascii="仿宋" w:hAnsi="仿宋" w:eastAsia="仿宋" w:cs="仿宋"/>
          <w:sz w:val="30"/>
          <w:szCs w:val="30"/>
          <w:highlight w:val="none"/>
          <w:lang w:val="en-US"/>
        </w:rPr>
      </w:pPr>
      <w:r>
        <w:rPr>
          <w:rFonts w:hint="eastAsia" w:ascii="仿宋" w:hAnsi="仿宋" w:eastAsia="仿宋" w:cs="仿宋"/>
          <w:sz w:val="30"/>
          <w:szCs w:val="30"/>
          <w:highlight w:val="none"/>
        </w:rPr>
        <w:t>3.2 “采购人”系指</w:t>
      </w:r>
      <w:r>
        <w:rPr>
          <w:rFonts w:hint="eastAsia" w:ascii="仿宋" w:hAnsi="仿宋" w:eastAsia="仿宋" w:cs="仿宋"/>
          <w:sz w:val="28"/>
          <w:szCs w:val="32"/>
          <w:highlight w:val="none"/>
          <w:lang w:val="en-US" w:eastAsia="zh-CN"/>
        </w:rPr>
        <w:t>哈密市教育局。</w:t>
      </w:r>
    </w:p>
    <w:p w14:paraId="470B3AA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3.3 “投标方”、“投标人”系指有资格的供应商（制造商和代理商）。</w:t>
      </w:r>
    </w:p>
    <w:p w14:paraId="75646341">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3.4 “货物”系指招标文件规定的，投标方须向招标方提供的一切设备、附件、备品备件、工具、手册及其它有关资料和材料。</w:t>
      </w:r>
    </w:p>
    <w:p w14:paraId="64B553B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3.5 “服务”系指招标文件规定投标方须承担的保修、技术协助、培训及其他类似的责任。</w:t>
      </w:r>
    </w:p>
    <w:p w14:paraId="38CAF091">
      <w:pPr>
        <w:spacing w:line="600" w:lineRule="exact"/>
        <w:ind w:firstLine="600" w:firstLineChars="200"/>
        <w:rPr>
          <w:rFonts w:hint="default" w:eastAsia="仿宋"/>
          <w:b/>
          <w:bCs/>
          <w:highlight w:val="none"/>
          <w:lang w:val="en-US" w:eastAsia="zh-CN"/>
        </w:rPr>
      </w:pPr>
      <w:r>
        <w:rPr>
          <w:rFonts w:hint="eastAsia" w:ascii="仿宋" w:hAnsi="仿宋" w:eastAsia="仿宋" w:cs="仿宋"/>
          <w:sz w:val="30"/>
          <w:szCs w:val="30"/>
          <w:highlight w:val="none"/>
        </w:rPr>
        <w:t>3.6“行业”系</w:t>
      </w:r>
      <w:r>
        <w:rPr>
          <w:rFonts w:hint="eastAsia" w:ascii="仿宋" w:hAnsi="仿宋" w:eastAsia="仿宋" w:cs="仿宋"/>
          <w:sz w:val="30"/>
          <w:szCs w:val="30"/>
          <w:highlight w:val="none"/>
          <w:lang w:val="en-US" w:eastAsia="zh-CN"/>
        </w:rPr>
        <w:t>制造业。</w:t>
      </w:r>
    </w:p>
    <w:p w14:paraId="6E3F40C5">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  投标费用</w:t>
      </w:r>
    </w:p>
    <w:p w14:paraId="6F1349A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4.1  无论投标结果如何，凡参与招标、投标活动有关的所有费用将由投标方自行承担。</w:t>
      </w:r>
    </w:p>
    <w:p w14:paraId="17AB2B2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4.2　投标人被视为熟悉本招标项目的各种情况以及与履行合同有关的一切情况。</w:t>
      </w:r>
    </w:p>
    <w:p w14:paraId="7F59509F">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5. 招标文件的构成</w:t>
      </w:r>
    </w:p>
    <w:p w14:paraId="237F9B6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5.1　招标文件由下述部分组成：</w:t>
      </w:r>
    </w:p>
    <w:p w14:paraId="62D12A86">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第一部分 投标须知</w:t>
      </w:r>
    </w:p>
    <w:p w14:paraId="4B4545C8">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第二部分 招标说明</w:t>
      </w:r>
    </w:p>
    <w:p w14:paraId="62451F6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第三部分 投标说明</w:t>
      </w:r>
    </w:p>
    <w:p w14:paraId="1E82973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第四部分 开标、评标及定标说明</w:t>
      </w:r>
    </w:p>
    <w:p w14:paraId="5AEFEEE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第五部分 货物需求及技术规格说明</w:t>
      </w:r>
    </w:p>
    <w:p w14:paraId="595EA84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第六部分 商务部分</w:t>
      </w:r>
    </w:p>
    <w:p w14:paraId="62D7995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第七部分 附件（投标文件编制顺序及范本格式）</w:t>
      </w:r>
    </w:p>
    <w:p w14:paraId="7D6A928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6. 招标文件的澄清</w:t>
      </w:r>
    </w:p>
    <w:p w14:paraId="152138B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6.1　投标人对招标文件如有疑点，可在投标截止日前的7日内按招标书中载明的地址以书面形式（包括信函、电报或传真，不包括电子邮件，下同）一次性通知招标方要求澄清。招标方将视情况确定采用适当方式予以澄清或以书面形式予以答复。</w:t>
      </w:r>
    </w:p>
    <w:p w14:paraId="28683200">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7. 招标文件的修改或补充</w:t>
      </w:r>
    </w:p>
    <w:p w14:paraId="6B4DA37F">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7.1　在投标截止期的7日内的任何时间，招标方可主动或依据投标人要求澄清的问题而修改或补充招标书，并以书面形式通知所有投标人，投标人在收到该通知后应立即以电报或传真的形式予以确认。</w:t>
      </w:r>
    </w:p>
    <w:p w14:paraId="61101483">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7.2　为使投标人在准备投标时有适当的时间考虑投标文件的修改，招标方有权决定推迟投标截止日期和开标日期，并将此变更通知所有的投标人。</w:t>
      </w:r>
    </w:p>
    <w:p w14:paraId="1E7F49C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7.3　招标文件的修改和补充文件将构成招标文件的一部分，并且对投标人具有优先约束力。</w:t>
      </w:r>
    </w:p>
    <w:p w14:paraId="3287431C">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8、廉洁自律承诺要求</w:t>
      </w:r>
    </w:p>
    <w:p w14:paraId="5968EC8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按照财政厅颁发《政府采购预防职务违法违纪工作规程》的要求，在本次招标活动中，公共资源交易服务中心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要求参加本次项目的采购单位、评标专家要填写《廉洁自律承诺书》，所有投标单位（供应商）必须要填写反商业贿赂承诺书（不填视为无效投标处理）。</w:t>
      </w:r>
    </w:p>
    <w:p w14:paraId="2FF6C062">
      <w:pPr>
        <w:spacing w:line="600" w:lineRule="exact"/>
        <w:ind w:firstLine="600" w:firstLineChars="200"/>
        <w:rPr>
          <w:rFonts w:hint="eastAsia" w:ascii="仿宋" w:hAnsi="仿宋" w:eastAsia="仿宋" w:cs="仿宋"/>
          <w:sz w:val="30"/>
          <w:szCs w:val="30"/>
          <w:highlight w:val="none"/>
        </w:rPr>
      </w:pPr>
    </w:p>
    <w:p w14:paraId="55758379">
      <w:pPr>
        <w:spacing w:line="600" w:lineRule="exact"/>
        <w:ind w:firstLine="600" w:firstLineChars="200"/>
        <w:rPr>
          <w:rFonts w:hint="eastAsia" w:ascii="仿宋" w:hAnsi="仿宋" w:eastAsia="仿宋" w:cs="仿宋"/>
          <w:sz w:val="30"/>
          <w:szCs w:val="30"/>
          <w:highlight w:val="none"/>
        </w:rPr>
      </w:pPr>
    </w:p>
    <w:p w14:paraId="108F9BF9">
      <w:pPr>
        <w:spacing w:line="600" w:lineRule="exact"/>
        <w:rPr>
          <w:rFonts w:hint="eastAsia" w:ascii="仿宋" w:hAnsi="仿宋" w:eastAsia="仿宋" w:cs="仿宋"/>
          <w:sz w:val="30"/>
          <w:szCs w:val="30"/>
          <w:highlight w:val="none"/>
        </w:rPr>
      </w:pPr>
    </w:p>
    <w:p w14:paraId="038E153E">
      <w:pPr>
        <w:spacing w:line="600" w:lineRule="exact"/>
        <w:ind w:firstLine="600" w:firstLineChars="200"/>
        <w:rPr>
          <w:rFonts w:hint="eastAsia" w:ascii="仿宋" w:hAnsi="仿宋" w:eastAsia="仿宋" w:cs="仿宋"/>
          <w:sz w:val="30"/>
          <w:szCs w:val="30"/>
          <w:highlight w:val="none"/>
        </w:rPr>
      </w:pPr>
    </w:p>
    <w:p w14:paraId="1BF6B9AC">
      <w:pPr>
        <w:pStyle w:val="13"/>
        <w:rPr>
          <w:rFonts w:hint="eastAsia" w:ascii="仿宋" w:hAnsi="仿宋" w:eastAsia="仿宋" w:cs="仿宋"/>
          <w:sz w:val="30"/>
          <w:szCs w:val="30"/>
          <w:highlight w:val="none"/>
        </w:rPr>
      </w:pPr>
    </w:p>
    <w:p w14:paraId="53B97799">
      <w:pPr>
        <w:pStyle w:val="13"/>
        <w:rPr>
          <w:rFonts w:hint="eastAsia" w:ascii="仿宋" w:hAnsi="仿宋" w:eastAsia="仿宋" w:cs="仿宋"/>
          <w:sz w:val="30"/>
          <w:szCs w:val="30"/>
          <w:highlight w:val="none"/>
        </w:rPr>
      </w:pPr>
    </w:p>
    <w:p w14:paraId="61B99BE3">
      <w:pPr>
        <w:pStyle w:val="13"/>
        <w:rPr>
          <w:rFonts w:hint="eastAsia" w:ascii="仿宋" w:hAnsi="仿宋" w:eastAsia="仿宋" w:cs="仿宋"/>
          <w:sz w:val="30"/>
          <w:szCs w:val="30"/>
          <w:highlight w:val="none"/>
        </w:rPr>
      </w:pPr>
    </w:p>
    <w:p w14:paraId="25106160">
      <w:pPr>
        <w:pStyle w:val="13"/>
        <w:rPr>
          <w:rFonts w:hint="eastAsia" w:ascii="仿宋" w:hAnsi="仿宋" w:eastAsia="仿宋" w:cs="仿宋"/>
          <w:sz w:val="30"/>
          <w:szCs w:val="30"/>
          <w:highlight w:val="none"/>
        </w:rPr>
      </w:pPr>
    </w:p>
    <w:p w14:paraId="55C4D8B8">
      <w:pPr>
        <w:pStyle w:val="13"/>
        <w:rPr>
          <w:rFonts w:hint="eastAsia" w:ascii="仿宋" w:hAnsi="仿宋" w:eastAsia="仿宋" w:cs="仿宋"/>
          <w:sz w:val="30"/>
          <w:szCs w:val="30"/>
          <w:highlight w:val="none"/>
        </w:rPr>
      </w:pPr>
    </w:p>
    <w:p w14:paraId="49EC89FB">
      <w:pPr>
        <w:pStyle w:val="13"/>
        <w:rPr>
          <w:rFonts w:hint="eastAsia" w:ascii="仿宋" w:hAnsi="仿宋" w:eastAsia="仿宋" w:cs="仿宋"/>
          <w:sz w:val="30"/>
          <w:szCs w:val="30"/>
          <w:highlight w:val="none"/>
        </w:rPr>
      </w:pPr>
    </w:p>
    <w:p w14:paraId="63D57027">
      <w:pPr>
        <w:pStyle w:val="21"/>
        <w:numPr>
          <w:ilvl w:val="0"/>
          <w:numId w:val="2"/>
        </w:numPr>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 xml:space="preserve">  投标说明</w:t>
      </w:r>
    </w:p>
    <w:p w14:paraId="5958D7D3">
      <w:pPr>
        <w:spacing w:line="44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第一章、对投标方的资质要求</w:t>
      </w:r>
    </w:p>
    <w:p w14:paraId="76EC765B">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1、投标资质：</w:t>
      </w:r>
    </w:p>
    <w:p w14:paraId="54EF2888">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投标人必须提交能够证明其具有履行本招标项目合同能力的资质证明文件，作为投标文件的一部分。</w:t>
      </w:r>
    </w:p>
    <w:p w14:paraId="6BF1A671">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）凡拟参加本次招标项目的投标公司，应提供年审合格的法人营业执照国税、地税税务登记证及法人机构代码证副本原件（或三证合一营业执照副本原件</w:t>
      </w:r>
      <w:r>
        <w:rPr>
          <w:rFonts w:hint="eastAsia" w:ascii="仿宋" w:hAnsi="仿宋" w:eastAsia="仿宋" w:cs="仿宋"/>
          <w:sz w:val="28"/>
          <w:szCs w:val="28"/>
          <w:highlight w:val="none"/>
        </w:rPr>
        <w:t>或复印件加盖公章</w:t>
      </w:r>
      <w:r>
        <w:rPr>
          <w:rFonts w:hint="eastAsia" w:ascii="仿宋" w:hAnsi="仿宋" w:eastAsia="仿宋" w:cs="仿宋"/>
          <w:sz w:val="28"/>
          <w:szCs w:val="28"/>
          <w:highlight w:val="none"/>
          <w:lang w:val="zh-CN"/>
        </w:rPr>
        <w:t>）；</w:t>
      </w:r>
    </w:p>
    <w:p w14:paraId="3FD6054F">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）具有良好的商业信誉和健全的财务会计制度，</w:t>
      </w:r>
      <w:r>
        <w:rPr>
          <w:rFonts w:hint="eastAsia" w:ascii="仿宋" w:hAnsi="仿宋" w:eastAsia="仿宋" w:cs="仿宋"/>
          <w:sz w:val="28"/>
          <w:szCs w:val="28"/>
          <w:highlight w:val="none"/>
        </w:rPr>
        <w:t>投标人不能是被列入“信用中国”网站被列入失信被执行人、重大税收违法案件当事人名单（尚在处罚期内）的供应商；不能是被列入“中国政府政采购网”网站政府采购严重违法失信行为记录名单中仍在处罚期被禁止参加政府采购活动的供应商。（详见附件；提供截图加盖公章）；</w:t>
      </w:r>
    </w:p>
    <w:p w14:paraId="6E1AD724">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（3）具有履行合同所必需的设备和专业技术能力，提供声明或承诺书原件（扫描件）；</w:t>
      </w:r>
    </w:p>
    <w:p w14:paraId="22E18A8A">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（4）有依法缴纳税收和社会保障资金的良好记录（扫描件）；</w:t>
      </w:r>
    </w:p>
    <w:p w14:paraId="18E41171">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（5）参加政府采购活动前三年内，在经营活动中没有重大违法记录（提供声明或承诺书原件扫描件）；</w:t>
      </w:r>
    </w:p>
    <w:p w14:paraId="6AAC60CA">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zh-CN"/>
        </w:rPr>
        <w:t>法人代表授权委托书原件及被授权人《居民身份证》原件。（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p>
    <w:p w14:paraId="4414A6F6">
      <w:pPr>
        <w:pStyle w:val="22"/>
        <w:spacing w:line="600" w:lineRule="exact"/>
        <w:ind w:firstLine="560"/>
        <w:rPr>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）投标单位（供应商）《反商业贿赂承诺书》（原件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 xml:space="preserve"> ；</w:t>
      </w:r>
    </w:p>
    <w:p w14:paraId="506AC091">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）本项目不接受联合体投标（提供承诺书原件扫描件）；</w:t>
      </w:r>
    </w:p>
    <w:p w14:paraId="4C415E61">
      <w:pPr>
        <w:spacing w:line="440" w:lineRule="exact"/>
        <w:jc w:val="both"/>
        <w:rPr>
          <w:rFonts w:hint="eastAsia" w:ascii="仿宋" w:hAnsi="仿宋" w:eastAsia="仿宋" w:cs="仿宋"/>
          <w:b/>
          <w:sz w:val="32"/>
          <w:szCs w:val="32"/>
          <w:highlight w:val="none"/>
          <w:lang w:val="zh-CN"/>
        </w:rPr>
      </w:pPr>
    </w:p>
    <w:p w14:paraId="495047A4">
      <w:pPr>
        <w:spacing w:line="44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zh-CN"/>
        </w:rPr>
        <w:t>第二章、投标文件的编写</w:t>
      </w:r>
    </w:p>
    <w:p w14:paraId="0C3CB571">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zh-CN"/>
        </w:rPr>
        <w:t>、</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要求</w:t>
      </w:r>
    </w:p>
    <w:p w14:paraId="1968A233">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2.1   投标人应详细阅读招标文件中的条款、规范、表示、条件和格式等所有内容，按招标书的要求份数提供投标书，并保证所提供全部材料的真实性，以使其投标对招标文件做出实质性响应。否则，其投标可能被拒绝。</w:t>
      </w:r>
    </w:p>
    <w:p w14:paraId="1670F0B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2.2   允许投标人对本招标文件中的所有包投标，也可根据本企业生产或代理产品的情况对部分包进行投标，但不允许投标人对某一包中的一项或部分项进行投标。</w:t>
      </w:r>
    </w:p>
    <w:p w14:paraId="136B16B0">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w:t>
      </w:r>
      <w:r>
        <w:rPr>
          <w:rFonts w:hint="eastAsia" w:ascii="仿宋" w:hAnsi="仿宋" w:eastAsia="仿宋" w:cs="仿宋"/>
          <w:b/>
          <w:bCs/>
          <w:sz w:val="32"/>
          <w:szCs w:val="32"/>
          <w:highlight w:val="none"/>
          <w:lang w:val="zh-CN"/>
        </w:rPr>
        <w:t>、</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投标文件语言和度量单位</w:t>
      </w:r>
    </w:p>
    <w:p w14:paraId="67853249">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3.1   招标文件及投标人和招标方就招标、投标交换的文件和往来信件，须以中文书写。</w:t>
      </w:r>
    </w:p>
    <w:p w14:paraId="7D1A6C69">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3.2   除在招标文件的技术规格中另有规定外，计量单位应使用中华人民共和国法定计量单位。</w:t>
      </w:r>
    </w:p>
    <w:p w14:paraId="7B0E308A">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3.3   投标文件应采用书面形式，传真、电子邮件形式的投标文件概不接受。</w:t>
      </w:r>
    </w:p>
    <w:p w14:paraId="0927CAAA">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w:t>
      </w:r>
      <w:r>
        <w:rPr>
          <w:rFonts w:hint="eastAsia" w:ascii="仿宋" w:hAnsi="仿宋" w:eastAsia="仿宋" w:cs="仿宋"/>
          <w:b/>
          <w:bCs/>
          <w:sz w:val="32"/>
          <w:szCs w:val="32"/>
          <w:highlight w:val="none"/>
          <w:lang w:val="zh-CN"/>
        </w:rPr>
        <w:t>、投标文件的组成</w:t>
      </w:r>
    </w:p>
    <w:p w14:paraId="6FD330D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4.1　投标人编写的投标文件应包括下列内容：</w:t>
      </w:r>
    </w:p>
    <w:p w14:paraId="5258F859">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4.1.1</w:t>
      </w:r>
      <w:r>
        <w:rPr>
          <w:rFonts w:hint="eastAsia" w:ascii="仿宋" w:hAnsi="仿宋" w:eastAsia="仿宋" w:cs="仿宋"/>
          <w:sz w:val="28"/>
          <w:szCs w:val="28"/>
          <w:highlight w:val="none"/>
          <w:lang w:val="zh-CN"/>
        </w:rPr>
        <w:t>商务技术文件</w:t>
      </w:r>
    </w:p>
    <w:p w14:paraId="394743A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）资格性自查表</w:t>
      </w:r>
    </w:p>
    <w:p w14:paraId="71FC88AA">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）投标函、投标声明</w:t>
      </w:r>
    </w:p>
    <w:p w14:paraId="2D6B27B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）投标保证金（保函）</w:t>
      </w:r>
    </w:p>
    <w:p w14:paraId="21476B9D">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zh-CN"/>
        </w:rPr>
        <w:t>投标人的基本情况及资格证明材料</w:t>
      </w:r>
    </w:p>
    <w:p w14:paraId="5471A00D">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符合资格要求的相关文件及证明材料，包含但不限于含投标保证金（保函）证明、企业简介、财务报表、社保缴纳证明、具有履行合同所必需的设备和专业技术能力书面声明、无重大违法记录声明书、投标单位（供应商）反商业贿赂承诺书、信用中国查询结果打印件、中国政府采购网查询结果等。</w:t>
      </w:r>
    </w:p>
    <w:p w14:paraId="01166394">
      <w:pPr>
        <w:pStyle w:val="22"/>
        <w:numPr>
          <w:ilvl w:val="0"/>
          <w:numId w:val="3"/>
        </w:numPr>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项目实施方案</w:t>
      </w:r>
    </w:p>
    <w:p w14:paraId="06C858C1">
      <w:pPr>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项目负责人简历表及拟投入本项目主要成员表、项目配备人员表、服务附表</w:t>
      </w:r>
    </w:p>
    <w:p w14:paraId="3E4DEF5F">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zh-CN"/>
        </w:rPr>
        <w:t>）商务条款偏离表</w:t>
      </w:r>
    </w:p>
    <w:p w14:paraId="050121F9">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）技术参数、功能偏离表</w:t>
      </w:r>
    </w:p>
    <w:p w14:paraId="532C7E4A">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）设备简要说明一览表</w:t>
      </w:r>
    </w:p>
    <w:p w14:paraId="7EB6D2BC">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9</w:t>
      </w:r>
      <w:r>
        <w:rPr>
          <w:rFonts w:hint="eastAsia" w:ascii="仿宋" w:hAnsi="仿宋" w:eastAsia="仿宋" w:cs="仿宋"/>
          <w:sz w:val="28"/>
          <w:szCs w:val="28"/>
          <w:highlight w:val="none"/>
          <w:lang w:val="zh-CN"/>
        </w:rPr>
        <w:t>）法人代表授权书格式</w:t>
      </w:r>
    </w:p>
    <w:p w14:paraId="7E56CE37">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10</w:t>
      </w:r>
      <w:r>
        <w:rPr>
          <w:rFonts w:hint="eastAsia" w:ascii="仿宋" w:hAnsi="仿宋" w:eastAsia="仿宋" w:cs="仿宋"/>
          <w:sz w:val="28"/>
          <w:szCs w:val="28"/>
          <w:highlight w:val="none"/>
          <w:lang w:val="zh-CN"/>
        </w:rPr>
        <w:t>）销售业绩表</w:t>
      </w:r>
    </w:p>
    <w:p w14:paraId="060E9700">
      <w:pPr>
        <w:pStyle w:val="22"/>
        <w:spacing w:line="60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11</w:t>
      </w:r>
      <w:r>
        <w:rPr>
          <w:rFonts w:hint="eastAsia" w:ascii="仿宋" w:hAnsi="仿宋" w:eastAsia="仿宋" w:cs="仿宋"/>
          <w:sz w:val="28"/>
          <w:szCs w:val="28"/>
          <w:highlight w:val="none"/>
          <w:lang w:val="zh-CN"/>
        </w:rPr>
        <w:t>）中小企业声明函（</w:t>
      </w:r>
      <w:r>
        <w:rPr>
          <w:rFonts w:hint="eastAsia" w:ascii="仿宋" w:hAnsi="仿宋" w:eastAsia="仿宋" w:cs="仿宋"/>
          <w:sz w:val="28"/>
          <w:szCs w:val="28"/>
          <w:highlight w:val="none"/>
          <w:lang w:val="en-US" w:eastAsia="zh-CN"/>
        </w:rPr>
        <w:t>非中小企业可不提供</w:t>
      </w:r>
      <w:r>
        <w:rPr>
          <w:rFonts w:hint="eastAsia" w:ascii="仿宋" w:hAnsi="仿宋" w:eastAsia="仿宋" w:cs="仿宋"/>
          <w:sz w:val="28"/>
          <w:szCs w:val="28"/>
          <w:highlight w:val="none"/>
          <w:lang w:val="zh-CN"/>
        </w:rPr>
        <w:t>）</w:t>
      </w:r>
    </w:p>
    <w:p w14:paraId="462CEF7F">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12</w:t>
      </w:r>
      <w:r>
        <w:rPr>
          <w:rFonts w:hint="eastAsia" w:ascii="仿宋" w:hAnsi="仿宋" w:eastAsia="仿宋" w:cs="仿宋"/>
          <w:sz w:val="28"/>
          <w:szCs w:val="28"/>
          <w:highlight w:val="none"/>
          <w:lang w:val="zh-CN"/>
        </w:rPr>
        <w:t>）投标人认为需提供的其它资料</w:t>
      </w:r>
    </w:p>
    <w:p w14:paraId="4E186083">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4.1.2投标报价文件：</w:t>
      </w:r>
    </w:p>
    <w:p w14:paraId="36458317">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）开标一览表</w:t>
      </w:r>
    </w:p>
    <w:p w14:paraId="3D684CBC">
      <w:pPr>
        <w:ind w:left="559" w:leftChars="266"/>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2</w:t>
      </w:r>
      <w:r>
        <w:rPr>
          <w:rFonts w:hint="eastAsia" w:ascii="仿宋" w:hAnsi="仿宋" w:eastAsia="仿宋" w:cs="仿宋"/>
          <w:kern w:val="0"/>
          <w:sz w:val="28"/>
          <w:szCs w:val="28"/>
          <w:highlight w:val="none"/>
          <w:lang w:val="zh-CN"/>
        </w:rPr>
        <w:t>）分项报价表</w:t>
      </w:r>
      <w:r>
        <w:rPr>
          <w:rFonts w:hint="eastAsia" w:ascii="仿宋" w:hAnsi="仿宋" w:eastAsia="仿宋" w:cs="仿宋"/>
          <w:kern w:val="0"/>
          <w:sz w:val="28"/>
          <w:szCs w:val="28"/>
          <w:highlight w:val="none"/>
          <w:lang w:val="zh-CN"/>
        </w:rPr>
        <w:br w:type="textWrapping"/>
      </w:r>
      <w:r>
        <w:rPr>
          <w:rFonts w:hint="eastAsia" w:ascii="仿宋" w:hAnsi="仿宋" w:eastAsia="仿宋" w:cs="仿宋"/>
          <w:sz w:val="28"/>
          <w:szCs w:val="28"/>
          <w:highlight w:val="none"/>
          <w:lang w:val="zh-CN"/>
        </w:rPr>
        <w:t>根据《政府采购法》第四十二条的规定，投标人无论中标与否，其投标文件正本留存。</w:t>
      </w:r>
    </w:p>
    <w:p w14:paraId="75387283">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5</w:t>
      </w:r>
      <w:r>
        <w:rPr>
          <w:rFonts w:hint="eastAsia" w:ascii="仿宋" w:hAnsi="仿宋" w:eastAsia="仿宋" w:cs="仿宋"/>
          <w:b/>
          <w:bCs/>
          <w:sz w:val="32"/>
          <w:szCs w:val="32"/>
          <w:highlight w:val="none"/>
          <w:lang w:val="zh-CN"/>
        </w:rPr>
        <w:t>、投标文件格式</w:t>
      </w:r>
    </w:p>
    <w:p w14:paraId="318A5423">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5.1　投标方应按招标文件范本格式中提供的投标文件格式认真填写投标书、开标一览表、投标报价表等，并注明投标货物的名称、货物简介、原产地、数量和价格等。</w:t>
      </w:r>
    </w:p>
    <w:p w14:paraId="526724CB">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6、</w:t>
      </w:r>
      <w:r>
        <w:rPr>
          <w:rFonts w:hint="eastAsia" w:ascii="仿宋" w:hAnsi="仿宋" w:eastAsia="仿宋" w:cs="仿宋"/>
          <w:b/>
          <w:bCs/>
          <w:sz w:val="32"/>
          <w:szCs w:val="32"/>
          <w:highlight w:val="none"/>
          <w:lang w:val="zh-CN"/>
        </w:rPr>
        <w:t>投标报价</w:t>
      </w:r>
    </w:p>
    <w:p w14:paraId="2EC9B465">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6.1　投标方应在投标报价表上标明单价和总价。如单价和总价不符，以单价累计为准。小写和大写不符，以大写为准。投标方如果不同意上述修改原则，其投标将被拒绝。投标方应在投标报价表中标明其提供的所有货物及其相关工作范围内所有费用的总价，招标方不接受有任何选择性的报价。</w:t>
      </w:r>
    </w:p>
    <w:p w14:paraId="071E515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6.2. 　投标报价时应注意下列几点：</w:t>
      </w:r>
    </w:p>
    <w:p w14:paraId="132E71ED">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6.2.1 　招标文件中特别要求的备品备件、易损件和专用工具的费用；</w:t>
      </w:r>
    </w:p>
    <w:p w14:paraId="25588C04">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6.2.2 　招标文件中特别要求的材料、安装、调试、培训、运输、保险及其它附带服务的全部费用；</w:t>
      </w:r>
    </w:p>
    <w:p w14:paraId="1546E8A8">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7</w:t>
      </w:r>
      <w:r>
        <w:rPr>
          <w:rFonts w:hint="eastAsia" w:ascii="仿宋" w:hAnsi="仿宋" w:eastAsia="仿宋" w:cs="仿宋"/>
          <w:b/>
          <w:bCs/>
          <w:sz w:val="32"/>
          <w:szCs w:val="32"/>
          <w:highlight w:val="none"/>
          <w:lang w:val="zh-CN"/>
        </w:rPr>
        <w:t>、投标报价的货币单位</w:t>
      </w:r>
    </w:p>
    <w:p w14:paraId="1CFEB3E8">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7.1　投标报价单位为人民币。对进口设备的报价也应以人民币进行报价，允许投标人填列按开标当天的人民币汇率折算的外币报价。</w:t>
      </w:r>
    </w:p>
    <w:p w14:paraId="10C2FD6A">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8</w:t>
      </w:r>
      <w:r>
        <w:rPr>
          <w:rFonts w:hint="eastAsia" w:ascii="仿宋" w:hAnsi="仿宋" w:eastAsia="仿宋" w:cs="仿宋"/>
          <w:b/>
          <w:bCs/>
          <w:sz w:val="32"/>
          <w:szCs w:val="32"/>
          <w:highlight w:val="none"/>
          <w:lang w:val="zh-CN"/>
        </w:rPr>
        <w:t>、招标文件规定的技术响应文件</w:t>
      </w:r>
    </w:p>
    <w:p w14:paraId="79AC1C9E">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8.1　 投标方须提交证明拟供货物和服务符合招标文件规定的技术响应文件，作为投标文件的一部分。</w:t>
      </w:r>
    </w:p>
    <w:p w14:paraId="24BE01DD">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8.2 上述文件可以是文字资料、图纸和数据，并提供：</w:t>
      </w:r>
    </w:p>
    <w:p w14:paraId="3265B2E1">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（1）货物主要技术及性能特点的详细描述；</w:t>
      </w:r>
    </w:p>
    <w:p w14:paraId="7571A69E">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（2）货物主要部件的详细资料，包括检验报告等；</w:t>
      </w:r>
    </w:p>
    <w:p w14:paraId="41F63C2A">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（3）一份在技术规格中规定的保证货物正常和连续运转期间所需要的所有备件和专业工具的详细清单包括价格及供货来源信息。</w:t>
      </w:r>
    </w:p>
    <w:p w14:paraId="300630D8">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（4）规格、技术参数偏离表（见附件）</w:t>
      </w:r>
    </w:p>
    <w:p w14:paraId="7E66AC01">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没有按要求提供资料或提供资料不完全的，将视为对招标文件没有做出实质性响应，其风险由投标人自行承担。</w:t>
      </w:r>
    </w:p>
    <w:p w14:paraId="05234002">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9</w:t>
      </w:r>
      <w:r>
        <w:rPr>
          <w:rFonts w:hint="eastAsia" w:ascii="仿宋" w:hAnsi="仿宋" w:eastAsia="仿宋" w:cs="仿宋"/>
          <w:b/>
          <w:bCs/>
          <w:sz w:val="32"/>
          <w:szCs w:val="32"/>
          <w:highlight w:val="none"/>
          <w:lang w:val="zh-CN"/>
        </w:rPr>
        <w:t>、投标有效期</w:t>
      </w:r>
    </w:p>
    <w:p w14:paraId="38F44C7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9.1　投标文件从开标之日起，投标有效期为90天（如不满足将导致废标）。</w:t>
      </w:r>
    </w:p>
    <w:p w14:paraId="26968868">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9.2　在特殊情况下，招标方可与投标人协商延长投标文件的有效期。</w:t>
      </w:r>
    </w:p>
    <w:p w14:paraId="35DD47C7">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10</w:t>
      </w:r>
      <w:r>
        <w:rPr>
          <w:rFonts w:hint="eastAsia" w:ascii="仿宋" w:hAnsi="仿宋" w:eastAsia="仿宋" w:cs="仿宋"/>
          <w:b/>
          <w:bCs/>
          <w:sz w:val="32"/>
          <w:szCs w:val="32"/>
          <w:highlight w:val="none"/>
          <w:lang w:val="zh-CN"/>
        </w:rPr>
        <w:t>、投标文件的签署规定</w:t>
      </w:r>
    </w:p>
    <w:p w14:paraId="18FFC3F5">
      <w:pPr>
        <w:pStyle w:val="22"/>
        <w:spacing w:line="600" w:lineRule="exact"/>
        <w:ind w:firstLine="600"/>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10.1　投标文件应清楚工整，一般不准修改。个别非实质性修改之处应由投标方的被授权人或法人代表签章。</w:t>
      </w:r>
    </w:p>
    <w:p w14:paraId="5D1EBBFE">
      <w:pPr>
        <w:pStyle w:val="22"/>
        <w:spacing w:line="600" w:lineRule="exact"/>
        <w:ind w:firstLine="600"/>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10.</w:t>
      </w:r>
      <w:r>
        <w:rPr>
          <w:rFonts w:hint="eastAsia" w:ascii="仿宋" w:hAnsi="仿宋" w:eastAsia="仿宋" w:cs="仿宋"/>
          <w:sz w:val="30"/>
          <w:szCs w:val="30"/>
          <w:highlight w:val="none"/>
        </w:rPr>
        <w:t>2</w:t>
      </w:r>
      <w:r>
        <w:rPr>
          <w:rFonts w:hint="eastAsia" w:ascii="仿宋" w:hAnsi="仿宋" w:eastAsia="仿宋" w:cs="仿宋"/>
          <w:sz w:val="30"/>
          <w:szCs w:val="30"/>
          <w:highlight w:val="none"/>
          <w:lang w:val="zh-CN"/>
        </w:rPr>
        <w:t>　投标文件应由法人代表或法人授权代表在规定的签章处逐一签署并加盖单位公章。所有投标人签字、法人代表签字、法人代表授权人签字和其它签字处必须加盖具有法律效力的投标方的印章后，投标文件方为有效。</w:t>
      </w:r>
    </w:p>
    <w:p w14:paraId="048CEB72">
      <w:pPr>
        <w:pStyle w:val="22"/>
        <w:spacing w:line="600" w:lineRule="exact"/>
        <w:ind w:firstLine="600"/>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10.</w:t>
      </w:r>
      <w:r>
        <w:rPr>
          <w:rFonts w:hint="eastAsia" w:ascii="仿宋" w:hAnsi="仿宋" w:eastAsia="仿宋" w:cs="仿宋"/>
          <w:sz w:val="30"/>
          <w:szCs w:val="30"/>
          <w:highlight w:val="none"/>
        </w:rPr>
        <w:t>3</w:t>
      </w:r>
      <w:r>
        <w:rPr>
          <w:rFonts w:hint="eastAsia" w:ascii="仿宋" w:hAnsi="仿宋" w:eastAsia="仿宋" w:cs="仿宋"/>
          <w:sz w:val="30"/>
          <w:szCs w:val="30"/>
          <w:highlight w:val="none"/>
          <w:lang w:val="zh-CN"/>
        </w:rPr>
        <w:t>　投标人中标后需提交投标文件正副本各一套。</w:t>
      </w:r>
    </w:p>
    <w:p w14:paraId="783BB496">
      <w:pPr>
        <w:pStyle w:val="22"/>
        <w:spacing w:line="600" w:lineRule="exact"/>
        <w:ind w:firstLine="600"/>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10.</w:t>
      </w:r>
      <w:r>
        <w:rPr>
          <w:rFonts w:hint="eastAsia" w:ascii="仿宋" w:hAnsi="仿宋" w:eastAsia="仿宋" w:cs="仿宋"/>
          <w:sz w:val="30"/>
          <w:szCs w:val="30"/>
          <w:highlight w:val="none"/>
        </w:rPr>
        <w:t>4</w:t>
      </w:r>
      <w:r>
        <w:rPr>
          <w:rFonts w:ascii="仿宋" w:hAnsi="仿宋" w:eastAsia="仿宋" w:cs="仿宋"/>
          <w:sz w:val="30"/>
          <w:szCs w:val="30"/>
          <w:highlight w:val="none"/>
        </w:rPr>
        <w:t xml:space="preserve">  </w:t>
      </w:r>
      <w:r>
        <w:rPr>
          <w:rFonts w:hint="eastAsia" w:ascii="仿宋" w:hAnsi="仿宋" w:eastAsia="仿宋" w:cs="仿宋"/>
          <w:sz w:val="30"/>
          <w:szCs w:val="30"/>
          <w:highlight w:val="none"/>
          <w:lang w:val="zh-CN"/>
        </w:rPr>
        <w:t>投标文件的正本与副本应当完全一致。当正本和副本之间出现差异时，以正本为准。</w:t>
      </w:r>
    </w:p>
    <w:p w14:paraId="45CB1C55">
      <w:pPr>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11.投标保函</w:t>
      </w:r>
    </w:p>
    <w:p w14:paraId="239CC2B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11.1投标人应按照招标文件要求提交投标保函，并于投标截止时间前上传至指定栏目。</w:t>
      </w:r>
    </w:p>
    <w:p w14:paraId="28944337">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11.</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　未按规定提交投标保函的投标，将被视为投标无效。</w:t>
      </w:r>
    </w:p>
    <w:p w14:paraId="0D44F698">
      <w:pPr>
        <w:pStyle w:val="22"/>
        <w:spacing w:line="600" w:lineRule="exact"/>
        <w:ind w:firstLine="643"/>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rPr>
        <w:t>12. 知识产权</w:t>
      </w:r>
    </w:p>
    <w:p w14:paraId="40B6F4A3">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12.1投标人应保证在本项目使用的任何产品和服务（包括部分 使用）时，不会产生因第三方提出侵犯其专利权、商标权或其他知识产权而引起的法律和经济纠纷，如专利权、商标权或其他知识产权而引起法律和经济纠纷，由投标人承担所有相关责任。</w:t>
      </w:r>
    </w:p>
    <w:p w14:paraId="75BDBDB2">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12.2采购人享有本项目实施过程中产生的知识成果及知识产权。</w:t>
      </w:r>
    </w:p>
    <w:p w14:paraId="351A4EFA">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12.3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2707D6B6">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12.4如采用投标人所不拥有的知识产权，则在投标报价中必须包括合法获取该知识产权的相关费用。</w:t>
      </w:r>
    </w:p>
    <w:p w14:paraId="17F0B9C4">
      <w:pPr>
        <w:pStyle w:val="22"/>
        <w:spacing w:line="600" w:lineRule="exact"/>
        <w:ind w:firstLine="560"/>
        <w:rPr>
          <w:rFonts w:hint="eastAsia" w:ascii="仿宋" w:hAnsi="仿宋" w:eastAsia="仿宋" w:cs="仿宋"/>
          <w:sz w:val="28"/>
          <w:szCs w:val="28"/>
          <w:highlight w:val="none"/>
        </w:rPr>
      </w:pPr>
    </w:p>
    <w:p w14:paraId="5394F725">
      <w:pPr>
        <w:rPr>
          <w:highlight w:val="none"/>
          <w:lang w:val="zh-CN"/>
        </w:rPr>
      </w:pPr>
    </w:p>
    <w:p w14:paraId="30CFDCF8">
      <w:pPr>
        <w:autoSpaceDE w:val="0"/>
        <w:autoSpaceDN w:val="0"/>
        <w:adjustRightInd w:val="0"/>
        <w:spacing w:line="600" w:lineRule="exact"/>
        <w:rPr>
          <w:rFonts w:hint="eastAsia" w:ascii="宋体" w:hAnsi="宋体" w:cs="宋体"/>
          <w:b/>
          <w:bCs/>
          <w:sz w:val="32"/>
          <w:szCs w:val="32"/>
          <w:highlight w:val="none"/>
          <w:lang w:val="zh-CN"/>
        </w:rPr>
      </w:pPr>
    </w:p>
    <w:p w14:paraId="1290237A">
      <w:pPr>
        <w:pStyle w:val="3"/>
        <w:ind w:firstLine="643"/>
        <w:rPr>
          <w:rFonts w:hint="eastAsia" w:ascii="宋体" w:hAnsi="宋体" w:cs="宋体"/>
          <w:b/>
          <w:bCs/>
          <w:sz w:val="32"/>
          <w:szCs w:val="32"/>
          <w:highlight w:val="none"/>
          <w:lang w:val="zh-CN"/>
        </w:rPr>
      </w:pPr>
    </w:p>
    <w:p w14:paraId="23AA292A">
      <w:pPr>
        <w:pStyle w:val="4"/>
        <w:rPr>
          <w:rFonts w:hint="eastAsia" w:ascii="宋体" w:hAnsi="宋体" w:cs="宋体"/>
          <w:b/>
          <w:bCs/>
          <w:sz w:val="32"/>
          <w:szCs w:val="32"/>
          <w:highlight w:val="none"/>
          <w:lang w:val="zh-CN"/>
        </w:rPr>
      </w:pPr>
    </w:p>
    <w:p w14:paraId="0487CB23">
      <w:pPr>
        <w:rPr>
          <w:rFonts w:hint="eastAsia" w:ascii="宋体" w:hAnsi="宋体" w:cs="宋体"/>
          <w:b/>
          <w:bCs/>
          <w:sz w:val="32"/>
          <w:szCs w:val="32"/>
          <w:highlight w:val="none"/>
          <w:lang w:val="zh-CN"/>
        </w:rPr>
      </w:pPr>
    </w:p>
    <w:p w14:paraId="6BE1F813">
      <w:pPr>
        <w:pStyle w:val="13"/>
        <w:rPr>
          <w:rFonts w:hint="eastAsia" w:ascii="宋体" w:hAnsi="宋体" w:cs="宋体"/>
          <w:b/>
          <w:bCs/>
          <w:sz w:val="32"/>
          <w:szCs w:val="32"/>
          <w:highlight w:val="none"/>
          <w:lang w:val="zh-CN"/>
        </w:rPr>
      </w:pPr>
    </w:p>
    <w:p w14:paraId="59BC4E8B">
      <w:pPr>
        <w:pStyle w:val="13"/>
        <w:rPr>
          <w:rFonts w:hint="eastAsia" w:ascii="宋体" w:hAnsi="宋体" w:cs="宋体"/>
          <w:b/>
          <w:bCs/>
          <w:sz w:val="32"/>
          <w:szCs w:val="32"/>
          <w:highlight w:val="none"/>
          <w:lang w:val="zh-CN"/>
        </w:rPr>
      </w:pPr>
    </w:p>
    <w:p w14:paraId="7740976D">
      <w:pPr>
        <w:autoSpaceDE w:val="0"/>
        <w:autoSpaceDN w:val="0"/>
        <w:adjustRightInd w:val="0"/>
        <w:spacing w:line="600" w:lineRule="exact"/>
        <w:rPr>
          <w:rFonts w:hint="eastAsia" w:ascii="宋体" w:hAnsi="宋体" w:cs="宋体"/>
          <w:b/>
          <w:bCs/>
          <w:sz w:val="32"/>
          <w:szCs w:val="32"/>
          <w:highlight w:val="none"/>
          <w:lang w:val="zh-CN"/>
        </w:rPr>
      </w:pPr>
    </w:p>
    <w:p w14:paraId="505274D2">
      <w:pPr>
        <w:autoSpaceDE w:val="0"/>
        <w:autoSpaceDN w:val="0"/>
        <w:adjustRightInd w:val="0"/>
        <w:spacing w:line="600" w:lineRule="exact"/>
        <w:rPr>
          <w:rFonts w:hint="eastAsia" w:ascii="宋体" w:hAnsi="宋体" w:cs="宋体"/>
          <w:b/>
          <w:bCs/>
          <w:sz w:val="32"/>
          <w:szCs w:val="32"/>
          <w:highlight w:val="none"/>
          <w:lang w:val="zh-CN"/>
        </w:rPr>
      </w:pPr>
    </w:p>
    <w:p w14:paraId="35535845">
      <w:pPr>
        <w:pStyle w:val="13"/>
        <w:rPr>
          <w:rFonts w:hint="eastAsia" w:ascii="宋体" w:hAnsi="宋体" w:cs="宋体"/>
          <w:b/>
          <w:bCs/>
          <w:sz w:val="32"/>
          <w:szCs w:val="32"/>
          <w:highlight w:val="none"/>
          <w:lang w:val="zh-CN"/>
        </w:rPr>
      </w:pPr>
    </w:p>
    <w:p w14:paraId="6DF6E39D">
      <w:pPr>
        <w:numPr>
          <w:ilvl w:val="0"/>
          <w:numId w:val="4"/>
        </w:numPr>
        <w:spacing w:line="440" w:lineRule="exact"/>
        <w:jc w:val="center"/>
        <w:rPr>
          <w:rFonts w:hint="eastAsia" w:ascii="仿宋" w:hAnsi="仿宋" w:eastAsia="仿宋" w:cs="仿宋"/>
          <w:b/>
          <w:sz w:val="32"/>
          <w:szCs w:val="32"/>
          <w:highlight w:val="none"/>
          <w:lang w:val="zh-CN"/>
        </w:rPr>
      </w:pPr>
      <w:r>
        <w:rPr>
          <w:rFonts w:hint="eastAsia" w:ascii="仿宋" w:hAnsi="仿宋" w:eastAsia="仿宋" w:cs="仿宋"/>
          <w:b/>
          <w:sz w:val="32"/>
          <w:szCs w:val="32"/>
          <w:highlight w:val="none"/>
          <w:lang w:val="zh-CN"/>
        </w:rPr>
        <w:t>投标文件的递交</w:t>
      </w:r>
    </w:p>
    <w:p w14:paraId="7355C94F">
      <w:pPr>
        <w:pStyle w:val="22"/>
        <w:ind w:firstLine="0" w:firstLineChars="0"/>
        <w:rPr>
          <w:highlight w:val="none"/>
          <w:lang w:val="zh-CN"/>
        </w:rPr>
      </w:pPr>
    </w:p>
    <w:p w14:paraId="5868A6AB">
      <w:pPr>
        <w:pStyle w:val="22"/>
        <w:spacing w:line="600" w:lineRule="exact"/>
        <w:ind w:firstLine="643"/>
        <w:rPr>
          <w:rFonts w:hint="eastAsia" w:ascii="仿宋" w:hAnsi="仿宋" w:eastAsia="仿宋" w:cs="仿宋"/>
          <w:b/>
          <w:bCs/>
          <w:kern w:val="2"/>
          <w:sz w:val="32"/>
          <w:szCs w:val="32"/>
          <w:highlight w:val="none"/>
          <w:lang w:val="zh-CN"/>
        </w:rPr>
      </w:pPr>
      <w:r>
        <w:rPr>
          <w:rFonts w:hint="eastAsia" w:ascii="仿宋" w:hAnsi="仿宋" w:eastAsia="仿宋" w:cs="仿宋"/>
          <w:b/>
          <w:bCs/>
          <w:kern w:val="2"/>
          <w:sz w:val="32"/>
          <w:szCs w:val="32"/>
          <w:highlight w:val="none"/>
        </w:rPr>
        <w:t>13、</w:t>
      </w:r>
      <w:r>
        <w:rPr>
          <w:rFonts w:hint="eastAsia" w:ascii="仿宋" w:hAnsi="仿宋" w:eastAsia="仿宋" w:cs="仿宋"/>
          <w:b/>
          <w:bCs/>
          <w:kern w:val="2"/>
          <w:sz w:val="32"/>
          <w:szCs w:val="32"/>
          <w:highlight w:val="none"/>
          <w:lang w:val="zh-CN"/>
        </w:rPr>
        <w:t>投标文件的递交</w:t>
      </w:r>
    </w:p>
    <w:p w14:paraId="17A10580">
      <w:pPr>
        <w:pStyle w:val="22"/>
        <w:spacing w:line="600" w:lineRule="exact"/>
        <w:ind w:firstLine="600"/>
        <w:rPr>
          <w:rFonts w:hint="eastAsia" w:ascii="仿宋" w:hAnsi="仿宋" w:eastAsia="仿宋" w:cs="仿宋"/>
          <w:sz w:val="30"/>
          <w:szCs w:val="30"/>
          <w:highlight w:val="none"/>
          <w:lang w:val="zh-CN"/>
        </w:rPr>
      </w:pPr>
      <w:r>
        <w:rPr>
          <w:rFonts w:hint="eastAsia" w:ascii="仿宋" w:hAnsi="仿宋" w:eastAsia="仿宋" w:cs="仿宋"/>
          <w:sz w:val="30"/>
          <w:szCs w:val="30"/>
          <w:highlight w:val="none"/>
        </w:rPr>
        <w:t xml:space="preserve">13.1  </w:t>
      </w:r>
      <w:r>
        <w:rPr>
          <w:rFonts w:hint="eastAsia" w:ascii="仿宋" w:hAnsi="仿宋" w:eastAsia="仿宋" w:cs="仿宋"/>
          <w:sz w:val="30"/>
          <w:szCs w:val="30"/>
          <w:highlight w:val="none"/>
          <w:lang w:val="zh-CN"/>
        </w:rPr>
        <w:t>投标文件的密封和标记。电子投标文件的内容通过数字证书进行加密并签章。未按要求加密和数字证书认证的响应文件，电子评标系统将无法接受,采购代理机构不予受理。</w:t>
      </w:r>
    </w:p>
    <w:p w14:paraId="040ED5D7">
      <w:pPr>
        <w:pStyle w:val="22"/>
        <w:spacing w:line="600" w:lineRule="exact"/>
        <w:ind w:firstLine="600"/>
        <w:rPr>
          <w:rFonts w:hint="eastAsia" w:ascii="仿宋" w:hAnsi="仿宋" w:eastAsia="仿宋" w:cs="仿宋"/>
          <w:sz w:val="30"/>
          <w:szCs w:val="30"/>
          <w:highlight w:val="none"/>
          <w:lang w:val="zh-CN"/>
        </w:rPr>
      </w:pPr>
      <w:r>
        <w:rPr>
          <w:rFonts w:hint="eastAsia" w:ascii="仿宋" w:hAnsi="仿宋" w:eastAsia="仿宋" w:cs="仿宋"/>
          <w:sz w:val="30"/>
          <w:szCs w:val="30"/>
          <w:highlight w:val="none"/>
        </w:rPr>
        <w:t>13.2  本项目采用不见面开标方式，</w:t>
      </w:r>
      <w:r>
        <w:rPr>
          <w:rFonts w:hint="eastAsia" w:ascii="仿宋" w:hAnsi="仿宋" w:eastAsia="仿宋" w:cs="仿宋"/>
          <w:sz w:val="30"/>
          <w:szCs w:val="30"/>
          <w:highlight w:val="none"/>
          <w:lang w:val="zh-CN"/>
        </w:rPr>
        <w:t>投标文件线上递交至新疆政府采购网（http://www.ccgp-xinjiang.gov.cn）的指定栏目，不得迟于</w:t>
      </w:r>
      <w:r>
        <w:rPr>
          <w:rFonts w:hint="eastAsia" w:ascii="仿宋" w:hAnsi="仿宋" w:eastAsia="仿宋" w:cs="仿宋"/>
          <w:sz w:val="30"/>
          <w:szCs w:val="30"/>
          <w:highlight w:val="none"/>
        </w:rPr>
        <w:t>2025年</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日上午10：00</w:t>
      </w:r>
      <w:r>
        <w:rPr>
          <w:rFonts w:hint="eastAsia" w:ascii="仿宋" w:hAnsi="仿宋" w:eastAsia="仿宋" w:cs="仿宋"/>
          <w:sz w:val="30"/>
          <w:szCs w:val="30"/>
          <w:highlight w:val="none"/>
          <w:lang w:val="zh-CN"/>
        </w:rPr>
        <w:t>（北京时间），逾期上传的或者未上传到平台和指定栏目的投标文件视为无效投标，不予受理。</w:t>
      </w:r>
    </w:p>
    <w:p w14:paraId="6D1EF0EB">
      <w:pPr>
        <w:pStyle w:val="22"/>
        <w:spacing w:line="600" w:lineRule="exact"/>
        <w:ind w:firstLine="6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13.3  </w:t>
      </w:r>
      <w:r>
        <w:rPr>
          <w:rFonts w:hint="eastAsia" w:ascii="仿宋" w:hAnsi="仿宋" w:eastAsia="仿宋" w:cs="仿宋"/>
          <w:sz w:val="30"/>
          <w:szCs w:val="30"/>
          <w:highlight w:val="none"/>
          <w:lang w:val="zh-CN"/>
        </w:rPr>
        <w:t>迟交的投标文件。采购代理机构将拒绝并原封退回在规定的投标文件递交截止期后送达的任何投标文件。由于对网上招标操作不熟悉或自身电脑、网络的原因导致不能在投标文件递交截止时间之前上传投标文件，采购代理机构不负任何责任。建议于开标前1个工作日完成投标文件的制作与上传。</w:t>
      </w:r>
    </w:p>
    <w:p w14:paraId="1797AE6A">
      <w:pPr>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1</w:t>
      </w:r>
      <w:r>
        <w:rPr>
          <w:rFonts w:hint="eastAsia" w:ascii="仿宋" w:hAnsi="仿宋" w:eastAsia="仿宋" w:cs="仿宋"/>
          <w:b/>
          <w:bCs/>
          <w:sz w:val="32"/>
          <w:szCs w:val="32"/>
          <w:highlight w:val="none"/>
        </w:rPr>
        <w:t>4</w:t>
      </w:r>
      <w:r>
        <w:rPr>
          <w:rFonts w:hint="eastAsia" w:ascii="仿宋" w:hAnsi="仿宋" w:eastAsia="仿宋" w:cs="仿宋"/>
          <w:b/>
          <w:bCs/>
          <w:sz w:val="32"/>
          <w:szCs w:val="32"/>
          <w:highlight w:val="none"/>
          <w:lang w:val="zh-CN"/>
        </w:rPr>
        <w:t>、投标文件的修改和撤销</w:t>
      </w:r>
    </w:p>
    <w:p w14:paraId="34840DB3">
      <w:pPr>
        <w:pStyle w:val="22"/>
        <w:spacing w:line="600" w:lineRule="exact"/>
        <w:ind w:firstLine="600"/>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1</w:t>
      </w:r>
      <w:r>
        <w:rPr>
          <w:rFonts w:hint="eastAsia" w:ascii="仿宋" w:hAnsi="仿宋" w:eastAsia="仿宋" w:cs="仿宋"/>
          <w:sz w:val="30"/>
          <w:szCs w:val="30"/>
          <w:highlight w:val="none"/>
        </w:rPr>
        <w:t>4</w:t>
      </w:r>
      <w:r>
        <w:rPr>
          <w:rFonts w:hint="eastAsia" w:ascii="仿宋" w:hAnsi="仿宋" w:eastAsia="仿宋" w:cs="仿宋"/>
          <w:sz w:val="30"/>
          <w:szCs w:val="30"/>
          <w:highlight w:val="none"/>
          <w:lang w:val="zh-CN"/>
        </w:rPr>
        <w:t>.1　投标人在递交投标文件后，可在规定的投标截止时间之前，对其投标文件以书面通知的形式进行修改或撤消。该通知须有投标代理人的签字，并得到招标方的确认。</w:t>
      </w:r>
    </w:p>
    <w:p w14:paraId="3D205187">
      <w:pPr>
        <w:pStyle w:val="22"/>
        <w:spacing w:line="600" w:lineRule="exact"/>
        <w:ind w:firstLine="600"/>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1</w:t>
      </w:r>
      <w:r>
        <w:rPr>
          <w:rFonts w:hint="eastAsia" w:ascii="仿宋" w:hAnsi="仿宋" w:eastAsia="仿宋" w:cs="仿宋"/>
          <w:sz w:val="30"/>
          <w:szCs w:val="30"/>
          <w:highlight w:val="none"/>
        </w:rPr>
        <w:t>4</w:t>
      </w:r>
      <w:r>
        <w:rPr>
          <w:rFonts w:hint="eastAsia" w:ascii="仿宋" w:hAnsi="仿宋" w:eastAsia="仿宋" w:cs="仿宋"/>
          <w:sz w:val="30"/>
          <w:szCs w:val="30"/>
          <w:highlight w:val="none"/>
          <w:lang w:val="zh-CN"/>
        </w:rPr>
        <w:t>.2　投标人对投标文件修改的书面材料或撤消通知应按招标文件要求进行线上递交，并注明“修改投标文件”或“撤消投标”字样，修改或撤销的内容须按招标文件的要求签署、盖章，并作为投标文件的组成部分。</w:t>
      </w:r>
    </w:p>
    <w:p w14:paraId="0C759329">
      <w:pPr>
        <w:pStyle w:val="22"/>
        <w:spacing w:line="600" w:lineRule="exact"/>
        <w:ind w:firstLine="600"/>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1</w:t>
      </w:r>
      <w:r>
        <w:rPr>
          <w:rFonts w:hint="eastAsia" w:ascii="仿宋" w:hAnsi="仿宋" w:eastAsia="仿宋" w:cs="仿宋"/>
          <w:sz w:val="30"/>
          <w:szCs w:val="30"/>
          <w:highlight w:val="none"/>
        </w:rPr>
        <w:t>4</w:t>
      </w:r>
      <w:r>
        <w:rPr>
          <w:rFonts w:hint="eastAsia" w:ascii="仿宋" w:hAnsi="仿宋" w:eastAsia="仿宋" w:cs="仿宋"/>
          <w:sz w:val="30"/>
          <w:szCs w:val="30"/>
          <w:highlight w:val="none"/>
          <w:lang w:val="zh-CN"/>
        </w:rPr>
        <w:t>.3　对投标文件修改的书面材料应于投标截止日前递交，投标截止时间以后不得修改投标文件。</w:t>
      </w:r>
    </w:p>
    <w:p w14:paraId="0F192D76">
      <w:pPr>
        <w:pStyle w:val="22"/>
        <w:spacing w:line="600" w:lineRule="exact"/>
        <w:ind w:firstLine="600"/>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1</w:t>
      </w:r>
      <w:r>
        <w:rPr>
          <w:rFonts w:hint="eastAsia" w:ascii="仿宋" w:hAnsi="仿宋" w:eastAsia="仿宋" w:cs="仿宋"/>
          <w:sz w:val="30"/>
          <w:szCs w:val="30"/>
          <w:highlight w:val="none"/>
        </w:rPr>
        <w:t>4</w:t>
      </w:r>
      <w:r>
        <w:rPr>
          <w:rFonts w:hint="eastAsia" w:ascii="仿宋" w:hAnsi="仿宋" w:eastAsia="仿宋" w:cs="仿宋"/>
          <w:sz w:val="30"/>
          <w:szCs w:val="30"/>
          <w:highlight w:val="none"/>
          <w:lang w:val="zh-CN"/>
        </w:rPr>
        <w:t>.4  投标方不得在开标后至投标有效期期满前撤销投标文件。否则招标方将没收其投标保函并按相关法律法规处理。</w:t>
      </w:r>
    </w:p>
    <w:p w14:paraId="7A4E5C67">
      <w:pPr>
        <w:rPr>
          <w:highlight w:val="none"/>
          <w:lang w:val="zh-CN"/>
        </w:rPr>
      </w:pPr>
    </w:p>
    <w:p w14:paraId="6ADBD359">
      <w:pPr>
        <w:numPr>
          <w:ilvl w:val="0"/>
          <w:numId w:val="4"/>
        </w:numPr>
        <w:spacing w:line="440" w:lineRule="exact"/>
        <w:jc w:val="center"/>
        <w:rPr>
          <w:rFonts w:hint="eastAsia" w:ascii="仿宋" w:hAnsi="仿宋" w:eastAsia="仿宋" w:cs="仿宋"/>
          <w:b/>
          <w:sz w:val="32"/>
          <w:szCs w:val="32"/>
          <w:highlight w:val="none"/>
          <w:lang w:val="zh-CN"/>
        </w:rPr>
      </w:pPr>
      <w:r>
        <w:rPr>
          <w:rFonts w:hint="eastAsia" w:ascii="仿宋" w:hAnsi="仿宋" w:eastAsia="仿宋" w:cs="仿宋"/>
          <w:b/>
          <w:sz w:val="32"/>
          <w:szCs w:val="32"/>
          <w:highlight w:val="none"/>
          <w:lang w:val="zh-CN"/>
        </w:rPr>
        <w:t>开标、招标及评标</w:t>
      </w:r>
    </w:p>
    <w:p w14:paraId="6588C2BD">
      <w:pPr>
        <w:pStyle w:val="22"/>
        <w:ind w:firstLine="0" w:firstLineChars="0"/>
        <w:rPr>
          <w:highlight w:val="none"/>
          <w:lang w:val="zh-CN"/>
        </w:rPr>
      </w:pPr>
    </w:p>
    <w:p w14:paraId="34221977">
      <w:pPr>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1</w:t>
      </w:r>
      <w:r>
        <w:rPr>
          <w:rFonts w:hint="eastAsia" w:ascii="仿宋" w:hAnsi="仿宋" w:eastAsia="仿宋" w:cs="仿宋"/>
          <w:b/>
          <w:bCs/>
          <w:sz w:val="32"/>
          <w:szCs w:val="32"/>
          <w:highlight w:val="none"/>
        </w:rPr>
        <w:t>5</w:t>
      </w:r>
      <w:r>
        <w:rPr>
          <w:rFonts w:hint="eastAsia" w:ascii="仿宋" w:hAnsi="仿宋" w:eastAsia="仿宋" w:cs="仿宋"/>
          <w:b/>
          <w:bCs/>
          <w:sz w:val="32"/>
          <w:szCs w:val="32"/>
          <w:highlight w:val="none"/>
          <w:lang w:val="zh-CN"/>
        </w:rPr>
        <w:t>、开标</w:t>
      </w:r>
    </w:p>
    <w:p w14:paraId="57C0D0A0">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.1　本次招标按招标文件中规定的时间和地点进行公开招标，允许投标人的法定代表人或其授权人参加开标会。</w:t>
      </w:r>
    </w:p>
    <w:p w14:paraId="42C0CE69">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.2　开标时将检查所有投标文件的密封情况，并在确认无误后拆封投标文件进行开标。开标以投标方提交的投标文件中“开标一览表”的内容为准，并对开标内容作以记录。</w:t>
      </w:r>
    </w:p>
    <w:p w14:paraId="3B56520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.3　开标的顺序，按照递交投标文件的正顺序依次进行。</w:t>
      </w:r>
    </w:p>
    <w:p w14:paraId="2E7A57D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.4　投标时间截止后，提交投标文件的供应商不足三家时，按照政府采购的相关法规的处理。</w:t>
      </w:r>
    </w:p>
    <w:p w14:paraId="07E31622">
      <w:pPr>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1</w:t>
      </w:r>
      <w:r>
        <w:rPr>
          <w:rFonts w:hint="eastAsia" w:ascii="仿宋" w:hAnsi="仿宋" w:eastAsia="仿宋" w:cs="仿宋"/>
          <w:b/>
          <w:bCs/>
          <w:sz w:val="32"/>
          <w:szCs w:val="32"/>
          <w:highlight w:val="none"/>
        </w:rPr>
        <w:t>6</w:t>
      </w:r>
      <w:r>
        <w:rPr>
          <w:rFonts w:hint="eastAsia" w:ascii="仿宋" w:hAnsi="仿宋" w:eastAsia="仿宋" w:cs="仿宋"/>
          <w:b/>
          <w:bCs/>
          <w:sz w:val="32"/>
          <w:szCs w:val="32"/>
          <w:highlight w:val="none"/>
          <w:lang w:val="zh-CN"/>
        </w:rPr>
        <w:t>、招标依据</w:t>
      </w:r>
    </w:p>
    <w:p w14:paraId="0460E78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zh-CN"/>
        </w:rPr>
        <w:t>.1   招标的依据为招标文件（包括招标方的招标文件和投标方的投标文件）。</w:t>
      </w:r>
    </w:p>
    <w:p w14:paraId="0FAC7C66">
      <w:pPr>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1</w:t>
      </w:r>
      <w:r>
        <w:rPr>
          <w:rFonts w:hint="eastAsia" w:ascii="仿宋" w:hAnsi="仿宋" w:eastAsia="仿宋" w:cs="仿宋"/>
          <w:b/>
          <w:bCs/>
          <w:sz w:val="32"/>
          <w:szCs w:val="32"/>
          <w:highlight w:val="none"/>
        </w:rPr>
        <w:t>7</w:t>
      </w:r>
      <w:r>
        <w:rPr>
          <w:rFonts w:hint="eastAsia" w:ascii="仿宋" w:hAnsi="仿宋" w:eastAsia="仿宋" w:cs="仿宋"/>
          <w:b/>
          <w:bCs/>
          <w:sz w:val="32"/>
          <w:szCs w:val="32"/>
          <w:highlight w:val="none"/>
          <w:lang w:val="zh-CN"/>
        </w:rPr>
        <w:t>、招标</w:t>
      </w:r>
    </w:p>
    <w:p w14:paraId="6959477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.1　招标小组</w:t>
      </w:r>
    </w:p>
    <w:p w14:paraId="74F4B1F4">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.1.1　招标方将根据《中华人民共和国政府采购法》的规定，依法组建本次招标的招标小组，负责本次招标的招标活动。招标小组负责向招标方推荐中标候选人，由招标方、采购人确定中标供应商。</w:t>
      </w:r>
    </w:p>
    <w:p w14:paraId="6E6EE26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.1.2 　招标小组人选于开标前确定。招标小组成员名单在中标结果确定前保密。</w:t>
      </w:r>
    </w:p>
    <w:p w14:paraId="30136A2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.1.3 　招标小组有关技术、经济等方面的专家和采购人熟悉相关业务的代表人员组成，成员为三人以上的单数，其中技术、经济等方面的成员人数不少于成员总数的三分之二。</w:t>
      </w:r>
    </w:p>
    <w:p w14:paraId="460AE23B">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.1.4　按前款规定，招标小组的成员，由招标方从哈密市政府采购专家库中采取随机抽取的方式确定。对于技术复杂、专业性要求较高或者国家有特殊要求的招标项目，采取随机抽取的方式抽取的专家不能满足招标工作需要时，将采取直接确定的方式选定招标小组的人选。</w:t>
      </w:r>
    </w:p>
    <w:p w14:paraId="6D816C3E">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.1.5　招标小组成员遵循法定的回避规定。</w:t>
      </w:r>
    </w:p>
    <w:p w14:paraId="34B3776C">
      <w:pPr>
        <w:tabs>
          <w:tab w:val="left" w:pos="4140"/>
        </w:tabs>
        <w:autoSpaceDE w:val="0"/>
        <w:autoSpaceDN w:val="0"/>
        <w:adjustRightInd w:val="0"/>
        <w:spacing w:line="600" w:lineRule="exact"/>
        <w:ind w:firstLine="643" w:firstLineChars="200"/>
        <w:rPr>
          <w:rFonts w:hint="eastAsia" w:ascii="宋体" w:hAnsi="宋体" w:cs="仿宋_GB2312"/>
          <w:b/>
          <w:bCs/>
          <w:sz w:val="24"/>
          <w:highlight w:val="none"/>
          <w:lang w:val="zh-CN"/>
        </w:rPr>
      </w:pPr>
      <w:r>
        <w:rPr>
          <w:rFonts w:hint="eastAsia" w:ascii="仿宋" w:hAnsi="仿宋" w:eastAsia="仿宋" w:cs="仿宋"/>
          <w:b/>
          <w:bCs/>
          <w:sz w:val="32"/>
          <w:szCs w:val="32"/>
          <w:highlight w:val="none"/>
          <w:lang w:val="zh-CN"/>
        </w:rPr>
        <w:t>1</w:t>
      </w:r>
      <w:r>
        <w:rPr>
          <w:rFonts w:hint="eastAsia" w:ascii="仿宋" w:hAnsi="仿宋" w:eastAsia="仿宋" w:cs="仿宋"/>
          <w:b/>
          <w:bCs/>
          <w:sz w:val="32"/>
          <w:szCs w:val="32"/>
          <w:highlight w:val="none"/>
        </w:rPr>
        <w:t>8</w:t>
      </w:r>
      <w:r>
        <w:rPr>
          <w:rFonts w:hint="eastAsia" w:ascii="仿宋" w:hAnsi="仿宋" w:eastAsia="仿宋" w:cs="仿宋"/>
          <w:b/>
          <w:bCs/>
          <w:sz w:val="32"/>
          <w:szCs w:val="32"/>
          <w:highlight w:val="none"/>
          <w:lang w:val="zh-CN"/>
        </w:rPr>
        <w:t>、招标的报价方式</w:t>
      </w:r>
      <w:r>
        <w:rPr>
          <w:rFonts w:hint="eastAsia" w:ascii="宋体" w:hAnsi="宋体" w:cs="仿宋_GB2312"/>
          <w:b/>
          <w:bCs/>
          <w:sz w:val="24"/>
          <w:highlight w:val="none"/>
          <w:lang w:val="zh-CN"/>
        </w:rPr>
        <w:tab/>
      </w:r>
    </w:p>
    <w:p w14:paraId="2BFF7C0F">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.1 　采用一次报价的方式。</w:t>
      </w:r>
    </w:p>
    <w:p w14:paraId="556CD888">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.1.1　供应商在提交的投标文件中的报价只允许有一个报价，任何有选择性的报价将不予接受。</w:t>
      </w:r>
    </w:p>
    <w:p w14:paraId="5A3128D7">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.1.3　一次报价均应报出拟提供货物的单价和总价。</w:t>
      </w:r>
    </w:p>
    <w:p w14:paraId="251B92D7">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rPr>
        <w:t>19</w:t>
      </w:r>
      <w:r>
        <w:rPr>
          <w:rFonts w:hint="eastAsia" w:ascii="仿宋" w:hAnsi="仿宋" w:eastAsia="仿宋" w:cs="仿宋"/>
          <w:b/>
          <w:bCs/>
          <w:sz w:val="32"/>
          <w:szCs w:val="32"/>
          <w:highlight w:val="none"/>
          <w:lang w:val="zh-CN"/>
        </w:rPr>
        <w:t>.招标和评审过程的保密性</w:t>
      </w:r>
    </w:p>
    <w:p w14:paraId="290BB905">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19</w:t>
      </w:r>
      <w:r>
        <w:rPr>
          <w:rFonts w:hint="eastAsia" w:ascii="仿宋" w:hAnsi="仿宋" w:eastAsia="仿宋" w:cs="仿宋"/>
          <w:sz w:val="28"/>
          <w:szCs w:val="28"/>
          <w:highlight w:val="none"/>
          <w:lang w:val="zh-CN"/>
        </w:rPr>
        <w:t>.1　招标的任何一方不得透露与招标有关的其他供应商的技术资料、价格和其他信息。</w:t>
      </w:r>
    </w:p>
    <w:p w14:paraId="2AFB84AD">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19</w:t>
      </w:r>
      <w:r>
        <w:rPr>
          <w:rFonts w:hint="eastAsia" w:ascii="仿宋" w:hAnsi="仿宋" w:eastAsia="仿宋" w:cs="仿宋"/>
          <w:sz w:val="28"/>
          <w:szCs w:val="28"/>
          <w:highlight w:val="none"/>
          <w:lang w:val="zh-CN"/>
        </w:rPr>
        <w:t>.2　在招标过程中，供应商试图在投标文件审查、澄清、比较及授予合同方面向采购人员施加影响的任何行为都可能导致其投标文件被拒绝。</w:t>
      </w:r>
    </w:p>
    <w:p w14:paraId="166C36B0">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2</w:t>
      </w:r>
      <w:r>
        <w:rPr>
          <w:rFonts w:hint="eastAsia" w:ascii="仿宋" w:hAnsi="仿宋" w:eastAsia="仿宋" w:cs="仿宋"/>
          <w:b/>
          <w:bCs/>
          <w:sz w:val="32"/>
          <w:szCs w:val="32"/>
          <w:highlight w:val="none"/>
        </w:rPr>
        <w:t>0</w:t>
      </w:r>
      <w:r>
        <w:rPr>
          <w:rFonts w:hint="eastAsia" w:ascii="仿宋" w:hAnsi="仿宋" w:eastAsia="仿宋" w:cs="仿宋"/>
          <w:b/>
          <w:bCs/>
          <w:sz w:val="32"/>
          <w:szCs w:val="32"/>
          <w:highlight w:val="none"/>
          <w:lang w:val="zh-CN"/>
        </w:rPr>
        <w:t>、招标程序、报价确认和澄清及中标原则</w:t>
      </w:r>
    </w:p>
    <w:p w14:paraId="2380AA67">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zh-CN"/>
        </w:rPr>
        <w:t>.1　招标程序：</w:t>
      </w:r>
    </w:p>
    <w:p w14:paraId="3F8EC81E">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招标小组根据招标文件的规定，集体与资格审查合格的供应商分别进行招标。</w:t>
      </w:r>
    </w:p>
    <w:p w14:paraId="35D1CFC1">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(1)在招标过程中，在投标方介绍投标方案后，进行技术和商务招标。</w:t>
      </w:r>
    </w:p>
    <w:p w14:paraId="7F8AF433">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（2）在首轮招标的基础上，招标小组讨论、分析、综合各种因素后，决定是否与各方再次进行招标。</w:t>
      </w:r>
    </w:p>
    <w:p w14:paraId="404C82B7">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(3)综合评标。招标小组成员根据投标方的产品技术、性能、服务、价格进行综合评标。</w:t>
      </w:r>
    </w:p>
    <w:p w14:paraId="618A754C">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zh-CN"/>
        </w:rPr>
        <w:t>.2　招标小组对投标文件进行符合性审查时，对属于下列情况之一的投标文件，将作无效报价处理：</w:t>
      </w:r>
    </w:p>
    <w:p w14:paraId="133ECB54">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（1）投标文件未按规定由投标方法定代表人或其授权代理人签字的；</w:t>
      </w:r>
    </w:p>
    <w:p w14:paraId="2D5FD153">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（2）投标文件载明的采购项目完成期限超过招标文件规定期限的；</w:t>
      </w:r>
    </w:p>
    <w:p w14:paraId="7741D713">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w:t>
      </w:r>
      <w:bookmarkStart w:id="3" w:name="OLE_LINK9"/>
      <w:r>
        <w:rPr>
          <w:rFonts w:hint="eastAsia" w:ascii="仿宋" w:hAnsi="仿宋" w:eastAsia="仿宋" w:cs="仿宋"/>
          <w:sz w:val="28"/>
          <w:szCs w:val="28"/>
          <w:highlight w:val="none"/>
          <w:lang w:val="zh-CN"/>
        </w:rPr>
        <w:t>投标文件</w:t>
      </w:r>
      <w:r>
        <w:rPr>
          <w:rFonts w:hint="eastAsia" w:ascii="仿宋" w:hAnsi="仿宋" w:eastAsia="仿宋" w:cs="仿宋"/>
          <w:sz w:val="28"/>
          <w:szCs w:val="28"/>
          <w:highlight w:val="none"/>
        </w:rPr>
        <w:t>中核心参数</w:t>
      </w:r>
      <w:r>
        <w:rPr>
          <w:rFonts w:hint="eastAsia" w:ascii="仿宋" w:hAnsi="仿宋" w:eastAsia="仿宋" w:cs="仿宋"/>
          <w:sz w:val="28"/>
          <w:szCs w:val="28"/>
          <w:highlight w:val="none"/>
          <w:lang w:val="zh-CN"/>
        </w:rPr>
        <w:t>明显不符合招标文件规定的技术规格、技术标准，商务条款</w:t>
      </w:r>
      <w:r>
        <w:rPr>
          <w:rFonts w:hint="eastAsia" w:ascii="仿宋" w:hAnsi="仿宋" w:eastAsia="仿宋" w:cs="仿宋"/>
          <w:sz w:val="28"/>
          <w:szCs w:val="28"/>
          <w:highlight w:val="none"/>
        </w:rPr>
        <w:t>明显不符合招标文件</w:t>
      </w:r>
      <w:r>
        <w:rPr>
          <w:rFonts w:hint="eastAsia" w:ascii="仿宋" w:hAnsi="仿宋" w:eastAsia="仿宋" w:cs="仿宋"/>
          <w:sz w:val="28"/>
          <w:szCs w:val="28"/>
          <w:highlight w:val="none"/>
          <w:lang w:val="zh-CN"/>
        </w:rPr>
        <w:t>要求的；</w:t>
      </w:r>
    </w:p>
    <w:bookmarkEnd w:id="3"/>
    <w:p w14:paraId="0BEB73E1">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w:t>
      </w:r>
      <w:bookmarkStart w:id="4" w:name="OLE_LINK10"/>
      <w:r>
        <w:rPr>
          <w:rFonts w:hint="eastAsia" w:ascii="仿宋" w:hAnsi="仿宋" w:eastAsia="仿宋" w:cs="仿宋"/>
          <w:sz w:val="28"/>
          <w:szCs w:val="28"/>
          <w:highlight w:val="none"/>
          <w:lang w:val="zh-CN"/>
        </w:rPr>
        <w:t>投标文件载明的货物包装方式、检验标准和方法等明显不符合招标文件要求的；</w:t>
      </w:r>
    </w:p>
    <w:bookmarkEnd w:id="4"/>
    <w:p w14:paraId="58422A07">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（5）</w:t>
      </w:r>
      <w:bookmarkStart w:id="5" w:name="OLE_LINK11"/>
      <w:r>
        <w:rPr>
          <w:rFonts w:hint="eastAsia" w:ascii="仿宋" w:hAnsi="仿宋" w:eastAsia="仿宋" w:cs="仿宋"/>
          <w:sz w:val="28"/>
          <w:szCs w:val="28"/>
          <w:highlight w:val="none"/>
          <w:lang w:val="zh-CN"/>
        </w:rPr>
        <w:t>投标文件附有采购人和招标方不能接受的条件的；</w:t>
      </w:r>
      <w:bookmarkEnd w:id="5"/>
    </w:p>
    <w:p w14:paraId="07460724">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（6）不符合招标文件规定的其他实质性要求的； </w:t>
      </w:r>
    </w:p>
    <w:p w14:paraId="6F26E3BD">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（7）</w:t>
      </w:r>
      <w:bookmarkStart w:id="6" w:name="OLE_LINK12"/>
      <w:r>
        <w:rPr>
          <w:rFonts w:hint="eastAsia" w:ascii="仿宋" w:hAnsi="仿宋" w:eastAsia="仿宋" w:cs="仿宋"/>
          <w:sz w:val="28"/>
          <w:szCs w:val="28"/>
          <w:highlight w:val="none"/>
          <w:lang w:val="zh-CN"/>
        </w:rPr>
        <w:t>投标报价超过采购预算的。</w:t>
      </w:r>
    </w:p>
    <w:bookmarkEnd w:id="6"/>
    <w:p w14:paraId="1617981F">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zh-CN"/>
        </w:rPr>
        <w:t>.4　对投标报价的审查：招标小组将对确定为实质上响应招标文件要求的投标文件的价格进行审核，看其是否有计算和累加上的错误。</w:t>
      </w:r>
    </w:p>
    <w:p w14:paraId="6639AD9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修正错误的原则如下：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有约束力。如果供应商不接受修正后的价格，则其报价将被拒绝，其招标保函将被没收。</w:t>
      </w:r>
    </w:p>
    <w:p w14:paraId="133F9161">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zh-CN"/>
        </w:rPr>
        <w:t>.5 　澄清：招标小组对于投标文件中个别地方含义不明确、同类问题表述不一致或者有明显文字和计算错误的内容，可以书面形式（由招标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招标小组将取消其继续参加招标的资格。</w:t>
      </w:r>
    </w:p>
    <w:p w14:paraId="047684A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zh-CN"/>
        </w:rPr>
        <w:t>.6　中标原则：本次招标实行综合评议法，分数最高者为中标候选人。</w:t>
      </w:r>
    </w:p>
    <w:p w14:paraId="034BB4AD">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zh-CN"/>
        </w:rPr>
        <w:t>.7  招标小组成员按照招标文件的规定，根据各投标方的商务和技术响应情况等分别进行比较和评标。</w:t>
      </w:r>
    </w:p>
    <w:p w14:paraId="210E59AF">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20.8根据中华人民共和国财政部、中华人民共和国工业和信息化部《政府采购促进中小企业发展暂行办法》（财库[2022]19号）文件的规定，属于中小企业评审优惠内容及幅度如下：</w:t>
      </w:r>
    </w:p>
    <w:p w14:paraId="64616A95">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（一）中小企业（含中型、小型、微型企业）应当同时符合以下条件：</w:t>
      </w:r>
    </w:p>
    <w:p w14:paraId="6C54F738">
      <w:pPr>
        <w:pStyle w:val="22"/>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①符合中小企业划分标准（按《关于印发中小企业划型标准规定的通知》（工信部联企业〔2011〕300号）执行）；</w:t>
      </w:r>
    </w:p>
    <w:p w14:paraId="7513DD70">
      <w:pPr>
        <w:pStyle w:val="22"/>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②提供本企业制造的货物、承担的项目或者服务，或者提供其他中小企业制造的货物。本项所称货物不包括使用大型企业注册商标的货物；</w:t>
      </w:r>
    </w:p>
    <w:p w14:paraId="163C6C82">
      <w:pPr>
        <w:pStyle w:val="22"/>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（二）价格扣除办法：</w:t>
      </w:r>
    </w:p>
    <w:p w14:paraId="761AA154">
      <w:pPr>
        <w:pStyle w:val="22"/>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①对于非专门面向中小企业的项目，对小型和微型企业（或联合体各方均为小型、微型企业的）产品的价格给予10%的扣除，用扣除后的价格参与价格分的评审。</w:t>
      </w:r>
    </w:p>
    <w:p w14:paraId="098BF402">
      <w:pPr>
        <w:pStyle w:val="22"/>
        <w:spacing w:line="60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小型和微型企业适用价格扣除办法时应提供的相关资料</w:t>
      </w:r>
      <w:r>
        <w:rPr>
          <w:rFonts w:hint="eastAsia" w:ascii="仿宋" w:hAnsi="仿宋" w:eastAsia="仿宋" w:cs="仿宋"/>
          <w:sz w:val="28"/>
          <w:szCs w:val="28"/>
          <w:highlight w:val="none"/>
          <w:lang w:eastAsia="zh-CN"/>
        </w:rPr>
        <w:t>。</w:t>
      </w:r>
    </w:p>
    <w:p w14:paraId="436581FA">
      <w:pPr>
        <w:pStyle w:val="22"/>
        <w:spacing w:line="600" w:lineRule="exact"/>
        <w:ind w:left="559" w:leftChars="266" w:firstLine="0" w:firstLineChars="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9</w:t>
      </w:r>
      <w:r>
        <w:rPr>
          <w:rFonts w:hint="eastAsia" w:ascii="仿宋" w:hAnsi="仿宋" w:eastAsia="仿宋" w:cs="仿宋"/>
          <w:sz w:val="28"/>
          <w:szCs w:val="28"/>
          <w:highlight w:val="none"/>
          <w:lang w:val="zh-CN"/>
        </w:rPr>
        <w:t>　中标原则：本次招标实行综合评议法，分数最高者为中标</w:t>
      </w:r>
    </w:p>
    <w:p w14:paraId="282ADD8D">
      <w:pPr>
        <w:pStyle w:val="22"/>
        <w:spacing w:line="600" w:lineRule="exact"/>
        <w:ind w:firstLine="0" w:firstLineChars="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候选人。</w:t>
      </w:r>
    </w:p>
    <w:p w14:paraId="7F19F8F4">
      <w:pPr>
        <w:pStyle w:val="22"/>
        <w:spacing w:line="600" w:lineRule="exact"/>
        <w:ind w:firstLine="560"/>
        <w:rPr>
          <w:rFonts w:hint="eastAsia" w:ascii="仿宋" w:hAnsi="仿宋" w:eastAsia="仿宋" w:cs="仿宋"/>
          <w:sz w:val="30"/>
          <w:szCs w:val="30"/>
          <w:highlight w:val="none"/>
        </w:rPr>
      </w:pPr>
      <w:r>
        <w:rPr>
          <w:rFonts w:hint="eastAsia" w:ascii="仿宋" w:hAnsi="仿宋" w:eastAsia="仿宋" w:cs="仿宋"/>
          <w:sz w:val="28"/>
          <w:szCs w:val="28"/>
          <w:highlight w:val="none"/>
        </w:rPr>
        <w:t>20</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10</w:t>
      </w:r>
      <w:r>
        <w:rPr>
          <w:rFonts w:hint="eastAsia" w:ascii="仿宋" w:hAnsi="仿宋" w:eastAsia="仿宋" w:cs="仿宋"/>
          <w:sz w:val="28"/>
          <w:szCs w:val="28"/>
          <w:highlight w:val="none"/>
          <w:lang w:val="zh-CN"/>
        </w:rPr>
        <w:t xml:space="preserve">  招标小组成员按照招标文件的规定，根据各投标方的商务和技术响应情况等分别进行比较和评标。</w:t>
      </w:r>
    </w:p>
    <w:p w14:paraId="354BC71E">
      <w:pPr>
        <w:pStyle w:val="22"/>
        <w:spacing w:line="600" w:lineRule="exact"/>
        <w:ind w:firstLine="600"/>
        <w:rPr>
          <w:rFonts w:hint="eastAsia" w:ascii="仿宋" w:hAnsi="仿宋" w:eastAsia="仿宋" w:cs="仿宋"/>
          <w:sz w:val="30"/>
          <w:szCs w:val="30"/>
          <w:highlight w:val="none"/>
        </w:rPr>
      </w:pPr>
      <w:r>
        <w:rPr>
          <w:rFonts w:hint="eastAsia" w:ascii="仿宋" w:hAnsi="仿宋" w:eastAsia="仿宋" w:cs="仿宋"/>
          <w:sz w:val="30"/>
          <w:szCs w:val="30"/>
          <w:highlight w:val="none"/>
        </w:rPr>
        <w:t>20.11 按规定享受扶持政策获得政府采购合同的，小微企业不得将合同分包给大中型企业，中型企业不得将合同分包给大型企业。</w:t>
      </w:r>
    </w:p>
    <w:p w14:paraId="2D891AF7">
      <w:pPr>
        <w:pStyle w:val="4"/>
        <w:ind w:firstLine="0"/>
        <w:rPr>
          <w:highlight w:val="none"/>
          <w:lang w:val="zh-CN"/>
        </w:rPr>
      </w:pPr>
    </w:p>
    <w:p w14:paraId="28383A4B">
      <w:pPr>
        <w:numPr>
          <w:ilvl w:val="0"/>
          <w:numId w:val="4"/>
        </w:numPr>
        <w:spacing w:line="440" w:lineRule="exact"/>
        <w:jc w:val="center"/>
        <w:rPr>
          <w:rFonts w:hint="eastAsia" w:ascii="仿宋" w:hAnsi="仿宋" w:eastAsia="仿宋" w:cs="仿宋"/>
          <w:b/>
          <w:sz w:val="32"/>
          <w:szCs w:val="32"/>
          <w:highlight w:val="none"/>
          <w:lang w:val="zh-CN"/>
        </w:rPr>
      </w:pPr>
      <w:r>
        <w:rPr>
          <w:rFonts w:hint="eastAsia" w:ascii="仿宋" w:hAnsi="仿宋" w:eastAsia="仿宋" w:cs="仿宋"/>
          <w:b/>
          <w:sz w:val="32"/>
          <w:szCs w:val="32"/>
          <w:highlight w:val="none"/>
          <w:lang w:val="zh-CN"/>
        </w:rPr>
        <w:t>定　标</w:t>
      </w:r>
    </w:p>
    <w:p w14:paraId="7A7E845A">
      <w:pPr>
        <w:pStyle w:val="22"/>
        <w:ind w:firstLine="0" w:firstLineChars="0"/>
        <w:rPr>
          <w:highlight w:val="none"/>
          <w:lang w:val="zh-CN"/>
        </w:rPr>
      </w:pPr>
    </w:p>
    <w:p w14:paraId="1EAA0DCE">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2</w:t>
      </w: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val="zh-CN"/>
        </w:rPr>
        <w:t>、定标标准</w:t>
      </w:r>
    </w:p>
    <w:p w14:paraId="6A405F6C">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.1　合同将授予被确定为实质上响应招标文件要求，经评定认为具备履行合同义务能力、报价合理、技术和商务条件都符合招标文件要求的、对买方最为有利的投标方。</w:t>
      </w:r>
    </w:p>
    <w:p w14:paraId="4FA640C4">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.2　最低投标价不一定是被授予合同的保证。</w:t>
      </w:r>
    </w:p>
    <w:p w14:paraId="7BE3514C">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.3　如果确定该投标方无条件圆满履行合同，招标小组将对下一个可能中标的投标方资格做出类似的审查。</w:t>
      </w:r>
    </w:p>
    <w:p w14:paraId="74E3C809">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2</w:t>
      </w: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zh-CN"/>
        </w:rPr>
        <w:t>、接受和拒绝任何或所有投标的权力</w:t>
      </w:r>
    </w:p>
    <w:p w14:paraId="23873803">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.1　为维护国家利益，招标小组在授予合同之前仍有选择或拒绝任何投标的权力。</w:t>
      </w:r>
    </w:p>
    <w:p w14:paraId="62BB6EB8">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2</w:t>
      </w:r>
      <w:r>
        <w:rPr>
          <w:rFonts w:hint="eastAsia" w:ascii="仿宋" w:hAnsi="仿宋" w:eastAsia="仿宋" w:cs="仿宋"/>
          <w:b/>
          <w:bCs/>
          <w:sz w:val="32"/>
          <w:szCs w:val="32"/>
          <w:highlight w:val="none"/>
        </w:rPr>
        <w:t>3</w:t>
      </w:r>
      <w:r>
        <w:rPr>
          <w:rFonts w:hint="eastAsia" w:ascii="仿宋" w:hAnsi="仿宋" w:eastAsia="仿宋" w:cs="仿宋"/>
          <w:b/>
          <w:bCs/>
          <w:sz w:val="32"/>
          <w:szCs w:val="32"/>
          <w:highlight w:val="none"/>
          <w:lang w:val="zh-CN"/>
        </w:rPr>
        <w:t>、中标通知书</w:t>
      </w:r>
    </w:p>
    <w:p w14:paraId="4863634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.1　招标结束后7个工作日内，</w:t>
      </w:r>
      <w:r>
        <w:rPr>
          <w:rFonts w:hint="eastAsia" w:ascii="仿宋" w:hAnsi="仿宋" w:eastAsia="仿宋" w:cs="仿宋"/>
          <w:sz w:val="28"/>
          <w:szCs w:val="28"/>
          <w:highlight w:val="none"/>
        </w:rPr>
        <w:t>公共资源交易服务</w:t>
      </w:r>
      <w:r>
        <w:rPr>
          <w:rFonts w:hint="eastAsia" w:ascii="仿宋" w:hAnsi="仿宋" w:eastAsia="仿宋" w:cs="仿宋"/>
          <w:sz w:val="28"/>
          <w:szCs w:val="28"/>
          <w:highlight w:val="none"/>
          <w:lang w:val="zh-CN"/>
        </w:rPr>
        <w:t>中心将以书面形式发出《中标通知书》。《中标通知书》一经发出即发生法律效力。</w:t>
      </w:r>
    </w:p>
    <w:p w14:paraId="3408E948">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.2　《中标通知书》将作为签订合同的依据。</w:t>
      </w:r>
    </w:p>
    <w:p w14:paraId="218EC348">
      <w:pPr>
        <w:autoSpaceDE w:val="0"/>
        <w:autoSpaceDN w:val="0"/>
        <w:adjustRightInd w:val="0"/>
        <w:ind w:firstLine="2570" w:firstLineChars="800"/>
        <w:rPr>
          <w:rFonts w:hint="eastAsia" w:ascii="宋体" w:hAnsi="宋体" w:cs="宋体"/>
          <w:b/>
          <w:bCs/>
          <w:sz w:val="32"/>
          <w:szCs w:val="32"/>
          <w:highlight w:val="none"/>
          <w:lang w:val="zh-CN"/>
        </w:rPr>
      </w:pPr>
    </w:p>
    <w:p w14:paraId="4ECBCE26">
      <w:pPr>
        <w:numPr>
          <w:ilvl w:val="0"/>
          <w:numId w:val="4"/>
        </w:numPr>
        <w:spacing w:line="440" w:lineRule="exact"/>
        <w:jc w:val="center"/>
        <w:rPr>
          <w:rFonts w:hint="eastAsia" w:ascii="仿宋" w:hAnsi="仿宋" w:eastAsia="仿宋" w:cs="仿宋"/>
          <w:b/>
          <w:sz w:val="32"/>
          <w:szCs w:val="32"/>
          <w:highlight w:val="none"/>
          <w:lang w:val="zh-CN"/>
        </w:rPr>
      </w:pPr>
      <w:r>
        <w:rPr>
          <w:rFonts w:hint="eastAsia" w:ascii="仿宋" w:hAnsi="仿宋" w:eastAsia="仿宋" w:cs="仿宋"/>
          <w:b/>
          <w:sz w:val="32"/>
          <w:szCs w:val="32"/>
          <w:highlight w:val="none"/>
          <w:lang w:val="zh-CN"/>
        </w:rPr>
        <w:t>授予合同</w:t>
      </w:r>
    </w:p>
    <w:p w14:paraId="46D5EEE6">
      <w:pPr>
        <w:pStyle w:val="22"/>
        <w:ind w:firstLine="0" w:firstLineChars="0"/>
        <w:rPr>
          <w:highlight w:val="none"/>
          <w:lang w:val="zh-CN"/>
        </w:rPr>
      </w:pPr>
    </w:p>
    <w:p w14:paraId="14B87094">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2</w:t>
      </w:r>
      <w:r>
        <w:rPr>
          <w:rFonts w:hint="eastAsia" w:ascii="仿宋" w:hAnsi="仿宋" w:eastAsia="仿宋" w:cs="仿宋"/>
          <w:b/>
          <w:bCs/>
          <w:sz w:val="32"/>
          <w:szCs w:val="32"/>
          <w:highlight w:val="none"/>
        </w:rPr>
        <w:t>4</w:t>
      </w:r>
      <w:r>
        <w:rPr>
          <w:rFonts w:hint="eastAsia" w:ascii="仿宋" w:hAnsi="仿宋" w:eastAsia="仿宋" w:cs="仿宋"/>
          <w:b/>
          <w:bCs/>
          <w:sz w:val="32"/>
          <w:szCs w:val="32"/>
          <w:highlight w:val="none"/>
          <w:lang w:val="zh-CN"/>
        </w:rPr>
        <w:t>、签订合同</w:t>
      </w:r>
    </w:p>
    <w:p w14:paraId="1323D1C8">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zh-CN"/>
        </w:rPr>
        <w:t>.1　中标方收到招标方的《中标通知书》后30日内，按照招标文件的约定和中标方投标书中的承诺与采购单位签订书面合同，所签订的合同不得对招标文件和中标方的投标文件作实质性修改。</w:t>
      </w:r>
    </w:p>
    <w:p w14:paraId="4A610C2D">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zh-CN"/>
        </w:rPr>
        <w:t>.2  招标方在授予合同时，有权对招标书中规定的货物和服务的数量在10%的幅度内予以增加或减少。</w:t>
      </w:r>
    </w:p>
    <w:p w14:paraId="0FDD9C2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zh-CN"/>
        </w:rPr>
        <w:t>.3  如中标方拒签合同，则按违约处理。招标方没收其投标保证金（</w:t>
      </w:r>
      <w:r>
        <w:rPr>
          <w:rFonts w:hint="eastAsia" w:ascii="仿宋" w:hAnsi="仿宋" w:eastAsia="仿宋" w:cs="仿宋"/>
          <w:sz w:val="28"/>
          <w:szCs w:val="28"/>
          <w:highlight w:val="none"/>
        </w:rPr>
        <w:t>保函</w:t>
      </w:r>
      <w:r>
        <w:rPr>
          <w:rFonts w:hint="eastAsia" w:ascii="仿宋" w:hAnsi="仿宋" w:eastAsia="仿宋" w:cs="仿宋"/>
          <w:sz w:val="28"/>
          <w:szCs w:val="28"/>
          <w:highlight w:val="none"/>
          <w:lang w:val="zh-CN"/>
        </w:rPr>
        <w:t>）。</w:t>
      </w:r>
    </w:p>
    <w:p w14:paraId="1F917157">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zh-CN"/>
        </w:rPr>
        <w:t>.4  招标文件、中标方的投标文件及其澄清文件等，均为签订经济合同的依据。</w:t>
      </w:r>
    </w:p>
    <w:p w14:paraId="683B179B">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zh-CN"/>
        </w:rPr>
        <w:t>.5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27DDFA3E">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2</w:t>
      </w:r>
      <w:r>
        <w:rPr>
          <w:rFonts w:hint="eastAsia" w:ascii="仿宋" w:hAnsi="仿宋" w:eastAsia="仿宋" w:cs="仿宋"/>
          <w:b/>
          <w:bCs/>
          <w:sz w:val="32"/>
          <w:szCs w:val="32"/>
          <w:highlight w:val="none"/>
        </w:rPr>
        <w:t>5</w:t>
      </w:r>
      <w:r>
        <w:rPr>
          <w:rFonts w:hint="eastAsia" w:ascii="仿宋" w:hAnsi="仿宋" w:eastAsia="仿宋" w:cs="仿宋"/>
          <w:b/>
          <w:bCs/>
          <w:sz w:val="32"/>
          <w:szCs w:val="32"/>
          <w:highlight w:val="none"/>
          <w:lang w:val="zh-CN"/>
        </w:rPr>
        <w:t>、质疑</w:t>
      </w:r>
    </w:p>
    <w:p w14:paraId="724D7B81">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1招标文件发售后，参与采购活动的投标人如发现招标文件的商务条款、技术要求存在倾向性、错误、遗漏、含混不清等问题，可在招标文件规定的时间之前，向招标人提出质疑，要求修改或澄清。投标人已经参与投标，并于开标后对招标文件提出质疑的，其质疑应当被视为无效质疑。</w:t>
      </w:r>
    </w:p>
    <w:p w14:paraId="2D05DDAD">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.2中标公告发布后，参与投标的投标人对中标公告有异议的，应该在中标公告发布之日起三日内向招标人或公共资源交易服务中心书面提出质疑并书面送达，逾期招标人或</w:t>
      </w:r>
      <w:r>
        <w:rPr>
          <w:rFonts w:hint="eastAsia" w:ascii="仿宋" w:hAnsi="仿宋" w:eastAsia="仿宋" w:cs="仿宋"/>
          <w:sz w:val="28"/>
          <w:szCs w:val="28"/>
          <w:highlight w:val="none"/>
        </w:rPr>
        <w:t>公共资源交易服务</w:t>
      </w:r>
      <w:r>
        <w:rPr>
          <w:rFonts w:hint="eastAsia" w:ascii="仿宋" w:hAnsi="仿宋" w:eastAsia="仿宋" w:cs="仿宋"/>
          <w:sz w:val="28"/>
          <w:szCs w:val="28"/>
          <w:highlight w:val="none"/>
          <w:lang w:val="zh-CN"/>
        </w:rPr>
        <w:t>中心有权不予受理。</w:t>
      </w:r>
    </w:p>
    <w:p w14:paraId="51B9F2A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.3质疑书应当包括以下主要内容：</w:t>
      </w:r>
    </w:p>
    <w:p w14:paraId="253069A0">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（一）被质疑人的名称、地址、电话、邮编；</w:t>
      </w:r>
    </w:p>
    <w:p w14:paraId="784731F9">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（二）采购项目名称、项目编号；</w:t>
      </w:r>
    </w:p>
    <w:p w14:paraId="00A5CA4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（三）具体的质疑事项、事实和法律依据（具体条款）；</w:t>
      </w:r>
    </w:p>
    <w:p w14:paraId="04FB59A3">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（四）提起质疑的投标人名称、地址、有效联系方式（包括手机、传真号码）；</w:t>
      </w:r>
    </w:p>
    <w:p w14:paraId="570B628A">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（五）质疑的日期；</w:t>
      </w:r>
    </w:p>
    <w:p w14:paraId="7D7AB2D3">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（六）法定代表人签字，并加盖公章。</w:t>
      </w:r>
    </w:p>
    <w:p w14:paraId="33EFD960">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按照“谁主张、谁举证”的原则，质疑书应当附上相关证明材料，否则质疑将视为无有效证据支持，将被予以驳回。</w:t>
      </w:r>
    </w:p>
    <w:p w14:paraId="1D67D785">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.4有下列情形之一的，属于无效质疑，招标人或公共资源交易服务中心可不予受理：</w:t>
      </w:r>
    </w:p>
    <w:p w14:paraId="5914615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（一）未在有效期限内提出质疑的；</w:t>
      </w:r>
    </w:p>
    <w:p w14:paraId="27E9D575">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（二）质疑未以书面形式提出的；</w:t>
      </w:r>
    </w:p>
    <w:p w14:paraId="78450C3A">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（三）所提交材料未明示属于质疑材料的；</w:t>
      </w:r>
    </w:p>
    <w:p w14:paraId="0623224A">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（四）质疑书没有法定代表人签字，并加盖公章；质疑书加盖合同专用章的；</w:t>
      </w:r>
    </w:p>
    <w:p w14:paraId="5CD4B5FE">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（五）质疑书未提供有效联系人或联系方式的；</w:t>
      </w:r>
    </w:p>
    <w:p w14:paraId="3004E7B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（六）质疑事项已经进入投诉或者诉讼程序的；</w:t>
      </w:r>
    </w:p>
    <w:p w14:paraId="40B504B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（七）其它不符合受理条件的情形。</w:t>
      </w:r>
    </w:p>
    <w:p w14:paraId="4F930B55">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.5招标人或公共资源交易服务中心将在收到书面质疑后7个工作日内审查质疑事项，做出答复或相关处理决定，并以书面形式通知质疑投标人和其他有关投标人，但答复的内容不涉及商业秘密。</w:t>
      </w:r>
    </w:p>
    <w:p w14:paraId="1C2CEECF">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6参与政府采购活动的投标人对评审过程或者结果提出质疑的，招标人或公共资源交易服务中心可以组织原评审委员会协助处理质疑事项，并依据评审委员会出具的意见进行答复。质疑答复导致中标结果改变的，招标人或公共资源交易服务中心应当将相关情况报政府采购监督管理部门备案。</w:t>
      </w:r>
    </w:p>
    <w:p w14:paraId="3D16258A">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.7质疑人有下列情形之一的，招标人或公共资源交易服务中心应驳回质疑：</w:t>
      </w:r>
    </w:p>
    <w:p w14:paraId="62F6AED1">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（1）质疑缺乏事实和法律依据的；</w:t>
      </w:r>
    </w:p>
    <w:p w14:paraId="2B6038B6">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（2）质疑人捏造事实、提供虚假材料，或在一定期限内多次质疑而无实据的；</w:t>
      </w:r>
    </w:p>
    <w:p w14:paraId="036DDB1D">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（3）质疑已经处理并答复后，质疑人就同一事项又提起质疑且未提供新的有效证据的；</w:t>
      </w:r>
    </w:p>
    <w:p w14:paraId="6F9F9605">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（4）其他根据相关法律、法规应当予以驳回的情形。</w:t>
      </w:r>
    </w:p>
    <w:p w14:paraId="6EF40303">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.8投标人进行虚假和恶意质疑的，公共资源交易服务中心可以提请有关部门将其列入不良记录名单，在一至三年内禁止参加政府采购活动，并将处理决定在相关政府采购媒体上公布。</w:t>
      </w:r>
    </w:p>
    <w:p w14:paraId="283C3D22">
      <w:pPr>
        <w:pStyle w:val="22"/>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25</w:t>
      </w:r>
      <w:r>
        <w:rPr>
          <w:rFonts w:hint="eastAsia" w:ascii="仿宋" w:hAnsi="仿宋" w:eastAsia="仿宋" w:cs="仿宋"/>
          <w:sz w:val="28"/>
          <w:szCs w:val="28"/>
          <w:highlight w:val="none"/>
          <w:lang w:val="zh-CN"/>
        </w:rPr>
        <w:t>.9质疑投标人对招标人或公共资源交易服务中心的答复不满意以及招标人或</w:t>
      </w:r>
      <w:r>
        <w:rPr>
          <w:rFonts w:hint="eastAsia" w:ascii="仿宋" w:hAnsi="仿宋" w:eastAsia="仿宋" w:cs="仿宋"/>
          <w:sz w:val="28"/>
          <w:szCs w:val="28"/>
          <w:highlight w:val="none"/>
        </w:rPr>
        <w:t>公共资源交易服务中心</w:t>
      </w:r>
      <w:r>
        <w:rPr>
          <w:rFonts w:hint="eastAsia" w:ascii="仿宋" w:hAnsi="仿宋" w:eastAsia="仿宋" w:cs="仿宋"/>
          <w:sz w:val="28"/>
          <w:szCs w:val="28"/>
          <w:highlight w:val="none"/>
          <w:lang w:val="zh-CN"/>
        </w:rPr>
        <w:t>未在规定的时间内做出答复的，可以在答复期满后15个工作日内按有关规定，向同级政府采购监督管理部门进行投诉。</w:t>
      </w:r>
    </w:p>
    <w:p w14:paraId="57466B7F">
      <w:pPr>
        <w:rPr>
          <w:rFonts w:hint="eastAsia" w:ascii="仿宋" w:hAnsi="仿宋" w:eastAsia="仿宋" w:cs="仿宋"/>
          <w:sz w:val="28"/>
          <w:szCs w:val="28"/>
          <w:highlight w:val="none"/>
          <w:lang w:val="zh-CN"/>
        </w:rPr>
      </w:pPr>
    </w:p>
    <w:p w14:paraId="14E4E0C1">
      <w:pPr>
        <w:rPr>
          <w:rFonts w:hint="eastAsia" w:ascii="仿宋" w:hAnsi="仿宋" w:eastAsia="仿宋" w:cs="仿宋"/>
          <w:sz w:val="28"/>
          <w:szCs w:val="28"/>
          <w:highlight w:val="none"/>
          <w:lang w:val="zh-CN"/>
        </w:rPr>
      </w:pPr>
    </w:p>
    <w:p w14:paraId="7263F454">
      <w:pPr>
        <w:rPr>
          <w:rFonts w:hint="eastAsia" w:ascii="仿宋" w:hAnsi="仿宋" w:eastAsia="仿宋" w:cs="仿宋"/>
          <w:sz w:val="28"/>
          <w:szCs w:val="28"/>
          <w:highlight w:val="none"/>
          <w:lang w:val="zh-CN"/>
        </w:rPr>
      </w:pPr>
    </w:p>
    <w:p w14:paraId="3E544483">
      <w:pPr>
        <w:rPr>
          <w:rFonts w:hint="eastAsia" w:ascii="仿宋" w:hAnsi="仿宋" w:eastAsia="仿宋" w:cs="仿宋"/>
          <w:sz w:val="28"/>
          <w:szCs w:val="28"/>
          <w:highlight w:val="none"/>
          <w:lang w:val="zh-CN"/>
        </w:rPr>
      </w:pPr>
    </w:p>
    <w:p w14:paraId="1D84EA02">
      <w:pPr>
        <w:rPr>
          <w:rFonts w:hint="eastAsia" w:ascii="仿宋" w:hAnsi="仿宋" w:eastAsia="仿宋" w:cs="仿宋"/>
          <w:sz w:val="28"/>
          <w:szCs w:val="28"/>
          <w:highlight w:val="none"/>
          <w:lang w:val="zh-CN"/>
        </w:rPr>
      </w:pPr>
    </w:p>
    <w:p w14:paraId="047EAAC5">
      <w:pPr>
        <w:pStyle w:val="21"/>
        <w:numPr>
          <w:ilvl w:val="0"/>
          <w:numId w:val="2"/>
        </w:numPr>
        <w:spacing w:line="600" w:lineRule="exact"/>
        <w:ind w:left="0" w:leftChars="0" w:firstLine="0" w:firstLineChars="0"/>
        <w:jc w:val="center"/>
        <w:rPr>
          <w:rFonts w:hint="eastAsia" w:ascii="方正小标宋简体" w:hAnsi="方正小标宋简体" w:eastAsia="方正小标宋简体" w:cs="方正小标宋简体"/>
          <w:b w:val="0"/>
          <w:bCs/>
          <w:color w:val="auto"/>
          <w:kern w:val="2"/>
          <w:sz w:val="40"/>
          <w:szCs w:val="40"/>
          <w:highlight w:val="none"/>
        </w:rPr>
      </w:pPr>
      <w:r>
        <w:rPr>
          <w:rFonts w:hint="eastAsia" w:ascii="方正小标宋简体" w:hAnsi="方正小标宋简体" w:eastAsia="方正小标宋简体" w:cs="方正小标宋简体"/>
          <w:b w:val="0"/>
          <w:bCs/>
          <w:color w:val="000000"/>
          <w:kern w:val="2"/>
          <w:sz w:val="40"/>
          <w:szCs w:val="40"/>
          <w:highlight w:val="none"/>
        </w:rPr>
        <w:t>货物需求及技术规格指标说明</w:t>
      </w:r>
    </w:p>
    <w:p w14:paraId="4F610821">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新疆铁道与能源技术大学主校区项目（筹）-信息化项目（二期）总体规划紧紧围绕智慧校园和教育部关于印发《教育信息化“十四五”规划》的通知为实际需求，以校园安全为基础，以为广大师生提供优秀的教学资源为目的，进行校园信息化建设。</w:t>
      </w:r>
    </w:p>
    <w:p w14:paraId="3C98CBDE">
      <w:pPr>
        <w:adjustRightInd w:val="0"/>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一、项目概况</w:t>
      </w:r>
    </w:p>
    <w:p w14:paraId="705B3949">
      <w:pPr>
        <w:adjustRightInd w:val="0"/>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校区总建筑面积 285681 平方米，主要建筑包括： 1#、2#学院教学楼35722.58 平方米，3#、4#学院教学楼 34017.09 平方米，生活区人防 3849.88平方米，1#实训车间 6838.58 平方米，塑胶运动场看台 1291.74 平方米、1#学生宿舍 15900.26 平方米，2#学生宿舍 15900.26 平方米，3#学生宿舍16824.87 平方米，1#学生食堂 12061.87 平方米，门卫室 973.87 平方米；2#、 3#、4#、5#实训车间 13600平方米，专家公寓 5000 平方米，教师公寓 10000平方米，5#学生宿舍 18000 平方米，2#食堂 7500 平方米，主教学楼（含人防工程）36200 平方米，图书馆 13000 平方米，体育馆 10500 平方米，中水处理站 500 平方米；各类建筑面积按在校生 10000 人的指标配置。</w:t>
      </w:r>
    </w:p>
    <w:p w14:paraId="131D2A58">
      <w:pPr>
        <w:adjustRightInd w:val="0"/>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前期建设内容：（1）综合布线建设情况。新校区由学院牵头与移动、电信、联通、广电四家运营商签署校企合作协议，由四家运行商免费完成手机信号覆盖，学院楼、食堂、宿舍楼等各楼栋内光纤敷设。（2）完成信息化建设情况。信息化项目已完成内容主要包括学院楼、宿舍楼、1号食堂室内公共区域室内监控和广播系统，一卡通平台升级和消费系统以及4个阶梯教室智慧讲台、黑板、扩音等内容建设。</w:t>
      </w:r>
    </w:p>
    <w:p w14:paraId="5BAE5225">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本期主要是针对现有建筑及校区信息化内容的建设。主要包括：</w:t>
      </w:r>
    </w:p>
    <w:p w14:paraId="261E6C6B">
      <w:pPr>
        <w:pStyle w:val="23"/>
        <w:snapToGrid w:val="0"/>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1、基础设施融合化提升工程：校园基础网络、网络安全、云数据中心、数据中心模块化机房。</w:t>
      </w:r>
    </w:p>
    <w:p w14:paraId="6E85CF37">
      <w:pPr>
        <w:pStyle w:val="23"/>
        <w:snapToGrid w:val="0"/>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2、校园安全智能化提升工程：周界安全管理、安防监控、进出车辆管理、电子巡更及可视报警紧急求助系统、人脸识别、监控中心、校园广播。</w:t>
      </w:r>
    </w:p>
    <w:p w14:paraId="66350FA7">
      <w:pPr>
        <w:pStyle w:val="23"/>
        <w:snapToGrid w:val="0"/>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3、校园管理现代化提升工程：智能运营中心、数据治理、数据分析平台升级及低代码应用项目建设、智慧党建、内控体系管理系统、合同管理平台、采购管理平台、智慧后勤、创新创业管理系统。</w:t>
      </w:r>
    </w:p>
    <w:p w14:paraId="7D990278">
      <w:pPr>
        <w:pStyle w:val="23"/>
        <w:snapToGrid w:val="0"/>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4、师生服务便捷化提升工程：一卡通及智慧后勤、智能会议室、体育场扩音系统。</w:t>
      </w:r>
    </w:p>
    <w:p w14:paraId="37CB667E">
      <w:pPr>
        <w:pStyle w:val="23"/>
        <w:snapToGrid w:val="0"/>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5、教学教研创新化提升工程：电子督学系统、研讨互动型教室、精品录播教室、阶梯教室、学术报告厅、多媒体教室建设。</w:t>
      </w:r>
    </w:p>
    <w:p w14:paraId="11ADBB39">
      <w:pPr>
        <w:adjustRightInd w:val="0"/>
        <w:snapToGrid w:val="0"/>
        <w:spacing w:line="360" w:lineRule="auto"/>
        <w:ind w:firstLine="200"/>
        <w:rPr>
          <w:rFonts w:hint="eastAsia" w:ascii="仿宋" w:hAnsi="仿宋" w:eastAsia="仿宋" w:cs="仿宋"/>
          <w:sz w:val="32"/>
          <w:szCs w:val="32"/>
          <w:highlight w:val="none"/>
        </w:rPr>
      </w:pPr>
      <w:r>
        <w:rPr>
          <w:rFonts w:hint="eastAsia" w:ascii="仿宋" w:hAnsi="仿宋" w:eastAsia="仿宋" w:cs="仿宋"/>
          <w:sz w:val="32"/>
          <w:szCs w:val="32"/>
          <w:highlight w:val="none"/>
        </w:rPr>
        <w:t>二、详细需求说明</w:t>
      </w:r>
    </w:p>
    <w:p w14:paraId="69D01D54">
      <w:pPr>
        <w:pStyle w:val="23"/>
        <w:numPr>
          <w:ilvl w:val="0"/>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基础设施融合化提升工程：</w:t>
      </w:r>
    </w:p>
    <w:p w14:paraId="0F830B61">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校园基础网络：</w:t>
      </w:r>
    </w:p>
    <w:p w14:paraId="5A0CFBB0">
      <w:pPr>
        <w:adjustRightInd w:val="0"/>
        <w:snapToGrid w:val="0"/>
        <w:spacing w:line="360" w:lineRule="auto"/>
        <w:ind w:firstLine="200"/>
        <w:rPr>
          <w:rFonts w:hint="eastAsia" w:ascii="仿宋" w:hAnsi="仿宋" w:eastAsia="仿宋" w:cs="仿宋"/>
          <w:sz w:val="32"/>
          <w:szCs w:val="32"/>
          <w:highlight w:val="none"/>
        </w:rPr>
      </w:pPr>
      <w:r>
        <w:rPr>
          <w:rFonts w:hint="eastAsia" w:ascii="仿宋" w:hAnsi="仿宋" w:eastAsia="仿宋" w:cs="仿宋"/>
          <w:sz w:val="32"/>
          <w:szCs w:val="32"/>
          <w:highlight w:val="none"/>
        </w:rPr>
        <w:t>整体网络是全光以太网，网络分为校园、无线网、安防三张网络，实现网络即方便使用，又安全可靠，打造校园网络像高速公路一样互联互通。在性能、容量、安全及技术运用等方面满足智慧校园建设整体架构需要，满足各种智能终端及物联网终端在任意位置的接入需求。</w:t>
      </w:r>
    </w:p>
    <w:p w14:paraId="775925D6">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1.1.1校园网建设</w:t>
      </w:r>
    </w:p>
    <w:p w14:paraId="1F02479B">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校园网络的出口主要满足校园内网与教育网、互联网、GA、党政等专线的南北向互通。建议采用路由器作为出口设备。主要承担校园内部网络流量到外网的NAT转换以及校园出口流量的智能选路。内部通过vxlan技术进行多业务逻辑隔离，对应出口至各个业务。出口资源按照4个业务出口，预留4万兆光口，8个千兆电口进行配置。</w:t>
      </w:r>
    </w:p>
    <w:p w14:paraId="1A124423">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校园用户访问外部互联网或者教育网需要通过以三个流程实现：</w:t>
      </w:r>
    </w:p>
    <w:p w14:paraId="408F6A91">
      <w:pPr>
        <w:pStyle w:val="24"/>
        <w:spacing w:before="0" w:after="0" w:line="360" w:lineRule="auto"/>
        <w:ind w:left="0" w:firstLine="200"/>
        <w:rPr>
          <w:rFonts w:ascii="仿宋" w:hAnsi="仿宋" w:eastAsia="仿宋" w:cs="仿宋"/>
          <w:sz w:val="32"/>
          <w:szCs w:val="32"/>
          <w:highlight w:val="none"/>
        </w:rPr>
      </w:pPr>
      <w:r>
        <w:rPr>
          <w:rFonts w:ascii="仿宋" w:hAnsi="仿宋" w:eastAsia="仿宋" w:cs="仿宋"/>
          <w:sz w:val="32"/>
          <w:szCs w:val="32"/>
          <w:highlight w:val="none"/>
        </w:rPr>
        <w:t>打通校园出口的业务路由（核心交换机-路由器）</w:t>
      </w:r>
    </w:p>
    <w:p w14:paraId="4F56602D">
      <w:pPr>
        <w:pStyle w:val="24"/>
        <w:spacing w:before="0" w:after="0" w:line="360" w:lineRule="auto"/>
        <w:ind w:left="0" w:firstLine="200"/>
        <w:rPr>
          <w:rFonts w:ascii="仿宋" w:hAnsi="仿宋" w:eastAsia="仿宋" w:cs="仿宋"/>
          <w:sz w:val="32"/>
          <w:szCs w:val="32"/>
          <w:highlight w:val="none"/>
        </w:rPr>
      </w:pPr>
      <w:r>
        <w:rPr>
          <w:rFonts w:ascii="仿宋" w:hAnsi="仿宋" w:eastAsia="仿宋" w:cs="仿宋"/>
          <w:sz w:val="32"/>
          <w:szCs w:val="32"/>
          <w:highlight w:val="none"/>
        </w:rPr>
        <w:t>对访问外部互联网的业务做NAT转换（出口路由器）</w:t>
      </w:r>
    </w:p>
    <w:p w14:paraId="02836638">
      <w:pPr>
        <w:pStyle w:val="24"/>
        <w:spacing w:before="0" w:after="0" w:line="360" w:lineRule="auto"/>
        <w:ind w:left="0" w:firstLine="200"/>
        <w:rPr>
          <w:rFonts w:ascii="仿宋" w:hAnsi="仿宋" w:eastAsia="仿宋" w:cs="仿宋"/>
          <w:sz w:val="32"/>
          <w:szCs w:val="32"/>
          <w:highlight w:val="none"/>
        </w:rPr>
      </w:pPr>
      <w:r>
        <w:rPr>
          <w:rFonts w:ascii="仿宋" w:hAnsi="仿宋" w:eastAsia="仿宋" w:cs="仿宋"/>
          <w:sz w:val="32"/>
          <w:szCs w:val="32"/>
          <w:highlight w:val="none"/>
        </w:rPr>
        <w:t>和教育网专线的业务专线连接，做地址互通路由（出口路由器）</w:t>
      </w:r>
    </w:p>
    <w:p w14:paraId="42093D80">
      <w:pPr>
        <w:pStyle w:val="24"/>
        <w:spacing w:before="0" w:after="0" w:line="360" w:lineRule="auto"/>
        <w:ind w:left="0" w:firstLine="200"/>
        <w:rPr>
          <w:rFonts w:ascii="仿宋" w:hAnsi="仿宋" w:eastAsia="仿宋" w:cs="仿宋"/>
          <w:sz w:val="32"/>
          <w:szCs w:val="32"/>
          <w:highlight w:val="none"/>
        </w:rPr>
      </w:pPr>
      <w:r>
        <w:rPr>
          <w:rFonts w:ascii="仿宋" w:hAnsi="仿宋" w:eastAsia="仿宋" w:cs="仿宋"/>
          <w:sz w:val="32"/>
          <w:szCs w:val="32"/>
          <w:highlight w:val="none"/>
        </w:rPr>
        <w:t>按照其他业务专线连接，做地址互通路由（出口路由器）</w:t>
      </w:r>
    </w:p>
    <w:p w14:paraId="6C100EF1">
      <w:pPr>
        <w:pStyle w:val="23"/>
        <w:numPr>
          <w:ilvl w:val="0"/>
          <w:numId w:val="6"/>
        </w:numPr>
        <w:snapToGrid w:val="0"/>
        <w:spacing w:line="360" w:lineRule="auto"/>
        <w:ind w:left="0" w:firstLine="640"/>
        <w:jc w:val="left"/>
        <w:rPr>
          <w:rFonts w:hint="eastAsia" w:ascii="仿宋" w:hAnsi="仿宋" w:eastAsia="仿宋" w:cs="仿宋"/>
          <w:b/>
          <w:bCs/>
          <w:sz w:val="32"/>
          <w:szCs w:val="32"/>
          <w:highlight w:val="none"/>
        </w:rPr>
      </w:pPr>
      <w:r>
        <w:rPr>
          <w:rFonts w:hint="eastAsia" w:ascii="仿宋" w:hAnsi="仿宋" w:eastAsia="仿宋" w:cs="仿宋"/>
          <w:bCs/>
          <w:sz w:val="32"/>
          <w:szCs w:val="32"/>
          <w:highlight w:val="none"/>
        </w:rPr>
        <w:t>网络管理区</w:t>
      </w:r>
    </w:p>
    <w:p w14:paraId="546510B5">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联合BRAS对接入用户进行统一认证计费，控制器对网络设备进行统一运维，安全大数据平台对整网安全态势感知。</w:t>
      </w:r>
    </w:p>
    <w:p w14:paraId="1C14DBFB">
      <w:pPr>
        <w:pStyle w:val="23"/>
        <w:numPr>
          <w:ilvl w:val="0"/>
          <w:numId w:val="6"/>
        </w:numPr>
        <w:snapToGrid w:val="0"/>
        <w:spacing w:line="360" w:lineRule="auto"/>
        <w:ind w:left="0" w:firstLine="640"/>
        <w:jc w:val="left"/>
        <w:rPr>
          <w:rFonts w:hint="eastAsia" w:ascii="仿宋" w:hAnsi="仿宋" w:eastAsia="仿宋" w:cs="仿宋"/>
          <w:b/>
          <w:bCs/>
          <w:sz w:val="32"/>
          <w:szCs w:val="32"/>
          <w:highlight w:val="none"/>
        </w:rPr>
      </w:pPr>
      <w:r>
        <w:rPr>
          <w:rFonts w:hint="eastAsia" w:ascii="仿宋" w:hAnsi="仿宋" w:eastAsia="仿宋" w:cs="仿宋"/>
          <w:bCs/>
          <w:sz w:val="32"/>
          <w:szCs w:val="32"/>
          <w:highlight w:val="none"/>
        </w:rPr>
        <w:t>核心层</w:t>
      </w:r>
    </w:p>
    <w:p w14:paraId="20A2F581">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核心层负责整个园区网的高速互联，一般不部署具体的业务。核心网络需要数据中心部署服务器和应用系统的区域。为校园网内部和外部用户提供数据和应用服务。</w:t>
      </w:r>
    </w:p>
    <w:p w14:paraId="2620FE81">
      <w:pPr>
        <w:pStyle w:val="23"/>
        <w:numPr>
          <w:ilvl w:val="0"/>
          <w:numId w:val="6"/>
        </w:numPr>
        <w:snapToGrid w:val="0"/>
        <w:spacing w:line="360" w:lineRule="auto"/>
        <w:ind w:left="0" w:firstLine="640"/>
        <w:jc w:val="left"/>
        <w:rPr>
          <w:rFonts w:hint="eastAsia" w:ascii="仿宋" w:hAnsi="仿宋" w:eastAsia="仿宋" w:cs="仿宋"/>
          <w:b/>
          <w:bCs/>
          <w:sz w:val="32"/>
          <w:szCs w:val="32"/>
          <w:highlight w:val="none"/>
        </w:rPr>
      </w:pPr>
      <w:r>
        <w:rPr>
          <w:rFonts w:hint="eastAsia" w:ascii="仿宋" w:hAnsi="仿宋" w:eastAsia="仿宋" w:cs="仿宋"/>
          <w:bCs/>
          <w:sz w:val="32"/>
          <w:szCs w:val="32"/>
          <w:highlight w:val="none"/>
        </w:rPr>
        <w:t>汇聚层</w:t>
      </w:r>
    </w:p>
    <w:p w14:paraId="48AF5FFC">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汇聚层将众多的接入设备和大量用户经过一次汇聚后再接入到核心层，扩展核心层接入用户的数量。</w:t>
      </w:r>
    </w:p>
    <w:p w14:paraId="4F03A42C">
      <w:pPr>
        <w:pStyle w:val="23"/>
        <w:numPr>
          <w:ilvl w:val="0"/>
          <w:numId w:val="6"/>
        </w:numPr>
        <w:snapToGrid w:val="0"/>
        <w:spacing w:line="360" w:lineRule="auto"/>
        <w:ind w:left="0" w:firstLine="640"/>
        <w:jc w:val="left"/>
        <w:rPr>
          <w:rFonts w:hint="eastAsia" w:ascii="仿宋" w:hAnsi="仿宋" w:eastAsia="仿宋" w:cs="仿宋"/>
          <w:b/>
          <w:bCs/>
          <w:sz w:val="32"/>
          <w:szCs w:val="32"/>
          <w:highlight w:val="none"/>
        </w:rPr>
      </w:pPr>
      <w:r>
        <w:rPr>
          <w:rFonts w:hint="eastAsia" w:ascii="仿宋" w:hAnsi="仿宋" w:eastAsia="仿宋" w:cs="仿宋"/>
          <w:bCs/>
          <w:sz w:val="32"/>
          <w:szCs w:val="32"/>
          <w:highlight w:val="none"/>
        </w:rPr>
        <w:t>接入层</w:t>
      </w:r>
    </w:p>
    <w:p w14:paraId="375CA6E6">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负责将各种终端接入到校园网络，通常由以太网交换机组成。对于某些终端，可能还要增加特定的接入设备，例如无线接入的AP设备和物联接入网关。</w:t>
      </w:r>
    </w:p>
    <w:p w14:paraId="494A8B36">
      <w:pPr>
        <w:pStyle w:val="23"/>
        <w:numPr>
          <w:ilvl w:val="0"/>
          <w:numId w:val="6"/>
        </w:numPr>
        <w:snapToGrid w:val="0"/>
        <w:spacing w:line="360" w:lineRule="auto"/>
        <w:ind w:left="0" w:firstLine="640"/>
        <w:jc w:val="left"/>
        <w:rPr>
          <w:rFonts w:hint="eastAsia" w:ascii="仿宋" w:hAnsi="仿宋" w:eastAsia="仿宋" w:cs="仿宋"/>
          <w:b/>
          <w:bCs/>
          <w:sz w:val="32"/>
          <w:szCs w:val="32"/>
          <w:highlight w:val="none"/>
        </w:rPr>
      </w:pPr>
      <w:r>
        <w:rPr>
          <w:rFonts w:hint="eastAsia" w:ascii="仿宋" w:hAnsi="仿宋" w:eastAsia="仿宋" w:cs="仿宋"/>
          <w:bCs/>
          <w:sz w:val="32"/>
          <w:szCs w:val="32"/>
          <w:highlight w:val="none"/>
        </w:rPr>
        <w:t>校园用户终端</w:t>
      </w:r>
    </w:p>
    <w:p w14:paraId="0D9A2CB7">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包含校园网内的各种终端设备，例如PC、笔记本电脑、打印机、传真、手机、摄像头等。</w:t>
      </w:r>
    </w:p>
    <w:p w14:paraId="6352F787">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1.1.2安防网建设</w:t>
      </w:r>
    </w:p>
    <w:p w14:paraId="2E33639A">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考虑到校园安防监控系统的特殊性，校园安防网与校园网按照物理隔离架构设计。</w:t>
      </w:r>
    </w:p>
    <w:p w14:paraId="020CCB2A">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（1）防火墙作为出口设备时，连接GA专线，为GA部门提供社会监控视频。</w:t>
      </w:r>
    </w:p>
    <w:p w14:paraId="679B66F5">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（2）核心交换机是整个园区监控网络的流量汇集节点，考虑到保障可靠性，核心采用双机部署，通过堆叠技术将两台设备逻辑虚拟为1台管理。</w:t>
      </w:r>
    </w:p>
    <w:p w14:paraId="480C5EA0">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（3）汇聚交换机采用全万兆互联，部署于楼栋汇聚机房，上行通过双10GE连接核心，下行通过10GE连接楼层接入交换机，保障网络带宽通畅，为视频业务提供高带宽传输。</w:t>
      </w:r>
    </w:p>
    <w:p w14:paraId="6CEE649F">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（4）接入交换机采用24口或48口POE交换机，下行通过网线接入楼层监控，并实现POE供电，上行万兆归属至汇聚交换机。</w:t>
      </w:r>
    </w:p>
    <w:p w14:paraId="4EB0C9ED">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（5）视频监控存储区部署2台接入交换机，用作视频存储平台的接入，通过双10GE归属至核心交换机。</w:t>
      </w:r>
    </w:p>
    <w:p w14:paraId="6644F702">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（6）安防网和校园网采用防火墙进行隔离，部署相应安全策略，只针对管理或特殊用户通过校园网访问监控视频，其余网段均不能访问。</w:t>
      </w:r>
    </w:p>
    <w:p w14:paraId="721BEEB4">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1.1.3 无线网建设</w:t>
      </w:r>
    </w:p>
    <w:p w14:paraId="17044309">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两台无线控制器采用热备方式，无线AP授权可以相互同步到一台设备。建议采用隧道转发模式，配置简单，无线业务流量统一有无线控制器集中处理和转发，无线用户统一在BRAS设备准入和认证。</w:t>
      </w:r>
    </w:p>
    <w:p w14:paraId="0BE25486">
      <w:pPr>
        <w:pStyle w:val="23"/>
        <w:snapToGrid w:val="0"/>
        <w:spacing w:line="360" w:lineRule="auto"/>
        <w:ind w:firstLine="640"/>
        <w:rPr>
          <w:rFonts w:hint="eastAsia" w:ascii="仿宋" w:hAnsi="仿宋" w:eastAsia="仿宋" w:cs="仿宋"/>
          <w:sz w:val="32"/>
          <w:szCs w:val="32"/>
          <w:highlight w:val="none"/>
        </w:rPr>
      </w:pPr>
    </w:p>
    <w:p w14:paraId="205CC23B">
      <w:pPr>
        <w:pStyle w:val="23"/>
        <w:numPr>
          <w:ilvl w:val="1"/>
          <w:numId w:val="5"/>
        </w:numPr>
        <w:snapToGrid w:val="0"/>
        <w:spacing w:line="360" w:lineRule="auto"/>
        <w:ind w:left="0"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网络安全 </w:t>
      </w:r>
    </w:p>
    <w:p w14:paraId="7810C5FC">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网络安全体系建设：包括校园网网络建设和校园网安全建设两项建设任务。本次信息系统安全保障主体是智慧校园系统，安全保障框架所有安全控制都以安全方针、策略做为安全工作的指导与依据，落实安全管理和安全技术两大维度的具体实施与维护，以智慧校园业务系统的安全运营为信息安全保障建设的核心，并辅以安全评估与安全培训贯穿信息安全保障体系的全过程，形成风险可控的安全保障框架体系。</w:t>
      </w:r>
    </w:p>
    <w:p w14:paraId="750BAA74">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通过校园网络安全态势感知平台，建立网络安全管理中心，实现网络安全统一管理。根据学校网络安全实际情况，划分网络安全管理域，对不同管理域的网络安全设备、安全软件/系统或组件进行管控；能够对网络设备、网络链路、网络安全设备和服务器等的运行情况进行集中检测；能够对学生在网络中发生的各类安全事件进行识别、报警和分析。</w:t>
      </w:r>
    </w:p>
    <w:p w14:paraId="3C55AE54">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安全设备异构是将来自不同厂商、不同品牌、不同功能的安全设备集成在一起，形成一个完整的安全防线，保障网络安全的一种方案。它基于开放、通用、标准的设计理念，利用各种安全设备的特点、优点和互补性，将不同的安全设备有机结合起来，协同工作，提高安全防护的水平。</w:t>
      </w:r>
    </w:p>
    <w:p w14:paraId="1CE20CBC">
      <w:pPr>
        <w:pStyle w:val="23"/>
        <w:numPr>
          <w:ilvl w:val="1"/>
          <w:numId w:val="5"/>
        </w:numPr>
        <w:adjustRightInd/>
        <w:snapToGrid w:val="0"/>
        <w:spacing w:line="360" w:lineRule="auto"/>
        <w:ind w:left="0"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数据中心机房</w:t>
      </w:r>
    </w:p>
    <w:p w14:paraId="414539D0">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数据中心机房按照《数据中心设计规范》GB/50174-2017机房B级标准设计，根据学校规划设置在主楼1层，整体采用模块化的方式建设，符合绿色模块化微型数据机房建设标准。确保各种设备长期、稳定、安全、可靠运行，创造一个安全舒适的办公及维护环境；能满足目前及将来较长一段时期作为网络中心机房的技术发展需要，并可扩展；机房环境在满足各项技术指标、国家规范的同时，要求机房装修有现代科技感、性价比高，同时管理使用方便。</w:t>
      </w:r>
    </w:p>
    <w:p w14:paraId="72299D68">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目前主楼中心建设2025年4年底才能完工，为能够将设备尽快完成部署，在项目中完成中心机房的设计同时，设置临时机房，待中心机房具备条件后在进行搬迁。</w:t>
      </w:r>
    </w:p>
    <w:p w14:paraId="06E84B30">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主楼主机房设计按照40个服务器机柜，2个模块化通道进行设计，供电单独由UPS设备进行供电，备电时间不小于1小时。</w:t>
      </w:r>
    </w:p>
    <w:p w14:paraId="491E1055">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数据中心虚拟化平台扩容</w:t>
      </w:r>
    </w:p>
    <w:p w14:paraId="3F371C87">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虚拟化平台扩容由硬件和软件组成，硬件包括计算资源、存储资源、网络资源等，软件部分通过在现有平台上进行扩容，1、配置服务器虚拟化授权：将物理服务器CPU、内存等进行池化，为上层应用弹性计算资源服务，支持业内所有主流C86服务器型号，支持管理节点高可用和虚拟机高可用、云主机快照等全部功能；2、配置存储虚拟化对接模块：支持对接管理多种存储类型，包括本地存储、集中存储（NFS/iSCSI/FC）、分布式存储等，为云主机提供块存储服务；3、配置云盘管理功能：支持云盘QoS功能，支持共享云盘功能，支持在线云盘扩容功能，支持云盘快照、克隆、创建镜像功能；建设备份一体机，本地备份设备，规模按100TB进行备份。</w:t>
      </w:r>
    </w:p>
    <w:p w14:paraId="258A5DAD">
      <w:pPr>
        <w:pStyle w:val="23"/>
        <w:numPr>
          <w:ilvl w:val="0"/>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校园安全智能化提升工程：</w:t>
      </w:r>
    </w:p>
    <w:p w14:paraId="145C777A">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周界安全管理</w:t>
      </w:r>
    </w:p>
    <w:p w14:paraId="6FCD4842">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主要在学院的周边围墙区域通过设置警戒摄像机，形成一道电子围墙进行防范和管理；通过各种技术手段一旦发现布防区域中的异常情况，系统能够以最快和最佳的方式发出警报并提供有用信息，从而能够更加有效的协助安保人员处理危机，最大限度的降低误报和漏报现象，切实提高布放区域的安全防范能力，成为学院安防系统的第一道防线。</w:t>
      </w:r>
    </w:p>
    <w:p w14:paraId="7F9070F3">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安防监控</w:t>
      </w:r>
    </w:p>
    <w:p w14:paraId="3438B591">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视频监控系统对校区需要进行监控的教学楼、图书馆、食堂等建筑内（外）的主要公共活动场所、通道、电梯（厅）等重要部位和区域，以及学校制高点等进行有效的视频探测与监视，图像显示、记录与回放。</w:t>
      </w:r>
    </w:p>
    <w:p w14:paraId="5FCC9A14">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进出车辆管理</w:t>
      </w:r>
    </w:p>
    <w:p w14:paraId="3AB65519">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新校区停车管理系统利用先进的技术和高度自动化设备，对车辆出入和停车点进行安全、有效的管理，为校园管理者提供校园车辆的管理手段，为教职工的校园车辆行驶、停放提供便利服务，可以保证校区内车辆行驶、停放的安全，便于随时了解校区内车辆的出入动态情况、停车场车位使用情况等，做到准确、高效和动态管理。</w:t>
      </w:r>
    </w:p>
    <w:p w14:paraId="7C204821">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电子巡更及可视报警紧急求助系统</w:t>
      </w:r>
    </w:p>
    <w:p w14:paraId="26D4B94A">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电子巡更系统是管理者考察巡更者是否在指定时间按巡更路线到达指定地点的一种手段，考虑到新校区的布线便利及灵活设置巡更点，采用无线（离线）式巡更系统。</w:t>
      </w:r>
    </w:p>
    <w:p w14:paraId="6CD65830">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新校区可视报警紧急求助系统采用一键式可视化智能报警设备，负责报警求助，主要部署在学校的办公楼、教学楼等公共部位、易于发生问题的学校出入口、主要通道、学生宿舍等位置。</w:t>
      </w:r>
    </w:p>
    <w:p w14:paraId="5A173294">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人脸识别</w:t>
      </w:r>
    </w:p>
    <w:p w14:paraId="79F089B0">
      <w:pPr>
        <w:pStyle w:val="23"/>
        <w:snapToGrid w:val="0"/>
        <w:spacing w:line="360" w:lineRule="auto"/>
        <w:ind w:left="20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在学校的南门、北门人员进出通道建设人脸摄像机，对进出人员进行安全管理。</w:t>
      </w:r>
    </w:p>
    <w:p w14:paraId="3B7457A7">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监控中心</w:t>
      </w:r>
    </w:p>
    <w:p w14:paraId="09442574">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监控中心是整个学校视频监控系统的核心，其作用是实现整个学校的视频影像资源的控制及显示，并对视频图像资源进行统一管理和调度。</w:t>
      </w:r>
    </w:p>
    <w:p w14:paraId="6693BACA">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中心机房的存储设备进行视频影像的集中存储及调用，视频控制器实现对视频影像的解码上墙及显示屏幕拼接控制，通过平台及控制键盘进行视频影像的控制轮询显示灯，实现中控中心对整个校园的可视化监控管理及系统联动指挥调度的中心点管控。</w:t>
      </w:r>
    </w:p>
    <w:p w14:paraId="43E16E7C">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针对弱电系统，如门禁、访客、消费、梯控、考勤、巡更、信息发布、广播、停车等系统，中控中心实现对系统影像、数据的融合处理，进行校园的安全管理的可视化监管。</w:t>
      </w:r>
    </w:p>
    <w:p w14:paraId="3487B149">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校园广播</w:t>
      </w:r>
    </w:p>
    <w:p w14:paraId="3F3E69CA">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校区的数字化广播系统建议采用基于IP网络的数字化音频广播系统，实现定时播放广播体操、上下课铃声、定时播放校园背景音乐等功能，并留有消防接口，能被消防广播强制优先接管，符合消防紧急广播规范。针对教学楼、宿舍、室外大道、运动场等公共区域播放音乐铃声、寻呼找人、名歌名曲欣赏、电台转播、广播操、升旗音乐、进行德育教育等，营造良好的学校环境以及陶冶学生情操。本期主要是在一期建设基础上进行扩容。</w:t>
      </w:r>
    </w:p>
    <w:p w14:paraId="76E72E79">
      <w:pPr>
        <w:pStyle w:val="23"/>
        <w:numPr>
          <w:ilvl w:val="0"/>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校园管理现代化提升工程：</w:t>
      </w:r>
    </w:p>
    <w:p w14:paraId="5E1B3FCD">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智能运营中心</w:t>
      </w:r>
    </w:p>
    <w:p w14:paraId="58644288">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对智慧校园各系统的进行功能集成、界面集成、业务集成等，实现“跨界融合”，提供安全绿色的工作、生活环境，让设备高效节能、安全稳定地运行，通过大屏集中展示校园安全、人员管理、车辆管理、资产管理、能源管理、设备设施管理等综合校情。以数据和业务可视、事件监控和处理、运营分析和决策三大特性来实现集中、科学、高效调度运营的目的，为学校精细化管理和服务提供支撑。针对校内智能检测系统产生的各类告警事件，提供统一处置入口，方便工作人员及时发现事件快速处理，同时通过灵活的线上处理工具，规范工作人员处置流程。统计分析数据，为管理人员资源调配提供参考依据。</w:t>
      </w:r>
    </w:p>
    <w:p w14:paraId="6436197C">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数据分析平台升级及低代码应用项目建设</w:t>
      </w:r>
    </w:p>
    <w:p w14:paraId="5DA008CA">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1、针对学院质量诊断与改进平台、学生发展中心、教师发展中心、专业发展中心、课程发展中心、图书管理系统、一卡通管理系统、门禁管理系统、人脸识别管理系统、一卡通大数据平台、安防管理平台进行迁移、升级改造；改造升级后的系统整体要求需全面兼容信创环境，涵盖主流信创服务器、操作系统、数据库及中间件，确保系统稳定运行，无明显性能瓶颈。</w:t>
      </w:r>
    </w:p>
    <w:p w14:paraId="3BFCBCC9">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2、图书管理系统升级后能够支持各校区图书馆的通借通还平台搭建，可实现与中心图书馆连接的任一馆读者在任一图书馆自由借还文献共享及通还通借联合服务。</w:t>
      </w:r>
    </w:p>
    <w:p w14:paraId="30C4FFAF">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3、一卡通管理平台实现300路消费机、600路水控、1500路电控等终端设备接入。至少满足两家以上银行专线接入。实现各类报表的分析与统计。</w:t>
      </w:r>
    </w:p>
    <w:p w14:paraId="4A7B2ABB">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4、一卡通大数据平台实现学生一卡通就餐情况分析，用水用电分析，一卡通门禁出入等涉及一卡通的使用情况分析及应用主题。</w:t>
      </w:r>
    </w:p>
    <w:p w14:paraId="1B6D6CF9">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5、将现有数据接入数据中台，做到数据共享共用。</w:t>
      </w:r>
    </w:p>
    <w:p w14:paraId="3D18C26C">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智慧党建</w:t>
      </w:r>
    </w:p>
    <w:p w14:paraId="04392401">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智慧党建系统的建设目标聚焦于打造一个集学习、活动管理、党员服务与数据分析为一体的综合性线上平台。通过整合丰富学习资源、简化活动组织流程、优化党员信息管理以及提供精准的数据支持，旨在提升党建工作的科学性与实效性，增强党组织的凝聚力与战斗力，同时为党组织的决策提供有力依据。</w:t>
      </w:r>
    </w:p>
    <w:p w14:paraId="4653E136">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内控管理</w:t>
      </w:r>
    </w:p>
    <w:p w14:paraId="0927058C">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内控管理系统的目标是通过全面梳理和优化现有流程，构建一个集成预算管理、资产管理、财务审批等关键功能的信息化平台。通过数据共享、风险预警以及数据可视化技术，实现管理流程的高效化、风险防控的精准化以及决策支持的科学化，从而提升院校的内控管理水平，保障院校运营的稳健性。</w:t>
      </w:r>
    </w:p>
    <w:p w14:paraId="1BF9C94B">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采购管理</w:t>
      </w:r>
    </w:p>
    <w:p w14:paraId="45527254">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采购管理系统致力于实现全流程信息化，涵盖采购需求申报、供应商管理、流程审批、合同签订及验收结算等环节。通过建立供应商信息库、优化采购数据分析以及提升采购活动的公开透明度，旨在降低采购成本、提高采购效率，同时防范廉政风险，确保采购活动的合法性和规范性。</w:t>
      </w:r>
    </w:p>
    <w:p w14:paraId="300AC317">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合同管理</w:t>
      </w:r>
    </w:p>
    <w:p w14:paraId="45FF46A3">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合同管理系统的建设目标是实现合同全生命周期的信息化管理，包括合同起草、审核、签订、履行、变更及终止等环节。通过标准化模板库、风险预警机制以及数据分析功能，规范合同管理流程，降低法律风险，同时为优化管理策略提供数据支持，保障院校的合法权益。</w:t>
      </w:r>
    </w:p>
    <w:p w14:paraId="5441AE88">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创新创业管理</w:t>
      </w:r>
    </w:p>
    <w:p w14:paraId="1F5ADD2A">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创新创业管理系统旨在通过项目申报与评审信息化、资源整合优化、成果展示与市场对接以及导师服务精准化，构建一个全方位支持创新创业活动的平台。通过提升创新创业项目的管理水平、优化资源配置、增强成果推广能力以及提供专业指导，助力院校创新创业教育的高质量发展。</w:t>
      </w:r>
    </w:p>
    <w:p w14:paraId="2DB68A9B">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智慧后勤</w:t>
      </w:r>
    </w:p>
    <w:p w14:paraId="41052E98">
      <w:pPr>
        <w:adjustRightInd w:val="0"/>
        <w:snapToGrid w:val="0"/>
        <w:spacing w:line="360" w:lineRule="auto"/>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智慧后勤管理的目标是通过服务信息化、资源管理精细化、数据分析科学化以及生活服务便捷化，打造一个高效、便捷、可持续的后勤服务体系。通过线上报修、资源动态调配、节能降耗数据分析以及生活服务信息整合，提升后勤服务的响应速度和管理效能，为师生营造舒适、便捷的校园生活环境。</w:t>
      </w:r>
    </w:p>
    <w:p w14:paraId="382F81EF">
      <w:pPr>
        <w:pStyle w:val="23"/>
        <w:numPr>
          <w:ilvl w:val="0"/>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师生服务便捷化提升工程：</w:t>
      </w:r>
    </w:p>
    <w:p w14:paraId="49284FA0">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一卡通</w:t>
      </w:r>
    </w:p>
    <w:p w14:paraId="235F72D8">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学校现有一卡通管理系统，实现实体卡、虚拟卡、生物特征识别等多种识别方式，为校内额结算交易和具有身份认证需求的系统提供更加智能化的认证支持，将注册管理、缴费管理、迎新离校、门禁管理、水(电)管理、餐饮服务、校内消费、图书借阅、医疗服务、上机、考勤、洗衣等校园服务智慧化，支持银行转账、代扣代缴、财务报销认证、手机充值、电话缴费、校园电子商务等服务，实现持卡人分级权限管理、持卡人信息黑名单管理、账务处理、各类分析报表等功能，实现“一卡在手、走遍校园”。本期主要是在一期平台基础上建设水控设备、门禁设备和数据接入内容。</w:t>
      </w:r>
    </w:p>
    <w:p w14:paraId="5E7C3FE3">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智能会议室</w:t>
      </w:r>
    </w:p>
    <w:p w14:paraId="60E33E23">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主要建设两地一校四区专网视频会议系统互联互通，本次共部署6个点位，增加1套MCU设备，扩容75套软终端。本方案系统建设将采用标准协议，做到与已建视频会议系统能互联互通，方案设计满足的应用需求，实现内部、外部无障碍的双向视频沟通，在视频质量上，采用业内主流的高清视频会议系统技术，系统实现高清视频效果，在音频、双流等其他技术方面，需满足高清视频会议的需求。</w:t>
      </w:r>
    </w:p>
    <w:p w14:paraId="685967B4">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体育场扩音系统：</w:t>
      </w:r>
    </w:p>
    <w:p w14:paraId="4B074279">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在体育场建设扩声系统一套。满足各类体育比赛使用需求。</w:t>
      </w:r>
    </w:p>
    <w:p w14:paraId="53A634FA">
      <w:pPr>
        <w:pStyle w:val="23"/>
        <w:numPr>
          <w:ilvl w:val="0"/>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教学教研创新化提升工程：</w:t>
      </w:r>
    </w:p>
    <w:p w14:paraId="62B9E5F5">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电子督学系统</w:t>
      </w:r>
    </w:p>
    <w:p w14:paraId="05587E62">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子督学系统建设，提托智能前端和督学系统，基于校园网络，以教学计划、教学安排、教学资源、教学质量等为主要监控对象，通过信息化手段对教学管理过程进行全面、透明、实时的监控和管理。通过数字化手段提高教学管理的效率和精度，同时能够实时掌握教学管理工作的最新动态和进展情况，为领导决策提供更加科学、准确的数据支持。该系统的实施可以有效地提高教学管理工作的质量和效率，推动数字化校园建设的发展。</w:t>
      </w:r>
    </w:p>
    <w:p w14:paraId="653D346E">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研讨互动型教室</w:t>
      </w:r>
    </w:p>
    <w:p w14:paraId="452FB1E0">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小组研讨智慧教室是一种新型的教室类型，它利用现代信息技术和教学理念，为学生提供了一个更加开放、互动和自主的学习环境。与传统教室相比，小组研讨智慧教室的优点如下：灵活的分组方式，学生可以根据自己的需求和兴趣组成小组，进行讨论和合作；丰富的互动功能，智慧教室的互动系统支持屏幕广播、学生投屏、趣味抢答、随机挑人、截屏提问等功能，使得学生和老师之间的交流更加便捷和高效；个性化的学习体验，学生可以根据自己的学习进度和能力进行个性化学习，老师也可以根据学生的需求和反馈进行有针对性的指导；促进自主学习和合作学习，智慧教室为学生提供了自主探究和合作学习的机会，有助于培养学生的创新思维和协作能力。</w:t>
      </w:r>
    </w:p>
    <w:p w14:paraId="4755558D">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多屏互动系统是研讨型智慧教室建设的轻量级解决方案，基于Windows系统/Android系统/Harmony系统及教师屏、小组屏的网络连接，无需增加其他硬件，依靠软件能力即可实现教师屏与小组屏的双向互动。为分组教学中教师讲授模式、分组讨论模式、小组分享模式、教师点评模式、组间评价模式等分组研讨过程提供全方位支持。</w:t>
      </w:r>
    </w:p>
    <w:p w14:paraId="53E6916B">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精品录播教室</w:t>
      </w:r>
    </w:p>
    <w:p w14:paraId="34319C24">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精品录播室是一种利用虚拟现实技术，构建高度仿真的虚拟实验环境和操作平台，进行技能训练、技能考核、技能竞赛、教学演示等活动的场所。在虚拟仿真实训室中，学生可以在虚拟环境中进行技能训练，避免真实环境中的危险和成本问题，同时也解决了传统实训中难以复现真实环境的问题。此外，虚拟仿真实训室还可以实现技能考核和技能竞赛等功能，提高了评价的准确性和公正性。</w:t>
      </w:r>
    </w:p>
    <w:p w14:paraId="291A4B55">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建设精品录播室系统主要是将演播、录课系统复杂、难用的弊病，抠像、导播、音频处理、录制均在一台虚拟演播主机内完成。系统包含蓝箱、灯光、虚拟演播主机、高清摄像机、音频采集设备、提词器等设备。节目导播简单易用，老师和学生能够快速创建校园新闻、访谈节目、虚拟微课的模式的视频资源。</w:t>
      </w:r>
    </w:p>
    <w:p w14:paraId="61EA520D">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阶梯教室</w:t>
      </w:r>
    </w:p>
    <w:p w14:paraId="72A7362D">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智慧阶梯教室与智慧教室功能类似，主要满足传统多媒体教学和常态化录播功能，每间阶梯教室均配备多媒体教学设备，满足课堂多媒体互动教学的要求，主要配置的设备有：画纺幕布、电视机、电脑、中控、功放、音响、吊麦、黑板、投影机、硬融、电子班牌、电子时钟等设备。常态化录播的摄像机可以采用与监控摄像机共用的方式。</w:t>
      </w:r>
    </w:p>
    <w:p w14:paraId="6C83535B">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学术报告厅</w:t>
      </w:r>
    </w:p>
    <w:p w14:paraId="214D14AD">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学术报告厅主要满足学者们进行学术交流的重要场所，可以举办各类学术会议、研讨会和讲座，促进学术思想的碰撞与融合。展示自己的研究成果，通过报告、演讲等形式，向同行和公众传达最新的学术进展和发现。培养学生学术素养和科研能力的重要平台。学生可以通过参加学术报告，拓宽学术视野，了解学科前沿动态，激发科研兴趣。还可以面向社会开放，举办各类公益讲座和科普活动，提高公众的科学素养和文化水平，学术报告厅建设确保学术报告厅能满足学术交流、成果展示、人才培养及社会服务等多方面需求。</w:t>
      </w:r>
    </w:p>
    <w:p w14:paraId="654C6DE2">
      <w:pPr>
        <w:pStyle w:val="23"/>
        <w:numPr>
          <w:ilvl w:val="1"/>
          <w:numId w:val="5"/>
        </w:numPr>
        <w:snapToGrid w:val="0"/>
        <w:spacing w:line="360" w:lineRule="auto"/>
        <w:ind w:left="0"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多媒体教室建设。</w:t>
      </w:r>
    </w:p>
    <w:p w14:paraId="503E7E15">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智能多媒体教室采用一体化纳米智慧黑板+智慧电子班牌+智能中控相结合的建设方案，打造基本的无尘、多媒体、智能化教学环境。将智慧黑板、电子班牌、多媒体教室教学过程的数据进行采集，通过与现有智慧校园数据中心对接，实现教学过程数据的统一管理并按标准完成数据监测、质量评估，满足国家数字化试点校和信息化标杆校的职教大脑数据的自动对接和上报，促进学校整体信息化教学质量和水平的提升。方案涵盖了终端、资源、应用、数据、平台，涉及整个教学活动和管理活动。通过搭配相关配套产品及软件系统，具备互联互通及可扩展的功能，提供智慧教学、智慧管理的手段，完成智慧教室的信息化建设和教学质量的全面评价及优化。</w:t>
      </w:r>
    </w:p>
    <w:p w14:paraId="0A99F01C">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三、服务要求</w:t>
      </w:r>
    </w:p>
    <w:p w14:paraId="4C4C3353">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1、项目提供不少于一年维保服务，主要设备提供原厂不少于三年质保。现场维保人员1人提供驻场服务；现场技术故障处理应在4小时解决。</w:t>
      </w:r>
    </w:p>
    <w:p w14:paraId="42AF1037">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2、研讨互动教室4间、精品录播室2间、报告厅2间，同等类型房间装修面积，房型以最终学校选定房间为准，整体要求，材料选型依设计为准。</w:t>
      </w:r>
    </w:p>
    <w:p w14:paraId="13E92F43">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3、所有设备数量以招标清单为准，设备连接线材、网线、光缆、电源线及其他附材的材质和规格型号以设计为准，具体长度以现场为准。</w:t>
      </w:r>
    </w:p>
    <w:p w14:paraId="245FF72F">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4、软件产品与学校现有智慧校园平台实现无缝对接，且无额外接口费用。</w:t>
      </w:r>
    </w:p>
    <w:p w14:paraId="2EA6CBC7">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期项目建设所有软件业务系统需提供开放的符合教育部本科《职业院校数字基座高职数据标准及接口规范》（2024年9月）版的标准数据和接口，并提供API文档。本期项目建设所有新建软件产品需与学校现有数据中台数据接口保持一致或兼容，支持与学校现有数据中台进行数据交互，并能向学校数据中台推送本科《职业院校数字基座高职数据标准及接口规范》中与所建业务系统相关的数据集，实现业务数据的自动收集、集中存储、统一处理。本期项目建设所有业务系统需与学校现有智慧校园平台均能实现无缝对接，实现统一管理、数据共享、统一认证，且无额外接口费用。同时，支持功能模块二次定制开发。</w:t>
      </w:r>
    </w:p>
    <w:p w14:paraId="48076645">
      <w:pPr>
        <w:tabs>
          <w:tab w:val="left" w:pos="851"/>
        </w:tabs>
        <w:spacing w:line="360" w:lineRule="auto"/>
        <w:ind w:firstLine="320" w:firstLineChars="100"/>
        <w:jc w:val="left"/>
        <w:rPr>
          <w:rFonts w:ascii="仿宋" w:hAnsi="仿宋" w:eastAsia="仿宋" w:cs="仿宋"/>
          <w:sz w:val="32"/>
          <w:szCs w:val="32"/>
          <w:highlight w:val="none"/>
        </w:rPr>
      </w:pPr>
      <w:r>
        <w:rPr>
          <w:rFonts w:hint="eastAsia" w:ascii="仿宋" w:hAnsi="仿宋" w:eastAsia="仿宋" w:cs="仿宋"/>
          <w:sz w:val="32"/>
          <w:szCs w:val="32"/>
          <w:highlight w:val="none"/>
        </w:rPr>
        <w:t>6、投标供应商要综合考虑系统硬件及软件整体的兼容性，出现系统不兼容时，产生二次费用及损失由供应商承担。</w:t>
      </w:r>
    </w:p>
    <w:p w14:paraId="796DDE1A">
      <w:pPr>
        <w:tabs>
          <w:tab w:val="left" w:pos="851"/>
        </w:tabs>
        <w:spacing w:line="360" w:lineRule="auto"/>
        <w:ind w:firstLine="320" w:firstLineChars="1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7、培训要求：本地培训不少于6次，相关专业人员能够熟练使用相关产品。</w:t>
      </w:r>
      <w:bookmarkStart w:id="23" w:name="_GoBack"/>
      <w:bookmarkEnd w:id="23"/>
    </w:p>
    <w:p w14:paraId="7DECF3FB">
      <w:pPr>
        <w:tabs>
          <w:tab w:val="left" w:pos="851"/>
        </w:tabs>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四、其他要求</w:t>
      </w:r>
    </w:p>
    <w:p w14:paraId="5F8F73A3">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1、履行时间（期限）：自采购合同签订后60日内交货并完成安装调试验收合格。</w:t>
      </w:r>
    </w:p>
    <w:p w14:paraId="128758A7">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地点和方式：采购人指定地点</w:t>
      </w:r>
    </w:p>
    <w:p w14:paraId="6FB89DA4">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包装方式：包装应适用于远距离运输、防潮、防震、防锈和防粗暴装卸，确保货物安全无损地运抵现场或符合行业通用方式。</w:t>
      </w:r>
    </w:p>
    <w:p w14:paraId="3E57CE40">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履约保证金形式及期限: 银行保函，保函期限：竣工验收后，1年服务期满后无息退还保函原件。履约保证金金额或比例：合同金额5%。 </w:t>
      </w:r>
    </w:p>
    <w:p w14:paraId="65930A94">
      <w:pPr>
        <w:spacing w:line="360" w:lineRule="auto"/>
        <w:ind w:firstLine="640" w:firstLineChars="200"/>
        <w:rPr>
          <w:rFonts w:hint="eastAsia" w:ascii="仿宋" w:hAnsi="仿宋" w:eastAsia="仿宋" w:cs="仿宋"/>
          <w:iCs/>
          <w:sz w:val="32"/>
          <w:szCs w:val="32"/>
          <w:highlight w:val="none"/>
        </w:rPr>
      </w:pPr>
      <w:r>
        <w:rPr>
          <w:rFonts w:hint="eastAsia" w:ascii="仿宋" w:hAnsi="仿宋" w:eastAsia="仿宋" w:cs="仿宋"/>
          <w:sz w:val="32"/>
          <w:szCs w:val="32"/>
          <w:highlight w:val="none"/>
        </w:rPr>
        <w:t>2、</w:t>
      </w:r>
      <w:r>
        <w:rPr>
          <w:rFonts w:hint="eastAsia" w:ascii="仿宋" w:hAnsi="仿宋" w:eastAsia="仿宋" w:cs="仿宋"/>
          <w:iCs/>
          <w:sz w:val="32"/>
          <w:szCs w:val="32"/>
          <w:highlight w:val="none"/>
        </w:rPr>
        <w:t>付款进度安排：按国家、省财政及采购人相关规定，由双方</w:t>
      </w:r>
      <w:r>
        <w:rPr>
          <w:rFonts w:hint="eastAsia" w:ascii="仿宋" w:hAnsi="仿宋" w:eastAsia="仿宋" w:cs="仿宋"/>
          <w:sz w:val="32"/>
          <w:szCs w:val="32"/>
          <w:highlight w:val="none"/>
        </w:rPr>
        <w:t>合同约定。（合同签订后支付合同价款30%；全部到货验收合格，安装调试并验收合格交付之日起30日内支付合同价款的50%；按计划完成培训，校方人员熟练掌握操作后，支付合同价款的10%；剩余金额财务决算后支付。）</w:t>
      </w:r>
    </w:p>
    <w:p w14:paraId="5CDE5358">
      <w:pPr>
        <w:tabs>
          <w:tab w:val="left" w:pos="851"/>
        </w:tabs>
        <w:spacing w:line="360" w:lineRule="auto"/>
        <w:jc w:val="left"/>
        <w:rPr>
          <w:rFonts w:hint="eastAsia" w:ascii="仿宋" w:hAnsi="仿宋" w:eastAsia="仿宋" w:cs="仿宋"/>
          <w:iCs/>
          <w:sz w:val="32"/>
          <w:szCs w:val="32"/>
          <w:highlight w:val="none"/>
        </w:rPr>
      </w:pPr>
      <w:r>
        <w:rPr>
          <w:rFonts w:hint="eastAsia" w:ascii="仿宋" w:hAnsi="仿宋" w:eastAsia="仿宋" w:cs="仿宋"/>
          <w:iCs/>
          <w:sz w:val="32"/>
          <w:szCs w:val="32"/>
          <w:highlight w:val="none"/>
        </w:rPr>
        <w:t xml:space="preserve">    资金支付方式：按国家、省级财政项目资金支付规定执行。</w:t>
      </w:r>
    </w:p>
    <w:p w14:paraId="3EE12AB9">
      <w:pPr>
        <w:tabs>
          <w:tab w:val="left" w:pos="851"/>
        </w:tabs>
        <w:spacing w:line="360" w:lineRule="auto"/>
        <w:ind w:firstLine="640" w:firstLineChars="200"/>
        <w:jc w:val="left"/>
        <w:rPr>
          <w:rFonts w:hint="eastAsia" w:ascii="仿宋" w:hAnsi="仿宋" w:eastAsia="仿宋" w:cs="仿宋"/>
          <w:iCs/>
          <w:sz w:val="32"/>
          <w:szCs w:val="32"/>
          <w:highlight w:val="none"/>
        </w:rPr>
      </w:pPr>
      <w:r>
        <w:rPr>
          <w:rFonts w:hint="eastAsia" w:ascii="仿宋" w:hAnsi="仿宋" w:eastAsia="仿宋" w:cs="仿宋"/>
          <w:iCs/>
          <w:sz w:val="32"/>
          <w:szCs w:val="32"/>
          <w:highlight w:val="none"/>
        </w:rPr>
        <w:t>3、验收、交付标准和方法：采购人根据国家有关规定、招标文件、中标人的投标文件以及合同约定的内容和验收标准进行验收，采购人可以视项目情况邀请第三方机构或者参加本项目投标的落标人参与验收。验收情况作为支付货款的依据。如有异议，以相关质量技术检验检测机构的检验结果为准，如产生检验检测费用，则该费用由过失方承担。</w:t>
      </w:r>
    </w:p>
    <w:p w14:paraId="58199E78">
      <w:pPr>
        <w:tabs>
          <w:tab w:val="left" w:pos="851"/>
        </w:tabs>
        <w:spacing w:line="360" w:lineRule="auto"/>
        <w:ind w:firstLine="640" w:firstLineChars="200"/>
        <w:jc w:val="left"/>
        <w:rPr>
          <w:rFonts w:hint="eastAsia" w:ascii="仿宋" w:hAnsi="仿宋" w:eastAsia="仿宋" w:cs="仿宋"/>
          <w:iCs/>
          <w:sz w:val="32"/>
          <w:szCs w:val="32"/>
          <w:highlight w:val="none"/>
        </w:rPr>
      </w:pPr>
      <w:r>
        <w:rPr>
          <w:rFonts w:hint="eastAsia" w:ascii="仿宋" w:hAnsi="仿宋" w:eastAsia="仿宋" w:cs="仿宋"/>
          <w:iCs/>
          <w:sz w:val="32"/>
          <w:szCs w:val="32"/>
          <w:highlight w:val="none"/>
        </w:rPr>
        <w:t xml:space="preserve">4、主要设备质量保修范围和保修期：3年，其它内容按国家标准执行。     </w:t>
      </w:r>
    </w:p>
    <w:p w14:paraId="424E59F4">
      <w:pPr>
        <w:tabs>
          <w:tab w:val="left" w:pos="851"/>
        </w:tabs>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iCs/>
          <w:sz w:val="32"/>
          <w:szCs w:val="32"/>
          <w:highlight w:val="none"/>
        </w:rPr>
        <w:t>5、供</w:t>
      </w:r>
      <w:r>
        <w:rPr>
          <w:rFonts w:hint="eastAsia" w:ascii="仿宋" w:hAnsi="仿宋" w:eastAsia="仿宋" w:cs="仿宋"/>
          <w:sz w:val="32"/>
          <w:szCs w:val="32"/>
          <w:highlight w:val="none"/>
        </w:rPr>
        <w:t>应商要综合考虑校园前期已存在系统硬件及软件整体的兼容性，后期出现系统不兼容时，产生二次费用及损失由供应商承担。系统维护、软件及硬件更新和升级均在质保期内，不追加任何费用。</w:t>
      </w:r>
    </w:p>
    <w:p w14:paraId="5930FCD1">
      <w:pPr>
        <w:spacing w:line="360" w:lineRule="auto"/>
        <w:ind w:firstLine="640" w:firstLineChars="200"/>
        <w:rPr>
          <w:rFonts w:hint="eastAsia" w:ascii="仿宋" w:hAnsi="仿宋" w:eastAsia="仿宋" w:cs="仿宋"/>
          <w:iCs/>
          <w:sz w:val="32"/>
          <w:szCs w:val="32"/>
          <w:highlight w:val="none"/>
        </w:rPr>
      </w:pPr>
      <w:r>
        <w:rPr>
          <w:rFonts w:hint="eastAsia" w:ascii="仿宋" w:hAnsi="仿宋" w:eastAsia="仿宋" w:cs="仿宋"/>
          <w:iCs/>
          <w:sz w:val="32"/>
          <w:szCs w:val="32"/>
          <w:highlight w:val="none"/>
        </w:rPr>
        <w:t>6、知识产权：供应商应保证采购人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5B0A702A">
      <w:pPr>
        <w:jc w:val="center"/>
        <w:rPr>
          <w:rFonts w:ascii="仿宋" w:hAnsi="仿宋" w:eastAsia="仿宋" w:cs="仿宋"/>
          <w:iCs/>
          <w:kern w:val="0"/>
          <w:sz w:val="32"/>
          <w:szCs w:val="32"/>
          <w:highlight w:val="none"/>
        </w:rPr>
      </w:pPr>
      <w:r>
        <w:rPr>
          <w:rFonts w:hint="eastAsia" w:ascii="仿宋" w:hAnsi="仿宋" w:eastAsia="仿宋" w:cs="仿宋"/>
          <w:iCs/>
          <w:color w:val="auto"/>
          <w:kern w:val="2"/>
          <w:sz w:val="32"/>
          <w:szCs w:val="32"/>
          <w:highlight w:val="none"/>
        </w:rPr>
        <w:t>7、</w:t>
      </w:r>
      <w:r>
        <w:rPr>
          <w:rFonts w:hint="eastAsia" w:ascii="仿宋" w:hAnsi="仿宋" w:eastAsia="仿宋" w:cs="仿宋"/>
          <w:iCs/>
          <w:color w:val="auto"/>
          <w:sz w:val="32"/>
          <w:szCs w:val="32"/>
          <w:highlight w:val="none"/>
        </w:rPr>
        <w:t>本次信息化项目采购须全面采用国产化产品（含硬件、软件及技术服务），以保障信息安全与核心技术自主权。</w:t>
      </w:r>
    </w:p>
    <w:p w14:paraId="60322A5F">
      <w:pPr>
        <w:pStyle w:val="13"/>
        <w:rPr>
          <w:rFonts w:hint="eastAsia" w:ascii="仿宋" w:hAnsi="仿宋" w:eastAsia="仿宋" w:cs="仿宋"/>
          <w:color w:val="auto"/>
          <w:highlight w:val="none"/>
        </w:rPr>
      </w:pPr>
    </w:p>
    <w:p w14:paraId="77693E7C">
      <w:pPr>
        <w:pStyle w:val="13"/>
        <w:rPr>
          <w:rFonts w:hint="eastAsia" w:ascii="仿宋" w:hAnsi="仿宋" w:eastAsia="仿宋" w:cs="仿宋"/>
          <w:color w:val="auto"/>
          <w:highlight w:val="none"/>
        </w:rPr>
      </w:pPr>
    </w:p>
    <w:p w14:paraId="141077CA">
      <w:pPr>
        <w:pStyle w:val="13"/>
        <w:rPr>
          <w:rFonts w:hint="eastAsia" w:ascii="仿宋" w:hAnsi="仿宋" w:eastAsia="仿宋" w:cs="仿宋"/>
          <w:color w:val="auto"/>
          <w:highlight w:val="none"/>
        </w:rPr>
      </w:pPr>
    </w:p>
    <w:p w14:paraId="7D1C3F5A">
      <w:pPr>
        <w:pStyle w:val="13"/>
        <w:rPr>
          <w:rFonts w:hint="eastAsia" w:ascii="仿宋" w:hAnsi="仿宋" w:eastAsia="仿宋" w:cs="仿宋"/>
          <w:color w:val="auto"/>
          <w:highlight w:val="none"/>
        </w:rPr>
      </w:pPr>
    </w:p>
    <w:p w14:paraId="41597B8B">
      <w:pPr>
        <w:pStyle w:val="13"/>
        <w:rPr>
          <w:rFonts w:hint="eastAsia" w:ascii="仿宋" w:hAnsi="仿宋" w:eastAsia="仿宋" w:cs="仿宋"/>
          <w:color w:val="auto"/>
          <w:highlight w:val="none"/>
        </w:rPr>
      </w:pPr>
    </w:p>
    <w:p w14:paraId="6FBA4C56">
      <w:pPr>
        <w:pStyle w:val="13"/>
        <w:rPr>
          <w:rFonts w:hint="eastAsia" w:ascii="仿宋" w:hAnsi="仿宋" w:eastAsia="仿宋" w:cs="仿宋"/>
          <w:color w:val="auto"/>
          <w:highlight w:val="none"/>
        </w:rPr>
      </w:pPr>
    </w:p>
    <w:p w14:paraId="66A53449">
      <w:pPr>
        <w:pStyle w:val="13"/>
        <w:rPr>
          <w:rFonts w:hint="eastAsia" w:ascii="仿宋" w:hAnsi="仿宋" w:eastAsia="仿宋" w:cs="仿宋"/>
          <w:color w:val="auto"/>
          <w:highlight w:val="none"/>
        </w:rPr>
      </w:pPr>
    </w:p>
    <w:tbl>
      <w:tblPr>
        <w:tblStyle w:val="17"/>
        <w:tblW w:w="11136" w:type="dxa"/>
        <w:jc w:val="center"/>
        <w:tblLayout w:type="fixed"/>
        <w:tblCellMar>
          <w:top w:w="0" w:type="dxa"/>
          <w:left w:w="108" w:type="dxa"/>
          <w:bottom w:w="0" w:type="dxa"/>
          <w:right w:w="108" w:type="dxa"/>
        </w:tblCellMar>
      </w:tblPr>
      <w:tblGrid>
        <w:gridCol w:w="428"/>
        <w:gridCol w:w="190"/>
        <w:gridCol w:w="526"/>
        <w:gridCol w:w="6679"/>
        <w:gridCol w:w="1733"/>
        <w:gridCol w:w="437"/>
        <w:gridCol w:w="716"/>
        <w:gridCol w:w="427"/>
      </w:tblGrid>
      <w:tr w14:paraId="669742EB">
        <w:tblPrEx>
          <w:tblCellMar>
            <w:top w:w="0" w:type="dxa"/>
            <w:left w:w="108" w:type="dxa"/>
            <w:bottom w:w="0" w:type="dxa"/>
            <w:right w:w="108" w:type="dxa"/>
          </w:tblCellMar>
        </w:tblPrEx>
        <w:trPr>
          <w:trHeight w:val="610" w:hRule="atLeast"/>
          <w:jc w:val="center"/>
        </w:trPr>
        <w:tc>
          <w:tcPr>
            <w:tcW w:w="11136" w:type="dxa"/>
            <w:gridSpan w:val="8"/>
            <w:tcBorders>
              <w:top w:val="nil"/>
              <w:left w:val="nil"/>
              <w:bottom w:val="single" w:color="000000" w:sz="4" w:space="0"/>
              <w:right w:val="nil"/>
            </w:tcBorders>
            <w:noWrap/>
            <w:vAlign w:val="center"/>
          </w:tcPr>
          <w:p w14:paraId="41B7F79C">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附件一：新疆铁道与能源技术大学主校区项目（筹）—信息化项目（二期）</w:t>
            </w:r>
          </w:p>
        </w:tc>
      </w:tr>
      <w:tr w14:paraId="29BCF0BF">
        <w:tblPrEx>
          <w:tblCellMar>
            <w:top w:w="0" w:type="dxa"/>
            <w:left w:w="108" w:type="dxa"/>
            <w:bottom w:w="0" w:type="dxa"/>
            <w:right w:w="108" w:type="dxa"/>
          </w:tblCellMar>
        </w:tblPrEx>
        <w:trPr>
          <w:trHeight w:val="46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11BD59D6">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序号</w:t>
            </w:r>
          </w:p>
        </w:tc>
        <w:tc>
          <w:tcPr>
            <w:tcW w:w="7205" w:type="dxa"/>
            <w:gridSpan w:val="2"/>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6B5510E6">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工程或费用名称</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3FA4BEAC">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备注</w:t>
            </w:r>
          </w:p>
        </w:tc>
      </w:tr>
      <w:tr w14:paraId="523CD341">
        <w:tblPrEx>
          <w:tblCellMar>
            <w:top w:w="0" w:type="dxa"/>
            <w:left w:w="108" w:type="dxa"/>
            <w:bottom w:w="0" w:type="dxa"/>
            <w:right w:w="108" w:type="dxa"/>
          </w:tblCellMar>
        </w:tblPrEx>
        <w:trPr>
          <w:trHeight w:val="39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60733F68">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一</w:t>
            </w:r>
          </w:p>
        </w:tc>
        <w:tc>
          <w:tcPr>
            <w:tcW w:w="7205" w:type="dxa"/>
            <w:gridSpan w:val="2"/>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3737930A">
            <w:pPr>
              <w:widowControl/>
              <w:jc w:val="left"/>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工程费</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1C6B42F1">
            <w:pPr>
              <w:rPr>
                <w:rFonts w:hint="eastAsia" w:ascii="宋体" w:hAnsi="宋体" w:cs="宋体"/>
                <w:b/>
                <w:bCs/>
                <w:color w:val="000000"/>
                <w:sz w:val="20"/>
                <w:highlight w:val="none"/>
              </w:rPr>
            </w:pPr>
          </w:p>
        </w:tc>
      </w:tr>
      <w:tr w14:paraId="356DFF94">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shd w:val="clear" w:color="auto" w:fill="00B0F0"/>
            <w:noWrap w:val="0"/>
            <w:vAlign w:val="center"/>
          </w:tcPr>
          <w:p w14:paraId="765F6FE4">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一）</w:t>
            </w:r>
          </w:p>
        </w:tc>
        <w:tc>
          <w:tcPr>
            <w:tcW w:w="7205" w:type="dxa"/>
            <w:gridSpan w:val="2"/>
            <w:tcBorders>
              <w:top w:val="single" w:color="000000" w:sz="4" w:space="0"/>
              <w:left w:val="single" w:color="000000" w:sz="4" w:space="0"/>
              <w:bottom w:val="single" w:color="000000" w:sz="4" w:space="0"/>
              <w:right w:val="single" w:color="000000" w:sz="4" w:space="0"/>
            </w:tcBorders>
            <w:shd w:val="clear" w:color="auto" w:fill="00B0F0"/>
            <w:noWrap w:val="0"/>
            <w:vAlign w:val="center"/>
          </w:tcPr>
          <w:p w14:paraId="4FFB8142">
            <w:pPr>
              <w:widowControl/>
              <w:jc w:val="left"/>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设备费</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00B0F0"/>
            <w:noWrap w:val="0"/>
            <w:vAlign w:val="center"/>
          </w:tcPr>
          <w:p w14:paraId="7B0CE091">
            <w:pPr>
              <w:jc w:val="center"/>
              <w:rPr>
                <w:rFonts w:hint="eastAsia" w:ascii="宋体" w:hAnsi="宋体" w:cs="宋体"/>
                <w:b/>
                <w:bCs/>
                <w:color w:val="000000"/>
                <w:sz w:val="20"/>
                <w:highlight w:val="none"/>
              </w:rPr>
            </w:pPr>
          </w:p>
        </w:tc>
      </w:tr>
      <w:tr w14:paraId="3C37CA77">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604B3C7A">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1</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1FCE7060">
            <w:pPr>
              <w:widowControl/>
              <w:jc w:val="left"/>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基础设施融合化提升工程</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2C9A46B2">
            <w:pPr>
              <w:jc w:val="center"/>
              <w:rPr>
                <w:rFonts w:hint="eastAsia" w:ascii="宋体" w:hAnsi="宋体" w:cs="宋体"/>
                <w:b/>
                <w:bCs/>
                <w:color w:val="000000"/>
                <w:sz w:val="20"/>
                <w:highlight w:val="none"/>
              </w:rPr>
            </w:pPr>
          </w:p>
        </w:tc>
      </w:tr>
      <w:tr w14:paraId="4D3D1B86">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10DE67B7">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1.1</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13997136">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基础网络建设</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5F2C075B">
            <w:pPr>
              <w:jc w:val="center"/>
              <w:rPr>
                <w:rFonts w:hint="eastAsia" w:ascii="宋体" w:hAnsi="宋体" w:cs="宋体"/>
                <w:b/>
                <w:bCs/>
                <w:color w:val="000000"/>
                <w:sz w:val="20"/>
                <w:highlight w:val="none"/>
              </w:rPr>
            </w:pPr>
          </w:p>
        </w:tc>
      </w:tr>
      <w:tr w14:paraId="1D5E96BC">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581F40DC">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1.2</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0E590500">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网络安全设备</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49EA7DBB">
            <w:pPr>
              <w:jc w:val="center"/>
              <w:rPr>
                <w:rFonts w:hint="eastAsia" w:ascii="宋体" w:hAnsi="宋体" w:cs="宋体"/>
                <w:b/>
                <w:bCs/>
                <w:color w:val="000000"/>
                <w:sz w:val="20"/>
                <w:highlight w:val="none"/>
              </w:rPr>
            </w:pPr>
          </w:p>
        </w:tc>
      </w:tr>
      <w:tr w14:paraId="2F8596C9">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48955EDB">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1.3</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31344ED4">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数据中心机房</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4DE0409C">
            <w:pPr>
              <w:jc w:val="center"/>
              <w:rPr>
                <w:rFonts w:hint="eastAsia" w:ascii="宋体" w:hAnsi="宋体" w:cs="宋体"/>
                <w:b/>
                <w:bCs/>
                <w:color w:val="000000"/>
                <w:sz w:val="20"/>
                <w:highlight w:val="none"/>
              </w:rPr>
            </w:pPr>
          </w:p>
        </w:tc>
      </w:tr>
      <w:tr w14:paraId="79A132BB">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02DAF1F3">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1.4</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55BCCCDA">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数据中心虚拟化平台扩容</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4365976D">
            <w:pPr>
              <w:jc w:val="center"/>
              <w:rPr>
                <w:rFonts w:hint="eastAsia" w:ascii="宋体" w:hAnsi="宋体" w:cs="宋体"/>
                <w:b/>
                <w:bCs/>
                <w:color w:val="000000"/>
                <w:sz w:val="20"/>
                <w:highlight w:val="none"/>
              </w:rPr>
            </w:pPr>
          </w:p>
        </w:tc>
      </w:tr>
      <w:tr w14:paraId="2EFC6662">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4B2BD160">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2</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7DA8707B">
            <w:pPr>
              <w:widowControl/>
              <w:jc w:val="left"/>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校园安全智能化提升工程</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0F338FB8">
            <w:pPr>
              <w:jc w:val="center"/>
              <w:rPr>
                <w:rFonts w:hint="eastAsia" w:ascii="宋体" w:hAnsi="宋体" w:cs="宋体"/>
                <w:b/>
                <w:bCs/>
                <w:color w:val="000000"/>
                <w:sz w:val="20"/>
                <w:highlight w:val="none"/>
              </w:rPr>
            </w:pPr>
          </w:p>
        </w:tc>
      </w:tr>
      <w:tr w14:paraId="1B14246D">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0EB0DF83">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2.1</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22CEB818">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周界安防</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3DD3DC17">
            <w:pPr>
              <w:jc w:val="center"/>
              <w:rPr>
                <w:rFonts w:hint="eastAsia" w:ascii="宋体" w:hAnsi="宋体" w:cs="宋体"/>
                <w:b/>
                <w:bCs/>
                <w:color w:val="000000"/>
                <w:sz w:val="20"/>
                <w:highlight w:val="none"/>
              </w:rPr>
            </w:pPr>
          </w:p>
        </w:tc>
      </w:tr>
      <w:tr w14:paraId="1BEF2979">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7898F68C">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2.2</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0211E87A">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安防监控</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25281669">
            <w:pPr>
              <w:jc w:val="center"/>
              <w:rPr>
                <w:rFonts w:hint="eastAsia" w:ascii="宋体" w:hAnsi="宋体" w:cs="宋体"/>
                <w:b/>
                <w:bCs/>
                <w:color w:val="000000"/>
                <w:sz w:val="20"/>
                <w:highlight w:val="none"/>
              </w:rPr>
            </w:pPr>
          </w:p>
        </w:tc>
      </w:tr>
      <w:tr w14:paraId="0CBA3525">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54726F6B">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2.3</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761B6593">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进出车辆管理</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0B5B2DFB">
            <w:pPr>
              <w:jc w:val="center"/>
              <w:rPr>
                <w:rFonts w:hint="eastAsia" w:ascii="宋体" w:hAnsi="宋体" w:cs="宋体"/>
                <w:b/>
                <w:bCs/>
                <w:color w:val="000000"/>
                <w:sz w:val="20"/>
                <w:highlight w:val="none"/>
              </w:rPr>
            </w:pPr>
          </w:p>
        </w:tc>
      </w:tr>
      <w:tr w14:paraId="4CE38954">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4EAFB4C2">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2.4</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4FE69372">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电子巡更及可视报警紧急求助系统</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11456172">
            <w:pPr>
              <w:jc w:val="center"/>
              <w:rPr>
                <w:rFonts w:hint="eastAsia" w:ascii="宋体" w:hAnsi="宋体" w:cs="宋体"/>
                <w:b/>
                <w:bCs/>
                <w:color w:val="000000"/>
                <w:sz w:val="20"/>
                <w:highlight w:val="none"/>
              </w:rPr>
            </w:pPr>
          </w:p>
        </w:tc>
      </w:tr>
      <w:tr w14:paraId="69F161CC">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1D4981D0">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2.5</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4AEE0398">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人脸抓拍</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468F61E9">
            <w:pPr>
              <w:jc w:val="center"/>
              <w:rPr>
                <w:rFonts w:hint="eastAsia" w:ascii="宋体" w:hAnsi="宋体" w:cs="宋体"/>
                <w:b/>
                <w:bCs/>
                <w:color w:val="000000"/>
                <w:sz w:val="20"/>
                <w:highlight w:val="none"/>
              </w:rPr>
            </w:pPr>
          </w:p>
        </w:tc>
      </w:tr>
      <w:tr w14:paraId="62CF2DED">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6A94ED39">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2.6</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20512EED">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监控中心、监控室建设</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338A98AD">
            <w:pPr>
              <w:jc w:val="center"/>
              <w:rPr>
                <w:rFonts w:hint="eastAsia" w:ascii="宋体" w:hAnsi="宋体" w:cs="宋体"/>
                <w:b/>
                <w:bCs/>
                <w:color w:val="000000"/>
                <w:sz w:val="20"/>
                <w:highlight w:val="none"/>
              </w:rPr>
            </w:pPr>
          </w:p>
        </w:tc>
      </w:tr>
      <w:tr w14:paraId="12B467B1">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6343915A">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2.7</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08695C25">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校园广播</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04733555">
            <w:pPr>
              <w:jc w:val="center"/>
              <w:rPr>
                <w:rFonts w:hint="eastAsia" w:ascii="宋体" w:hAnsi="宋体" w:cs="宋体"/>
                <w:b/>
                <w:bCs/>
                <w:color w:val="000000"/>
                <w:sz w:val="20"/>
                <w:highlight w:val="none"/>
              </w:rPr>
            </w:pPr>
          </w:p>
        </w:tc>
      </w:tr>
      <w:tr w14:paraId="3EB2AE35">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3A1D34B2">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3</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203ED115">
            <w:pPr>
              <w:widowControl/>
              <w:jc w:val="left"/>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校园管理现代化提升工程</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18ABB747">
            <w:pPr>
              <w:jc w:val="center"/>
              <w:rPr>
                <w:rFonts w:hint="eastAsia" w:ascii="宋体" w:hAnsi="宋体" w:cs="宋体"/>
                <w:b/>
                <w:bCs/>
                <w:color w:val="000000"/>
                <w:sz w:val="20"/>
                <w:highlight w:val="none"/>
              </w:rPr>
            </w:pPr>
          </w:p>
        </w:tc>
      </w:tr>
      <w:tr w14:paraId="21621442">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38EC9CD4">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3.1</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37E83223">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智能运营中心</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5280B4B5">
            <w:pPr>
              <w:jc w:val="center"/>
              <w:rPr>
                <w:rFonts w:hint="eastAsia" w:ascii="宋体" w:hAnsi="宋体" w:cs="宋体"/>
                <w:b/>
                <w:bCs/>
                <w:color w:val="000000"/>
                <w:sz w:val="20"/>
                <w:highlight w:val="none"/>
              </w:rPr>
            </w:pPr>
          </w:p>
        </w:tc>
      </w:tr>
      <w:tr w14:paraId="001B97FF">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29F37E80">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3.2</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43716324">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数据分析平台升级及低代码应用项目建设</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7D966B08">
            <w:pPr>
              <w:jc w:val="center"/>
              <w:rPr>
                <w:rFonts w:hint="eastAsia" w:ascii="宋体" w:hAnsi="宋体" w:cs="宋体"/>
                <w:b/>
                <w:bCs/>
                <w:color w:val="000000"/>
                <w:sz w:val="20"/>
                <w:highlight w:val="none"/>
              </w:rPr>
            </w:pPr>
          </w:p>
        </w:tc>
      </w:tr>
      <w:tr w14:paraId="753DD380">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63F81834">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3.3</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637C3EB7">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智慧党建</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0078F91B">
            <w:pPr>
              <w:jc w:val="center"/>
              <w:rPr>
                <w:rFonts w:hint="eastAsia" w:ascii="宋体" w:hAnsi="宋体" w:cs="宋体"/>
                <w:b/>
                <w:bCs/>
                <w:color w:val="000000"/>
                <w:sz w:val="20"/>
                <w:highlight w:val="none"/>
              </w:rPr>
            </w:pPr>
          </w:p>
        </w:tc>
      </w:tr>
      <w:tr w14:paraId="47D1F654">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3C73F5BA">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3.4</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3F503522">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内控体系管理系统</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75D3992D">
            <w:pPr>
              <w:jc w:val="center"/>
              <w:rPr>
                <w:rFonts w:hint="eastAsia" w:ascii="宋体" w:hAnsi="宋体" w:cs="宋体"/>
                <w:b/>
                <w:bCs/>
                <w:color w:val="000000"/>
                <w:sz w:val="20"/>
                <w:highlight w:val="none"/>
              </w:rPr>
            </w:pPr>
          </w:p>
        </w:tc>
      </w:tr>
      <w:tr w14:paraId="3798ED0B">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2C2C3F15">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3.5</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2668A383">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合同管理平台</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122D0C74">
            <w:pPr>
              <w:jc w:val="center"/>
              <w:rPr>
                <w:rFonts w:hint="eastAsia" w:ascii="宋体" w:hAnsi="宋体" w:cs="宋体"/>
                <w:b/>
                <w:bCs/>
                <w:color w:val="000000"/>
                <w:sz w:val="20"/>
                <w:highlight w:val="none"/>
              </w:rPr>
            </w:pPr>
          </w:p>
        </w:tc>
      </w:tr>
      <w:tr w14:paraId="6CF07383">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55E08BBF">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3.6</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28BB1250">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采购管理平台</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4EF0B5DE">
            <w:pPr>
              <w:jc w:val="center"/>
              <w:rPr>
                <w:rFonts w:hint="eastAsia" w:ascii="宋体" w:hAnsi="宋体" w:cs="宋体"/>
                <w:b/>
                <w:bCs/>
                <w:color w:val="000000"/>
                <w:sz w:val="20"/>
                <w:highlight w:val="none"/>
              </w:rPr>
            </w:pPr>
          </w:p>
        </w:tc>
      </w:tr>
      <w:tr w14:paraId="3D0204A6">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0A702153">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3.7</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1204340D">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智慧后勤平台</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748F0CEB">
            <w:pPr>
              <w:jc w:val="center"/>
              <w:rPr>
                <w:rFonts w:hint="eastAsia" w:ascii="宋体" w:hAnsi="宋体" w:cs="宋体"/>
                <w:b/>
                <w:bCs/>
                <w:color w:val="000000"/>
                <w:sz w:val="20"/>
                <w:highlight w:val="none"/>
              </w:rPr>
            </w:pPr>
          </w:p>
        </w:tc>
      </w:tr>
      <w:tr w14:paraId="0F28981E">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48F2BD01">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3.8</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17805EC4">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创新创业管理平台</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12883618">
            <w:pPr>
              <w:jc w:val="center"/>
              <w:rPr>
                <w:rFonts w:hint="eastAsia" w:ascii="宋体" w:hAnsi="宋体" w:cs="宋体"/>
                <w:b/>
                <w:bCs/>
                <w:color w:val="000000"/>
                <w:sz w:val="20"/>
                <w:highlight w:val="none"/>
              </w:rPr>
            </w:pPr>
          </w:p>
        </w:tc>
      </w:tr>
      <w:tr w14:paraId="7C571F12">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28308995">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4</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39906184">
            <w:pPr>
              <w:widowControl/>
              <w:jc w:val="left"/>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师生服务便捷化提升工程</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4ACADAEA">
            <w:pPr>
              <w:jc w:val="center"/>
              <w:rPr>
                <w:rFonts w:hint="eastAsia" w:ascii="宋体" w:hAnsi="宋体" w:cs="宋体"/>
                <w:b/>
                <w:bCs/>
                <w:color w:val="000000"/>
                <w:sz w:val="20"/>
                <w:highlight w:val="none"/>
              </w:rPr>
            </w:pPr>
          </w:p>
        </w:tc>
      </w:tr>
      <w:tr w14:paraId="4AD52857">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39C01341">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4.1</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2DC2062D">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一卡通</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5C9316AF">
            <w:pPr>
              <w:jc w:val="center"/>
              <w:rPr>
                <w:rFonts w:hint="eastAsia" w:ascii="宋体" w:hAnsi="宋体" w:cs="宋体"/>
                <w:b/>
                <w:bCs/>
                <w:color w:val="000000"/>
                <w:sz w:val="20"/>
                <w:highlight w:val="none"/>
              </w:rPr>
            </w:pPr>
          </w:p>
        </w:tc>
      </w:tr>
      <w:tr w14:paraId="5D325E9C">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5F0E8D17">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4.2</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4236F76B">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视频会议</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17646730">
            <w:pPr>
              <w:jc w:val="center"/>
              <w:rPr>
                <w:rFonts w:hint="eastAsia" w:ascii="宋体" w:hAnsi="宋体" w:cs="宋体"/>
                <w:b/>
                <w:bCs/>
                <w:color w:val="000000"/>
                <w:sz w:val="20"/>
                <w:highlight w:val="none"/>
              </w:rPr>
            </w:pPr>
          </w:p>
        </w:tc>
      </w:tr>
      <w:tr w14:paraId="7676F93C">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6BD49103">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4.3</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75EE61FC">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体育场扩音系统</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57422BB2">
            <w:pPr>
              <w:jc w:val="center"/>
              <w:rPr>
                <w:rFonts w:hint="eastAsia" w:ascii="宋体" w:hAnsi="宋体" w:cs="宋体"/>
                <w:b/>
                <w:bCs/>
                <w:color w:val="000000"/>
                <w:sz w:val="20"/>
                <w:highlight w:val="none"/>
              </w:rPr>
            </w:pPr>
          </w:p>
        </w:tc>
      </w:tr>
      <w:tr w14:paraId="6B77F0CC">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54110189">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5</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679295F5">
            <w:pPr>
              <w:widowControl/>
              <w:jc w:val="left"/>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教学教研创新化提升工程</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50FEF0B4">
            <w:pPr>
              <w:jc w:val="center"/>
              <w:rPr>
                <w:rFonts w:hint="eastAsia" w:ascii="宋体" w:hAnsi="宋体" w:cs="宋体"/>
                <w:b/>
                <w:bCs/>
                <w:color w:val="000000"/>
                <w:sz w:val="20"/>
                <w:highlight w:val="none"/>
              </w:rPr>
            </w:pPr>
          </w:p>
        </w:tc>
      </w:tr>
      <w:tr w14:paraId="7C1AFA87">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40CAB061">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5.1</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0A8B70C0">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电子督学</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6FF3808C">
            <w:pPr>
              <w:jc w:val="center"/>
              <w:rPr>
                <w:rFonts w:hint="eastAsia" w:ascii="宋体" w:hAnsi="宋体" w:cs="宋体"/>
                <w:b/>
                <w:bCs/>
                <w:color w:val="000000"/>
                <w:sz w:val="20"/>
                <w:highlight w:val="none"/>
              </w:rPr>
            </w:pPr>
          </w:p>
        </w:tc>
      </w:tr>
      <w:tr w14:paraId="5AD3038D">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044798F3">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5.2</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212F6D5C">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研讨互动型教室</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16BAA856">
            <w:pPr>
              <w:jc w:val="center"/>
              <w:rPr>
                <w:rFonts w:hint="eastAsia" w:ascii="宋体" w:hAnsi="宋体" w:cs="宋体"/>
                <w:b/>
                <w:bCs/>
                <w:color w:val="000000"/>
                <w:sz w:val="20"/>
                <w:highlight w:val="none"/>
              </w:rPr>
            </w:pPr>
          </w:p>
        </w:tc>
      </w:tr>
      <w:tr w14:paraId="2B093CAB">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65202FE8">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5.3</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5F34E4DB">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精品录播教室</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41959560">
            <w:pPr>
              <w:jc w:val="center"/>
              <w:rPr>
                <w:rFonts w:hint="eastAsia" w:ascii="宋体" w:hAnsi="宋体" w:cs="宋体"/>
                <w:b/>
                <w:bCs/>
                <w:color w:val="000000"/>
                <w:sz w:val="20"/>
                <w:highlight w:val="none"/>
              </w:rPr>
            </w:pPr>
          </w:p>
        </w:tc>
      </w:tr>
      <w:tr w14:paraId="7D8D0CA4">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40406B01">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5.4</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7B0365BB">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阶梯教室</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56158CF6">
            <w:pPr>
              <w:jc w:val="center"/>
              <w:rPr>
                <w:rFonts w:hint="eastAsia" w:ascii="宋体" w:hAnsi="宋体" w:cs="宋体"/>
                <w:b/>
                <w:bCs/>
                <w:color w:val="000000"/>
                <w:sz w:val="20"/>
                <w:highlight w:val="none"/>
              </w:rPr>
            </w:pPr>
          </w:p>
        </w:tc>
      </w:tr>
      <w:tr w14:paraId="2CEB8FA0">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28C6951A">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5.5</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279EDE9A">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学术报告厅</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174F8BF3">
            <w:pPr>
              <w:jc w:val="center"/>
              <w:rPr>
                <w:rFonts w:hint="eastAsia" w:ascii="宋体" w:hAnsi="宋体" w:cs="宋体"/>
                <w:b/>
                <w:bCs/>
                <w:color w:val="000000"/>
                <w:sz w:val="20"/>
                <w:highlight w:val="none"/>
              </w:rPr>
            </w:pPr>
          </w:p>
        </w:tc>
      </w:tr>
      <w:tr w14:paraId="3D72675B">
        <w:tblPrEx>
          <w:tblCellMar>
            <w:top w:w="0" w:type="dxa"/>
            <w:left w:w="108" w:type="dxa"/>
            <w:bottom w:w="0" w:type="dxa"/>
            <w:right w:w="108" w:type="dxa"/>
          </w:tblCellMar>
        </w:tblPrEx>
        <w:trPr>
          <w:trHeight w:val="240" w:hRule="atLeas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4119DB1C">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5.6</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09B287EB">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多媒体教室</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3B04451A">
            <w:pPr>
              <w:jc w:val="center"/>
              <w:rPr>
                <w:rFonts w:hint="eastAsia" w:ascii="宋体" w:hAnsi="宋体" w:cs="宋体"/>
                <w:b/>
                <w:bCs/>
                <w:color w:val="000000"/>
                <w:sz w:val="20"/>
                <w:highlight w:val="none"/>
              </w:rPr>
            </w:pPr>
          </w:p>
        </w:tc>
      </w:tr>
      <w:tr w14:paraId="22EAE1F4">
        <w:tblPrEx>
          <w:tblCellMar>
            <w:top w:w="0" w:type="dxa"/>
            <w:left w:w="108" w:type="dxa"/>
            <w:bottom w:w="0" w:type="dxa"/>
            <w:right w:w="108" w:type="dxa"/>
          </w:tblCellMar>
        </w:tblPrEx>
        <w:trPr>
          <w:trHeight w:val="948" w:hRule="exact"/>
          <w:jc w:val="center"/>
        </w:trPr>
        <w:tc>
          <w:tcPr>
            <w:tcW w:w="618" w:type="dxa"/>
            <w:gridSpan w:val="2"/>
            <w:tcBorders>
              <w:top w:val="single" w:color="000000" w:sz="4" w:space="0"/>
              <w:left w:val="single" w:color="000000" w:sz="4" w:space="0"/>
              <w:bottom w:val="single" w:color="000000" w:sz="4" w:space="0"/>
              <w:right w:val="single" w:color="000000" w:sz="4" w:space="0"/>
            </w:tcBorders>
            <w:noWrap w:val="0"/>
            <w:vAlign w:val="center"/>
          </w:tcPr>
          <w:p w14:paraId="55D92372">
            <w:pPr>
              <w:widowControl/>
              <w:jc w:val="center"/>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二）</w:t>
            </w:r>
          </w:p>
        </w:tc>
        <w:tc>
          <w:tcPr>
            <w:tcW w:w="7205" w:type="dxa"/>
            <w:gridSpan w:val="2"/>
            <w:tcBorders>
              <w:top w:val="single" w:color="000000" w:sz="4" w:space="0"/>
              <w:left w:val="single" w:color="000000" w:sz="4" w:space="0"/>
              <w:bottom w:val="single" w:color="000000" w:sz="4" w:space="0"/>
              <w:right w:val="single" w:color="000000" w:sz="4" w:space="0"/>
            </w:tcBorders>
            <w:noWrap w:val="0"/>
            <w:vAlign w:val="center"/>
          </w:tcPr>
          <w:p w14:paraId="21CA5FFC">
            <w:pPr>
              <w:widowControl/>
              <w:jc w:val="left"/>
              <w:textAlignment w:val="center"/>
              <w:rPr>
                <w:rFonts w:hint="eastAsia" w:ascii="宋体" w:hAnsi="宋体" w:cs="宋体"/>
                <w:b/>
                <w:bCs/>
                <w:color w:val="000000"/>
                <w:sz w:val="20"/>
                <w:highlight w:val="none"/>
              </w:rPr>
            </w:pPr>
            <w:r>
              <w:rPr>
                <w:rFonts w:hint="eastAsia" w:ascii="宋体" w:hAnsi="宋体" w:cs="宋体"/>
                <w:b/>
                <w:bCs/>
                <w:color w:val="000000"/>
                <w:kern w:val="0"/>
                <w:sz w:val="20"/>
                <w:highlight w:val="none"/>
                <w:lang w:bidi="ar"/>
              </w:rPr>
              <w:t>系统集成费</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center"/>
          </w:tcPr>
          <w:p w14:paraId="52B88AA1">
            <w:pPr>
              <w:jc w:val="center"/>
              <w:rPr>
                <w:rFonts w:hint="eastAsia" w:ascii="宋体" w:hAnsi="宋体" w:cs="宋体"/>
                <w:b/>
                <w:bCs/>
                <w:color w:val="000000"/>
                <w:sz w:val="20"/>
                <w:highlight w:val="none"/>
              </w:rPr>
            </w:pPr>
          </w:p>
        </w:tc>
      </w:tr>
      <w:tr w14:paraId="4327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136" w:type="dxa"/>
            <w:gridSpan w:val="8"/>
            <w:tcBorders>
              <w:top w:val="single" w:color="000000" w:sz="4" w:space="0"/>
              <w:left w:val="single" w:color="000000" w:sz="4" w:space="0"/>
              <w:bottom w:val="single" w:color="000000" w:sz="4" w:space="0"/>
              <w:right w:val="single" w:color="000000" w:sz="4" w:space="0"/>
            </w:tcBorders>
            <w:noWrap/>
            <w:vAlign w:val="center"/>
          </w:tcPr>
          <w:p w14:paraId="6F4EA1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一、基础设施融合化提升工程概算</w:t>
            </w:r>
          </w:p>
        </w:tc>
      </w:tr>
      <w:tr w14:paraId="1295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090E8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2FEDD1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设备名称</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7BEBB9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功能参数</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75873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0615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236E9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17DB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1136" w:type="dxa"/>
            <w:gridSpan w:val="8"/>
            <w:tcBorders>
              <w:top w:val="single" w:color="000000" w:sz="4" w:space="0"/>
              <w:left w:val="single" w:color="000000" w:sz="4" w:space="0"/>
              <w:bottom w:val="single" w:color="000000" w:sz="4" w:space="0"/>
              <w:right w:val="single" w:color="000000" w:sz="4" w:space="0"/>
            </w:tcBorders>
            <w:noWrap/>
            <w:vAlign w:val="center"/>
          </w:tcPr>
          <w:p w14:paraId="17395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1、1基础网络建设</w:t>
            </w:r>
          </w:p>
        </w:tc>
      </w:tr>
      <w:tr w14:paraId="77E6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602C8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70D19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出口路由器</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172FB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1、★实配：双主控，双电源，万兆光口≥12个，千兆电口≥8个，万兆多模光模块≥8个，万兆单模光模块≥4个；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2、★交换容量≥160Tbps，包转发率≥28000Mpps；以官网参数最小值为准；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3、整机业务载板插槽≥6个，主控槽位≥2，设备支持双主控双交换双转发架构，支持电源冗余，要求所有主控、业务板卡及电源均可热插拔；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4、支持50GE/25GE/10GE/GE/FE/CPOS/E1等接口类型；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5、支持静态路由、RIP、RIPng、OSPF、OSPFV3、IS-IS、IS-ISV6、BGP、BGPv6等路由协议；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6、支持L2VPN.L3VPN.EVPN等VPN技术.支持VXLAN.GRE等隧道技术；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7、支持随流逐包的性能检测技术，对用户业务流进行直接的丢包、时延、流速等的监测，得到业务端到端或逐跳的丢包和时延信息，支持通过telemetry上送获得的性能数据；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8、具备NAT转换功能；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9、所投路由器支持IPv6协议，支持IPv6规模部署；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10、设备10GE端口支持网络硬切片,硬切片接口支持1G粒度的网络硬切片能力；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12、设备关键芯片（主控CPU芯片、NP转发芯片）采用国产化芯片；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13、▲支持SRv6，支持APN6；提供厂商官网配置截图并加盖厂商公章证明。</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68074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4F057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7436719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A85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7"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70E4B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25CD2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Bras系统</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413C5A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1、★实配：双主控，双电源，万兆光口≥10个，千兆电口≥8个，实际配置BRAS功能及并发用户数≥32k，万兆多模光模块≥8个；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2、★支持交换容量≥230Tbps，支持包转发率≥53000Mpps；以官网最小值为准；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3、整机业务载板插槽≥8个，设备支持双主控双交换架构，电源、风扇等部件冗余设计，支持主控交换板卡、电源、风扇、业务板卡的热插拔；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4、▲单槽位最大支持400Gbps线速转发不丢包；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5、设备支持100GE、50GE、40GE、25GE、10GE、GE、FE、E1、POS、CPOS等接口类型；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6、支持RIP、OSPF、IS-IS、BGP等路由协议；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7、支持BRAS功能双机热备，主设备故障，用户无感知，双机热备场景支持异地容灾，距离不受限；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8、BRAS双机热备支持基于MAC哈希的PPPoE/IPoE Session负载分担；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9、支持用户接入并发数不低于32K，支持用户接入速率每秒不低于300个；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10、所投路由器支持IPv6协议，支持IPv6规模部署；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11、支持随流逐包的性能检测技术，对用户业务流进行直接的丢包.时延.流速等的监测，得到业务端到端或逐跳的丢包和时延信息，支持通过telemetry上送获得的性能数据；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12、支持IPv4路由表容量≥10M,IPv6路由表容量≥5M，支持IPv4转发表容量≥3M,IPv6转发表容量≥2M；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13、支持FlexE网络硬切片能力，支持1G粒度的网络硬切片能力；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15、设备关键芯片（主控CPU芯片、NP转发芯片）采用国产化芯片；提供CNAS、CMA、中国信通院或同等国家认可机构出具的检测报告并加盖厂商公章；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16、▲支持SRv6，支持APN6；提供厂商官网配置截图并加盖厂商公章证明。</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36CF34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20572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466B55E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6F3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19196B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5EDE7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计费系统升级</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40A47D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1、提供高性能的 AAA 认证平台，配合BRAS、实现PPPoE,IPOE、L2TP,802.1x,VPN等接入认证，无线AC 接入认证；支持无感知认证；支持微信认证、短信认证等；具备管理员、统计管理、策略管理、权限管理、应用服务器管理，AAA系统管理；用户自服务系统；提供全部用户的上网日志，支持系统日志、认证日志、管理员日志、缴费日志、结算日志的查询；计费管理、Web服务器以及数据库管理平台；开户数不少于20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★2、认证许可不少于15000个。支持与多家运营商对接。与现有计费系统无缝对接。</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6BE6B5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AC893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2D92740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B50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0"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4C317D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6BC5F1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校园网核心交换机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2BFDCF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1、★实配：双主控，交换网板≥4块，3000W电源模块≥4个，万兆光口≥144个，千兆电口模块≥48个，万兆多模光模块≥40个，万兆单模光模块≥20个；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2、★交换容量≥1900Tbps，包转发率≥460000Mpps；以官网最小值为准；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3、主控引擎与交换网板物理分离；主控引擎槽位≥2，独立交换网板槽位≥6（可扩展至8个），整机业务板槽位数≥8，支持每槽位转发能力≥7.2Tbps；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4、要求设备支持模块化风扇框，可热插拔，当单个风扇框发生故障时，有其他风扇正常运行，保证设备散热，独立风扇框数≥3，支持颗粒化电源，支持M+N电源冗余（AC和DC均支持），电源插槽个数≥6；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5、为保证设备散热效果，符合机房的冷热风道设计，要求主机主体散热采用后出风的风道设计；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6、支持VxLAN功能，支持VxLAN二层网关、三层网关，支持BGP EVPN，支持分布式 Anycast 网关，支持VxLAN Fabric 的自动化部署；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7、支持MPLS L3VPN、MPLS L2VPN(VPLS，VLL)、MPLS-TE、MPLS QoS、MPLS OAM；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8、支持整机MAC地址≥384K，整机ARP表项≥140000，IPv4路由转发FIB表项≥200000，IPv6路由转发FIB表项≥70000；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支持真实业务流的实时检测技术，实现对IP网络的精确丢包监控和快速故障定界能力；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9、支持硬件BFD/OAM，3.3ms稳定均匀发包检测，故障倒换时间＜50ms；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10、支持SNMP V1/V2/V3、Telnet、RMON、SSHV2、Telemetry 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11、支持用户通过部署DHCP服务器，通过双向认证和数据加密的方式，解决了DHCP方式的ZTP的数据可信问题，适用于安全要求高的场景；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13、采用国产芯片，自主可控；提供CNAS、CMA、中国信通院或同等国家认可机构出具的检测报告并加盖厂商公章；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14、▲支持基于IPv6转发平面的段路由；提供证明材料并加盖厂商公章；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支持同一个共享的网络基础设施上提供多个逻辑网络（切片），每个逻辑网络服务于特定的业务类型或者行业用户。每个网络切片都可以灵活定义自己的逻辑拓扑、SLA需求、可靠性和安全等级，以满足不同业务、行业或用户的差异化需求；提供证明材料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5DB868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0DDA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2A94195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124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0"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6272CD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55206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校园网汇聚交换机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3BD46D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1、★实配双主控，双电源，≥40个万兆光口，≥4个万兆单模光模块；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2、★交换容量≥68Tbps，包转发率≥51000Mppss；以官网最小值为准；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3、主控引擎≥2；整机业务板槽位数≥4，整机电源槽位数≥5；要求主控槽位与业务线卡槽位宽度相同，为全宽槽位；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4、支持Macsec256；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5、支持静态路由、RIP、RIPng、OSPF、OSPFv3、BGP、BGP4+、ISIS、ISISv6；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6、VxLAN功能，支持VxLAN二层网关、三层网关，支持BGP EVPN，支持分布式 Anycast 网关，支持VxLAN Fabric 的自动化部署；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7、支持SNMP V1/V2/V3、Telnet、RMON、SSHV2、Telemetry技术；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8、支持整机MAC地址≥13000，整机ARP表项≥14000，IPv4路由转发FIB表项≥190000，IPv6路由转发FIB表项≥80000；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10、采用国产芯片，自主可控；提供CNAS、CMA、中国信通院或同等国家认可机构出具的检测报告并加盖厂商公章。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23FFDE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0EDD7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5765C11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6C5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5"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2ADF4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2B77C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校园网24口全光交换机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401683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1、★实配：双电源，万兆单模光模块≥2；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2、★交换容量≥1.3Tbps，包转发率≥400Mpps；以官网最小值为准；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3、支持固化≥24 个2.5G/GE SFP，≥4个万兆 SFP+；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4、支持静态路由、RIP v1/v2、OSPF、BGP、ISIS、RIPng、OSPFv3、ISISv6、BGP4+；</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5、支持MAC表项≥64K，IPv4 路由表≥32K，IPv6 路由表≥8K；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6、支持VxLAN功能，支持BGP EVPN，支持分布式 Anycast 网关；支持控制器基于WEB界面进行VxLAN Fabric配置并下发给交换机；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7、支持SNMP v1/v2/v3、Telnet、RMON、SSHv2、Telemetry技术；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9、CPU和LSW要求国产化；提供CNAS、CMA、中国信通院或同等国家认可机构出具的检测报告并加盖厂商公章；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交换机支持将IP和端口扫描流量重定向给网络安全智能系统进行诱捕，支持报告攻击事件给网络安全智能系统，与网络安全智能系统和SDN控制器联动，以实现全网安全协防；提供厂商官网链接及截图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4EDEE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1DABE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43</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1A38A4B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9D5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7"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6D59D5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708060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校园网48口全光交换机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176E9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1、★实配：双电源，万兆单模光模块≥2；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2、★交换容量≥1.3Tbps，包转发率≥550Mpps；以官网最小值为准；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3、支持固化≥44 个2.5G/GE SFP，≥4个千兆SFP，≥4个万兆 SFP+；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4、支持静态路由、RIP v1/v2、OSPF、BGP、ISIS、RIPng、OSPFv3、ISISv6、BGP4+；</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5、支持MAC表项≥64K，IPv4 路由表≥32K，IPv6 路由表≥8K；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6、支持VxLAN功能，支持BGP EVPN，支持分布式 Anycast 网关；支持控制器基于WEB界面进行VxLAN Fabric配置并下发给交换机；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7、支持SNMP v1/v2/v3、Telnet、RMON、SSHv2、Telemetry技术；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9、CPU和LSW要求国产化；提供CNAS、CMA、中国信通院或同等国家认可机构出具的检测报告并加盖厂商公章；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交换机支持将IP和端口扫描流量重定向给网络安全智能系统进行诱捕，支持报告攻击事件给网络安全智能系统，与网络安全智能系统和SDN控制器联动，以实现全网安全协防；提供厂商官网链接及截图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3B73C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38D79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65</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121BFCA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3A7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9"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3EC7F4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6F526F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校园网8口入室交换机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7C9C54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1、★实配：电源适配器，2.5GE单模光模块≥2个；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2、★交换容量≥430Gbps，包转发率≥120Mpps；以官网最小值为准；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3、下行10/100/1000Base-T POE+以太网口≥8，上行2.5GE/GE光口≥2；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4、支持POE+供电，整机最大POE out功率≥35W；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5、设备支持IPv6部署；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6、▲为减少接入层管理工作，设备支持即插即用，可被上联设备统一纳管；提供证明材料佐证并加盖厂商公章；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8、CPU和转发芯片为国产化芯片；提供CNAS、CMA、中国信通院或同等国家认可机构出具的检测报告并加盖厂商公章。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1EB7D1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775E7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681</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0EB83B7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BE6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4"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709243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2990CF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校园网24口入室交换机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1283D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1、★实配：2.5GE单模光模块≥2个；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2、★交换容量≥430Gbps，包转发率≥170Mpps；以官网最小值为准；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3、下行10/100/1000Base-T 以太网口≥24，上行2.5GE/GE光口≥2；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4、设备支持IPv6部署；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5、为减少接入层管理工作，设备支持即插即用，可被上联设备统一纳管；提供证明材料佐证并加盖厂商公章；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7、CPU和转发芯片为国产化芯片；提供CNAS、CMA、中国信通院或同等国家认可机构出具的检测报告并加盖厂商公章。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12173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98671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5CCBFD2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D7F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6"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71AFB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5745F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无线控制器</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69AE6F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1、★实配：万兆多模光模块≥4，无线接AP管理授权数≥1500；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2、★独立专业无线控制器，最大可管理AP数目≥4000个,单台AC最大接入用户数量≥50K；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3、支持千兆以太网口≥8个，万兆光口≥12个，40GE光口≥2个；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4、两台无线控制器热备，无线AP授权可以相互同步到一台设备；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5、整机最大转发性能≥120Gbps；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6、支持静态路由，RIP-1/RIP-2，OSPF，BGP，IS-IS，OSPF v3，BGP4+，路由策略、策略路由；</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7、支持基于802.11k 和 802.11v协议的智能漫游，使低漫游灵敏度的客户端能漫游到最佳AP；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8、支持VIP用户识别和优先调度，VIP用户可无视任何限速策略，并可获得空口报文的优先级提升；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9、AC支持可视化端到端的故障诊断，显示用户、AP、AC连接图，呈现故障根因和处理建议；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11、▲支持端到端智能诊断能力，快速分析网络中每个交互过程可能存在的问题，并给出解决建议；提供产品配置界面截图并加盖厂商公章。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5367FA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FC11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3EF0AC2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178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5"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70629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3DF7F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面板AP</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429601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1、支持802.11be标准，支持双射频，一个2.4G射频，1个5G射频，全频段802.11be；整机支持4条空间流，速率≥3.5Gbps；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2、支持上行≥1个2.5G光口（含1个2.5GE单芯单模LC光模块），下行≥4个10/100/1000 Base-T以太网端口，光口支持光电混合接口供电，支持USB 2.0，可用于扩展物联网；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3、支持BLE5.2，支持内置蓝牙串口运维；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4、支持应用识别，支持VIP用户带宽保障功能，提升用户体验；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5、▲单用户极限测速＞2.1Gbps，提供CNAS、CMA、中国信通院或同等国家认可机构出具的检测报告并加盖厂商公章；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6、实配：电源适配器，2.5G 单芯单模LC接口光模块≥1，提供原厂硬件≥3年质保。</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3B0AA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5B7D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1773</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4683F2E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A7E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7"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3CA74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5395C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放装AP（POE供电）</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56B21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1、支持802.11be标准，支持双射频，一个2.4G射频，1个5G射频，全频段802.11be；整机支持4条空间流，速率≥3.5Gbps；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2、支持≥1个2.5GE以太网口，支持USB 2.0，可用于扩展物联网；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3、支持VIP用户带宽保障功能，提升用户体验；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5、▲单条5G射频支持30用户同时观看1080P高清视频+1个用户FTP，用户高清视频不卡顿，提供CNAS、CMA、中国信通院或同等国家认可机构出具的检测报告并加盖厂商公章；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63248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B183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663</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68BB74D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BEC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4"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3B2E22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5D4B6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高密AP</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2BE88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1、支持802.11be标准，支持双射频，一个2.4G射频，1个5G射频，全频段802.11be；整机支持6条空间流，整机速率≥6Gbps；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2、支持≥1个2.5G以太网口，≥1个GE以太网上联端口；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3、支持USB 2.0，可用于扩展物联网；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4、支持BLE5.2；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5、支持VIP用户带宽保障功能，提升用户体验；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6、支持内置蓝牙串口运维；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7、提供原厂硬件≥3年质保。</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657B2C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C4C1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32</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75E6779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8ED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497E64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7A03B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定向AP</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54844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1、★实配：电源适配器，2.5GE单模光模块≥2个；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2、支持802.11be标准，支持三射频，一个2.4G射频，2个5G射频，全频段802.11be；整机支持8条空间流，整机速率≥15Gbps；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3、支持≥1个10G SFP+以太网端口，≥1个10GE以太网电口，≥1个GE以太网上联端口；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4、支持USB 2.0，可用于扩展物联网；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5、内置定向天线，支持6KA防雷，支持IP68防水，工作温度-40~+70℃；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6、支持VIP用户带宽保障功能，提升用户体验；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7、支持BLE5.2，支持内置蓝牙串口运维；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8、提供原厂硬件≥3年质保。</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658B4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29E2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2E5F0E4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F5F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9"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0F4715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7D8235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超高密AP</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411D77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1、★实配：电源适配器，万兆单模光模块≥2个；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2、支持802.11be标准，支持2.4GHz/5GHz/6GHz三频段，全频段支持射频支持802.11be 4x4 MU-MIMO；</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3、总空间流数12；整机速率≥18.4Gbps；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4、≥2个10GE电，≥1个10GE光；支持BLE5.2；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5、支持AP本地转发时，DFI应用识别和QOS分类，针对业界常用的Skypes、微信等应用，能显著提升语音质量；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6、▲单用户极限测速4.1Gbps；提供CNAS、CMA、中国信通院或同等国家认可机构出具的检测报告并加盖厂商公章；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7、▲支持DPSK认证；提供厂商官网链接及截图并加盖厂商公章；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8、提供原厂硬件≥3年质保。</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2A3EF2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5EF4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2927DB9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822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8"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7E18A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74D154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超高密AP接入交换机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02B819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1、★实配：双电源，万兆单模光模块≥2；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2、交换容量≥4.8Tbps，包转发率≥1620Mpps；以官网最小值为准；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3、支持固化≥24个10GE SFP+，≥6个40GE QSFP+/100GE QSFP28；</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4、为了提高设备可靠性，支持可插拔的双电源；支持≥4个可插拔风扇模块；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5、支持静态路由、RIP V1/2、OSPF、IS-IS、BGP、RIPng、OSPFv3、BGP4+、ISISv6；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6、支持MAC表项≥384K、IPv4路由表项≥256K、IPv6路由表项≥70K；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7、支持VxLAN功能，支持BGP EVPN，支持分布式 Anycast 网关；支持控制器基于WEB界面进行VxLAN Fabric配置并下发给交换机；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8、支持G.8032（ERPS）标准环网协议，故障倒换收敛时间小于50毫秒；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9、支持SNMPv1/v2c/v3、RMON、网管系统、WEB网管特性、NetStream，telemetry；</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10、支持真实业务流实时检测技术，能实时检测网络故障；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12、采用国产芯片，自主可控；提供CNAS、CMA、中国信通院或同等国家认可机构出具的检测报告并加盖厂商公章。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49490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19672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0C491A2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7A6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65D478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37692D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网管平台</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450FC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1、★实配：本次项目网络设备，配置第三方设备管理授权≥30个，框式交换机管理授权≥30个，盒式交换机管理授权≥470个，AP管理授权≥3000个；AC管理授权≥2个，硬件配置不低于2*32核、2.6GHz CPU、4*32GB内存,4*1920GB SSD,Raid卡(4G cache,带超级电容),8个GE电口,6个10GE/25GE光口，双电源。提供原厂硬件≥3年质保；软件≥3年免费升级；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系统深度融合云计算、SDN网络技术（基于NetConf/YANG协议）以及大数据分析等前沿技术，旨在实现大规模网络设备的配置自动化，并全面支持设备性能、告警数据以及用户数据的统计分析。同时，系统兼容Telemetry等主流大数据采集协议，确保数据采集的高效与准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产品具备强大的管理能力，支持一套软件管理规模不小于20万网元设备及70万在线终端。其中，单集群的管理规模至少达到2万网元设备及7万在线终端，且支持单集群平滑扩容至多集群，以满足不断增长的网络管理需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产品支持多种认证技术，包括802、1x、MAC、Portal认证、VPN认证以及PPSK/DPSK等多种方式，确保网络接入的安全性。同时，认证协议也支持PAP、CHAP、EAP-MD5等多种类型，以满足不同场景下的认证需求。此外，系统还支持IPv6终端通过多种认证方式接入网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5、系统支持基于随流检测的应用流量可视化和应用体验分析功能，并基于随流检测技术实现应用路径呈现和故障定界，从而快速闭环解决网络问题；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产品特别针对LAN-WAN场景设计了基于GIS地图、设备拓扑、楼层图的集中可视化运维管理功能。网络拓扑可缩放呈现网络、用户、终端、应用等多维度信息，实现时间+空间维度的用户全旅程体验回溯。同时，系统还支持LAN-WAN E2E质量可视，实现精确的设备、用户、终端定位以及故障定位。此外，系统还能自动生成关键应用保障策略，并全网自动下发，快速优化应用体验；提供证明材料并加盖原厂公章；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系统支持设备配置和表项比对功能，方便用户查看全网IP子网的连通性情况。同时，系统还支持基于GUI验证任意子网间的网络连通性，以及模拟验证终端接入的连通性，从而快速验证终端接入权限是否符合预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系统支持多种身份源对接，如AD/LDAP、企业微信、钉钉、Azure AD等，方便用户根据实际需求进行身份认证与授权。同时，系统还支持与多个AD/LDAP域名服务器同步，以及基于帐号属性映射成本地角色的功能，从而实现更精细化的网络准入授权管理；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系统同时支持SNMP协议，能够纳管传统设备以及第三方厂商设备。系统能够自动发现设备、展示拓扑结构，并上送Trap告警等基本信息，实现设备的统一管理与监控；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产品设计灵活，支持物理机与虚拟机的双重部署模式，且能够适应单节点或集群部署环境。在集群部署中，即使任一节点出现故障，业务也能保持连续不中断。此外，所有部署形态均支持异地灾备，当主系统发生故障时，能够自动切换至远端备份系统，确保业务稳定性；提供CNAS、CMA、中国信通院或同等国家认可机构出具的检测报告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11、产品内置场景化模板建网功能，用户可通过图形化、拖拽式操作轻松定义配置模板，并灵活设置变量，实现网络业务的批量创建与高效管理；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12、系统支持AP的IoT插卡管理，使得物联网IoT设备能够借助AP的信号顺畅传递信息至IoT平台。同时，系统能够统一纳管网络设备与IOT物联设备，实现一体化管理；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13、▲系统能够自动识别终端类型、厂商、操作系统等信息，并支持用户自定义终端识别规则。识别方式既包括MAC OUI、DHCP Option等被动方式，也包括SNMP、NMAP等主动方式。同时，系统内置网络设备探针，可识别跨三层网络摄像机，并通过AI技术辅助识别未知设备。指纹库支持在线/离线升级，无限扩充，以满足不断变化的识别需求；提供证明材料并加盖原厂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14、系统全部采用同厂家的国产组件、国产芯片的硬件平台（包括硬件服务器、虚拟化平台）和软件平台（包括操作系统和数据库），确保所有组件均无后门、安全可控；提供证明材料并加盖原厂公章。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36C0E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8DEB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5A7A7CE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1C3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2"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15BB7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636D43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网络分析器</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6A696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1、★硬件配置不低于2*48核、2.6GHz CPU、8*32GB内存,12*1920GB SSD,Raid卡(4G cache,带超级电容),8个GE电口,4个10GE/25GE光口,双电源；网络设备智能网络分析功能授权配置不少于：框式交换机≥20，盒式交换机≥200，无线WIFI7 AP≥2800，配置网络调优自愈功能授权；提供原厂硬件≥3年质保；软件≥3年免费升级；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2、系统支持通过Telemetry技术进行数据采集，兼容GRPC协议，并能捕获Syslog中的设备异常日志，从而迅速响应设备异常情况；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系统能够基于应用或流配置随流检测功能，对网络中的丢包和时延进行实时监控。同时，它还支持NetStream采样，用于获取流量信息进行统计分析，并将这些信息封装为NetStream报文发送给系统，以便进行更深入的分析和可视化展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系统通过评估设备环境、设备容量、网络性能、网络状态以及网络协议等多个方面，对有线网络的健康度进行全面评估。它能够主动识别出影响网络质量的主要问题，并提供问题的业务影响、根本原因以及排障建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5、系统具备基本的位置拓扑能力，可以导入背景图、规划区域、设备等，并设置比例尺、障碍物等位置拓扑信息，结合业务进行呈现，包括健康度、问题以及关键KPI等指标；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6、▲系统能够基于网络体验事件进行推送，并提供应用流路径还原功能，同时支持大模型技术提供的网络自动优化能力、故障自动处理能力；提供证明材料并加盖原厂公章；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7、系统能够智能识别设备环境、设备容量、网络性能、网络状态和网络协议五大类有线问题，并提供问题列表以及根因分析。此外，系统还能提供资源消耗与出口流量的预测功能；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8、系统支持总体、站点、楼层、设备能耗的可视化管理，并通过潮汐预测算法智能推荐节能策略。同时，系统能够智能识别哑终端（如打印机、IP电话等）并保证其不掉线，还能对比节能增益效果；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9、系统支持使用AI算法进行预测性调优，包括容量调优、漫游调优、干扰调优和覆盖调优；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系统基于用户体验评估，具备VIP问题推送能力，并结合用户空间连接还原功能，支持根据用户体验评分进行VIP用户事件冒泡。同时，系统能够通过邮件、短信、微信等多种方式主动推送告警信息，并提供无线和有线用户接入全旅程的查看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11、系统在设备纳管、南向对接、安装、升级、扩容等业务面和管理面均全面支持IPV6；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12、系统支持自动倒换（包括三方站点仲裁）和手动倒换异地容灾部署。</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65B997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0E1B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72C62FC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755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6"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371B5A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56E05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安防网核心交换机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3093BB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1、★实配：双主控，双电源，≥24个千兆电口，≥48个万兆光口，≥2个100GE光口，≥4个万兆单模光模块；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2、★交换容量≥100Tbps，包转发率≥76000Mpps；以官网最小值为准；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3、主控引擎≥2，整机业务板槽位数≥6，整机电源槽位数≥6；要求主控槽位与业务线卡槽位宽度相同，为全宽槽位；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4、支持静态路由、RIP、RIPng、OSPF、OSPFv3、BGP、BGP4+、ISIS、ISISv6；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5、支持VxLAN功能，支持VxLAN二层网关、三层网关，支持BGP EVPN，支持分布式 Anycast 网关，支持VxLAN Fabric 的自动化部署；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6、支持整机MAC地址≥384K，整机ARP表项≥14000，IPv4路由转发FIB表项≥200000，IPv6路由转发FIB表项≥70000；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7、支持真实业务流的实时检测技术，秒级快速故障定位；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8、支持SNMP V1/V2/V3、Telnet、RMON、SSHV2、Telemetry技术；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10、采用国产芯片，自主可控；提供CNAS、CMA、中国信通院或同等国家认可机构出具的检测报告并加盖厂商公章；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板卡基于应用识别技术，对报文中的特征字段进行检测，并和应用特征库匹配，识别出主流音视频应用（Zoom、腾讯会议、钉钉、Teams、webex、小鱼易连等）、并支持自定义应用（基于协议、IP、端口、URL），进行优先保障（DSCP Remark、切片保障等), 在拥塞时，保障关键应用不丢包；提供CNAS、CMA、中国信通院或同等国家认可机构出具的检测报告并加盖厂商公章；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12、▲主控支持扩展SSD硬盘，用于安装容器等第三方软件的能力；提供证明材料并加盖公章。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5B35C3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A0B5E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094AF46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CBC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1"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77932E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4319AE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安防网24口万兆光交换机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7EFEA3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1、★实配：双电源，万兆单模光模块≥2；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2、交换容量≥4.8Tbps，包转发率≥1620Mpps；以官网最小值为准；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3、支持固化≥24个10GE SFP+，≥6个40GE QSFP+/100GE QSFP28；</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4、为了提高设备可靠性，支持可插拔的双电源；支持≥4个可插拔风扇模块；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5、支持静态路由、RIP V1/2、OSPF、IS-IS、BGP、RIPng、OSPFv3、BGP4+、ISISv6；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6、支持MAC表项≥384K、IPv4路由表项≥256K、IPv6路由表项≥70K；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7、支持VxLAN功能，支持BGP EVPN，支持分布式 Anycast 网关；支持控制器基于WEB界面进行VxLAN Fabric配置并下发给交换机；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8、支持G.8032（ERPS）标准环网协议，故障倒换收敛时间小于50毫秒；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9、支持真实业务流实时检测技术，能实时检测网络故障；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10、支持SNMPv1/v2c/v3、RMON、网管系统、WEB网管特性、NetStream，telemetry；</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12、采用国产芯片，自主可控；提供CNAS、CMA、中国信通院或同等国家认可机构出具的检测报告并加盖厂商公章。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09D68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F60C2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3F14980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147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5"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457E0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0F637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安防网48电口交换机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24A489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1、★实配：千兆单模光模块≥2个；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2、★交换容量≥670Gbps，包转发率≥200Mpps；以官网最小值为准；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3、支持≥48个10/100/1000Base-T 以太网端口，≥4个万兆光口，支持堆叠，堆叠带宽＞20Gbps；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4、支持静态路由、RIP、OSPF、RIPng、OSPFv3；</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5、支持MAC表项≥32K，IPv4 路由表≥3K，IPv6 路由表≥1K；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6、支持防ARP攻击、DOS攻击、ICMP防攻击、CPU保护；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7、支持SNMP v1/v2/v3、Telnet、RMON、SSHv2、Telemetry技术；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9、采用国产芯片，自主可控；提供CNAS、CMA、中国信通院或同等国家认可机构出具的检测报告并加盖厂商公章。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53343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BA44E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761B080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7A2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3"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55BEE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749904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安防网24全光口接入交换机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4BFA7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1、★实配：双电源，万兆单模光模块≥2；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2、★交换容量≥1.3Tbps，包转发率≥400Mpps；以官网最小值为准；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3、支持固化≥24 个2.5G/GE SFP，≥4个万兆 SFP+；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4、支持静态路由、RIP v1/v2、OSPF、BGP、ISIS、RIPng、OSPFv3、ISISv6、BGP4+；</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5、支持MAC表项≥64K，IPv4 路由表≥16K，IPv6 路由表≥8K；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6、支持VxLAN功能，支持BGP EVPN，支持分布式 Anycast 网关；支持控制器基于WEB界面进行VxLAN Fabric配置并下发给交换机；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7、支持SNMP v1/v2/v3、Telnet、RMON、SSHv2、Telemetry技术；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交换机支持将IP和端口扫描流量重定向给网络安全智能系统进行诱捕，支持报告攻击事件给网络安全智能系统，与网络安全智能系统和SDN控制器联动，以实现全网安全协防；提供厂商官网链接及截图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10、CPU和LSW要求国产化；提供CNAS、CMA、中国信通院或同等国家认可机构出具的检测报告并加盖厂商公章。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125F4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CF9D0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45</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708E01B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1EE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2"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576FE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23</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234D2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安防网24口交换机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4E8E7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1、★实配：2.5GE单模光模块≥2个；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2、交换容量≥430Gbps，包转发率≥170Mpps；以官网最小值为准；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3、下行10/100/1000Base-T 以太网口≥24，上行2.5GE/GE光口≥2；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4、设备支持IPv6部署；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5、▲为减少接入层管理工作，设备支持即插即用，可被上联设备统一纳管；提供证明材料佐证并加盖厂商公章；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7、CPU和转发芯片为国产化芯片；提供CNAS、CMA、中国信通院或同等国家认可机构出具的检测报告并加盖厂商公章。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3446F4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97FD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128</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65D062D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537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2"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7BF068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41F0C4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安防网8口交换机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3C54C8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1、★实配：电源适配器，2.5GE单模光模块≥2个；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2、交换容量≥430Gbps，包转发率≥120Mpps；以官网最小值为准；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3、下行10/100/1000Base-T POE+以太网口≥8，上行2.5GE/GE光口≥2；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4、支持POE+供电，整机最大POE out功率≥35W；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5、设备支持IPv6部署；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6、为减少接入层管理工作，设备支持即插即用，可被上联设备统一纳管；提供证明材料佐证并加盖厂商公章；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8、CPU和转发芯片为国产化芯片；提供CNAS、CMA、中国信通院或同等国家认可机构出具的检测报告并加盖厂商公章。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5F206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DBAA4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760DC07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DDD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5"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6FB89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25</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6E200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电子督学网8口交换机</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73E5A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1、★实配：电源适配器，2.5GE单模光模块≥2个；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2、交换容量≥430Gbps，包转发率≥120Mpps；以官网最小值为准；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3、下行10/100/1000Base-T POE+以太网口≥8，上行2.5GE/GE光口≥2；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4、支持POE+供电，整机最大POE out功率≥35W；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5、设备支持IPv6部署；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6、▲为减少接入层管理工作，设备支持即插即用，可被上联设备统一纳管；提供证明材料佐证并加盖厂商公章；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7、提供原厂硬件≥3年质保；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8、CPU和转发芯片为国产化芯片；提供CNAS、CMA、中国信通院或同等国家认可机构出具的检测报告并加盖厂商公章。</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17E231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0530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376</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7C1C27A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5AF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0B5A2B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26</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0D41EC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楼层电源线</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075FF1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RVV2*2.5mm</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0B9F4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FA9FF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192</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7451F51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23A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7BF20A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27</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7928AD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设备电源线</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69E0A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RVV2*1.5mm</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06D08B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198E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5370</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351A8B3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B32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06D62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28</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2C6C7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092DB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04FAD0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D085D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12530</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2C70451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F27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02744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29</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672658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熔纤</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44561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衰减数值要求‌：熔融光纤的衰减数值应低于0.35dB/km。</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78FF02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芯</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34AF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6500</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4835119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EC0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4372C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30</w:t>
            </w:r>
          </w:p>
        </w:tc>
        <w:tc>
          <w:tcPr>
            <w:tcW w:w="716" w:type="dxa"/>
            <w:gridSpan w:val="2"/>
            <w:tcBorders>
              <w:top w:val="single" w:color="000000" w:sz="4" w:space="0"/>
              <w:left w:val="single" w:color="000000" w:sz="4" w:space="0"/>
              <w:bottom w:val="single" w:color="000000" w:sz="4" w:space="0"/>
              <w:right w:val="single" w:color="000000" w:sz="4" w:space="0"/>
            </w:tcBorders>
            <w:noWrap w:val="0"/>
            <w:vAlign w:val="center"/>
          </w:tcPr>
          <w:p w14:paraId="763511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附材</w:t>
            </w:r>
          </w:p>
        </w:tc>
        <w:tc>
          <w:tcPr>
            <w:tcW w:w="8412" w:type="dxa"/>
            <w:gridSpan w:val="2"/>
            <w:tcBorders>
              <w:top w:val="single" w:color="000000" w:sz="4" w:space="0"/>
              <w:left w:val="single" w:color="000000" w:sz="4" w:space="0"/>
              <w:bottom w:val="single" w:color="000000" w:sz="4" w:space="0"/>
              <w:right w:val="single" w:color="000000" w:sz="4" w:space="0"/>
            </w:tcBorders>
            <w:noWrap w:val="0"/>
            <w:vAlign w:val="center"/>
          </w:tcPr>
          <w:p w14:paraId="0546C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跳纤、轧带、标签、胶带、插板等满足网络设备使用</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78C38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D7C3D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3FBF62A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645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36A01C7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10281" w:type="dxa"/>
            <w:gridSpan w:val="6"/>
            <w:tcBorders>
              <w:top w:val="single" w:color="000000" w:sz="4" w:space="0"/>
              <w:left w:val="single" w:color="000000" w:sz="4" w:space="0"/>
              <w:bottom w:val="single" w:color="000000" w:sz="4" w:space="0"/>
              <w:right w:val="single" w:color="000000" w:sz="4" w:space="0"/>
            </w:tcBorders>
            <w:noWrap/>
            <w:vAlign w:val="center"/>
          </w:tcPr>
          <w:p w14:paraId="25D644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14C4207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bl>
    <w:p w14:paraId="54FB12CD">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br w:type="page"/>
      </w:r>
    </w:p>
    <w:tbl>
      <w:tblPr>
        <w:tblStyle w:val="17"/>
        <w:tblW w:w="108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1"/>
        <w:gridCol w:w="655"/>
        <w:gridCol w:w="8844"/>
        <w:gridCol w:w="409"/>
        <w:gridCol w:w="306"/>
        <w:gridCol w:w="341"/>
      </w:tblGrid>
      <w:tr w14:paraId="73AA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0826" w:type="dxa"/>
            <w:gridSpan w:val="6"/>
            <w:tcBorders>
              <w:top w:val="single" w:color="000000" w:sz="4" w:space="0"/>
              <w:left w:val="single" w:color="000000" w:sz="4" w:space="0"/>
              <w:bottom w:val="single" w:color="000000" w:sz="4" w:space="0"/>
              <w:right w:val="single" w:color="000000" w:sz="4" w:space="0"/>
            </w:tcBorders>
            <w:noWrap/>
            <w:vAlign w:val="center"/>
          </w:tcPr>
          <w:p w14:paraId="295FA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 网络安全设备</w:t>
            </w:r>
          </w:p>
        </w:tc>
      </w:tr>
      <w:tr w14:paraId="43FB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2"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2FD8F0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43D7B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出口防火墙</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1E6485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网络处理能力≥70G，应用层吞吐量≥50G，入侵防御、网管防病毒吞吐量≥15G，并发连接数≥1600万，新建连接数≥60万。2U机箱，冗余电源，标准配置板载≥4个10/100/1000M自适应电、≥4个SFP插槽、≥8个SFP+插槽、1个Console口，包含访问控制、地址转换、静态路由、动态路由、策略路由、流量控制、VPN等基础功能和入侵防御、web应用防护、网关防病毒和威胁情报等增值模块，含三年特征库升级授权； 三年硬件维保服务；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2.采用国产CPU芯片，并使用符合规范的操作系统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3.支持静态路由、策略路由和多播路由协议，并支持BGP、RIP、OSPF等动态路由协议。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4.支持IPv4/IPv6双栈模式，实现网络与其他支持IPv4或IPv6协议的主机进行正常通信。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默认具备入侵防御检测引擎，支持对各类漏洞利用攻击进行检测与防护，内置不低于10000种漏洞规则，同时支持在控制台界面通过漏洞ID、漏洞名称、危险等级、漏洞CVE标识、漏洞描述等条件查询漏洞特征信息，支持用户自定义IPS规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7.为了方便策略管控，支持应用控制策略全流程管理，包含安全策略的变更时间、变更类型和策略变更用户，并对变更内容记录日志。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8.支持实时检测当前网络的整体安全状况，显示当前安全风险问题，并提供建议便于快速开展日常安全运维。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9.为了有效识别网络中主机的外联，支持对网络中僵尸主机进行检测，产品内置僵尸主机检测特征库不少于100万种。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10.为了有效保护数据中心的业务，产品支持与本次采购的杀毒软件兼容对接管理，在防火墙界面即可完成终端安全策略设置和杀毒软件的统一管理。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11.为确保业务流量在密码改造后依然支持应用层防护，产品支持https解密功能，支持TCP代理和SSL代理。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12.产品网关杀毒支持对压缩文件进行病毒拦截与检测，支持压缩层数在10层以上。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13.为确保在地址转换和ipv6等场景下的溯源问题，产品支持对请求报文头的X-Forward-For字段检测，并对非法源IP进行日志记录和联动封锁。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14.确保不因恶意访问造成的监管单位通报，支持对接云威胁情报，实现对威胁流量进行实时检测&amp;拦截，实现失陷外联实时阻断，保护资产安全。</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54722E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2672D3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6D29B5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871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2"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028DA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7A0549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行为管理</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7880F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采用国产CPU芯片，并使用符合规范的操作系统。提供板载≥4个10/100/1000M自适应电、≥4个SFP插槽、≥4个SFP+插槽，光模块满配；网络层吞吐量≥30Gbps，应用层审计吞吐量≥10Gbps，每秒新建连接数≥20万；内存≥64G，硬盘容量≥1TB SSD，冗余电源1+1，实现日志留存不少于180天。 三年维保服务。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2.产品功能需要支持IPv6配置。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3.支持针对上网权限策略进行检测分析，查看各个应用是否匹配相关策略。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4.支持Windows终端的文件打印内容和行为的审计。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5.支持带宽的高利用率和自定义空闲值，针对线路和流量通道存在浪费的情况，需要智能开启和停用流控策略。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6.支持超过800种主流Saas类应用，对Saas类应用有默认分类标签，帮助客户统一配置策略；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7.支持代理控制功能，不允许使用外部HTTP代理，不允许在HTTP，SSL等标准端口上使用其他协议，防止师生进行危险的翻墙上网。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8.支持SSL加密网页的内容检查，可对SSL加密网页进行解密并识别、过滤其内容，针对加密后的钓鱼网站、非法网站，可对用户进行重定向告警，支持客户端SSL解密，客户端会自动推送根证书安装；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9.支持与防火墙、态势感知、终端杀毒等产品实现身份和资产信息同步。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10.支持在设备旁路部署时针对违规上网行为进行阻断过滤。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11.能同时连接多条外网线路，且支持多条线路负载，负载策略支持包括线路优先级、按运营商、剩余带宽、带宽比例、平均分配。</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7829EE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0FEE29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5D2501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A6E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1"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2C543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75301A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边界防火墙</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42DA1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网络处理能力≥45G，应用层吞吐量≥30G，入侵防御、网管防病毒吞吐量≥6G，并发连接数≥800万，新建连接数≥20万。2U机箱，冗余电源，标准配置板载≥4个10/100/1000M自适应电、≥4个SFP接口、≥4个SFP+接口、1个Console口，包含访问控制、地址转换、静态路由、动态路由、策略路由、流量控制、VPN等基础功能和入侵防御、web应用防护、网关防病毒和威胁情报等增值模块，含三年特征库升级授权； 三年硬件维保服务；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2.采用国产CPU芯片，并使用符合规范的操作系统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3.产品需要支持路由模式、网桥模式、旁路镜像模式、虚拟网线模式等多种部署方式。为了提高链路带宽和链路可靠性，产品支持链路聚合功能。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4.产品针对应用需要具有管控的功能，本身需要集成应用特征识别库，并且识别库的数量大于6000种。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5.根据管理员权限进行三权分立，分别为系统管理员、安全管理员、安全审计员。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6.支持对压缩文件进行病毒拦截与检测，支持压缩层数在11层以上。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7.产品支持与态势感知平台协同防御，将防火墙产生的日志等数据上报至态势感知平台，并在态势感知平台进行展示。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8.支持虚拟防火墙功能，虚拟数量不少于5个，支持虚拟防火墙的创建和删除，具备单独接口、应用控制、会话管理等策略。。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9.支持登录时进行双因素身份认证，管理员可以通过用户名、密码、Key等不同形式登陆管理界面。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10.为确保业务流量在密码改造后依然支持应用层防护，产品支持https解密功能，支持TCP代理和SSL代理。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11.产品内置不低于10000种漏洞规则，同时支持在控制台界面通过漏洞ID、漏洞名称、危险等级、漏洞CVE标识、漏洞描述等条件查询漏洞特征信息，支持用户自定义IPS规则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12.为确保在地址转换和ipv6等场景下的溯源问题，产品支持对请求报文头的X-Forward-For字段检测，并对非法源IP进行日志记录和联动封锁。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13.为对外业务发布进行保障，产品内置超过4000种WEB应用攻击特征，支持对跨站脚本（XSS）攻击、SQL注入、文件包含攻击、信息泄露攻击、WEBSHELL、网站扫描、网页木马等攻击类型进行防护。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14.确保不因恶意访问造成的监管单位通报，支持接入威胁情报，实现对威胁流量进行实时检测&amp;拦截，实现失陷外联实时阻断，保护资产安全。</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7CB0C6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5E261E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1DD985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2ED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4347F9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7B00B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数据中心防火墙</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71E0F7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网络处理能力≥45G，应用层吞吐量≥30G，入侵防御、网管防病毒吞吐量≥6G，并发连接数≥800万，新建连接数≥20万。2U机箱，冗余电源，标准配置板载≥4个10/100/1000M自适应电、≥4个SFP接口、≥4个SFP+接口、1个Console口，包含访问控制、地址转换、静态路由、动态路由、策略路由、流量控制、VPN等基础功能和入侵防御、web应用防护、网关防病毒等增值模块，含三年特征库升级授权； 三年硬件维保服务；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2.采用国产CPU芯片，并使用符合规范的操作系统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▲3.为保障安全性，与出口防火墙建议使用非同一厂家产品，采用异构产品参与投标。</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E217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22D04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1AAB41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C81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0" w:hRule="atLeast"/>
          <w:jc w:val="center"/>
        </w:trPr>
        <w:tc>
          <w:tcPr>
            <w:tcW w:w="271" w:type="dxa"/>
            <w:vMerge w:val="restart"/>
            <w:tcBorders>
              <w:top w:val="single" w:color="000000" w:sz="4" w:space="0"/>
              <w:left w:val="single" w:color="000000" w:sz="4" w:space="0"/>
              <w:right w:val="single" w:color="000000" w:sz="4" w:space="0"/>
            </w:tcBorders>
            <w:noWrap/>
            <w:vAlign w:val="center"/>
          </w:tcPr>
          <w:p w14:paraId="42631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2"/>
                <w:sz w:val="20"/>
                <w:szCs w:val="20"/>
                <w:highlight w:val="none"/>
                <w:u w:val="none"/>
                <w:lang w:val="en-US" w:eastAsia="zh-CN" w:bidi="ar-SA"/>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655" w:type="dxa"/>
            <w:vMerge w:val="restart"/>
            <w:tcBorders>
              <w:top w:val="single" w:color="000000" w:sz="4" w:space="0"/>
              <w:left w:val="single" w:color="000000" w:sz="4" w:space="0"/>
              <w:right w:val="single" w:color="000000" w:sz="4" w:space="0"/>
            </w:tcBorders>
            <w:noWrap w:val="0"/>
            <w:vAlign w:val="center"/>
          </w:tcPr>
          <w:p w14:paraId="52ADD9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零信任</w:t>
            </w:r>
          </w:p>
        </w:tc>
        <w:tc>
          <w:tcPr>
            <w:tcW w:w="8844"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32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1.软硬一体机架式安全设备，采用硬件支持国家密码管理局颁布的SM1、SM2、SM3、SM4密码算法。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★2.冗余电源，不少于6千兆电口+4千兆光口SFP，最大并发用户数≥2500，支持不少于1000个用户的接入license。三年维保服务。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3.支持IPV4/IPV6双栈网络IP配置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4.支持本地集群部署，且最少2台设备即可组建集群，本地集群与分布式集群下各节点的零信任授权数均可共享使用，集群的总接入授权数是各节点授权数的总和。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通过隧道模式，可以支持基于TCP、UDP、ICMP等协议代理访问业务资源，支持发布IP、IP范围、IP段、具体域名及通配符域名等形式的服务器地址，满足常见办公业务的代理，收缩业务暴露面。为简化资源发布配置，隧道模式应支持同一个资源发布多个服务器地址；管理员还可基于业务的特殊性，自主选择优先使用长连接或短连接进行业务代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通过WEB模式，可以支持基于http或https协议代理访问业务资源，支持发布IP或域名形式的后端服务器地址，可配置业务应用的具体访问URL路径。为了保持用户访问应用体验的一致性，后端服务器地址需支持多地址配置；为适应较复杂的内外网访问场景，WEB应用的前端访问地址应支持多地址访问。存在前置代理设备的场景，还应支持从XFF字段获取源I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7.为提升业务应用的数据安全性，零信任系统应支持针对发布的WEB应用开启WEB水印，水印内容至少包括：用户名+当前年月日，起到威慑与溯源作用，有效预防数据泄露。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8.支持以隧道模式发布http/https协议的资源，以增加在隧道模式下发布的资源的URL级别审计能力，同时支持为隧道资源添加WEB水印以及单点登录功能。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9.支持以私有DNS发布组织内部资源，无需额外购买DNS服务即可使用域名访问内网资源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为了保障员工顺利访问经零信任隧道模式代理的业务，零信任客户端应兼容主流非国产终端，包括但不限于：Windows7（32位、64位）、Windows10（32位、64位）、Windows11（64位）、MacOS10、MacOS11、MacOS12、Android、iOS等非国产操作系统的终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为了保障用户在国产化终端上的正常业务访问，零信任客户端应兼容主流国产硬件CPU的国产操作系统终端，需提供国产操作系统与零信任厂商的兼容性证明，包括但不限于麒麟V10×龙芯、麒麟V10×龙芯LoongArch、麒麟V10×飞腾、麒麟V10×鲲鹏、麒麟V10×兆芯、麒麟V10×海光、麒麟V10×海思麒麟；统信V20×龙芯（3A3000、3A4000）、统信V20×龙芯（3A5000）、统信V20×飞腾、统信V20×鲲鹏、统信V20×海光、统信V20×兆芯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12.为了进一步保障用户身份安全，需支持多因素认证，支持管理员结合已对接的主认证和辅认证类型进行设置，可自由选择采用首次认证+二次认证+终端认证+增强认证等方式。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用户通过零信任登录业务系统时，在登录过程中经过零信任监测触法异常登录规则时，可以启动增强二次认证完成登录。在账号首次登录、使用新的设备首次登录账号、在非内网环境下或未知网络环境下登录、长期未使用账号登录、使用弱口令登录、在非工作时间或异常时间登陆时，除了基础的主要认证流程，会自动触发第二次增强认证（二维码扫描、验证码、短信等），保障账号被黑客窃取后依然无法顺利登录，确保用户登录体验的情况下保障零信任账号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为了最大程度缩小网络、业务暴露面，零信任平台需提供单包授权能力（SPA），支持UDP+TCP组合的单包授权技术，未授权用户无法连接零信任设备，无法扫描到服务端口，不会出现敲门放大漏洞。PC端和移动端均支持通过安全码激活客户端为授权客户端，从而可进行SPA敲门和连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应支持将具有异常登录行为的用户日志自动打标签为用户安全日志，以便于管理员快速审计定位。用户安全日志包括但不限于：帐号安全（应包含帐号首次登录、异常时间登录、非常用地点登录、弱密码登录、爆破登录、闲置帐号登录、帐号在新终端登录等）、中间人攻击、SPA安全（应包含SPA端口扫描、SPA爆破攻击、SPA敲门伪造、SPA重放攻击、SPA安全码泄漏等）、cookie劫持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16.为不影响原有安全建设，造成代理后攻击源IP不可溯源，代理网关支持以虚拟IP方式，访问真实的业务系统，以配合其他对IP有要求的安全设备工作，以及便于流量分析类设备进行流量分析。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17.支持使用商密密码卡进行加密；支持在控制台对密码卡进行管理（包括：激活、取消激活、密钥备份/恢复、管理KEY口令）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18.产品支持管理员三权分立功能，根据管理员权限分为安全管理员、安全审计员、系统管理员三种角色。</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38042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03EBA8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44BEA4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1E9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2" w:hRule="atLeast"/>
          <w:jc w:val="center"/>
        </w:trPr>
        <w:tc>
          <w:tcPr>
            <w:tcW w:w="271" w:type="dxa"/>
            <w:vMerge w:val="continue"/>
            <w:tcBorders>
              <w:left w:val="single" w:color="000000" w:sz="4" w:space="0"/>
              <w:bottom w:val="single" w:color="000000" w:sz="4" w:space="0"/>
              <w:right w:val="single" w:color="000000" w:sz="4" w:space="0"/>
            </w:tcBorders>
            <w:noWrap/>
            <w:vAlign w:val="center"/>
          </w:tcPr>
          <w:p w14:paraId="7F263F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2"/>
                <w:sz w:val="20"/>
                <w:szCs w:val="20"/>
                <w:highlight w:val="none"/>
                <w:u w:val="none"/>
                <w:lang w:val="en-US" w:eastAsia="zh-CN" w:bidi="ar-SA"/>
              </w:rPr>
            </w:pPr>
          </w:p>
        </w:tc>
        <w:tc>
          <w:tcPr>
            <w:tcW w:w="655" w:type="dxa"/>
            <w:vMerge w:val="continue"/>
            <w:tcBorders>
              <w:left w:val="single" w:color="000000" w:sz="4" w:space="0"/>
              <w:bottom w:val="single" w:color="000000" w:sz="4" w:space="0"/>
              <w:right w:val="single" w:color="000000" w:sz="4" w:space="0"/>
            </w:tcBorders>
            <w:noWrap w:val="0"/>
            <w:vAlign w:val="center"/>
          </w:tcPr>
          <w:p w14:paraId="64F2BB8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88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3A65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B29558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7DBBFE1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D63A74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D90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8"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5BE80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C548F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威胁探针</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0ED29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★1.网络层吞吐量≥3Gbps，应用层吞吐量≥1Gbp，接口不少于6个千兆电口、不少于2个万兆光口SFP+，内存≥16G，硬盘容量≥480GB SSD，三年维保服务。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2.采用国产CPU芯片，并使用符合规范的操作系统。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3.旁路部署，支持探针接入多个镜像口，每个接口相互独立且不影响。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4.为了让安全管理员、安全运维人员更方便、快捷的处理。支持将数据同时对接态势感知平台。并支持将安全日志，审计日志上报给本次配套的态势感知平台。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5.为了直观查看网络整体情况，设备支持检测出网络中的网络拓扑设备并进行绘制。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6.设备支持对用户三权分立（系统管理员、审计管理员、安全管理员、普通管理员）的管理，角色之间须保证相互独立；支持用户对的业务操作和运维操作。普通管理员的权限可以自定义的编辑和进行权限查看。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7.设备对异常流量进行检测，并且可以支持标准或非标准的端口执行非标准协议，端口类型包括80/8080、53、3389、143、443、25、21、110、22等。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8、内置URL库、IPS漏洞特征识别库、应用识别库、WEB应用防护识别库、僵尸网络识别库、实时漏洞分析识别库、白名单库；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命令注入检测、PHP代码检测、XSS攻击检测、Webshell上传检测、SQL注入检测、XXE攻击检测、JAVA代码检测、SQL非注入型检测、php反序列化检测等自定义配置启用，针对命令注入检测、SQL注入检测等类型支持自定义高检出、低误报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10、支持多种类型弱口令策略可选；支持自定义弱口令检测，规则设置如用户名、长度、弱口令列表等；支持口令暴力破解检测不同类型（FTP/WEB登录）的爆破次数；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▲11、具备流量采集、威胁检测、全包存储、高性能沙箱、基础级态感、场景化分析等功能</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5CDA5C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65F4D2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616401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F65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7"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2B0BFD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906A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安全感知管理平台</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05A8FA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1.设备接口不少于4千兆电口，内存128GB及以上、系统盘480GB及以上、数据盘16T及以上，支持冗余电源，2U机箱。</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2.平台支持软硬一体机或虚拟化部署，提供具备弹性扩展能力和数据高可靠的基础平台。支持集群部署，可实现横向扩展弹性扩展。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3.采用国产的CPU芯片，并使用符合信创要求的操作系统。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可支持以标准协议接收各类第三方安全设备日志并存储，如防火墙、上网行为审计、态势感知、IPS、IDS、WAF、漏扫等。平台支持对来自第三方网络和终端组件的安全告警和审计日志进行二次检测，从而发现组件中误报、漏报，并给出更新后的检测结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5.支持对收集的日志进行检索，包括网端安全检测日志、端点安全检测日志、流量审计日志以及第三方日志，可对访问方向、日志类型、时间段进行筛选、告警设备数量等信息。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数据分析，支持内置CC通信、VPN安全、主机异常、堡垒机安全、恶意软件、扫描探测、拒绝服务、暴力破解、漏洞利用、网站攻击、邮件安全等维度的数据分析规则不低于100条。可自定义新增匹配或统计规则，可启用或禁用解析规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7.支持多种分析检测引擎，包含勒索防护引擎、无文件攻击引擎、文档检测引擎等等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8.支持安全告警的高级筛选功能，可对告警的名称、告警等级主机IP、源IP、目的IP等进行告警筛选，支持数据导出。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▲9.支持联动对应端侧组件（如杀毒软件）和网侧组件（如防火墙）端网能力针对IP、主机等各类实体进行一键处置。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10.支持展示资产统计、资产来源、资产暴露暴、指纹信息、高风险应用统计等等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11.支持以资产视角，对终端侧及网络侧扫描到的资产脆弱性进行展示，可对资产修复优先级、资产类型、风险资产及资产组名、责任人等标签进行筛选和展示。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12.支持以风险视角，对脆弱性风险进行展示，可对脆弱性类型、威胁标签、修复优先级、检测方式、脆弱性名称、数据源等标签进行筛选和展示。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13.支持用户基于安全告警页面入口对安全告警的举证进行解读，以自然语言的方式对告警的内容进行解读，同时支持对安全告警的解读内容进行多轮追问解答。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支持实时告警分析，可实现思维链处置过程追溯，24小时不间断自动分析，实时值守，可结合数据包、资产基础信息、威胁情报等多个维度输出研判处置思考过程，针对人工决策给出建议，针对自动处置告警支持直接实现自动处置并展示处置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15.提供3年软件升级、相关规则库升级、硬件质保服务。</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3BE23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566AE1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30C909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9F2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0D0D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BA8E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运维安全管理系统</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50221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★1.包含运维授权数≥200，图形运维最大并发数≥100，字符运维最大并发数≥200。硬盘容量≥1.92T SATA，接口数量不少于6个千兆电口，4千兆光口。三年维保服务。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2.采用国产CPU芯片，并使用符合规范的操作系统。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3.为了安全审计支持用户手动增加、删除、修改指定的角色，并且满足指定角色登陆的认证形式和用户的有效期。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4.为了保持账号的更新频率，支持周期性的对比主机账号和AD域，可以设置自动或手动对失效的域账号进行删除。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5.内置三员角色的同时支持角色灵活自定义，可根据用户实际情况和组织架构，划分合理的范围。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6.系统可以内置配置普通运维用户、审计管理员、密码管理员、系统审计员、管理员、系统管理员等角色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7.为了保证安全执行高危操作，产品需支持配置命令审批规则，当管理员通过堡垒机执行高风险指令时需要上级管理员批准后才可以生效。</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0D230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0692B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A7A8F6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E65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112CA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7BAF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端点安全管理系统</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491ED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★1.管理控制中心软件及终端客户端软件，配置不少于50个服务器授权。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2.单一管理控制中心可统一管理分别部署在WindowsPC、Windows服务器、Linux服务器以及国产化服务器的客户端软件。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3.采用B/S架构的管理控制中心，具备终端安全可视，终端统一管理，统一威胁处置，统一漏洞修复，威胁响应处置，日志记录与查询等功能。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4.支持勒索病毒防护能力，能够对勒索病毒的拦截情况、处置情况等进行展示。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5.支持与本次采购的防火墙、安全运营平台进行策略下发，管理员可在防火墙和安全运营平台下发病毒查杀任务，提升病毒防护和查杀效率。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6.支持暴露面梳理功能，可以快速识别环境中暴露在外网的端口及应用，帮助用户高效梳理资产脆弱面。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7.支持对终端账户信息进行梳理，比如弱密码账号、长期未使用账号、非正常时间登录账号、高风险管理员账号等，协助用户快速了解账号权限分布概况以及风险账号分布情况。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▲8.支持系统信息的清点，包括操作系统及其版本、环境变量、内核模块、运行服务、启动项、计划任务、注册表。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9.通过对样本特征关联性分析，具备识别未知病毒能力。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10.通过智能识别终端环境情况（低配硬件、老旧设备等）和当前终端资源占用，在闲时实时监控和病毒扫描场景，都可智能调整客户端的资源占用（CPU、IO等），为业务让出资源，不卡业务。</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70E834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000D0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221318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2C9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3"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24516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A98BB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漏洞扫描</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37EE7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1.采用有自主知识产权的安全操作系统，采用B/S设计架构，并采用SSL加密通信方式，无须安装客户端，用户可通过浏览器远程方便的对产品进行管理。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2.接口数量不少于接口6个GE电口、2个千兆光口SFP，采用国产的CPU芯片，并使用符合信创要求的操作系统。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★3.支持400个扫描IP授权、200个WEB漏洞扫描URL授权。其中系统漏洞扫描，基线配置核查，弱口令扫描受授权IP数限制，资产发现不限制IP数量。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支持同时开启全插件系统漏洞扫描、WEB漏洞扫描、弱口令扫描、基线配置核查，扫描速度不低于1000ip/h。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4.支持全局风险统计功能，通过图形化、表格化直观展示资产风险分布、漏洞风险等级分布、紧急漏洞、风险资产清单等信息，并可查看详情。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5.支持国产操作系统的漏洞扫描，包括麒麟（Kylin）、统信（UnionTech OS）等。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6.支持国产数据库的漏洞扫描，包括达梦、人大金仓、南大通用等。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7.支持行业通用标准OWASP，支持通用WEB漏洞检测。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8.提供3年软件升级、相关规则库升级、硬件质保服务。</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C234E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346FE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BA8710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A0B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6"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75069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27BC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数据安全</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094CC0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1.接口数量不少于6个千兆电口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2.最大硬件吞吐量≥2Gbps，数据库授权≥20个，SQL处理性能≥30000条SQL/s。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3.要求为一个完整的软硬件一体化产品；无需用户另行提供服务器、操作系统、数据库、防火墙软件、及用户手动升级系统补丁；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4.采用国产的CPU芯片，并使用符合信创要求的操作系统。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5.B/S方式，采用HTTPS方式远程安全管理，无需安装管理客户端；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6.提供旁路接入模式，设备部署不影响原有网络结构；</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7.可用物理磁盘空间&gt;=4TB；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▲8.支持主流国产国产化数据库：K-DB，达梦、人大金仓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9.支持以图表方式显示日志数据分布情况；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10.内置大量SQL安全规则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12.支持安全运营平台联动实现数据库的风险进行统一分析预警。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13.支持以时间、源IP、客户端程序、业务系统、数据库用户、数据库名、操作类型、表名、返回行数、影响行数、响应时长、响应码、策略、规则、风险级别、SQL模版为条件的数据库风险查询；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14.提供3年软件升级、硬件质保服务。</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55C6AA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68F6F0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EABAD0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76E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5"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10D6E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BB96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日志分析管理系统</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3F8389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★1.实际授权主机审计数量≥100，设备支持扩展主机审计数量≥500。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2.内存大小≥16G，可用存储量不少于4TB，接口数量不少于6个千兆电口+2个万兆光口SFP+。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3.采用国产的CPU芯片，并使用符合信创要求的操作系统。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4.支持安全设备、网络设备、中间件、服务器、数据库、操作系统、业务系统等日志对象的日志数据采集。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5.支持主流国产化操作系统日志接入。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6.支持主动、被动相结合的数据采集方式，支持通过Agent采集日志数据，支持通过syslog、SNMP Trap、JDBC、WMI、webservice、FTP、SFTP、文件\文件夹读取、Kafka等多种方式完成日志收集；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7.支持对单个/多个日志源批量转发，支持定时转发，可通过syslog和kafka方式转发到第三方平台，同时支持转发已解析日志和原始日志的两种日志。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8.支持加密方式进行日志传输。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9.支持SM3国密算法，保障日志完整性，可以有效防止日志篡改等攻击行为。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10.支持通配符、范围搜索、字段等多种输入方式进行语法搜索；可根据具体设备、来源/目的所属、IP地址、URL进行具体条件搜索；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11.提供管理员账号创建、修改、删除，并可针对创建的管理员进行权限设置；支持页面权限配置和资产范围配置，用于管理账号权限，满足用户三权分立的需求；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12.提供3年软件升级、硬件质保服务。</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A5CD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357955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69B481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B7E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9"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506301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441AF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主动防御系统</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25288E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★一、硬件及性能参数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配置千兆电口≥8个，千兆光口≥2个，扩展槽≥2个；配置冗余电源，采用自主可控CPU和系统，含三年特征库升级服务。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整机吞吐≥9Gbps，应用层吞吐≥4Gbps，最大并发连接数≥300万，每秒新建连接数≥3.5万。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二、软件功能特性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1.支持常见蠕虫端口扫描告警，至少包含：135、137、139、445等； 对扫描流量进行牵引和监听，对数据负载报文进行修改，反馈定向的扫描结果。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2.支持跨物理设备的端口聚合，扩展带宽节省链路资源以及方便部署。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3.支持捕获半开放扫描和全连接扫描；支持捕获ARP欺骗过程的数据，基于目的IP和源IP进行控制，支持协议识别。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4.支持已知和未知漏洞的主流常见应用服务，至少包含：struts2、tomcat、mysql、mongodb等。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5.支持将两台设备进行虚拟化部署，实现设备一体化管理，资源共用。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6.支持针对访问控制能力做到用户、内容、动作、时间、地址、次数等限制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7.支持捕获的数据类型，至少包含：网络连接、网络断开连接、网络访问、文件创建、文件读取、文件写入、文件删除、文件重命名等行为，进程创建、渗透攻击、弱口令爆破，远程访问等数据。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8.支持本地agent的自身保护能力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9.支持隧道报文检测，可以识别并检测QinQ、PPPoE、MPLS、GRE、Vlan等特殊封装的网络报文，具备面向下一代网络的各种特性。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10.支持自动和手动备份，至少能够保存10个的文件，支持配置回滚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11.服务诱骗：针对异常攻击行为，对该资产的服务版本攻击行为，主动更新协议中应用服务版本号。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12.内置恶意域名信誉库，支持对恶意网站，C&amp;C服务器，恶意DNS连接进行有效防护，同时可以实现恶意域名防护日志的存储和展示。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13.支持暴力破解检测，支持至少9种网络协议并支持至少17种暴力破解检测元素。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14.支持与沙箱联动，通过在沙箱虚拟环境中运行文件，跟踪记录其行为，基于大数据统计分类及动态行为分析等技术，有效识别未知威胁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15.支持通过命令行的方式对设备内部的数据流进行分析，可快速定位造成故障的内部功能模块，便于进行故障排查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16.支持将设备划分成多台虚拟分给不同的租户使用，不同租户之间相互隔离，管理以及策略配置互不影响，数量不少于1000。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支持异常事件大屏展示功能，可以通过地图可视化展示具体分布情况；同时可以对异常事件总数、高危事件数、被拦截数进行详细统计；支持对关键异常事件进行展示，将已被侵入的主机、僵尸受控主机、尝试入侵主机的地址进行统计；支持将攻击源、攻击目的名称和次数进行统计和排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18.支持未知威胁监控平台，可以实现未知威胁日志、支持恶意域名、恶意IP、恶意邮箱、恶意FTP的排名统计与展示。</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35B6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2A7506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EE8FED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006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9"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7A9DDE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23E6F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安全托管服务</w:t>
            </w:r>
          </w:p>
        </w:tc>
        <w:tc>
          <w:tcPr>
            <w:tcW w:w="8844" w:type="dxa"/>
            <w:vMerge w:val="restart"/>
            <w:tcBorders>
              <w:top w:val="single" w:color="000000" w:sz="4" w:space="0"/>
              <w:left w:val="single" w:color="000000" w:sz="4" w:space="0"/>
              <w:bottom w:val="single" w:color="000000" w:sz="4" w:space="0"/>
              <w:right w:val="single" w:color="000000" w:sz="4" w:space="0"/>
            </w:tcBorders>
            <w:noWrap w:val="0"/>
            <w:vAlign w:val="top"/>
          </w:tcPr>
          <w:p w14:paraId="119EB2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1.对本次项目对接的IP资产系统进行全面的安全运营服务，对本次项目涉及的服务器和业务对象，通过资产、漏洞和事件管理工作解决安全防护响应的及时性问题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2.30个IP,服务期3年,7X24小时,资产管理服务、互联网暴露面检测服务、互联网开放系统漏洞扫描管理服务、情报订阅服务、资产威胁检测与分析服务、资产事件处置与应急响应服务、组件调优服务，搜集暴露的IP、域名、端口等信息，安全保险服务、安全运营健康度报告、复盘汇报服务。含每月一次提供各服务项报告，需协助招标方督促涉及安全事件的厂商及时解决安全风险。</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3.不论是白天、黑夜、节假日都应该能做到7*24H在线服务，并且在节假日期间应当每日为提供《节假日值守总结》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4.应当为提供7*24小时的安全守护，为了降低因网络安全事件造成的损失和影响，应当按照以下服务指标和要求为提供服务。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5.从安全日志产生到事件通告给的时间方面，按照国家标准对安全事件的分类分级指南，重大安全事件通告时间小于30分钟，一般事件的通告时间少于1小时；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6.应当承诺，服务范围内的所有安全事件的闭环处置比例达到100%。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7.应当满足重大事故应启动应急响应机制，工作时间15分钟之内在线值守专家进行响应，非工作时间30分钟之内专家进行响应，2小时上门处置。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8.安全服务平台应当兼容本次采购的主要安全设备，防火墙、安全运营平台、终端杀毒、漏扫等设备，支持实时接收安全设备检测到的安全事件信息，不需要线下搭建额外平台，安全日志数据提供7*24小时的服务。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9.针对学校所有对应的安全部件进行整合，以安全运营平台为中心，对所有防御检测与响应类安全部件进行管理统一收集，配置集中响应的流程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10.对学校所有的相关服务资产进行收集，明确重点保障与防护的资产，并将资产信息录入到安全运营平台中进行管理。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11.对学校所有防御检测响应类网络安全组件上的安全策略进行统一检查，确保安全组件上的安全策略针对威胁能起到对应的防护效果，对策略进行优化更新并保障安全策略处在最优水平。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使用分析工具系统与Web漏洞扫描：对操作系统、数据库、常见应用/协议、Web通用漏洞与常规漏洞进行漏洞扫描。对可修复的漏洞提供修复指导，对无法修复的漏洞进行评估保障和安全策略优化保障，形成《漏洞管理基础台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13.实现信息化资产不同应用弱口令猜解检测，如：SMB、Mssql、Mysql、Oracle、smtp、VNC、ftp、telnet、ssh、mysql、tomcat等。形成初步的《弱口令基础台账》并配合学校管理部门进行弱口令修改工作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首次对资产开展暴露面探测，以梳理资产面向互联网的开放情况，快速发现违规暴露在互联网中的资产及存在的风险并进行处置，实现对暴露面资产可管可控，降低暴露面资产的风险。输出《暴露面情况分析报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15.初步梳理全网主机是否感染了勒索病毒；是否已感染勒索病毒文件；根据已发生的漏洞攻击行为分析判断否存在勒索病毒攻击等。并根据调查结果配合管理部门进行清查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首次分析是否感染了挖矿病毒/木马；是否处于挖矿状态；根据已发生的漏洞攻击行为分析判断是否存在以植入挖矿木马为目的的漏洞攻击等。并根据调查结果配合管理部门进行清查；蠕虫病毒事件：根据平台反馈和主动分析，确认文件是否被感染，定位失陷的代码并进行修复。失陷主机分析：对失陷主机进行分析研判（如恶意程序及后门脚本类事件），并给出处置及加固建议。潜伏威胁分析：分析内网主机的非法外联威胁行为，判断是否存在潜伏威胁，并给出处置及加固建议。含：对外攻击、APT C&amp;C通道、隐藏外联通道等外联威胁行为。并根据调查结果配合管理部门进行清查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针对漏洞利用攻击行为、Webshell上传行为、Web系统目录遍历攻击行为、SQL注入攻击行为、信息泄露攻击行为、口令暴力破解攻击行为、僵尸网络攻击行为、系统命令注入攻击行为及僵尸网络攻击行为进行分析评估，判断攻击行为是否成功以及业务风险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形成基础安全台账后，安全服务人员每日根据安全威胁/事件分析的结果以及处置方式，对安全组件上的安全策略进行检查，在发现可调优情况或根据业务需要时，进行整体平台的安全策略调整工作，并进行策略调整的记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19.根据业务的重要程度，按照日、周、半月、月等频率，针对内网脆弱性进行评估扫描，安全服务人员分析研判后提供实际佐证材料，并给出修复建议。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20.针对服务资产的勒索、挖矿类事件。安全服务人员主导发现和处置工作，协调安全专家最大程度提供溯源服务（如涉及到重装业务系统，提供重装指导）；安全专家定位恶意文件路径并提供查杀指导或在授权情况下直接查杀；并分析有无异常进程与服务，21.发现异常进行通告或在授权情况下直接对异常情况进行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22.针对后门脚本类事件。安全服务人员主导处置工作，重要病毒协调安全专家制作提供专杀工具对感染服务器进行全面后门脚本查杀，并提供最大程度溯源服务。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23.针对隐藏通信通道、可疑外发行为。安全专家提供实际佐证材料，并给出修复建议，提供最大范围的溯源服务。配合定位异常进程以及恶意文件，并提供查杀建议，在授权情况下可以直接开展查杀工作。针对大规模的隐蔽行为可以固化出实际可行的措施，确保用户可自主进行查杀病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▲24.针对分析研判确认的入侵行为，如攻防演练中的检测渗透，安全专家及时给出策略调整建议。如果有防火墙设备等，在获得授权后，在服务时间内安全专家调整安全策略进行封禁。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25.形成初始资产台账后，安全服务人员按照服务要求，按日、周、月的频率对资产进行指纹（操作系统、中间件、软件厂商等信息）探测，并对指纹信息进行确认与更新，确保安全运营中心中资产指纹信息的准确性和全面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26.形成初始台账后，安全专家按服务要求，按照日、周、月的频率对资产进行存活性探测，当发现未存活资产或根据已知情况发现资产发生变更时，安全服务人员对变更信息进行确认与更新，确保安全运营中心中资产信息的准确性和全面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27.按服务要求，按照日、周、月的频率针对服务资产的系统漏洞和Web漏洞进行全量扫描，并针对发现的Web漏洞进行验证，验证漏洞的真实性及分析发生后可造成的危害。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28.针对周期性产生的漏洞扫描结果、资产重要性及漏洞的威胁情报，对漏洞进行重要性排序，确定修复的优先级；并将最终结果通告给用户，进行漏洞修复的优先级排序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29.对漏洞进行分析并输出可落地的修复方案，通过工单系统跟踪修复情况。确保所有漏洞能够得到闭环管理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30.对有符合要求的防火墙的用户，支持防护扫描组件发现的高可利用漏洞，不支持的防护设备提供相应的漏洞防护策略建议，能够确保部分无法进行漏洞修补的资产得到漏洞防护的能力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31.所有已经完成修复的漏洞进行复测，及时更新漏洞工单的漏洞修复状态。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32.按服务要求，按照日、周、月的频率，进行信息化资产不同应用弱口令猜解检测，如：SMB、Mssql、Mysql、Oracle、smtp、VNC、ftp、telnet、ssh、mysql、tomcat等。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33.针对安全组件收集的弱密码流量及日志进行分析验证，有针对性的进行内外网的弱口令检测，并将检测发现的问题通过工单系统跟踪修复状态。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34.服务人员依托大数据分析和威胁检测能力，7*24小时（分日夜假期排班）实时监测用户网络安全状态，对平台监测到的安全威胁进行分析鉴定，识别到真正的安全事件。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35.值班服务人员对分析鉴定后的各类威胁告警、安全事件生成服务工单，并及时向用户通告；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36.值班专家持续值守，针对每一个真实的威胁和告警，进行深度分析验证，分析判断受影响范围及是否攻击成功，将深度关联分析的结果通过服务群组/邮件等方式告知用户，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37.安全服务人员提供对应的处置和加固建议（如封锁攻击源、设置安全策略防护等措施），并协调安全专家借助客户已有的安全组件帮助用户闭环威胁；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38.实时抓取互联网最新威胁情报与详细资产信息进行匹配，对最新威胁情报进行通告与排查。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39.结合威胁情报，安全专家排查是否对服务资产造成影响并通知用户，及时协助进行安全加固。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40.安全专家可针对内/外网或特定业务系统及特定漏洞，基于客户业务定制检测逻辑，尽可能快地发现漏洞或攻击痕迹，发现潜在的安全隐患和已失陷的主机/被钓鱼成功的员工/账密信息泄露等，最大限度地降低攻击者造成的危害，评估造成的损失等内容，最终帮助客户验证风险并推动发现的问题和隐患进行闭环处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41.策略检查：安全专家对安全组件上的安全策略进行统一检查，确保安全组件上的安全策略始终处于最优水平，针对威胁能起到最好的防护效果。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42.策略调优：安全专家根据安全威胁/事件分析的结果以及处置方式，按需对安全组件上的安全策略进行调整工作。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43.安全专家7*24H值班服务，针对主机发生的安全事件开展调查分析和影响面分析，对发生的安全事件进行人工鉴定和举证分析。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44.对客户网络内服务资产爆发勒索病毒、挖矿病毒、篡改事件、webshell、僵尸网络等安全事件，利用一些工具和脚本对恶意文件、代码进行根除，帮助客户快速恢复业务，消除或减轻影响，闭环事件工单;事件影响抑制：通过事件检测分析，提供抑制手段，降低入侵影响，协助快速恢复业务。入侵威胁清除：排查攻击路径、恶意文件、清除。入侵原因分析：还原攻击路径，分析入侵事件原因，提供安全事件溯源结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45.加固建议指导：结合现有安全防御体系，指导用户进行安全加固、提供整改建议、防止再次入侵。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46.为用户配置一名经验丰富的安全专家作为专属服务经理,安全专家7*24小时值守对用户咨询或上报的安全问题进行及时响应并给出建议，如主机加固建议咨询、安全事件处置建议咨询等。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47.安全值守专家进行7*24小时安全监测，对发生的安全事件进行及时响应并在节假日期间每日进行值守总结，在服务群发送值守总结快报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48.安全专家每周对服务资产进行安全运营情况的分析总结并输出《安全运营周报》。安全专家每月对服务资产及整体安全状况进行分析总结并输出《安全运营月报》。安全专家每季度总结阶段性安全运营情况并输出《安全运营季度报告》发送给用户，向用户进行远程总结汇报。安全专家每半年总结阶段性安全运营情况并输出《安全运营半年度报告》发送给用户，向用户进行远程总结汇报。安全专家总结年度安全运营情况并输出《安全运营年度报告》发送给用户，向用户进行总结汇报。配置服务平台，支持随时查看服务范围内业务资产安全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49.支持在线展示所有脆弱性、威胁、事件工单的处置进程和结果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50.支持用户在线对服务SLA进行查阅和监督。</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2E69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07BFA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345914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A01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9"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547ADFD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79860F6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8844" w:type="dxa"/>
            <w:vMerge w:val="continue"/>
            <w:tcBorders>
              <w:top w:val="single" w:color="000000" w:sz="4" w:space="0"/>
              <w:left w:val="single" w:color="000000" w:sz="4" w:space="0"/>
              <w:bottom w:val="single" w:color="000000" w:sz="4" w:space="0"/>
              <w:right w:val="single" w:color="000000" w:sz="4" w:space="0"/>
            </w:tcBorders>
            <w:noWrap w:val="0"/>
            <w:vAlign w:val="top"/>
          </w:tcPr>
          <w:p w14:paraId="69CBA2A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C76056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37407F8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639B5E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AB0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6C54A6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645342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8844" w:type="dxa"/>
            <w:vMerge w:val="continue"/>
            <w:tcBorders>
              <w:top w:val="single" w:color="000000" w:sz="4" w:space="0"/>
              <w:left w:val="single" w:color="000000" w:sz="4" w:space="0"/>
              <w:bottom w:val="single" w:color="000000" w:sz="4" w:space="0"/>
              <w:right w:val="single" w:color="000000" w:sz="4" w:space="0"/>
            </w:tcBorders>
            <w:noWrap w:val="0"/>
            <w:vAlign w:val="top"/>
          </w:tcPr>
          <w:p w14:paraId="41C75ED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4F9CDE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363C87C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3B6A48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A12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1"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64F275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650C2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网络安全系统升级服务</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32C96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针对现有哈密职业技术学院网络安全设备及安全系统进行URL&amp;应用识别规则库升级，实现新老校区统一管理，对恶意网站、风险行为进行识别，并可根据用户需求设定合理规则，进行用户上网行为管理，杜绝不安全因素的访问，降低网络使用风险；杀毒模块支持基于流引擎查毒技术，可以针对HTTP、FTP、SMTP、POP3等协议进行查杀；能实时查杀大量文件型、网络型和混合型等各类病毒；并采用新一代虚拟脱壳和行为判断技术，准确查杀各种变种病毒、未知病毒；内置10万条以上的病毒库，并且可以自动或者手动升级；检测到病毒后支持记录日志、阻断连接，以保护内网用户免受病毒的侵袭和骚扰，提高组织内部网络环境的安全性；防火墙具备各种安全特征库（包括WEB应用防护识别库（需先开通增强级模块）、IPS特征库、僵尸网络防护库（需先开通增强级模块）、实时漏洞分析识别库（需先开通增强级模块））、应用识别库和URL分类库的定期更新服务，保持防火墙具备监测并防御最新威胁的能力；AF产品智能化安全运营服务，包括加密外联、黑客工具的深度检测与分析，云端大数据分析自动化生成安全事件、云端安全专家二次研判保障安全事件准确性、安全事件微信告警与一键处置、一键断网等服务。</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B2A2C4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53E26D2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77927F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558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2308596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10214" w:type="dxa"/>
            <w:gridSpan w:val="4"/>
            <w:tcBorders>
              <w:top w:val="single" w:color="000000" w:sz="4" w:space="0"/>
              <w:left w:val="single" w:color="000000" w:sz="4" w:space="0"/>
              <w:bottom w:val="single" w:color="000000" w:sz="4" w:space="0"/>
              <w:right w:val="single" w:color="000000" w:sz="4" w:space="0"/>
            </w:tcBorders>
            <w:noWrap/>
            <w:vAlign w:val="center"/>
          </w:tcPr>
          <w:p w14:paraId="60F84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BD85DD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FEC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0826" w:type="dxa"/>
            <w:gridSpan w:val="6"/>
            <w:tcBorders>
              <w:top w:val="single" w:color="000000" w:sz="4" w:space="0"/>
              <w:left w:val="single" w:color="000000" w:sz="4" w:space="0"/>
              <w:bottom w:val="single" w:color="000000" w:sz="4" w:space="0"/>
              <w:right w:val="single" w:color="000000" w:sz="4" w:space="0"/>
            </w:tcBorders>
            <w:noWrap/>
            <w:vAlign w:val="center"/>
          </w:tcPr>
          <w:p w14:paraId="2681BC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 数据中心机房部分</w:t>
            </w:r>
          </w:p>
        </w:tc>
      </w:tr>
      <w:tr w14:paraId="5B7C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926" w:type="dxa"/>
            <w:gridSpan w:val="2"/>
            <w:tcBorders>
              <w:top w:val="single" w:color="000000" w:sz="4" w:space="0"/>
              <w:left w:val="single" w:color="000000" w:sz="4" w:space="0"/>
              <w:bottom w:val="single" w:color="000000" w:sz="4" w:space="0"/>
              <w:right w:val="single" w:color="000000" w:sz="4" w:space="0"/>
            </w:tcBorders>
            <w:noWrap/>
            <w:vAlign w:val="center"/>
          </w:tcPr>
          <w:p w14:paraId="45CA8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1.3.1模块机房</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3BF3967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AB44F2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2F7BE5F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B846AE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CB0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6"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62B71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0C30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机柜</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3EA3AD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服务器机柜均为前进风、后出风机柜。规格（W*D*H）：600mm*1200mm*2000mm；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2.机柜前应采用不小于1.5mm厚度的优质板材加工，后门采用不小于1.2mm厚度的优质板材加工，网孔设计，以保证机房设备的有效散热，网孔门通孔率需不小于75%。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机柜门和侧板为可拆卸式结构，门的开合转动灵活、锁定可靠、施工安装和维护方便。前后门应采用外开门方式，前门单开，后门双开，开启角度应不小于140°，以满足设备的安装要求。机柜门采用三铰链固定以保证机柜门的牢固程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机柜表面喷涂颜色为黑色，满足A类环境的使用要求。机柜涂覆层应表面光洁、色泽均匀、无流挂、无露底；金属件无毛刺、无锈蚀。机柜门板、侧板平整，无扭曲、无变形，也不明显抖动。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5.机柜内部应设置不小于4根安装立柱，用于安装设备和固定层板。安装立柱能够前后移动调节。安装立柱的间距、孔距等机柜内部尺寸结构应满足GB/T 19520.16-2015的要求。机架前门立柱需要有具体U数标示。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6.机柜静态承载能力不小于2400kg。</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7.机柜动态承载能力应≥1000kg。</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8.按照YD5083-2005《电信设备抗地震性能检测规范》要求，带载590kg测试连续通过8、9烈度结构抗地震考核。</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★9.每个机柜配置6个束线圈，2个理线架，1个底板，24个1U盲板，1个固定托盘，2个轻载滑道。2个32A单相PDU，输出接口不少于16位10A国标插口、8位16A国标插口。</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531BCF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6A5536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3FA0D0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5A3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3"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16C1F9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AB0A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密封通道</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09DAF3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1.密封通道由机柜配电柜、行级精密空调、天窗、端门、走线槽等部件组成，通道宽度≥1200mm。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2.保证一致性和整体交付质量，密封通道、机柜、行级精密空调、微模块管理系统及动环监控。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3.天窗分为三种类型固定型天窗、活动型天窗，功能型天窗。固定型天窗用于安装摄像机、多功能传感器或感烟探测器等监控部件。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4.活动型天窗和功能型天窗应使用覆膜钢化玻璃或有机玻璃，天窗玻璃厚度≥6mm，天窗玻璃面积占比应保证≥90%，玻璃材质透光率应≥90%。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5.密封通道翻转天窗应能支持自动或手动开启，当发生火灾时电磁锁打开，活动型天窗在重力作用下自动打开。同时发出声光报警信号，并将告警信号上传至机房管理系统。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密封冷通道的两端应设置自动平移端门，门禁识别通过后可自动开启。通道门框架结构应采用高强度优质碳素冷轧型材，其型材厚度应不小于1.5mm，门板应采用整块钢化玻璃材质，其钢化玻璃厚度应不小于8mm。端门接缝、门缝处应配置胶条、毛刷等装置，尽量减少端门缝隙，用以保证气密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7.密封通道端门两侧地面（地板）上应保证通过性优异，不应有地轨、门槛等。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通道端门侧应预留开门按钮、刷卡器、通道照明开关、紧急按钮、通道灯带等的安装接口，方便安装通道级门禁和照明使用。通道内部应设置紧急按钮，在干接点开门信号失效的极端情况下，通过物理掉电方式开启端门电磁锁，以保证通道内部人员的逃生顺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★9.应设置告警联动指示灯，支持告警联动不同颜色展示，可根据不同的告警等级设置不同颜色的灯光告警指示，告警等级及指示灯光颜色应不少于4种。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10.通道内应设置LED照明，还应设置通道内氛围灯，增加通道内的视觉效果。通道照明应通过红外、门禁、摄像头多重判断提高准确度，还应采用智能照明系统，以实现人来灯亮、人走灯灭。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11.机柜顶部应集成有强弱电走线线槽，支持模块化设计、去工程化安装特性，并能以机柜为单位进行扩展。走线槽应能满足跨立柱、跨机柜列安装要求，线槽宽度≥200mm，强弱电分开布线，线槽与机柜风格统一。</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12.密封通道两端应设置门禁系统，门禁应支持指纹、密码、刷卡 多种识别方式。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13.密闭通道需满足YD5083-2005《电信设备抗地震性能检测规范》要求，并通过不低于8烈度抗震检验。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14.为确保微模块能效，要求微模块漏热量应不超过被测试微模块的5%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▲15.权威认证机构出具的PUE测试报告，要求在实验室环境下PUE＜1.2。</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62E73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3D39D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9C4AAD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978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166D09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439C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精密空调</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06554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★1.总冷量≥60KW，显冷量≥60kW，水平送风，风量≥12000 m3/h，柜体尺寸颜色与服务器机柜一致。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2.空调采用高效直流变频压缩机与EC风机，室内风机支持在线插拔式维护，室内风机更换不需停机。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3.空调机组应具备氟泵自然冷却功能 ，在工况和气象条件适宜的情况下，能自动切换到氟泵工作模式，关闭压缩机，提升机组的能效。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4.室外氟泵驱动应采用变频调速器，自适应负载变化。</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5.制冷量可在10%-100%无极调节，最小制冷量≤6500W（即最小制冷量≤10%）。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具备制冷剂不足智能检测功能，当制冷剂缺少后产生“制冷剂不足告警”，“制冷剂状态”参数显示“不足”或“严重不足”。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7.加热应采用PTC电加热，加热量≥6kW。加湿应采用高效的湿膜加湿，加湿量≥3kg/h。</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按照标准YD5083-2005《电信设备抗地震性能检测规范》要求，通过不低于9烈度抗震。设备符合节能认证标准。</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6869E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23727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850171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140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B85A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E3B1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微模块管理系统</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0CA9F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1.微模块应设置控制器，用以连接网管系统与下级监控设备；能将微模块内的精密空调、配电、天窗执行器、门禁执行器、烟感、温湿度、水浸、声光告警等设备的信号统一采集。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2.管理系统通信总线具备容错能力，单点故障应不影响其他设备；管理系统电源总线应具有热备份，具备支持热插拔，在线更换功能。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应设置不小于32寸触摸大屏，智能特性直观展示，降低运维难度；本地大屏采用内嵌式一体安装方式，保证与微模块整体美观度。大屏可直观展示智能微模块监控状态（如电量、冷量、告警、环境温湿度等）、配电链路、制冷链路等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5.设备应具备供电全链路显示功能：从微模块的总输入到IT机柜的PDU，整个配电拓扑展示、开关状态、能量流图、设备故障状态、支路对应关系、关键信号参数（电压、电流、温度等）。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设备应具备制冷链路显示功能：1）显示整个微模块的温湿度状态、风道示意显示、冷媒流动显示、通道内外温湿度、室外温度、空调进出风温度、机柜温度；2）可以显示空调单机的制冷链路、状态（制冷、制热、加湿、除湿）、关键部件的状态和参数、风道冷媒流动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7.微模块控制器（或能源控制中心）满足网络安全要求，通过网络安全认证。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▲8.微模块控制器满足网络安全要求，通过网络安全认证。</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6E42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615127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DEA9BE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45C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43C4D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BB1E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动环监控平台</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5F03F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现对供配电、UPS、空调、温湿度、漏水检测、烟雾、视频、门禁等设备的不间断监控，所有监控信息由嵌入式采集器发现部件故障或参数异常，即时采取多媒体、短消息、邮件等多种报警方式。管理系统应能够支持不少于100个智能节点的监控和管理的能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2、硬件架构：采用“服务器+采集主机+传感器/监控卡”，动环监控、门禁、视频集中化、一体化；</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3、软件架构层面：采用B/S架构，维护和升级方式简单，且支持至少20个用户同时访问；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4、采用3D展示微模块各部件，用户现场能根据机房实际效果自定义3D界面；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数据中心管理系统采用高安全设计，着重对操作系统、数据库、管理软件进行加固，可有效防御窃听、伪造、篡改、越权访问、病毒、网络入侵等危害动作，避免管理系统服务器成为用户网络中的安全短板，并提供3种以上主流杀毒软件的扫描报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6、基于角色的用户管理，在定义合法用户时，可对用户进行分权分域管理，并提供管理员单用户模式。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7、包含北向接口，提供通信协议，能够被用户前端平台接入。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8、操作系统应具备自主知识产权，需提供国家网络与信息系统安全产品质量监督检验中心颁布的信息技术产品安全测试证书，并提供软件著作权证书。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9、数据库应采用完全自主可控的关系型数据库，提供软著作权证书。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10、含服务器1台：CPU,2*32G内存,2*1.92T SATA 硬盘,RAID卡,8*GE电口,2*900W电源,滑轨；交换机1台：交换容量≥1.2Tbps，包转发率≥420Mpps，端口≥24个（支持POE+），10GE SFP+≥4个；采集器1台、短信猫1个等硬件。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11、环境监控部分，机房部署4个烟雾传感器、8个温湿度传感器、1套水浸传感器，统一接入动环监控平台。</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2D8B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59E803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EE3F41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E92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034AE7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AA2D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视频监控系统</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6B662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200万红外AI摄像机10台，硬盘录像机1台，视频存储90天，统一接入动环监控平台。</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7303A3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7AD0BF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9A6A4C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AFF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22B383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7D12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门禁系统</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5B28A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机房防火门门禁，2套双开门，指纹\密码\刷卡\人脸认证，仅进门认证，统一接入动环监控平台。</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58BB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4BF1A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06CF20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F37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3"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484C8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1920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一体化UPS</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44DAAF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1.支持将UPS电源、IT配电、空调配电、通道照明、MCCB总开关、UPS输入配电和UPS输出配电集成于一个柜体中，柜体尺寸颜色与服务器机柜一致。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2.UPS应采用高频模块化UPS，单台UPS总功率容量120kVA（30KVA功率模块4+1冗余），模块高度不大于2U。</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3.UPS要求为全模块化设计，包括功率模块、旁路模块、控制模块等都支持在线热拔插，以提供最高级别的可用性、可维护性。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4.UPS应采用集中控制的逻辑，集中控制单元需要1+1冗余，通讯总线也应有冗余，保障无单点故障。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5.为避免UPS静态旁路出现不均流及工作模式切换不一致的风险，要求UPS采用集中静态旁路模块设计（静态旁路容量不小于UPS单机最大容量），其故障不影响UPS系统输出。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6.市电与电池转换时间为0ms、旁路逆变转换时间为0ms。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7.市电模式运行下，系统效率≥96%（30%负载），≥96%（50%负载）。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★8.输入开关MCCB：400A，配电输出分路不少于：IT负载配置不少于2套24路40A/1P开关，空调配置不少于8路63A/3P开关，照明配置不少于3路10A/1P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9.UPS应设置尺寸≥6英寸的LCD显示屏，应具备RS485、FE、干接点接口。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10.按照YD5083-2005《电信设备抗地震性能检测规范》要求，通过不低于9烈度抗震。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▲11.UPS系统应满足网络安全要求，通过网络安全认证</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84591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7A3821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25B31C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78B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C1979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44556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蓄电池</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7B97BB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阀控式铅酸蓄电池，12V200AH，UPS专用电池</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7649D7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217D88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A9CDC8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DC8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5AF0B3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C4049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电池架</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5E3A5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蓄电池电池架，立放四层，尺寸：1320*1200*1400，含电池连接排</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A712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3A1D11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E8C128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541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D31F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11BDD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电池开关盒</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66907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电池保护开关盒-400A/3P×2-带中线</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65676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08CC0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F0D29E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92B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462AED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2A947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一体化UPS输入电缆</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39220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YJV-(4x185+1x95)mm^2</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59B5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293944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41E0BE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811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09749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8202D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电池连接线</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203FF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BVR-120mm^2</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6FB79E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批</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0A6208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072340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E97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038F59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B15F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PDU输入电缆</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7EEA28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RVV-3x6mm^2</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1D0A0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4623DD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850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9FC569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6C9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44802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4135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接地线</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09B8A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BVR-16mm^2</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1A8E2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14F3B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7C0F5D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807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0FB62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55B93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制冷剂</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1032C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R410A</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93A5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瓶</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27473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A09422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B5D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6E5002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3181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空调铜管</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6BEEB4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7/8"(气管)&amp;5/8"(液管)，含保温套、连接弯头和直接</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522D3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2C09E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CC048F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9A0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584AD4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5F13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空调电缆</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500D2F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YJV-5x10mm^2</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DCD5E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2FD34C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D201CE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68C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B13AA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AB24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空调室外机电缆</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55E49C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RVV-6x2.5mm^2</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45C04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59A0E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C0F81A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4A58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6194C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6595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空调室外机通信线缆</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657E8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RVVP-3x1.5mm^2</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41D1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304483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52A8299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5C1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4AB39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90C5E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25" name="Text_Box_2"/>
                  <wp:cNvGraphicFramePr/>
                  <a:graphic xmlns:a="http://schemas.openxmlformats.org/drawingml/2006/main">
                    <a:graphicData uri="http://schemas.openxmlformats.org/drawingml/2006/picture">
                      <pic:pic xmlns:pic="http://schemas.openxmlformats.org/drawingml/2006/picture">
                        <pic:nvPicPr>
                          <pic:cNvPr id="25" name="Text_Box_2"/>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12" name="Text_Box_2_SpCnt_1"/>
                  <wp:cNvGraphicFramePr/>
                  <a:graphic xmlns:a="http://schemas.openxmlformats.org/drawingml/2006/main">
                    <a:graphicData uri="http://schemas.openxmlformats.org/drawingml/2006/picture">
                      <pic:pic xmlns:pic="http://schemas.openxmlformats.org/drawingml/2006/picture">
                        <pic:nvPicPr>
                          <pic:cNvPr id="12" name="Text_Box_2_SpCnt_1"/>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10" name="Text_Box_2_SpCnt_2"/>
                  <wp:cNvGraphicFramePr/>
                  <a:graphic xmlns:a="http://schemas.openxmlformats.org/drawingml/2006/main">
                    <a:graphicData uri="http://schemas.openxmlformats.org/drawingml/2006/picture">
                      <pic:pic xmlns:pic="http://schemas.openxmlformats.org/drawingml/2006/picture">
                        <pic:nvPicPr>
                          <pic:cNvPr id="10" name="Text_Box_2_SpCnt_2"/>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21" name="Text_Box_2_SpCnt_3"/>
                  <wp:cNvGraphicFramePr/>
                  <a:graphic xmlns:a="http://schemas.openxmlformats.org/drawingml/2006/main">
                    <a:graphicData uri="http://schemas.openxmlformats.org/drawingml/2006/picture">
                      <pic:pic xmlns:pic="http://schemas.openxmlformats.org/drawingml/2006/picture">
                        <pic:nvPicPr>
                          <pic:cNvPr id="21" name="Text_Box_2_SpCnt_3"/>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26" name="Text_Box_2_SpCnt_4"/>
                  <wp:cNvGraphicFramePr/>
                  <a:graphic xmlns:a="http://schemas.openxmlformats.org/drawingml/2006/main">
                    <a:graphicData uri="http://schemas.openxmlformats.org/drawingml/2006/picture">
                      <pic:pic xmlns:pic="http://schemas.openxmlformats.org/drawingml/2006/picture">
                        <pic:nvPicPr>
                          <pic:cNvPr id="26" name="Text_Box_2_SpCnt_4"/>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22" name="Text_Box_2_SpCnt_5"/>
                  <wp:cNvGraphicFramePr/>
                  <a:graphic xmlns:a="http://schemas.openxmlformats.org/drawingml/2006/main">
                    <a:graphicData uri="http://schemas.openxmlformats.org/drawingml/2006/picture">
                      <pic:pic xmlns:pic="http://schemas.openxmlformats.org/drawingml/2006/picture">
                        <pic:nvPicPr>
                          <pic:cNvPr id="22" name="Text_Box_2_SpCnt_5"/>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8" name="Text_Box_2_SpCnt_6"/>
                  <wp:cNvGraphicFramePr/>
                  <a:graphic xmlns:a="http://schemas.openxmlformats.org/drawingml/2006/main">
                    <a:graphicData uri="http://schemas.openxmlformats.org/drawingml/2006/picture">
                      <pic:pic xmlns:pic="http://schemas.openxmlformats.org/drawingml/2006/picture">
                        <pic:nvPicPr>
                          <pic:cNvPr id="8" name="Text_Box_2_SpCnt_6"/>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28" name="Text_Box_2_SpCnt_7"/>
                  <wp:cNvGraphicFramePr/>
                  <a:graphic xmlns:a="http://schemas.openxmlformats.org/drawingml/2006/main">
                    <a:graphicData uri="http://schemas.openxmlformats.org/drawingml/2006/picture">
                      <pic:pic xmlns:pic="http://schemas.openxmlformats.org/drawingml/2006/picture">
                        <pic:nvPicPr>
                          <pic:cNvPr id="28" name="Text_Box_2_SpCnt_7"/>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27" name="Text_Box_2_SpCnt_8"/>
                  <wp:cNvGraphicFramePr/>
                  <a:graphic xmlns:a="http://schemas.openxmlformats.org/drawingml/2006/main">
                    <a:graphicData uri="http://schemas.openxmlformats.org/drawingml/2006/picture">
                      <pic:pic xmlns:pic="http://schemas.openxmlformats.org/drawingml/2006/picture">
                        <pic:nvPicPr>
                          <pic:cNvPr id="27" name="Text_Box_2_SpCnt_8"/>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29" name="Text_Box_2_SpCnt_9"/>
                  <wp:cNvGraphicFramePr/>
                  <a:graphic xmlns:a="http://schemas.openxmlformats.org/drawingml/2006/main">
                    <a:graphicData uri="http://schemas.openxmlformats.org/drawingml/2006/picture">
                      <pic:pic xmlns:pic="http://schemas.openxmlformats.org/drawingml/2006/picture">
                        <pic:nvPicPr>
                          <pic:cNvPr id="29" name="Text_Box_2_SpCnt_9"/>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30" name="Text_Box_2_SpCnt_10"/>
                  <wp:cNvGraphicFramePr/>
                  <a:graphic xmlns:a="http://schemas.openxmlformats.org/drawingml/2006/main">
                    <a:graphicData uri="http://schemas.openxmlformats.org/drawingml/2006/picture">
                      <pic:pic xmlns:pic="http://schemas.openxmlformats.org/drawingml/2006/picture">
                        <pic:nvPicPr>
                          <pic:cNvPr id="30" name="Text_Box_2_SpCnt_10"/>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31" name="Text_Box_2_SpCnt_11"/>
                  <wp:cNvGraphicFramePr/>
                  <a:graphic xmlns:a="http://schemas.openxmlformats.org/drawingml/2006/main">
                    <a:graphicData uri="http://schemas.openxmlformats.org/drawingml/2006/picture">
                      <pic:pic xmlns:pic="http://schemas.openxmlformats.org/drawingml/2006/picture">
                        <pic:nvPicPr>
                          <pic:cNvPr id="31" name="Text_Box_2_SpCnt_11"/>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19" name="Text_Box_2_SpCnt_12"/>
                  <wp:cNvGraphicFramePr/>
                  <a:graphic xmlns:a="http://schemas.openxmlformats.org/drawingml/2006/main">
                    <a:graphicData uri="http://schemas.openxmlformats.org/drawingml/2006/picture">
                      <pic:pic xmlns:pic="http://schemas.openxmlformats.org/drawingml/2006/picture">
                        <pic:nvPicPr>
                          <pic:cNvPr id="19" name="Text_Box_2_SpCnt_12"/>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14" name="Text_Box_2_SpCnt_13"/>
                  <wp:cNvGraphicFramePr/>
                  <a:graphic xmlns:a="http://schemas.openxmlformats.org/drawingml/2006/main">
                    <a:graphicData uri="http://schemas.openxmlformats.org/drawingml/2006/picture">
                      <pic:pic xmlns:pic="http://schemas.openxmlformats.org/drawingml/2006/picture">
                        <pic:nvPicPr>
                          <pic:cNvPr id="14" name="Text_Box_2_SpCnt_13"/>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7" name="Text_Box_2_SpCnt_14"/>
                  <wp:cNvGraphicFramePr/>
                  <a:graphic xmlns:a="http://schemas.openxmlformats.org/drawingml/2006/main">
                    <a:graphicData uri="http://schemas.openxmlformats.org/drawingml/2006/picture">
                      <pic:pic xmlns:pic="http://schemas.openxmlformats.org/drawingml/2006/picture">
                        <pic:nvPicPr>
                          <pic:cNvPr id="7" name="Text_Box_2_SpCnt_14"/>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2" name="Text_Box_2_SpCnt_15"/>
                  <wp:cNvGraphicFramePr/>
                  <a:graphic xmlns:a="http://schemas.openxmlformats.org/drawingml/2006/main">
                    <a:graphicData uri="http://schemas.openxmlformats.org/drawingml/2006/picture">
                      <pic:pic xmlns:pic="http://schemas.openxmlformats.org/drawingml/2006/picture">
                        <pic:nvPicPr>
                          <pic:cNvPr id="2" name="Text_Box_2_SpCnt_15"/>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13" name="Text_Box_2_SpCnt_16"/>
                  <wp:cNvGraphicFramePr/>
                  <a:graphic xmlns:a="http://schemas.openxmlformats.org/drawingml/2006/main">
                    <a:graphicData uri="http://schemas.openxmlformats.org/drawingml/2006/picture">
                      <pic:pic xmlns:pic="http://schemas.openxmlformats.org/drawingml/2006/picture">
                        <pic:nvPicPr>
                          <pic:cNvPr id="13" name="Text_Box_2_SpCnt_16"/>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16" name="Text_Box_2_SpCnt_17"/>
                  <wp:cNvGraphicFramePr/>
                  <a:graphic xmlns:a="http://schemas.openxmlformats.org/drawingml/2006/main">
                    <a:graphicData uri="http://schemas.openxmlformats.org/drawingml/2006/picture">
                      <pic:pic xmlns:pic="http://schemas.openxmlformats.org/drawingml/2006/picture">
                        <pic:nvPicPr>
                          <pic:cNvPr id="16" name="Text_Box_2_SpCnt_17"/>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11" name="Text_Box_2_SpCnt_18"/>
                  <wp:cNvGraphicFramePr/>
                  <a:graphic xmlns:a="http://schemas.openxmlformats.org/drawingml/2006/main">
                    <a:graphicData uri="http://schemas.openxmlformats.org/drawingml/2006/picture">
                      <pic:pic xmlns:pic="http://schemas.openxmlformats.org/drawingml/2006/picture">
                        <pic:nvPicPr>
                          <pic:cNvPr id="11" name="Text_Box_2_SpCnt_18"/>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23" name="Text_Box_2_SpCnt_19"/>
                  <wp:cNvGraphicFramePr/>
                  <a:graphic xmlns:a="http://schemas.openxmlformats.org/drawingml/2006/main">
                    <a:graphicData uri="http://schemas.openxmlformats.org/drawingml/2006/picture">
                      <pic:pic xmlns:pic="http://schemas.openxmlformats.org/drawingml/2006/picture">
                        <pic:nvPicPr>
                          <pic:cNvPr id="23" name="Text_Box_2_SpCnt_19"/>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3" name="Text_Box_2_SpCnt_20"/>
                  <wp:cNvGraphicFramePr/>
                  <a:graphic xmlns:a="http://schemas.openxmlformats.org/drawingml/2006/main">
                    <a:graphicData uri="http://schemas.openxmlformats.org/drawingml/2006/picture">
                      <pic:pic xmlns:pic="http://schemas.openxmlformats.org/drawingml/2006/picture">
                        <pic:nvPicPr>
                          <pic:cNvPr id="3" name="Text_Box_2_SpCnt_20"/>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15" name="Text_Box_2_SpCnt_21"/>
                  <wp:cNvGraphicFramePr/>
                  <a:graphic xmlns:a="http://schemas.openxmlformats.org/drawingml/2006/main">
                    <a:graphicData uri="http://schemas.openxmlformats.org/drawingml/2006/picture">
                      <pic:pic xmlns:pic="http://schemas.openxmlformats.org/drawingml/2006/picture">
                        <pic:nvPicPr>
                          <pic:cNvPr id="15" name="Text_Box_2_SpCnt_21"/>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685800</wp:posOffset>
                  </wp:positionH>
                  <wp:positionV relativeFrom="paragraph">
                    <wp:posOffset>0</wp:posOffset>
                  </wp:positionV>
                  <wp:extent cx="76835" cy="219710"/>
                  <wp:effectExtent l="0" t="0" r="0" b="0"/>
                  <wp:wrapNone/>
                  <wp:docPr id="17" name="Text_Box_2_SpCnt_22"/>
                  <wp:cNvGraphicFramePr/>
                  <a:graphic xmlns:a="http://schemas.openxmlformats.org/drawingml/2006/main">
                    <a:graphicData uri="http://schemas.openxmlformats.org/drawingml/2006/picture">
                      <pic:pic xmlns:pic="http://schemas.openxmlformats.org/drawingml/2006/picture">
                        <pic:nvPicPr>
                          <pic:cNvPr id="17" name="Text_Box_2_SpCnt_22"/>
                          <pic:cNvPicPr/>
                        </pic:nvPicPr>
                        <pic:blipFill>
                          <a:blip r:embed="rId10"/>
                          <a:stretch>
                            <a:fillRect/>
                          </a:stretch>
                        </pic:blipFill>
                        <pic:spPr>
                          <a:xfrm>
                            <a:off x="0" y="0"/>
                            <a:ext cx="76835" cy="21971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6" name="Text_Box_2_SpCnt_23"/>
                  <wp:cNvGraphicFramePr/>
                  <a:graphic xmlns:a="http://schemas.openxmlformats.org/drawingml/2006/main">
                    <a:graphicData uri="http://schemas.openxmlformats.org/drawingml/2006/picture">
                      <pic:pic xmlns:pic="http://schemas.openxmlformats.org/drawingml/2006/picture">
                        <pic:nvPicPr>
                          <pic:cNvPr id="6" name="Text_Box_2_SpCnt_23"/>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9" name="Text_Box_2_SpCnt_24"/>
                  <wp:cNvGraphicFramePr/>
                  <a:graphic xmlns:a="http://schemas.openxmlformats.org/drawingml/2006/main">
                    <a:graphicData uri="http://schemas.openxmlformats.org/drawingml/2006/picture">
                      <pic:pic xmlns:pic="http://schemas.openxmlformats.org/drawingml/2006/picture">
                        <pic:nvPicPr>
                          <pic:cNvPr id="9" name="Text_Box_2_SpCnt_24"/>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18" name="Text_Box_2_SpCnt_25"/>
                  <wp:cNvGraphicFramePr/>
                  <a:graphic xmlns:a="http://schemas.openxmlformats.org/drawingml/2006/main">
                    <a:graphicData uri="http://schemas.openxmlformats.org/drawingml/2006/picture">
                      <pic:pic xmlns:pic="http://schemas.openxmlformats.org/drawingml/2006/picture">
                        <pic:nvPicPr>
                          <pic:cNvPr id="18" name="Text_Box_2_SpCnt_25"/>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20" name="Text_Box_2_SpCnt_26"/>
                  <wp:cNvGraphicFramePr/>
                  <a:graphic xmlns:a="http://schemas.openxmlformats.org/drawingml/2006/main">
                    <a:graphicData uri="http://schemas.openxmlformats.org/drawingml/2006/picture">
                      <pic:pic xmlns:pic="http://schemas.openxmlformats.org/drawingml/2006/picture">
                        <pic:nvPicPr>
                          <pic:cNvPr id="20" name="Text_Box_2_SpCnt_26"/>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685800</wp:posOffset>
                  </wp:positionH>
                  <wp:positionV relativeFrom="paragraph">
                    <wp:posOffset>0</wp:posOffset>
                  </wp:positionV>
                  <wp:extent cx="76835" cy="474980"/>
                  <wp:effectExtent l="0" t="0" r="0" b="0"/>
                  <wp:wrapNone/>
                  <wp:docPr id="24" name="Text_Box_2_SpCnt_27"/>
                  <wp:cNvGraphicFramePr/>
                  <a:graphic xmlns:a="http://schemas.openxmlformats.org/drawingml/2006/main">
                    <a:graphicData uri="http://schemas.openxmlformats.org/drawingml/2006/picture">
                      <pic:pic xmlns:pic="http://schemas.openxmlformats.org/drawingml/2006/picture">
                        <pic:nvPicPr>
                          <pic:cNvPr id="24" name="Text_Box_2_SpCnt_27"/>
                          <pic:cNvPicPr/>
                        </pic:nvPicPr>
                        <pic:blipFill>
                          <a:blip r:embed="rId9"/>
                          <a:stretch>
                            <a:fillRect/>
                          </a:stretch>
                        </pic:blipFill>
                        <pic:spPr>
                          <a:xfrm>
                            <a:off x="0" y="0"/>
                            <a:ext cx="76835" cy="474980"/>
                          </a:xfrm>
                          <a:prstGeom prst="rect">
                            <a:avLst/>
                          </a:prstGeom>
                          <a:noFill/>
                          <a:ln>
                            <a:noFill/>
                          </a:ln>
                        </pic:spPr>
                      </pic:pic>
                    </a:graphicData>
                  </a:graphic>
                </wp:anchor>
              </w:drawing>
            </w:r>
            <w:r>
              <w:rPr>
                <w:rFonts w:hint="eastAsia" w:ascii="宋体" w:hAnsi="宋体" w:eastAsia="宋体" w:cs="宋体"/>
                <w:b w:val="0"/>
                <w:bCs w:val="0"/>
                <w:i w:val="0"/>
                <w:iCs w:val="0"/>
                <w:color w:val="000000"/>
                <w:kern w:val="0"/>
                <w:sz w:val="20"/>
                <w:szCs w:val="20"/>
                <w:highlight w:val="none"/>
                <w:u w:val="none"/>
                <w:lang w:val="en-US" w:eastAsia="zh-CN" w:bidi="ar"/>
              </w:rPr>
              <w:t>散力架</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5BC31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现场焊接</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786E7B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4900F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FA163A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212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00D46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6C53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单色LED条屏</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698CF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≥0.6*8米LED单色显示屏，含控制软件、屏幕支架等配套设施。</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70515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平方米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0B4804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4.8</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01CB41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D41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926" w:type="dxa"/>
            <w:gridSpan w:val="2"/>
            <w:tcBorders>
              <w:top w:val="single" w:color="000000" w:sz="4" w:space="0"/>
              <w:left w:val="single" w:color="000000" w:sz="4" w:space="0"/>
              <w:bottom w:val="single" w:color="000000" w:sz="4" w:space="0"/>
              <w:right w:val="single" w:color="000000" w:sz="4" w:space="0"/>
            </w:tcBorders>
            <w:noWrap/>
            <w:vAlign w:val="center"/>
          </w:tcPr>
          <w:p w14:paraId="2B868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1.3.2临时机房</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4010D8D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335B1F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36D76F7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57F1FC4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453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08D511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671A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普通机柜</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13CEB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★42U，服务器机柜，每个机柜配置6个束线圈，2个理线架，2个侧板，1个底板，1个固定托盘，2个轻载滑道，2个全高竖装32A PDU。采用黑色， PDU外壳选用优质型材；PDU电压：AC220V，输入容量：32A，分路空开配置20*A10+4*A16。</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1A2D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40EBAC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DFAB89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484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5139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2D72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普通A75:F89空调</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564A2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3P立式空调</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14952F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3F8269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A61E9E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AB3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0EB5D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EE7E4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配电箱</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4E0CF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输入100A，输出16路40A，4路16A</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54FF2B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62DBC5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AE7BB8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C02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425FC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0C6D0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桥架</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45619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强弱电双排桥架</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D699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08B58C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086FC7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6A3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1308B1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8C0D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普通空调用</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4937C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RVV3x4mm^2</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5D982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617FC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3D2C67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531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0EED0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D923D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PDU输入电缆</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276F9F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RVV-3x6mm^2</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ADCC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393D08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3CC5A1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71B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46ACF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6504B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138BF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A6173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5A5A33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900</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26649F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EA6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7214E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7C1A6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附材</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5E1B2C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跳纤、水晶头、电源接头、标签、软管，蛇皮管等</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9A71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151DD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2F2838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BEF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7767E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B2826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机房搬迁及调试</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7E061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临时机房搬迁，含机网络设备，网络安全设备等内容。</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6792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4207D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B38DB0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12B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4DDCB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E92AF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基础改造</w:t>
            </w:r>
          </w:p>
        </w:tc>
        <w:tc>
          <w:tcPr>
            <w:tcW w:w="8844" w:type="dxa"/>
            <w:tcBorders>
              <w:top w:val="single" w:color="000000" w:sz="4" w:space="0"/>
              <w:left w:val="single" w:color="000000" w:sz="4" w:space="0"/>
              <w:bottom w:val="single" w:color="000000" w:sz="4" w:space="0"/>
              <w:right w:val="single" w:color="000000" w:sz="4" w:space="0"/>
            </w:tcBorders>
            <w:noWrap/>
            <w:vAlign w:val="center"/>
          </w:tcPr>
          <w:p w14:paraId="227C2A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窗户封堵、空调下方防水围堰等内容</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613386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306" w:type="dxa"/>
            <w:tcBorders>
              <w:top w:val="single" w:color="000000" w:sz="4" w:space="0"/>
              <w:left w:val="single" w:color="000000" w:sz="4" w:space="0"/>
              <w:bottom w:val="single" w:color="000000" w:sz="4" w:space="0"/>
              <w:right w:val="single" w:color="000000" w:sz="4" w:space="0"/>
            </w:tcBorders>
            <w:noWrap/>
            <w:vAlign w:val="center"/>
          </w:tcPr>
          <w:p w14:paraId="76E7F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F23D03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A82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0485" w:type="dxa"/>
            <w:gridSpan w:val="5"/>
            <w:tcBorders>
              <w:top w:val="single" w:color="000000" w:sz="4" w:space="0"/>
              <w:left w:val="single" w:color="000000" w:sz="4" w:space="0"/>
              <w:bottom w:val="single" w:color="000000" w:sz="4" w:space="0"/>
              <w:right w:val="single" w:color="000000" w:sz="4" w:space="0"/>
            </w:tcBorders>
            <w:noWrap/>
            <w:vAlign w:val="center"/>
          </w:tcPr>
          <w:p w14:paraId="16A4A7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972D02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783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0826" w:type="dxa"/>
            <w:gridSpan w:val="6"/>
            <w:tcBorders>
              <w:top w:val="single" w:color="000000" w:sz="4" w:space="0"/>
              <w:left w:val="single" w:color="000000" w:sz="4" w:space="0"/>
              <w:bottom w:val="single" w:color="000000" w:sz="4" w:space="0"/>
              <w:right w:val="single" w:color="000000" w:sz="4" w:space="0"/>
            </w:tcBorders>
            <w:noWrap/>
            <w:vAlign w:val="center"/>
          </w:tcPr>
          <w:p w14:paraId="3717A6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 数据中心虚拟化平台扩容</w:t>
            </w:r>
          </w:p>
        </w:tc>
      </w:tr>
      <w:tr w14:paraId="704C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2"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F9414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EFB17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云资源服务器</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64D8ED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1.服务器类型与品牌：2U机架式双路服务器，国产品牌。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★2.处理器配置：配置≥2颗C86国产处理器，单颗处理器物理核≥32核，主频≥2.7GHz，缓存≥64M，支持超线程。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3.内存与插槽：配置≥24*32G DDR4-3200MHz服务器专用内存，支持≥32个内存插槽，支持≥4T内存容量，支持ECC，兼容RDIMM、LRDIMM。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4.硬盘与存储：配置2*960G SSD硬盘。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5.RAID卡与I/O扩展：配置RAID卡，≥2GB Cache，支持电容掉电保护。支持≥10个标准PCIE4.0插槽（非存储、网络等设备专用）。支持≥1*OCP3.0，支持4个双宽GPU或8个单宽GPU，兼容国产GPU卡。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6.接口配置：配置≥4个USB接口，≥2个VGA接口。网卡：1双口10G网卡（含光模块）+1双口32G HBA卡（含32G多模光模块）+4个GE口。配置≥1个千兆远程管理接口，支持共享业务接口实现管理接口的冗余。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▲7、支持内存故障隔离功能。支持硬盘告警精细化，可以区分硬盘固件、配置、物理故障三类告警。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8.电源与机箱：配置1+1冗余电源，支持≥1600W电源。提供机架安装导轨及电源线。机箱前后面板配置清晰指示灯，直观提示服务器状态及故障。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管理与安全：配置虚拟KVM功能，实现远程对服务器的完全控制。提供服务器健康日记、自动/手动截图、电源监控等功能。提供同品牌国产正版服务器操作系统授权，支持操作系统安全功能。配置机箱入侵检测，提供报警功能。支持固件数字签名更新机制，防止非授权固件更新。支持TPM/TCM安全特性。</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A1A58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0B88F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51C28E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531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4CBCF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7EE4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软件授权扩容</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67D09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配置服务器虚拟化授权：将物理服务器CPU、内存等进行虚拟化池化，为上层应用弹性计算资源服务，支持业内所有主流C86服务器型号，支持管理节点高可用和虚拟机高可用、云主机快照等全部功能；2、配置存储虚拟化对接模块：支持对接管理多种存储类型，包括本地存储、集中存储（NFS/iSCSI/FC）、分布式存储等，为云主机提供块存储服务；3、配置云盘管理功能：支持云盘QoS功能，支持共享云盘功能，支持在线云盘扩容功能，支持云盘快照、克隆、创建镜像功能；</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71654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23A83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36</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1AA660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091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7"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5A7C8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AED1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存储扩容</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02CC5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★1、存储扩容2台24盘位磁盘扩展柜，扩展柜按两个类型进行配置，1台SAS磁盘驱动器套件16TB,7200转，24块；1台SSD硬盘驱动器套件3.84TB，24块；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2、所有配套线缆和滑轨配件，扩容磁盘柜采用双路SAS线缆与原有存储连接，扩容后要求与原存储完全兼容，可以使用现网的硬盘空间，并与原存储设备进行存储底层的磁盘统一管理，做到即插即用；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3、提供原厂工程师现场安装服务，配合原有存储进行存储高级功能和软件升级服务，提供原厂3年7*24小时维保服务。</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7D3E1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5059D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FC4ADF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5A5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9"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59D69C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9FCD9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存储交换机</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50AC92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1、国产以太网交换机，提供国产芯片；1U机架式，24个32Gbps 端口，支持32Gb、16Gb等多种FC协议，适应的Trunking，智能路径选择端口类型，任何端口都是通用、自动发现、自配置的，呈现下面的端口状态：E_Port、F_Port、M_Port、D_Port、N_Port</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2、Fabric端口速度32/16Gbps自动适应，集合带宽单机最大支持768Gbps，端到端全双工；无阻塞的结构；</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3、可视化界面，所有关键部件LED指示灯、基于Web的管理界面和故障定位指示；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4、支持多种管理，Telnet，HTTP，SNMP v1/v3( FEMIB，FC Management MIB )；审核，系统日志，变更管理追踪；符合SMI-S标准，SMI-S脚本工具集，管理域；</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3AA47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66B2D1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1F57B4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06A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9"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1AEE6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4E0B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备份一体机</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19C9D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处理器：≥2颗C86国产处理器，主频≥2.0GHz，单颗CPU物理核≥32核，支持超线程；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内存：≥128GB，8个DIMM插槽，最大支持512G内存。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硬盘：≥2*480GB SSD系统盘与10*10TB数据盘（含授权）。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阵列卡：≥2GB缓存RAID卡（含掉电保护）；网络接口：≥1*四口GE电口卡与1*双口万兆网卡（含模块）。整机三年质保。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提供授权国产操作系统，操作系统一年维保，备份一体机基础安装实施服务。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备份软件：设备基于存储架构的嵌入式系统，文件系统无逻辑容量限制。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支持CDP、CDM等功能，同一界面统一管理备份功能；支持多种RAID方式，Raid TP可在无热备盘时三块盘损坏数据不丢。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支持数据压缩、重删；有CDM功能且多种备份方式；支持主流数据库备份恢复；支持多种远程灾备模式；支持多种虚拟化和云平台备份恢复且无需客户端代理。</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4123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1BF9F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3AE2F7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F5F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6"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31335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75003D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业务及备份交换机</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1C3C6E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1、国产以太网交换机，提供国产芯片；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2、接口要求：固定48个1/10Gbps SFP+端口和固定6个40G QSFP+端口（支持拆分为10G端口使用），最大支持万兆端口72；配置24个多模光模块；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3、二层支持4K VLAN，支持端口镜像，聚合端口镜像及远程端口镜像；三层功能：支持IPv4静态路由等；支持VRF功能；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4、链路冗余：支持跨机箱链路捆绑M-LAG，即由多台物理机箱组成1台虚拟交换机，实现跨机箱的以太网链路捆绑；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5、电源：实配可热插拔的冗余交流电源，实现1:1冗余，支持220V双交流或高压直流240V供电；热插拔的冗余风扇，风扇数量≥3，支持严格前后送风；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6、转发延时不大于800ns；</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846F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466DE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47D65E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A11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8"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4F2B37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70137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管理交换机</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766754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1、国产以太网交换机，提供国产芯片；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★2、接口要求：48个10/100/1000M电口，≥4 个1/10G SFP+光口，≥2个扩展插槽，可支持40G端口；配置≥4个万兆多模光模块；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3、二层功能：最大MAC地址≥144K，支持端口镜像，流镜像及远程镜像；三层功能：路由表≥48K；支持IPv4静态路由；支持VRF功能；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4、组播协议：支持IGMP，PIM-DM，PIM-SM，PIM-SSM，Static Multicast，MLD v1/v2，MLD Snooping ，PIM-SMv6，MVR6；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5、电源：实配可热插拔的冗余电源，实现1:1冗余；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6、Vxlan：支持VxLAN二层/三层网关，支持VXLAN tunnel，支持VXLAN路由；支持M-LAG技术；</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9E91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2680A2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BC8F37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EEB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271" w:type="dxa"/>
            <w:tcBorders>
              <w:top w:val="single" w:color="000000" w:sz="4" w:space="0"/>
              <w:left w:val="single" w:color="000000" w:sz="4" w:space="0"/>
              <w:bottom w:val="single" w:color="000000" w:sz="4" w:space="0"/>
              <w:right w:val="single" w:color="000000" w:sz="4" w:space="0"/>
            </w:tcBorders>
            <w:noWrap/>
            <w:vAlign w:val="center"/>
          </w:tcPr>
          <w:p w14:paraId="5F907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4C836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附材</w:t>
            </w:r>
          </w:p>
        </w:tc>
        <w:tc>
          <w:tcPr>
            <w:tcW w:w="8844" w:type="dxa"/>
            <w:tcBorders>
              <w:top w:val="single" w:color="000000" w:sz="4" w:space="0"/>
              <w:left w:val="single" w:color="000000" w:sz="4" w:space="0"/>
              <w:bottom w:val="single" w:color="000000" w:sz="4" w:space="0"/>
              <w:right w:val="single" w:color="000000" w:sz="4" w:space="0"/>
            </w:tcBorders>
            <w:noWrap w:val="0"/>
            <w:vAlign w:val="center"/>
          </w:tcPr>
          <w:p w14:paraId="674CC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跳纤、轧带、标签、等满足设备使用</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6FC5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306" w:type="dxa"/>
            <w:tcBorders>
              <w:top w:val="single" w:color="000000" w:sz="4" w:space="0"/>
              <w:left w:val="single" w:color="000000" w:sz="4" w:space="0"/>
              <w:bottom w:val="single" w:color="000000" w:sz="4" w:space="0"/>
              <w:right w:val="single" w:color="000000" w:sz="4" w:space="0"/>
            </w:tcBorders>
            <w:noWrap w:val="0"/>
            <w:vAlign w:val="center"/>
          </w:tcPr>
          <w:p w14:paraId="57D8D6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BFCC49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bl>
    <w:p w14:paraId="7C28F192">
      <w:pPr>
        <w:rPr>
          <w:rFonts w:hint="eastAsia" w:ascii="宋体" w:hAnsi="宋体" w:eastAsia="宋体" w:cs="宋体"/>
          <w:highlight w:val="none"/>
        </w:rPr>
      </w:pPr>
      <w:r>
        <w:rPr>
          <w:rFonts w:hint="eastAsia" w:ascii="宋体" w:hAnsi="宋体" w:eastAsia="宋体" w:cs="宋体"/>
          <w:highlight w:val="none"/>
        </w:rPr>
        <w:br w:type="page"/>
      </w:r>
    </w:p>
    <w:tbl>
      <w:tblPr>
        <w:tblStyle w:val="17"/>
        <w:tblW w:w="10828" w:type="dxa"/>
        <w:tblInd w:w="-1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3"/>
        <w:gridCol w:w="655"/>
        <w:gridCol w:w="8536"/>
        <w:gridCol w:w="341"/>
        <w:gridCol w:w="545"/>
        <w:gridCol w:w="478"/>
      </w:tblGrid>
      <w:tr w14:paraId="2564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28" w:type="dxa"/>
            <w:gridSpan w:val="6"/>
            <w:tcBorders>
              <w:top w:val="single" w:color="000000" w:sz="4" w:space="0"/>
              <w:left w:val="single" w:color="000000" w:sz="4" w:space="0"/>
              <w:bottom w:val="single" w:color="000000" w:sz="4" w:space="0"/>
              <w:right w:val="single" w:color="000000" w:sz="4" w:space="0"/>
            </w:tcBorders>
            <w:noWrap/>
            <w:vAlign w:val="center"/>
          </w:tcPr>
          <w:p w14:paraId="46FCE5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二、校园安全智能化提升工程概算</w:t>
            </w:r>
          </w:p>
        </w:tc>
      </w:tr>
      <w:tr w14:paraId="3432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42E05F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C91C6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产品名称</w:t>
            </w:r>
          </w:p>
        </w:tc>
        <w:tc>
          <w:tcPr>
            <w:tcW w:w="8536" w:type="dxa"/>
            <w:tcBorders>
              <w:top w:val="single" w:color="000000" w:sz="4" w:space="0"/>
              <w:left w:val="single" w:color="000000" w:sz="4" w:space="0"/>
              <w:bottom w:val="single" w:color="000000" w:sz="4" w:space="0"/>
              <w:right w:val="single" w:color="000000" w:sz="4" w:space="0"/>
            </w:tcBorders>
            <w:noWrap/>
            <w:vAlign w:val="center"/>
          </w:tcPr>
          <w:p w14:paraId="1AC90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功能参数</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DAC1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3077C4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2E4530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40A7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28" w:type="dxa"/>
            <w:gridSpan w:val="6"/>
            <w:tcBorders>
              <w:top w:val="single" w:color="000000" w:sz="4" w:space="0"/>
              <w:left w:val="single" w:color="000000" w:sz="4" w:space="0"/>
              <w:bottom w:val="single" w:color="000000" w:sz="4" w:space="0"/>
              <w:right w:val="single" w:color="000000" w:sz="4" w:space="0"/>
            </w:tcBorders>
            <w:noWrap/>
            <w:vAlign w:val="center"/>
          </w:tcPr>
          <w:p w14:paraId="659C6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 周界入侵报警</w:t>
            </w:r>
          </w:p>
        </w:tc>
      </w:tr>
      <w:tr w14:paraId="7C26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7"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03AF83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3D538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警戒摄像机</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263B59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最大分辨率和帧率≥2560×1440、25帧/秒，内置电动变焦镜头，支持H.265/H.264编码；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≥400万像素CMOS传感器，不低于3mm-13mm、F1.0镜头，内置1颗GPU或集CPU、NPU、 GPU一体的芯片，内置麦克风、1个扬声器；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补光灯开启后，正面不可见补光灯灯珠，补光亮度均匀，无明显波纹状、圆环状、麻点状、条纹状及不规则亮斑；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支持设备重启和布防动态报警数据感知与记录功能，布防动态报警数据包括异常掉线、历史布防、实时布防等类型，应能记录报警的开始时间、结束时间、布防类型、报警链路地址、端口、链路续传；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支持PoE供电，具有DC12V电源输出接口，≥1对音频输入/输出接口、≥1对报警输入/输出接口、≥1个RS-485接口、≥1个存储卡接口，具有白光、红外补光灯，补光距离≥40米，防护等级不低于IP66。含电源、支架</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32AC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388AD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96</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1907C4D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7E0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4CD87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A4578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院区摄像机</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35F07F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1. 网络枪型摄像机，视频压缩标准支持H.265、H.264，支持3D降噪、强光抑制、背光补偿功能，红外补光距离≥50米，白光补光距离≥30米，防护等级不低于IP66；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★2. ≥400万像素CMOS传感器，摄像机靶面尺寸≥1/2.4英寸，内置麦克风，分辨率和帧率≥3200×1800、20帧/秒，水平分辨力不低于1800线；</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▲3. 宽动态能力综合评价得分应≥140，最低照度：彩色≤0.005 lx、黑白≤0.0005 lx，具有白光补光、红外补光模式，支持自动和手动亮度调节模式，支持根据被摄物的距离自动调节补光灯亮度，开启白光灯进行补光时，支持输出彩色视频图像。含电源、支架</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A0F7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196F7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43E5685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46D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41993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F0E2B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标准设备箱</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1CADF6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200*300*400mm；交流220V/16A输入空开、6个6A输出空开，空开具备漏电保护功能。箱体进线孔位置位于箱体底部。含1光4电交换机（含单模光模块）。</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9BA7A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FDC15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F760A4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885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2C33E2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D6C08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围墙立杆</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403BB7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￠110mm(高2米), 钢管材质：Q235 热镀锌，表面静电喷塑，带2个挑臂。</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CFE1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B885F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0F08D5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136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70BCD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33D8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双臂金属立杆</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02CF74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￠219mm(高6米),臂厚6mm 钢管材质：Q235 热镀锌，表面静电喷塑。</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A256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157F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9EC066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E57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530ACD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75ABEA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定制支架</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39BAB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将监控和室外音响根据实际需求进行定制支架，固定到灯杆上。</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6CBF07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BB6C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3EEEDE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55C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7B2AE9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1104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金属臂</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67357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3-5米锥型杆，杆径60mm-140mm，4mm臂厚 钢管材质：Q235热镀锌，表面静电喷塑。</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0587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2FD87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610C69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940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55102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17BF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立杆底座（含预埋件）</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3187D2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500*500*1200mm（地笼）,（1.2*1.2*2）（基础）含地笼接地。</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F4354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A511E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836944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771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6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35D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破路及恢复</w:t>
            </w:r>
          </w:p>
        </w:tc>
        <w:tc>
          <w:tcPr>
            <w:tcW w:w="8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D55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立杆到弱电井距离，含拆除及开挖、管材、路面恢复。</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E01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平方米</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41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390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85FA64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93D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0DF664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EF92E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监控光缆</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7876E7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48芯光缆</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85AE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FBF7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3700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AD4CEA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72E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678F81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7AE3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监控光缆</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621690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12芯光缆</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154D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6E792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12600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04DFFE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B54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7035E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A68F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7AFD0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C2DDC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6C2B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1080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73AAED9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03B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47610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7D7A2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电源线</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2C234C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2*1.5mm电源线。</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6742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C03E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9600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D96EB8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11A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96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358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附材</w:t>
            </w:r>
          </w:p>
        </w:tc>
        <w:tc>
          <w:tcPr>
            <w:tcW w:w="8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446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含设备使用穿管、卡子、插线板等。</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5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A9A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87</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6B468D5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3D6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50" w:type="dxa"/>
            <w:gridSpan w:val="5"/>
            <w:tcBorders>
              <w:top w:val="single" w:color="000000" w:sz="4" w:space="0"/>
              <w:left w:val="single" w:color="000000" w:sz="4" w:space="0"/>
              <w:bottom w:val="single" w:color="000000" w:sz="4" w:space="0"/>
              <w:right w:val="single" w:color="000000" w:sz="4" w:space="0"/>
            </w:tcBorders>
            <w:noWrap/>
            <w:vAlign w:val="center"/>
          </w:tcPr>
          <w:p w14:paraId="1D7639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432C25E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A86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28" w:type="dxa"/>
            <w:gridSpan w:val="6"/>
            <w:tcBorders>
              <w:top w:val="single" w:color="000000" w:sz="4" w:space="0"/>
              <w:left w:val="single" w:color="000000" w:sz="4" w:space="0"/>
              <w:bottom w:val="single" w:color="000000" w:sz="4" w:space="0"/>
              <w:right w:val="single" w:color="000000" w:sz="4" w:space="0"/>
            </w:tcBorders>
            <w:noWrap/>
            <w:vAlign w:val="center"/>
          </w:tcPr>
          <w:p w14:paraId="731EF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 安防监控</w:t>
            </w:r>
          </w:p>
        </w:tc>
      </w:tr>
      <w:tr w14:paraId="3402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0B299D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19DE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室内半球</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69E137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1. 高清半球摄像机，视频压缩标准需支持H.265和H.264，支持水平、垂直、旋转三轴调节，支持POE供电，红外补光距离≥25米，防护等级不低于IP66；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★2.  ≥400万像素CMOS传感器，摄像机靶面尺寸≥1/2.4英寸，内置麦克风，分辨率和帧率≥2550*1440、20帧/秒，水平分辨力不低于1800线；支持POE供电。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▲3. 宽动态能力综合评价得分应≥140，最低照度：彩色≤0.005 lx、黑白≤0.0005 lx。含电源、支架。</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A6E9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575A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350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8F6804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71B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74E8F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3942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室内枪机</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7300FB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1. 网络枪型摄像机，支持POE供电，视频压缩标准支持H.265、H.264，支持3D降噪、强光抑制、背光补偿功能，红外补光距离≥50米，白光补光距离≥30米，防护等级不低于IP66；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★2.  ≥400万像素CMOS传感器，摄像机靶面尺寸≥1/2.4英寸，内置麦克风，分辨率和帧率≥2550*1440、20帧/秒，水平分辨力不低于1800线；</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▲3. 宽动态能力综合评价得分应≥140，最低照度：彩色≤0.005 lx、黑白≤0.0005 lx，具有白光补光、红外补光模式，支持自动和手动亮度调节模式，支持根据被摄物的距离自动调节补光灯亮度，开启白光灯进行补光时，支持输出彩色视频图像。含电源、支架。</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27403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F17D5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196</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501ABB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475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040CE9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E2F3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球机</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58346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全景枪球一体化摄像机，全景画面和细节画面最大分辨率和帧率均≥2560×1440@25fps，支持H.265、H.264编码；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★2.  ≥400万像素CMOS传感器，支持输出两路视频图像（1路全景视频图像、1路细节视频图像），内置≥2颗GPU芯片，全景视频图像内置镜头、≥2颗补光灯，靶面尺寸≥1/1.9英寸；细节镜头内置镜头、≥4颗补光灯；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细节镜头支持≥22倍光学变倍，最大焦距≥110mm，低照度彩色≤0.005lx，黑白≤0.001lx，细节镜头支持水平及垂直电动旋转，支持水平360°连续旋转，垂直旋转范围≥90°，支持自动翻转；</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支持深度学习算法，支持人车分类侦测、报警、联动跟踪；支持区域入侵侦测、越界侦测、进入区域侦测和离开区域侦等智能侦测并联动跟踪；支持报警联动声音和白光闪烁报警；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5. 支持跟踪报警功能，支持对监视画面中的多个目标进行跟踪，应能显示移动目标的属性（人、车、其他），当移动目标进入监视画面时可报警上传，离开监视画面≥5s后解除报警；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6. 支持定位联动功能，支持自动标定全景视频图像与细节视频图像，在全景视频图像中点击或框选任意区域后，在细节视频图像旋转角度范围允许的条件下，可将该区域处于细节视频图像中央，标定点数量≥6个，标定用时≤1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7. 支持图片合成功能，报警事件触发后，应能联动全景视频图像与细节视频图像进行抓图，并将两张报警图片合成；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8. 设备静电放电抗扰度不低于GB/T 17626.2-2018中等级4级规定，射频电磁场辐射抗扰度不低于GB/T 17626.3-2016中等级4级规定，电快速顺变脉冲群抗扰度不低于GB/T 17626.4-2018中等级4级规定，浪涌（冲击）抗扰度不低于GB/T 17626.5-2019中等级4级规定；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具有≥1对音频输入/输出接口、≥2路报警输入、≥1路报警输出，内置红外+可见光补光灯，红外补光距离≥150m，全景、细节独立白光补光距离≥30m，防护等级≥IP66。（设备含支架、电源）</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68A50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6B5A0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1E45F9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A99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030EE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1E9D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楼顶墙装支架</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723723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￠110mm(高1.5米), 钢管材质：Q235 热镀锌，表面静电喷塑，带1个挑臂。可根据安装位置定制。</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3657E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05F1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92C69D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27D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3A113A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071D2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电梯摄像机</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601B7D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电梯专用摄像机， ≥400万像素CMOS传感器，视频分辨率和帧率≥2560×1440、25帧/秒，彩色最低照度≤0.005lx，靶面尺寸不低于1/3"CMOS；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电瓶车遗留侦测功能，支持对停留时间超过设置阈值的电瓶车进行检测，叠加提示框、并报警，对自行车、玩具车、婴儿车、手推车或超市推车等目标不产生报警，支持持续的报警输出，电瓶车离开布防区域后报警输出应能自动关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支持TOF遮挡报警功能，对人为遮挡行为检测报警，支持联动抓图、声音报警，支持TOF遮挡防干扰功能，光线明暗变化不会触发报警；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支持POE供电，内置麦克风、扬声器，≥1个存储卡接口，≥1对音频输入/输出接口、≥1对报警输入输出接口，红外补光距离≥5米，防暴等级≥IK08。</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A457B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47A2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558CB32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A80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68CA5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D8FFC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无线网桥</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68365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无线网桥(含发送端和接收端)，支持≥4路2M码流，最大传输距离≥200米，≥2个网口，支持客户端统一管理、智能运维。</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A2F3E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对</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8C35D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4771AE2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DD4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2EF85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EB360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室内设备箱</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665E72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200*300*400mm；0.5KVA稳压电源、交流220V/16A输入空开、6个6A输出空开。箱体进线孔位置位于箱体底部。</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11F37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571A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1FB6B08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08E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161F7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F7D26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视频存储</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74B343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★1、网络存储设备，可接入硬盘≥48块，配置≥48块16T企业级硬盘，不低于64位处理器，≥8GB内存，≥200GB SSD系统盘；存储接口≥48个SATA接口，支持硬盘热插拔，实配≥48块16TB硬盘；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2、网络接口≥4个千兆数据网口，≥1个千兆管理口；其他接口≥1×COM，≥2×USB2.0，≥2×USB3.0，≥1×VGA，≥1×IPMI；整机电源支持1200W，1+1冗余电源；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3、视频性能支持接入≥500路（最大接入带宽1000Mbps）；图片性能支持写≥250张/秒（单张图片500KB）；设备内置视频云存储软件；支持视频流、图片流直存；支持ONVIF、GB/T 28181、RTSP等标准协议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4、系统支持集群管理功能，包括集群单元弹性扩容、负载均衡、故障迁移等；支持集群节点生命周期管理，支持集群节点服务启动/停止，集群节点服务组建、扩展、删除;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5、云存储系统支持与视频监控平台、虚拟化平台对接；一套云存储系统支持同时给多个视频监控平台系统提供服务，可提供视频监控业务，具备容错处理能力;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▲6、系统支持集群部署，集群内节点不需要独立的集群管理服务器，当任意一个节点故障，业务负载分担到其他节点的时间不超过15秒；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系统支持磁盘故障后，具有数据自愈功能，可设置立即重构，亦可设置为不执行重构，即支持手动或系统自动恢复数据。EC纠删码为降级状态，可以正常读取视频；图片、智能流、文件业务的数据；在数据恢复过程中，业务不中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8、系统支持磁盘故障、设备故障后,根据业务情况,调整设置重构的等级,分别调整为高速重构、中速重构、低速重构;支持重构速度展示:支持自动进行数据迁移,在数据迁移过程中,业务不中断;</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4519A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6BE72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1A0A8E6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208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1FA67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25A3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311BAC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665E7C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B6D7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35400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24E8FC5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8D7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2CA1E4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D97E7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电源线</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09D03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2*1.5mm电源线。</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BDDDE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3F255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24780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1AAD252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E33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45AE69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B57EC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穿线管</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5779B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w:t>
            </w:r>
            <w:r>
              <w:rPr>
                <w:rFonts w:ascii="Calibri" w:hAnsi="Calibri" w:eastAsia="宋体" w:cs="Calibri"/>
                <w:b w:val="0"/>
                <w:bCs w:val="0"/>
                <w:i w:val="0"/>
                <w:iCs w:val="0"/>
                <w:color w:val="000000"/>
                <w:kern w:val="0"/>
                <w:sz w:val="20"/>
                <w:szCs w:val="20"/>
                <w:highlight w:val="none"/>
                <w:u w:val="none"/>
                <w:lang w:val="en-US" w:eastAsia="zh-CN" w:bidi="ar"/>
              </w:rPr>
              <w:t>Φ</w:t>
            </w:r>
            <w:r>
              <w:rPr>
                <w:rFonts w:hint="eastAsia" w:ascii="宋体" w:hAnsi="宋体" w:eastAsia="宋体" w:cs="宋体"/>
                <w:b w:val="0"/>
                <w:bCs w:val="0"/>
                <w:i w:val="0"/>
                <w:iCs w:val="0"/>
                <w:color w:val="000000"/>
                <w:kern w:val="0"/>
                <w:sz w:val="20"/>
                <w:szCs w:val="20"/>
                <w:highlight w:val="none"/>
                <w:u w:val="none"/>
                <w:lang w:val="en-US" w:eastAsia="zh-CN" w:bidi="ar"/>
              </w:rPr>
              <w:t>20KBG镀锌钢管</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5C8F4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F815F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7080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7B6FB47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41C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581D9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09423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附材</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10D6B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含设备使用轧带、卡子、插线板等。</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543B4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472B5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729B9F0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53A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50" w:type="dxa"/>
            <w:gridSpan w:val="5"/>
            <w:tcBorders>
              <w:top w:val="single" w:color="000000" w:sz="4" w:space="0"/>
              <w:left w:val="single" w:color="000000" w:sz="4" w:space="0"/>
              <w:bottom w:val="single" w:color="000000" w:sz="4" w:space="0"/>
              <w:right w:val="single" w:color="000000" w:sz="4" w:space="0"/>
            </w:tcBorders>
            <w:noWrap/>
            <w:vAlign w:val="center"/>
          </w:tcPr>
          <w:p w14:paraId="119D6D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7C4369E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AAB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28" w:type="dxa"/>
            <w:gridSpan w:val="6"/>
            <w:tcBorders>
              <w:top w:val="single" w:color="000000" w:sz="4" w:space="0"/>
              <w:left w:val="single" w:color="000000" w:sz="4" w:space="0"/>
              <w:bottom w:val="single" w:color="000000" w:sz="4" w:space="0"/>
              <w:right w:val="single" w:color="000000" w:sz="4" w:space="0"/>
            </w:tcBorders>
            <w:noWrap/>
            <w:vAlign w:val="center"/>
          </w:tcPr>
          <w:p w14:paraId="3004D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2.3  车辆管理系统</w:t>
            </w:r>
          </w:p>
        </w:tc>
      </w:tr>
      <w:tr w14:paraId="2C35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273" w:type="dxa"/>
            <w:tcBorders>
              <w:top w:val="single" w:color="000000" w:sz="4" w:space="0"/>
              <w:left w:val="single" w:color="000000" w:sz="4" w:space="0"/>
              <w:bottom w:val="single" w:color="000000" w:sz="4" w:space="0"/>
              <w:right w:val="single" w:color="000000" w:sz="4" w:space="0"/>
            </w:tcBorders>
            <w:noWrap w:val="0"/>
            <w:vAlign w:val="center"/>
          </w:tcPr>
          <w:p w14:paraId="565B9F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341B0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出入口抓拍机</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02129D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★1、出入口补光抓拍一体机，包含防护罩、摄像机、镜头、LED补光灯等，分辨率和帧率不低于1920*1200@25fps，支持H.264、H.265编码，最小照度彩色≤0.002Lx，黑白≤0.0002Lx ，采用电动变焦镜头，支持软件自动调焦，自动光圈，支持ICR切换，支持补光灯自动光控、时控可选；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▲2、设备支持≥19种车型显示，可显示车型应包括：SUV、MPV、轿车、小型轿车、 微型轿车、面包车、皮卡车、小型货车、 大型货车、小型客车、大型客车、集装箱卡车、微型卡车、吊车、油罐车、混凝土搅拌车、两厢轿车、三厢轿车、跑车；（需提供CNAS标识的检测报告复印件证明）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3、设备支持≥250种车辆品牌标志识别，支持识别≥4700种机动车子品牌；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4、设备具有外接控制功能，当监视画面中有大型客车或货车出现时，设备可按预设时长联动控制外接道闸动作；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5、设备支持对机动车辆进行过滤抓拍，可设置仅对正向、背向、全部车辆进行抓拍；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6、设备具有≥1个 RS-485 接口、≥1路音频输出、≥3路触发输入、≥2路触发输出，≥1个存储卡接口，具有≥2个内置红外白光一体化LED灯，白光红外可切换，补光灯自动光控、时控可选；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7、布防状态下可根据存储黑白名单自动控制外接道闸开/关；防护等级不低于IP67，工作温度-40℃~80℃,湿度小于93%(无凝结)；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8、立柱高度不低于1.3米，立柱直径不小于60mm</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F5A2E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559D4E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6 </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783C7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3个大门</w:t>
            </w:r>
          </w:p>
        </w:tc>
      </w:tr>
      <w:tr w14:paraId="3D0B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273" w:type="dxa"/>
            <w:tcBorders>
              <w:top w:val="single" w:color="000000" w:sz="4" w:space="0"/>
              <w:left w:val="single" w:color="000000" w:sz="4" w:space="0"/>
              <w:bottom w:val="single" w:color="000000" w:sz="4" w:space="0"/>
              <w:right w:val="single" w:color="000000" w:sz="4" w:space="0"/>
            </w:tcBorders>
            <w:noWrap w:val="0"/>
            <w:vAlign w:val="center"/>
          </w:tcPr>
          <w:p w14:paraId="7089BE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C372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地库道闸</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61614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道闸抓拍一体机含多种部件，道闸直杆支持3 - 4米，支持跟车不落杆快速通行，防尘防水不低于IP54。</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摄像头分辨率、传感器、最低照度、镜头、视频压缩标准及支持协议符合一定要求。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支持识别多种车牌类型，还有车型、车标、车身颜色、子品牌检测，支持授权名单导入对比、脱机运行和联动道闸开闸。</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可识别部分污损、遮挡车牌，能在大角度成像时识别车牌。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支持两种防跟车模式，视频检测可判断车辆运动方向，连续过车时能跟车不落杆。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具备多种功能如放行计数、应急放行、过流保护、车辆身份确认，身份确认到道闸开启响应不超1s。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具备车牌识别功能，不同光照条件下白天和夜间识别准确率均较高。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支持多种车型识别，不同光照条件下白天和夜间车型识别准确率达到一定比例，设备有多种接口、补光灯、触发输入和继电器输出，内置LCD屏幕且参数符合要求，工作温湿度范围和防护等级明确。</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08CF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2D0C1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6 </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67D8A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3个车库</w:t>
            </w:r>
          </w:p>
        </w:tc>
      </w:tr>
      <w:tr w14:paraId="2402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73" w:type="dxa"/>
            <w:tcBorders>
              <w:top w:val="single" w:color="000000" w:sz="4" w:space="0"/>
              <w:left w:val="single" w:color="000000" w:sz="4" w:space="0"/>
              <w:bottom w:val="single" w:color="000000" w:sz="4" w:space="0"/>
              <w:right w:val="single" w:color="000000" w:sz="4" w:space="0"/>
            </w:tcBorders>
            <w:noWrap w:val="0"/>
            <w:vAlign w:val="center"/>
          </w:tcPr>
          <w:p w14:paraId="6F5C9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6769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出入口控制终端</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514B6023">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★1、出入口控制终端，内存≥4G，存储功能≥128G；RS232接口≥1路，RS485接口≥1路，USB接口≥4个，VGA接口≥1路，HDMI≥1路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2、网络接口≥1个千兆外网网口+8个百兆内网网口；音频输入3.5MM标准输入，音频输出3.5MM标准输出；报警输入≥2路，报警输出≥2路；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3、双千兆网卡，支持网络容错以及双网络IP设定、双网隔离等应用；可通过WEB、NTP、客户端软件模块进行校时。可自动对连接的IP摄像机等设备进行校时。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4、可控制报警输出，并获取报警输入信息；支持双数据库热机备份功能；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5、工作温度 -10℃~+50℃。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23DF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2034C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6 </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0C7B7EA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BA9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0"/>
            <w:vAlign w:val="center"/>
          </w:tcPr>
          <w:p w14:paraId="226233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81AB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1ECEC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D3AAF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A5939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1000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69C30AB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255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0"/>
            <w:vAlign w:val="center"/>
          </w:tcPr>
          <w:p w14:paraId="5CBD3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E0862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电源线</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34C44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2*1.5mm电源线。</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4B34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15104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1000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5B29BB8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231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3" w:type="dxa"/>
            <w:tcBorders>
              <w:top w:val="single" w:color="000000" w:sz="4" w:space="0"/>
              <w:left w:val="single" w:color="000000" w:sz="4" w:space="0"/>
              <w:bottom w:val="single" w:color="000000" w:sz="4" w:space="0"/>
              <w:right w:val="single" w:color="000000" w:sz="4" w:space="0"/>
            </w:tcBorders>
            <w:noWrap w:val="0"/>
            <w:vAlign w:val="center"/>
          </w:tcPr>
          <w:p w14:paraId="0759C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282F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附材</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76314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含设备使用穿管、卡子、插线板等。</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37E1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601E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31DE103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C30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50" w:type="dxa"/>
            <w:gridSpan w:val="5"/>
            <w:tcBorders>
              <w:top w:val="single" w:color="000000" w:sz="4" w:space="0"/>
              <w:left w:val="single" w:color="000000" w:sz="4" w:space="0"/>
              <w:bottom w:val="single" w:color="000000" w:sz="4" w:space="0"/>
              <w:right w:val="single" w:color="000000" w:sz="4" w:space="0"/>
            </w:tcBorders>
            <w:noWrap/>
            <w:vAlign w:val="center"/>
          </w:tcPr>
          <w:p w14:paraId="453A6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73F1A02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AE1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28" w:type="dxa"/>
            <w:gridSpan w:val="6"/>
            <w:tcBorders>
              <w:top w:val="single" w:color="000000" w:sz="4" w:space="0"/>
              <w:left w:val="single" w:color="000000" w:sz="4" w:space="0"/>
              <w:bottom w:val="single" w:color="000000" w:sz="4" w:space="0"/>
              <w:right w:val="single" w:color="000000" w:sz="4" w:space="0"/>
            </w:tcBorders>
            <w:noWrap/>
            <w:vAlign w:val="center"/>
          </w:tcPr>
          <w:p w14:paraId="56625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 电子巡更及可视报警紧急求助系统</w:t>
            </w:r>
          </w:p>
        </w:tc>
      </w:tr>
      <w:tr w14:paraId="070E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787DDC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3F640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巡更手持机</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63B59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1、CPU：4核 2.0GHz，存储 2GB+32GB；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2、SIM接口 Nano SIM*2（双卡双待），存储扩展 TF卡，最大支持512GB；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3、电池容量 4900mAh，待机时间 ≥500小时，支持NFC、蓝牙；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4、定位 内置高灵敏度卫星定位模块，支持北斗、GPS、Glonass定位；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5、显示屏 5.5英寸显示屏，电容式触摸；</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6、抗滚落能力 300次 50cm范围内滚落，防护等级≥IP68；</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17BCD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22BA5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6FA8797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912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40E2EE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FA001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巡更射频识别器</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29E00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NFC巡更打卡，3M背胶设计，可直接粘贴于墙面，也可通过中间固定孔进行螺丝固定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识别距离：近距离</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工作频率：13.56M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信号类别：无源</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1D823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5CBE9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17E0A8B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9FF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6A2C2A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5330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室内可视报警盒</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60955C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内置1080P广角红外摄像机，水平视角86°；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内置全频段优质扬声器和高灵敏度麦克风；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支持通过有线网络和管理中心双向音频对讲；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支持中心监视监听、录音录像与广播功能；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支持外接警灯警号；支持防拆报警/喧哗报警；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支持DC12V&amp;POE供电，自带DC12V/2A适配器;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防护等级：IP54  防暴等级：IK08</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最大支持256G Micro SD卡存储</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0A5E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16FE3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20 </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601011D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5BC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0ED29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D588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室外可视报警柱</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405335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可视紧急报警柱，具有报警输入≥2路，报警输出≥2路，警号输出≥1个声音110分贝，可独立控制，警灯输出≥1个红蓝双色警灯，可独立控制，网络接口10M/100M自适应网口；音频接口≥1个音频输入、≥1个音频输出接口，内置≥1路3W扬声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2、嵌入式Linux操作系统，内置400W 自动红外超广角高清摄像头，视频压缩标准支持H.264、H.265；网络通信协议支持TCP/IP、SNMP、RTSP、GB28181(2016)、ONVIF；</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3、设备支持语音对讲功能，内置高灵敏度麦克风，可实现5米对讲；音频压缩标准支持G.711、G.726；具有Micro SD卡插槽，支持 Micro SD/SDHC/SDXC卡；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4、设备支持有线连接≥2路RJ45接口，工作温度-40℃-70℃，IP等级≥IP65；安装方式支持抱箍或者壁挂。尺寸：不小于400（W）*400（D）*2200（H）。含基础底座。</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6D93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13D98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5 </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39D6B51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0C7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1" w:hRule="atLeast"/>
        </w:trPr>
        <w:tc>
          <w:tcPr>
            <w:tcW w:w="273" w:type="dxa"/>
            <w:tcBorders>
              <w:top w:val="single" w:color="000000" w:sz="4" w:space="0"/>
              <w:left w:val="single" w:color="000000" w:sz="4" w:space="0"/>
              <w:bottom w:val="single" w:color="000000" w:sz="4" w:space="0"/>
              <w:right w:val="single" w:color="000000" w:sz="4" w:space="0"/>
            </w:tcBorders>
            <w:noWrap/>
            <w:vAlign w:val="center"/>
          </w:tcPr>
          <w:p w14:paraId="44E33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26F22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紧急报警管理机</w:t>
            </w:r>
          </w:p>
        </w:tc>
        <w:tc>
          <w:tcPr>
            <w:tcW w:w="8536" w:type="dxa"/>
            <w:tcBorders>
              <w:top w:val="single" w:color="000000" w:sz="4" w:space="0"/>
              <w:left w:val="single" w:color="000000" w:sz="4" w:space="0"/>
              <w:bottom w:val="single" w:color="000000" w:sz="4" w:space="0"/>
              <w:right w:val="single" w:color="000000" w:sz="4" w:space="0"/>
            </w:tcBorders>
            <w:noWrap w:val="0"/>
            <w:vAlign w:val="center"/>
          </w:tcPr>
          <w:p w14:paraId="363A1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10.1寸触摸屏紧急报警管理机；集成视频查看、双向对讲、呼叫前端等功能，用于管理前端一键求助报警产品。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支持1080P视频显示，支持H.264/H.265解码，支持最大256G Micro SD卡存储；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支持4路开关量输入，4路继电器输出；支持VGA、HDMI同源输出；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支持1路3.5mm音频输入，1路3.5mm音频输出；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话柄、鹅颈话筒杆可拆卸，支持DC12V、PoE(IEEE 802.3 at/af)供电。</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7EBD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499F70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4525CEF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7C5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50" w:type="dxa"/>
            <w:gridSpan w:val="5"/>
            <w:tcBorders>
              <w:top w:val="single" w:color="000000" w:sz="4" w:space="0"/>
              <w:left w:val="single" w:color="000000" w:sz="4" w:space="0"/>
              <w:bottom w:val="single" w:color="000000" w:sz="4" w:space="0"/>
              <w:right w:val="single" w:color="000000" w:sz="4" w:space="0"/>
            </w:tcBorders>
            <w:noWrap/>
            <w:vAlign w:val="center"/>
          </w:tcPr>
          <w:p w14:paraId="61658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76664AA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bl>
    <w:p w14:paraId="785E661F">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br w:type="page"/>
      </w:r>
    </w:p>
    <w:tbl>
      <w:tblPr>
        <w:tblStyle w:val="17"/>
        <w:tblW w:w="10786" w:type="dxa"/>
        <w:tblInd w:w="-1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
        <w:gridCol w:w="673"/>
        <w:gridCol w:w="8509"/>
        <w:gridCol w:w="341"/>
        <w:gridCol w:w="587"/>
        <w:gridCol w:w="436"/>
      </w:tblGrid>
      <w:tr w14:paraId="1AA3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86" w:type="dxa"/>
            <w:gridSpan w:val="6"/>
            <w:tcBorders>
              <w:top w:val="single" w:color="000000" w:sz="4" w:space="0"/>
              <w:left w:val="single" w:color="000000" w:sz="4" w:space="0"/>
              <w:bottom w:val="single" w:color="000000" w:sz="4" w:space="0"/>
              <w:right w:val="single" w:color="000000" w:sz="4" w:space="0"/>
            </w:tcBorders>
            <w:noWrap/>
            <w:vAlign w:val="center"/>
          </w:tcPr>
          <w:p w14:paraId="0CE7E0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2.5 人脸抓拍系统</w:t>
            </w:r>
          </w:p>
        </w:tc>
      </w:tr>
      <w:tr w14:paraId="1070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0D1D9C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89D2E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人脸抓拍摄像机</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1AB5BC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★1、智能网络摄像机，图像传感器≥1/1.8英寸，最大分辨率和帧率≥2560×1440、25帧/秒，支持H.265/H.264编码，内置电动变焦镜头，电动变焦范围不低于3-13mm，最低照度需满足彩色≤0.0005  lx，黑白≤0.0001  lx；</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设备支持不少于3种智能资源切换，至少包括：人脸抓拍、车辆抓拍，人脸抓拍支持同时检测不少于30张人脸，车辆抓拍支持检测正向或逆向行驶的车辆以及行人和非机动车，自动对车辆牌照进行识别，支持抓拍无车牌的车辆图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3、设备内置具有混合补光灯（每颗由红外灯和白光灯组成），补光灯开启后，正面应不可见补光灯灯珠，补光均匀，无波纹状、圆环状、麻点状、条纹状及不规则亮斑；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4、内置GPU或含GPU的多合一芯片，内置不少于2个麦克风、1个扬声器，支持双麦克风声音采集，支持左右声道编码，至少支持选择左声道、右声道、立体声播放声音；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▲5、设备支持人数统计功能，支持设置不少于8个人数统计区域，支持自定义区域名称，支持人员密度报警、人数异常报警、停留时间异常报警等报警类型，每个人数统计区域支持设置不少于3种报警类型；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设备支持同时对不同速度、明亮度、反光度的行人、非机动车、机动车分类曝光，支持实时检测、跟踪、抓拍行进的行人人脸、人体、非机动车及车上人员、机动车车牌、机动车，支持识别人脸及车牌号码，抓拍的人脸和车牌号码图片应清晰可辨，无过曝、过暗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7、设备支持PoE供电，具有DC12V电源输出接口，具有≥1个存储卡插槽、≥2个音频输入接口、≥1个音频输出接口、≥2对报警输入输出接口，混合补光距离≥50米，防护等级不低于IP66。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8、包含摄像机电源、支架</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FC8E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7E0E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4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2A5CB0D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B16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3"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37B52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9808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分析终端</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06D7D6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1、存储接口：1个SATA接口，内置1TB硬盘；视频接口：1×HDMI，1×VGA；网络接口：2×RJ45 10/100/1000Mbps自适应以太网口；报警接口：4路报警输入，1路报警输出；串行接口：1路RS-232接口、1路RS-485接口；USB接口：1×USB 2.0，1×USB 3.0输入带宽：128Mbps；输出带宽：256Mbps；接入能力：4路H.264、H.265格式高清码流接入；解码能力：最大支持32×1080P；显示能力：HDMI最大支持8K输出；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2、整机搭载1颗高性能AI引擎，支持独立配置目标识别、周界防范、周界二次分析、视频结构化、高空抛物、智搜等引擎模式；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3、目标识别应用：支持目标抓拍、比对报警；支持以图搜图、按姓名检索、按属性检索；目标名单库：支持16个名单库，名单库库容10万张；路人库库容1万张；视频流：4路视频流（4MP）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图片流：4路图片流；目标客流：支持客流分析（图片流），支持4个客流统计组去重；目标应用：签到、频次（高频、低频）</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5FFFD8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E7B49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34502D2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D3B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50" w:type="dxa"/>
            <w:gridSpan w:val="5"/>
            <w:tcBorders>
              <w:top w:val="single" w:color="000000" w:sz="4" w:space="0"/>
              <w:left w:val="single" w:color="000000" w:sz="4" w:space="0"/>
              <w:bottom w:val="single" w:color="000000" w:sz="4" w:space="0"/>
              <w:right w:val="single" w:color="000000" w:sz="4" w:space="0"/>
            </w:tcBorders>
            <w:noWrap/>
            <w:vAlign w:val="center"/>
          </w:tcPr>
          <w:p w14:paraId="2FA7E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6B3A0B7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760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86" w:type="dxa"/>
            <w:gridSpan w:val="6"/>
            <w:tcBorders>
              <w:top w:val="single" w:color="000000" w:sz="4" w:space="0"/>
              <w:left w:val="single" w:color="000000" w:sz="4" w:space="0"/>
              <w:bottom w:val="single" w:color="000000" w:sz="4" w:space="0"/>
              <w:right w:val="single" w:color="000000" w:sz="4" w:space="0"/>
            </w:tcBorders>
            <w:noWrap/>
            <w:vAlign w:val="center"/>
          </w:tcPr>
          <w:p w14:paraId="020A37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2.6 监控中心、监控室建设</w:t>
            </w:r>
          </w:p>
        </w:tc>
      </w:tr>
      <w:tr w14:paraId="4F87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5561F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29565B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显示屏</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3BD69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★1、显示尺寸：65 inch，屏幕可视区域：1428.48 (H) mm × 803.52 (V)mm，物理分辨率：3840 × 2160，背光源类型：D-LED；</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2、亮度≥350 cd/m²，响应时间≤8 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3、显示单元支持4 比 3、 16 比 9、点对点等比例显示。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4、具备智能光感护眼功能，显示单元可自动识别环境光强弱，根据环境光变化调节屏幕亮度。</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7DD0F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20DE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3BE8F63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840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79E548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75AF99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显示器壁挂支架</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7A0679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材质：SPCC高强度钢（主体）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适用尺寸：32寸-65寸</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产品承重：不少于80KG </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F3C55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7E1B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3F13B94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DA1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731E2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23890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操作电脑</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182A1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CPU：≥8核/2.3GHz/内存：16GB/硬盘：512G SSD/显示器：23.8英寸、鼠标键盘/显卡：2G独显/DVD刻录/操作系统：（激活）</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2F9A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E375F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424BEBE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2BD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26944B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33EC96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高清线</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7124A6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10米/根</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EB2C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CE2F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065CF37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D8C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0E5FB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185087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附材</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3F4C56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电源线、网线、线槽、水晶头等</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C8D7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2304D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7A3CE40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53B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483C65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405CE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安防视频监控中心液晶拼接屏</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5175E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★1、LCD显示单元为：55“超窄边液晶屏；单元物理拼缝≤1.7mm，物理分辨率达到1920×1080，响应时间≤8.5ms。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2、LCD显示单元亮度达到500cd/㎡，静态对比度达到1200：1，图像显示清晰度≥950TVL，亮度鉴别等级为11级。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3、用户通过客户端设置开机延时时间，设备开机时根据延时时间执行开机动作。延时时间以ms为单位，范围0-3000ms。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4、内置MPEG、JPEG和 Real media解码器，支持点播U盘、移动硬盘中的视频、图片、音频或文本资源。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5、具有LED工作及故障状态指示灯，红色待机，绿色正常工作。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6、支持4比3、16比9、点对点等比例显示。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7、液晶显示单元支持U盘自动播放功能，开启状态下，自动读取U盘中的视频、图片或文本资源并播放。</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C424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FB42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24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4490F04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733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693F9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496CBB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显示器支架</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36395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55英寸-模块化支架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1、材质：优质冷轧钢板(SPCC)，材料厚度从T1.0-T5不等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2、颜色：黑色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3、厚度：主体330mm；底盘趴角830mm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4、表面处理：静电喷塑，涂层厚度&gt;60微米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5、底座高度：600mm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6、弧度：0°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58E6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492FB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24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5C5BD91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6EF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3"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13763A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2BF239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解码器</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02BE9B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框架式结构，机箱高度≤3U，≥2个10M/100M/1000M自适应以太网口，≥2个RS485/232复用口，≥4路HDMI输入接口、≥24路HDMI输出接口，输出分辨率支持≥3840×2160@30 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支持对HDMI输入视频源进行编码，编码分辨率不低于1080P，支持≥192路1080P视频同时解码输出，支持≥192个窗口；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支持网络、数字视频信号的接入和切换输出，支持解码H.265、H.264、MPEG4、MJPEG等主流的编码格式，支持PS、TS、ES、RTP等主流封装格式，支持ONVIF协议接入设备解码；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具有开窗、漫游、漂移、改变形状等功能，同时支持在底图上开窗漫游，支持窗口置底、置顶操作，支持断电保护功能，支持自动保存断电前的运行参数，重新加电后可恢复到断电前的状态；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支持将窗口、底图、字符叠加信息保存成场景，支持一键调用，场景保存方式支持以布局缩略图方式显示，输入信号切换时无花屏、无蓝屏、无肉眼可见的黑场现象；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支持用户添加、删除、修改、密码设置等操作，支持为不同用户设置不同管理权限（资源权限、配置权限、操作权限），支持设置≥64个用户；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支持通过抓屏软可将远程桌面实时解码上墙显示，实时画面帧率≥30fps，同时抓取≥8个4K信号上墙显示，且上墙前后CPU占用率无明显变化，支持在电视墙进行≥8画面分割显示，支持对远程桌面进行整屏、单窗口、自定义区域抓屏上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支持将一路输入视频图像发送至多个输出接口进行拼接显示，支持将多路输入视频图像发送至多个输出接口拼接显示；支持拼接不少于32路分辨率为1920×1080的视频图像；拼接时不同输出之间画面应同步、无撕裂感、无错位；支持多块屏幕图像的拼接，可将显示单元拼接成一个高分辨率的单一逻辑屏；全屏刷新时间≤20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单输出接口支持不少于16个分辨率≥4096×2160图层或16个分辨率≥1920×1080图层；单张输出板卡支持不少于30个分辨率≥4096×2160图层；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输出分辨率支持支持自定义，设置范围宽不低于1280～3840、高不低于720～2160可设；支持根据屏的点数及显示面积制定输出分辨率，通过软件内部界面设置及相应的点数划分制定功能实现自适应，支持将自定义分辨率添加到系统默认列表中；</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1CECC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0C6A1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315D2A2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574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7270E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074DF9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操作终端</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42BB0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CPU：≥8核/2.3GHz/内存：16GB/硬盘：256G SSD/显示器：23.8英寸、鼠标键盘/显卡：2G独显/DVD刻录/操作系统：（激活）</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D9162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D661D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4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40EBB72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C2B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0C394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D0ED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双人值班坐席</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5E1423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1.内部主框架为2.0mm热镀锌钢板；2.台面：采用优质高压耐磨防火板整体厚度≥27mm；3.台面边缘：前端使用≥38mm，后端面使用≥2mm的软聚氨酯封边条；4.前后门板为木质材料，厚度≥18mm； 5.强弱电分离，保障线路安全。桌面颜色可选。</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0C0D9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组</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9899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5 </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5DE50B9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23E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223135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4AEB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值班座椅</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7E2DE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优质西皮，高弹力海绵，实木扶手</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7E96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把</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E219A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10 </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011BCEF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787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37DCA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7D64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机柜</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53346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★规格（W*D*H）：600mm*1000mm*1200mm； 配置2个理线架，2个侧板，1个底板，2个固定托盘，1个全高竖装32A PDU。采用黑色， PDU外壳选用优质型材；PDU电压：AC220V，输入容量：32A，分路空开配置12*A10。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7E58B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347E4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6D319AF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4F1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510D8D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0C896D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高清线</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36798E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10米/根</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F453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289E1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22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72DD4A7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4D7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240" w:type="dxa"/>
            <w:tcBorders>
              <w:top w:val="single" w:color="000000" w:sz="4" w:space="0"/>
              <w:left w:val="single" w:color="000000" w:sz="4" w:space="0"/>
              <w:bottom w:val="single" w:color="000000" w:sz="4" w:space="0"/>
              <w:right w:val="single" w:color="000000" w:sz="4" w:space="0"/>
            </w:tcBorders>
            <w:noWrap/>
            <w:vAlign w:val="center"/>
          </w:tcPr>
          <w:p w14:paraId="3200A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50C3A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附材</w:t>
            </w:r>
          </w:p>
        </w:tc>
        <w:tc>
          <w:tcPr>
            <w:tcW w:w="8509" w:type="dxa"/>
            <w:tcBorders>
              <w:top w:val="single" w:color="000000" w:sz="4" w:space="0"/>
              <w:left w:val="single" w:color="000000" w:sz="4" w:space="0"/>
              <w:bottom w:val="single" w:color="000000" w:sz="4" w:space="0"/>
              <w:right w:val="single" w:color="000000" w:sz="4" w:space="0"/>
            </w:tcBorders>
            <w:noWrap w:val="0"/>
            <w:vAlign w:val="center"/>
          </w:tcPr>
          <w:p w14:paraId="0671A8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电源线、网线、线槽、水晶头等</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6C3F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150DC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53A161E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bl>
    <w:p w14:paraId="3AB3527D">
      <w:pPr>
        <w:rPr>
          <w:rFonts w:hint="eastAsia" w:ascii="宋体" w:hAnsi="宋体" w:eastAsia="宋体" w:cs="宋体"/>
          <w:highlight w:val="none"/>
        </w:rPr>
      </w:pPr>
      <w:r>
        <w:rPr>
          <w:rFonts w:hint="eastAsia" w:ascii="宋体" w:hAnsi="宋体" w:eastAsia="宋体" w:cs="宋体"/>
          <w:highlight w:val="none"/>
        </w:rPr>
        <w:br w:type="page"/>
      </w:r>
    </w:p>
    <w:tbl>
      <w:tblPr>
        <w:tblStyle w:val="17"/>
        <w:tblW w:w="10800" w:type="dxa"/>
        <w:tblInd w:w="-1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9"/>
        <w:gridCol w:w="668"/>
        <w:gridCol w:w="8523"/>
        <w:gridCol w:w="355"/>
        <w:gridCol w:w="572"/>
        <w:gridCol w:w="423"/>
      </w:tblGrid>
      <w:tr w14:paraId="3505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0" w:type="dxa"/>
            <w:gridSpan w:val="6"/>
            <w:tcBorders>
              <w:top w:val="single" w:color="000000" w:sz="4" w:space="0"/>
              <w:left w:val="single" w:color="000000" w:sz="4" w:space="0"/>
              <w:bottom w:val="single" w:color="000000" w:sz="4" w:space="0"/>
              <w:right w:val="single" w:color="000000" w:sz="4" w:space="0"/>
            </w:tcBorders>
            <w:noWrap/>
            <w:vAlign w:val="center"/>
          </w:tcPr>
          <w:p w14:paraId="1E28A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2.7校园广播建设</w:t>
            </w:r>
          </w:p>
        </w:tc>
      </w:tr>
      <w:tr w14:paraId="1CBB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9" w:type="dxa"/>
            <w:tcBorders>
              <w:top w:val="single" w:color="000000" w:sz="4" w:space="0"/>
              <w:left w:val="single" w:color="000000" w:sz="4" w:space="0"/>
              <w:bottom w:val="nil"/>
              <w:right w:val="single" w:color="000000" w:sz="4" w:space="0"/>
            </w:tcBorders>
            <w:noWrap/>
            <w:vAlign w:val="center"/>
          </w:tcPr>
          <w:p w14:paraId="2017C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668" w:type="dxa"/>
            <w:tcBorders>
              <w:top w:val="single" w:color="000000" w:sz="4" w:space="0"/>
              <w:left w:val="single" w:color="000000" w:sz="4" w:space="0"/>
              <w:bottom w:val="nil"/>
              <w:right w:val="single" w:color="000000" w:sz="4" w:space="0"/>
            </w:tcBorders>
            <w:noWrap/>
            <w:vAlign w:val="center"/>
          </w:tcPr>
          <w:p w14:paraId="7779B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8523" w:type="dxa"/>
            <w:tcBorders>
              <w:top w:val="single" w:color="000000" w:sz="4" w:space="0"/>
              <w:left w:val="single" w:color="000000" w:sz="4" w:space="0"/>
              <w:bottom w:val="nil"/>
              <w:right w:val="single" w:color="000000" w:sz="4" w:space="0"/>
            </w:tcBorders>
            <w:noWrap/>
            <w:vAlign w:val="center"/>
          </w:tcPr>
          <w:p w14:paraId="10F9C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功能参数</w:t>
            </w:r>
          </w:p>
        </w:tc>
        <w:tc>
          <w:tcPr>
            <w:tcW w:w="355" w:type="dxa"/>
            <w:tcBorders>
              <w:top w:val="single" w:color="000000" w:sz="4" w:space="0"/>
              <w:left w:val="single" w:color="000000" w:sz="4" w:space="0"/>
              <w:bottom w:val="nil"/>
              <w:right w:val="single" w:color="000000" w:sz="4" w:space="0"/>
            </w:tcBorders>
            <w:noWrap/>
            <w:vAlign w:val="center"/>
          </w:tcPr>
          <w:p w14:paraId="103865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72" w:type="dxa"/>
            <w:tcBorders>
              <w:top w:val="single" w:color="000000" w:sz="4" w:space="0"/>
              <w:left w:val="single" w:color="000000" w:sz="4" w:space="0"/>
              <w:bottom w:val="nil"/>
              <w:right w:val="single" w:color="000000" w:sz="4" w:space="0"/>
            </w:tcBorders>
            <w:noWrap/>
            <w:vAlign w:val="center"/>
          </w:tcPr>
          <w:p w14:paraId="3C84C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666DAC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0D28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0" w:type="dxa"/>
            <w:gridSpan w:val="6"/>
            <w:tcBorders>
              <w:top w:val="single" w:color="000000" w:sz="4" w:space="0"/>
              <w:left w:val="single" w:color="000000" w:sz="4" w:space="0"/>
              <w:bottom w:val="single" w:color="000000" w:sz="4" w:space="0"/>
              <w:right w:val="single" w:color="000000" w:sz="4" w:space="0"/>
            </w:tcBorders>
            <w:noWrap/>
            <w:vAlign w:val="center"/>
          </w:tcPr>
          <w:p w14:paraId="177B273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一、前端设备</w:t>
            </w:r>
          </w:p>
        </w:tc>
      </w:tr>
      <w:tr w14:paraId="1DA6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50" w:type="dxa"/>
            <w:gridSpan w:val="3"/>
            <w:tcBorders>
              <w:top w:val="single" w:color="000000" w:sz="4" w:space="0"/>
              <w:left w:val="single" w:color="000000" w:sz="4" w:space="0"/>
              <w:bottom w:val="single" w:color="000000" w:sz="4" w:space="0"/>
              <w:right w:val="single" w:color="000000" w:sz="4" w:space="0"/>
            </w:tcBorders>
            <w:noWrap/>
            <w:vAlign w:val="center"/>
          </w:tcPr>
          <w:p w14:paraId="10B349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教室</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5289FFC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00F994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4AB352B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28F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4A63EE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9E71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IP网络音箱（带2.4G多功能手持MP3话筒）</w:t>
            </w:r>
          </w:p>
        </w:tc>
        <w:tc>
          <w:tcPr>
            <w:tcW w:w="8523" w:type="dxa"/>
            <w:tcBorders>
              <w:top w:val="single" w:color="000000" w:sz="4" w:space="0"/>
              <w:left w:val="nil"/>
              <w:bottom w:val="single" w:color="000000" w:sz="4" w:space="0"/>
              <w:right w:val="single" w:color="000000" w:sz="4" w:space="0"/>
            </w:tcBorders>
            <w:noWrap w:val="0"/>
            <w:vAlign w:val="center"/>
          </w:tcPr>
          <w:p w14:paraId="374D7E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1.内置≥1路网络硬件音频解码模块,具有≥1路RJ45网络接口，≥100Mbps传输速率。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2.支持≥1路音频线路输入接口，具有独立的音量调节功能。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3.设备集成有数字功放，功率≥2×20W（MAX），具有≥1个主音箱和≥1个副音箱。</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4.设备内置有主备切换检测模块，在断网或断电的故障情况下，实现自动切换到≥100V定压备份通道，主备切换过程无卡顿、不掉字；在通网或通电情况下，恢复主通道。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5.设备内置2.4G无线音频模块，配备头戴式话筒，支持音量调节。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6.多功能话筒支持调节2.4G麦克风音量功能，支持录音功能，带激光笔和PPT翻页功能。</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6E6AC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267BB0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110</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2E710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主教学楼+互动教室</w:t>
            </w:r>
          </w:p>
        </w:tc>
      </w:tr>
      <w:tr w14:paraId="5750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0" w:type="dxa"/>
            <w:gridSpan w:val="3"/>
            <w:tcBorders>
              <w:top w:val="single" w:color="000000" w:sz="4" w:space="0"/>
              <w:left w:val="single" w:color="000000" w:sz="4" w:space="0"/>
              <w:bottom w:val="single" w:color="000000" w:sz="4" w:space="0"/>
              <w:right w:val="single" w:color="000000" w:sz="4" w:space="0"/>
            </w:tcBorders>
            <w:noWrap/>
            <w:vAlign w:val="center"/>
          </w:tcPr>
          <w:p w14:paraId="34DE16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主教学楼</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1B12E49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C78384C">
            <w:pPr>
              <w:keepNext w:val="0"/>
              <w:keepLines w:val="0"/>
              <w:pageBreakBefore w:val="0"/>
              <w:kinsoku/>
              <w:wordWrap/>
              <w:overflowPunct/>
              <w:topLinePunct w:val="0"/>
              <w:autoSpaceDE/>
              <w:autoSpaceDN/>
              <w:bidi w:val="0"/>
              <w:adjustRightInd/>
              <w:snapToGrid/>
              <w:spacing w:line="240" w:lineRule="exact"/>
              <w:jc w:val="left"/>
              <w:rPr>
                <w:rFonts w:hint="eastAsia" w:ascii="新宋体" w:hAnsi="新宋体" w:eastAsia="新宋体" w:cs="新宋体"/>
                <w:b w:val="0"/>
                <w:bCs w:val="0"/>
                <w:i w:val="0"/>
                <w:iCs w:val="0"/>
                <w:color w:val="000000"/>
                <w:sz w:val="20"/>
                <w:szCs w:val="20"/>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42369D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898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4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2C08F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0720D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IP终端</w:t>
            </w:r>
          </w:p>
        </w:tc>
        <w:tc>
          <w:tcPr>
            <w:tcW w:w="8523" w:type="dxa"/>
            <w:tcBorders>
              <w:top w:val="single" w:color="000000" w:sz="4" w:space="0"/>
              <w:left w:val="nil"/>
              <w:bottom w:val="single" w:color="000000" w:sz="4" w:space="0"/>
              <w:right w:val="single" w:color="000000" w:sz="4" w:space="0"/>
            </w:tcBorders>
            <w:noWrap w:val="0"/>
            <w:vAlign w:val="center"/>
          </w:tcPr>
          <w:p w14:paraId="0E32A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1.设备采用≥19英寸机架设计，带有LCD显示屏。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2.支持≥1路线路输入和≥1路话筒输入接口，可独立调节音量；支持高低音调节电位器控制。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3.具有≥1路EMC输入接口，具有最高优先级；具有≥1路音频输出接口。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4.具有≥2路三线制强切输出接口，无需强切电源。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5.支持≥2路电源输出插座，内置智能电源管理，无音乐或呼叫时，自动切断输出座电源，有信号时自动打开输出座电源。</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0FB018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39E46A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1498B3F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8C7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4C219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647FE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IP网络功放终端</w:t>
            </w:r>
          </w:p>
        </w:tc>
        <w:tc>
          <w:tcPr>
            <w:tcW w:w="8523" w:type="dxa"/>
            <w:tcBorders>
              <w:top w:val="single" w:color="000000" w:sz="4" w:space="0"/>
              <w:left w:val="nil"/>
              <w:bottom w:val="single" w:color="000000" w:sz="4" w:space="0"/>
              <w:right w:val="single" w:color="000000" w:sz="4" w:space="0"/>
            </w:tcBorders>
            <w:noWrap w:val="0"/>
            <w:vAlign w:val="center"/>
          </w:tcPr>
          <w:p w14:paraId="601BDF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1.设备采用标准≥19英寸机架设计，带有LCD显示屏。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2.内置≥1路网络硬件音频解码模块。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3.支持≥1路线路输入和≥1路话筒输入接口，可独立调节音量。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4.支持高低音调节电位器控制。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5.具有≥1路EMC输入接口，具有最高优先级。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6.具有≥1路音频输出接口。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7.具有≥1路三线制强切输出接口，无需强切电源。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8.集成数字功放，功率≥240W；支持定压方式输出。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9.支持通过后台软件对终端进行远程固件升级。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10.具有≥1路RJ45网络接口，≥100Mbps传输速率。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11.设备内置有主备切换检测模块，在断网或断电的故障情况下，实现自动切换到100V定压备份通道，主备切换过程无卡顿、不掉字。</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0D8517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4234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E9D9D9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DF5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0A51D2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59D4C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壁挂音箱</w:t>
            </w:r>
          </w:p>
        </w:tc>
        <w:tc>
          <w:tcPr>
            <w:tcW w:w="8523" w:type="dxa"/>
            <w:tcBorders>
              <w:top w:val="single" w:color="000000" w:sz="4" w:space="0"/>
              <w:left w:val="nil"/>
              <w:bottom w:val="single" w:color="000000" w:sz="4" w:space="0"/>
              <w:right w:val="single" w:color="000000" w:sz="4" w:space="0"/>
            </w:tcBorders>
            <w:noWrap w:val="0"/>
            <w:vAlign w:val="center"/>
          </w:tcPr>
          <w:p w14:paraId="537C6C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1．额定功率（100V）：3W,6W,10W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2．额定功率（70V）：1.5W,3W,5W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3．灵敏度：91dB±3dB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4．频率响应：130Hz-18KHz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5．喇叭单元：6.5"×1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6．防护等级：IP5X</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32FADD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7F8A18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31F32DE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C51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5"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57F01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063E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寻呼话筒</w:t>
            </w:r>
          </w:p>
        </w:tc>
        <w:tc>
          <w:tcPr>
            <w:tcW w:w="8523" w:type="dxa"/>
            <w:tcBorders>
              <w:top w:val="single" w:color="000000" w:sz="4" w:space="0"/>
              <w:left w:val="nil"/>
              <w:bottom w:val="single" w:color="000000" w:sz="4" w:space="0"/>
              <w:right w:val="single" w:color="000000" w:sz="4" w:space="0"/>
            </w:tcBorders>
            <w:noWrap w:val="0"/>
            <w:vAlign w:val="center"/>
          </w:tcPr>
          <w:p w14:paraId="54DCB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1.采用话筒桌面式设计，带有显示屏，带触摸控制功能；显示屏自带数字键、功能键，支持通过触摸呼叫广播，支持呼叫分区及多个分区，呼叫全区广播；可支持≥9个按键自定义一键呼叫广播功能。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2.内置≥1路网络硬件音频解码模块，具有≥1路RJ45网络接口，≥100Mbps传输速率。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3.支持监听任意终端功能，内置≥2W全频扬声器，实现双向通话和网络监听。</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4.支持≥1路音频线路输入，支持采集播放功能；具有≥1路音频线路输出，可外接功率放大器。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5.支持直接操作呼叫或对讲任意终端，支持通过话筒广播呼叫功能，广播延时低于100毫秒。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6.支持多种呼叫策略，包括无响应转移、占线转移、关机转移；自动接听、手动接听，支持自定义接听提示音，支持转移时间、无人接听时间、呼叫等待时间自定义。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7.具有≥1个3.5耳机接口、≥1路3.5话筒输入接口。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8.具有≥1路短路输出接口、≥1路短路输入接口。</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0DCF7B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F6AB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48820DF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FF0000"/>
                <w:sz w:val="20"/>
                <w:szCs w:val="20"/>
                <w:highlight w:val="none"/>
                <w:u w:val="none"/>
              </w:rPr>
            </w:pPr>
          </w:p>
        </w:tc>
      </w:tr>
      <w:tr w14:paraId="5EFA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0" w:type="dxa"/>
            <w:gridSpan w:val="3"/>
            <w:tcBorders>
              <w:top w:val="single" w:color="000000" w:sz="4" w:space="0"/>
              <w:left w:val="single" w:color="000000" w:sz="4" w:space="0"/>
              <w:bottom w:val="single" w:color="000000" w:sz="4" w:space="0"/>
              <w:right w:val="single" w:color="000000" w:sz="4" w:space="0"/>
            </w:tcBorders>
            <w:noWrap w:val="0"/>
            <w:vAlign w:val="center"/>
          </w:tcPr>
          <w:p w14:paraId="022064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体育馆</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6FE778F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3B5B24A">
            <w:pPr>
              <w:keepNext w:val="0"/>
              <w:keepLines w:val="0"/>
              <w:pageBreakBefore w:val="0"/>
              <w:kinsoku/>
              <w:wordWrap/>
              <w:overflowPunct/>
              <w:topLinePunct w:val="0"/>
              <w:autoSpaceDE/>
              <w:autoSpaceDN/>
              <w:bidi w:val="0"/>
              <w:adjustRightInd/>
              <w:snapToGrid/>
              <w:spacing w:line="240" w:lineRule="exact"/>
              <w:jc w:val="left"/>
              <w:rPr>
                <w:rFonts w:hint="eastAsia" w:ascii="新宋体" w:hAnsi="新宋体" w:eastAsia="新宋体" w:cs="新宋体"/>
                <w:b w:val="0"/>
                <w:bCs w:val="0"/>
                <w:i w:val="0"/>
                <w:iCs w:val="0"/>
                <w:color w:val="000000"/>
                <w:sz w:val="20"/>
                <w:szCs w:val="20"/>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14A7D25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309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34B78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2F58F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IP网络功放终端</w:t>
            </w:r>
          </w:p>
        </w:tc>
        <w:tc>
          <w:tcPr>
            <w:tcW w:w="8523" w:type="dxa"/>
            <w:tcBorders>
              <w:top w:val="single" w:color="000000" w:sz="4" w:space="0"/>
              <w:left w:val="nil"/>
              <w:bottom w:val="single" w:color="000000" w:sz="4" w:space="0"/>
              <w:right w:val="single" w:color="000000" w:sz="4" w:space="0"/>
            </w:tcBorders>
            <w:noWrap w:val="0"/>
            <w:vAlign w:val="center"/>
          </w:tcPr>
          <w:p w14:paraId="2FBD5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1.设备采用标准≥19英寸机架设计，带有LCD显示屏。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2.内置≥1路网络硬件音频解码模块。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3.支持≥1路线路输入和≥1路话筒输入接口，可独立调节音量。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4.支持高低音调节电位器控制。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5.具有≥1路EMC输入接口，具有最高优先级。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6.具有≥1路音频输出接口。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7.具有≥1路三线制强切输出接口，无需强切电源。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8.集成数字功放，功率≥500W；支持定压方式输出。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9.支持通过后台软件对终端进行远程固件升级。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10.具有≥1路RJ45网络接口，≥100Mbps传输速率。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11.设备内置有主备切换检测模块，在断网或断电的故障情况下，实现自动切换到100V定压备份通道，主备切换过程无卡顿、不掉字。</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40BF3B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B0E68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1D38CEC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37B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75B430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3EB9A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壁挂音箱</w:t>
            </w:r>
          </w:p>
        </w:tc>
        <w:tc>
          <w:tcPr>
            <w:tcW w:w="8523" w:type="dxa"/>
            <w:tcBorders>
              <w:top w:val="single" w:color="000000" w:sz="4" w:space="0"/>
              <w:left w:val="nil"/>
              <w:bottom w:val="single" w:color="000000" w:sz="4" w:space="0"/>
              <w:right w:val="single" w:color="000000" w:sz="4" w:space="0"/>
            </w:tcBorders>
            <w:noWrap w:val="0"/>
            <w:vAlign w:val="center"/>
          </w:tcPr>
          <w:p w14:paraId="72C998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1．额定功率（100V）：3W,6W,10W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2．额定功率（70V）：1.5W,3W,5W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3．灵敏度：91dB±3dB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4．频率响应：130Hz-18KHz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5．喇叭单元：6.5"×1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6．防护等级：IP5X</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58F618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6E8E4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93E6D7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251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50498F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39267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音柱</w:t>
            </w:r>
          </w:p>
        </w:tc>
        <w:tc>
          <w:tcPr>
            <w:tcW w:w="8523" w:type="dxa"/>
            <w:tcBorders>
              <w:top w:val="single" w:color="000000" w:sz="4" w:space="0"/>
              <w:left w:val="nil"/>
              <w:bottom w:val="single" w:color="000000" w:sz="4" w:space="0"/>
              <w:right w:val="single" w:color="000000" w:sz="4" w:space="0"/>
            </w:tcBorders>
            <w:noWrap w:val="0"/>
            <w:vAlign w:val="center"/>
          </w:tcPr>
          <w:p w14:paraId="4551A7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1．额定功率（100V）：12.5W,25W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2．额定功率（70V）：6.2W,12.5W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3．灵敏度：91dB±3dB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4．阻抗：黑:COM白:800</w:t>
            </w:r>
            <w:r>
              <w:rPr>
                <w:rStyle w:val="25"/>
                <w:rFonts w:eastAsia="宋体"/>
                <w:b w:val="0"/>
                <w:bCs w:val="0"/>
                <w:highlight w:val="none"/>
                <w:lang w:val="en-US" w:eastAsia="zh-CN" w:bidi="ar"/>
              </w:rPr>
              <w:t>Ω</w:t>
            </w:r>
            <w:r>
              <w:rPr>
                <w:rFonts w:hint="eastAsia" w:ascii="宋体" w:hAnsi="宋体" w:eastAsia="宋体" w:cs="宋体"/>
                <w:b w:val="0"/>
                <w:bCs w:val="0"/>
                <w:i w:val="0"/>
                <w:iCs w:val="0"/>
                <w:color w:val="000000"/>
                <w:kern w:val="0"/>
                <w:sz w:val="20"/>
                <w:szCs w:val="20"/>
                <w:highlight w:val="none"/>
                <w:u w:val="none"/>
                <w:lang w:val="en-US" w:eastAsia="zh-CN" w:bidi="ar"/>
              </w:rPr>
              <w:t>绿:400</w:t>
            </w:r>
            <w:r>
              <w:rPr>
                <w:rStyle w:val="25"/>
                <w:rFonts w:eastAsia="宋体"/>
                <w:b w:val="0"/>
                <w:bCs w:val="0"/>
                <w:highlight w:val="none"/>
                <w:lang w:val="en-US" w:eastAsia="zh-CN" w:bidi="ar"/>
              </w:rPr>
              <w:t>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5．频率响应：50Hz-18KHz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6．喇叭单元：4"×2,2.5"×1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7．防护等级：IP66</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5F309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2BC57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新宋体" w:hAnsi="新宋体" w:eastAsia="新宋体" w:cs="新宋体"/>
                <w:b w:val="0"/>
                <w:bCs w:val="0"/>
                <w:i w:val="0"/>
                <w:iCs w:val="0"/>
                <w:color w:val="000000"/>
                <w:sz w:val="20"/>
                <w:szCs w:val="20"/>
                <w:highlight w:val="none"/>
                <w:u w:val="none"/>
              </w:rPr>
            </w:pPr>
            <w:r>
              <w:rPr>
                <w:rFonts w:hint="eastAsia" w:ascii="新宋体" w:hAnsi="新宋体" w:eastAsia="新宋体" w:cs="新宋体"/>
                <w:b w:val="0"/>
                <w:bCs w:val="0"/>
                <w:i w:val="0"/>
                <w:iCs w:val="0"/>
                <w:color w:val="000000"/>
                <w:kern w:val="0"/>
                <w:sz w:val="20"/>
                <w:szCs w:val="20"/>
                <w:highlight w:val="none"/>
                <w:u w:val="none"/>
                <w:lang w:val="en-US" w:eastAsia="zh-CN" w:bidi="ar"/>
              </w:rPr>
              <w:t xml:space="preserve">8 </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3B0C2B1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89B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0" w:type="dxa"/>
            <w:gridSpan w:val="3"/>
            <w:tcBorders>
              <w:top w:val="single" w:color="000000" w:sz="4" w:space="0"/>
              <w:left w:val="single" w:color="000000" w:sz="4" w:space="0"/>
              <w:bottom w:val="single" w:color="000000" w:sz="4" w:space="0"/>
              <w:right w:val="single" w:color="000000" w:sz="4" w:space="0"/>
            </w:tcBorders>
            <w:noWrap w:val="0"/>
            <w:vAlign w:val="center"/>
          </w:tcPr>
          <w:p w14:paraId="7A72F1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图书馆</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4126CBC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DBE945D">
            <w:pPr>
              <w:keepNext w:val="0"/>
              <w:keepLines w:val="0"/>
              <w:pageBreakBefore w:val="0"/>
              <w:kinsoku/>
              <w:wordWrap/>
              <w:overflowPunct/>
              <w:topLinePunct w:val="0"/>
              <w:autoSpaceDE/>
              <w:autoSpaceDN/>
              <w:bidi w:val="0"/>
              <w:adjustRightInd/>
              <w:snapToGrid/>
              <w:spacing w:line="240" w:lineRule="exact"/>
              <w:jc w:val="left"/>
              <w:rPr>
                <w:rFonts w:hint="eastAsia" w:ascii="新宋体" w:hAnsi="新宋体" w:eastAsia="新宋体" w:cs="新宋体"/>
                <w:b w:val="0"/>
                <w:bCs w:val="0"/>
                <w:i w:val="0"/>
                <w:iCs w:val="0"/>
                <w:color w:val="000000"/>
                <w:sz w:val="20"/>
                <w:szCs w:val="20"/>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1A6C409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F1F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7AAC74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98FD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IP网络功放终端</w:t>
            </w:r>
          </w:p>
        </w:tc>
        <w:tc>
          <w:tcPr>
            <w:tcW w:w="8523" w:type="dxa"/>
            <w:tcBorders>
              <w:top w:val="single" w:color="000000" w:sz="4" w:space="0"/>
              <w:left w:val="nil"/>
              <w:bottom w:val="single" w:color="000000" w:sz="4" w:space="0"/>
              <w:right w:val="single" w:color="000000" w:sz="4" w:space="0"/>
            </w:tcBorders>
            <w:noWrap w:val="0"/>
            <w:vAlign w:val="center"/>
          </w:tcPr>
          <w:p w14:paraId="4DFA7F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1.设备采用标准≥19英寸机架设计，带有LCD显示屏。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2.内置≥1路网络硬件音频解码模块。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3.支持≥1路线路输入和≥1路话筒输入接口，可独立调节音量。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4.支持高低音调节电位器控制。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5.具有≥1路EMC输入接口，具有最高优先级。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6.具有≥1路音频输出接口。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7.具有≥1路三线制强切输出接口，无需强切电源。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8.集成数字功放，功率≥120W；支持定压方式输出。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9.支持通过后台软件对终端进行远程固件升级。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10.具有≥1路RJ45网络接口，≥100Mbps传输速率。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11.设备内置有主备切换检测模块，在断网或断电的故障情况下，实现自动切换到100V定压备份通道，主备切换过程无卡顿、不掉字。</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08D32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2666E9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新宋体" w:hAnsi="新宋体" w:eastAsia="新宋体" w:cs="新宋体"/>
                <w:b w:val="0"/>
                <w:bCs w:val="0"/>
                <w:i w:val="0"/>
                <w:iCs w:val="0"/>
                <w:color w:val="000000"/>
                <w:sz w:val="20"/>
                <w:szCs w:val="20"/>
                <w:highlight w:val="none"/>
                <w:u w:val="none"/>
              </w:rPr>
            </w:pPr>
            <w:r>
              <w:rPr>
                <w:rFonts w:hint="eastAsia" w:ascii="新宋体" w:hAnsi="新宋体" w:eastAsia="新宋体" w:cs="新宋体"/>
                <w:b w:val="0"/>
                <w:bCs w:val="0"/>
                <w:i w:val="0"/>
                <w:iCs w:val="0"/>
                <w:color w:val="000000"/>
                <w:kern w:val="0"/>
                <w:sz w:val="20"/>
                <w:szCs w:val="20"/>
                <w:highlight w:val="none"/>
                <w:u w:val="none"/>
                <w:lang w:val="en-US" w:eastAsia="zh-CN" w:bidi="ar"/>
              </w:rPr>
              <w:t xml:space="preserve">2 </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2CD4F1F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90C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6BCB1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471F0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IP网络功放终端</w:t>
            </w:r>
          </w:p>
        </w:tc>
        <w:tc>
          <w:tcPr>
            <w:tcW w:w="8523" w:type="dxa"/>
            <w:tcBorders>
              <w:top w:val="single" w:color="000000" w:sz="4" w:space="0"/>
              <w:left w:val="nil"/>
              <w:bottom w:val="single" w:color="000000" w:sz="4" w:space="0"/>
              <w:right w:val="single" w:color="000000" w:sz="4" w:space="0"/>
            </w:tcBorders>
            <w:noWrap w:val="0"/>
            <w:vAlign w:val="center"/>
          </w:tcPr>
          <w:p w14:paraId="6C212A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1.设备采用标准≥19英寸机架设计，带有LCD显示屏。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2.内置≥1路网络硬件音频解码模块。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3.支持≥1路线路输入和≥1路话筒输入接口，可独立调节音量。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4.支持高低音调节电位器控制。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5.具有≥1路EMC输入接口，具有最高优先级。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6.具有≥1路音频输出接口。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7.具有≥1路三线制强切输出接口，无需强切电源。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8.集成数字功放，功率≥500W；支持定压方式输出。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9.支持通过后台软件对终端进行远程固件升级。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10.具有≥1路RJ45网络接口，≥100Mbps传输速率。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11.设备内置有主备切换检测模块，在断网或断电的故障情况下，实现自动切换到100V定压备份通道，主备切换过程无卡顿、不掉字。</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0B105F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CE44B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2976601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4C3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47798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B2A6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壁挂音箱</w:t>
            </w:r>
          </w:p>
        </w:tc>
        <w:tc>
          <w:tcPr>
            <w:tcW w:w="8523" w:type="dxa"/>
            <w:tcBorders>
              <w:top w:val="single" w:color="000000" w:sz="4" w:space="0"/>
              <w:left w:val="nil"/>
              <w:bottom w:val="single" w:color="000000" w:sz="4" w:space="0"/>
              <w:right w:val="single" w:color="000000" w:sz="4" w:space="0"/>
            </w:tcBorders>
            <w:noWrap w:val="0"/>
            <w:vAlign w:val="center"/>
          </w:tcPr>
          <w:p w14:paraId="2E9048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1．额定功率（100V）：3W,6W,10W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2．额定功率（70V）：1.5W,3W,5W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3．灵敏度：91dB±3dB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4．频率响应：130Hz-18KHz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5．喇叭单元：6.5"×1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6．防护等级：IP5X</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00A15D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6AF0C5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9907B8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EFE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212FC1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9EFE5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音柱</w:t>
            </w:r>
          </w:p>
        </w:tc>
        <w:tc>
          <w:tcPr>
            <w:tcW w:w="8523" w:type="dxa"/>
            <w:tcBorders>
              <w:top w:val="single" w:color="000000" w:sz="4" w:space="0"/>
              <w:left w:val="nil"/>
              <w:bottom w:val="single" w:color="000000" w:sz="4" w:space="0"/>
              <w:right w:val="single" w:color="000000" w:sz="4" w:space="0"/>
            </w:tcBorders>
            <w:noWrap w:val="0"/>
            <w:vAlign w:val="center"/>
          </w:tcPr>
          <w:p w14:paraId="53988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1．额定功率（100V）：12.5W,25W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2．额定功率（70V）：6.2W,12.5W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3．灵敏度：91dB±3dB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4．阻抗：黑:COM白:800Ω绿:400Ω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5．频率响应：50Hz-18KHz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6．喇叭单元：4"×2,2.5"×1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7．防护等级：IP66</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4EF1A6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1EBF2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新宋体" w:hAnsi="新宋体" w:eastAsia="新宋体" w:cs="新宋体"/>
                <w:b w:val="0"/>
                <w:bCs w:val="0"/>
                <w:i w:val="0"/>
                <w:iCs w:val="0"/>
                <w:color w:val="000000"/>
                <w:sz w:val="20"/>
                <w:szCs w:val="20"/>
                <w:highlight w:val="none"/>
                <w:u w:val="none"/>
              </w:rPr>
            </w:pPr>
            <w:r>
              <w:rPr>
                <w:rFonts w:hint="eastAsia" w:ascii="新宋体" w:hAnsi="新宋体" w:eastAsia="新宋体" w:cs="新宋体"/>
                <w:b w:val="0"/>
                <w:bCs w:val="0"/>
                <w:i w:val="0"/>
                <w:iCs w:val="0"/>
                <w:color w:val="000000"/>
                <w:kern w:val="0"/>
                <w:sz w:val="20"/>
                <w:szCs w:val="20"/>
                <w:highlight w:val="none"/>
                <w:u w:val="none"/>
                <w:lang w:val="en-US" w:eastAsia="zh-CN" w:bidi="ar"/>
              </w:rPr>
              <w:t xml:space="preserve">16 </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3222990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275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79AFC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570D0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天花喇叭</w:t>
            </w:r>
          </w:p>
        </w:tc>
        <w:tc>
          <w:tcPr>
            <w:tcW w:w="8523" w:type="dxa"/>
            <w:tcBorders>
              <w:top w:val="single" w:color="000000" w:sz="4" w:space="0"/>
              <w:left w:val="nil"/>
              <w:bottom w:val="single" w:color="000000" w:sz="4" w:space="0"/>
              <w:right w:val="single" w:color="000000" w:sz="4" w:space="0"/>
            </w:tcBorders>
            <w:noWrap w:val="0"/>
            <w:vAlign w:val="center"/>
          </w:tcPr>
          <w:p w14:paraId="40612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1.额定功率(100V)：1.5W, 3W, 6W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2.额定功率(70V)：0.75W, 1.5W, 3W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3.灵敏度(1W/1M)：≥92dB±3dB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4.频率响应(-10dB)：等同或优于110Hz-18kHz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5.喇叭单元：≥5"×1</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6841D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5F9A2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新宋体" w:hAnsi="新宋体" w:eastAsia="新宋体" w:cs="新宋体"/>
                <w:b w:val="0"/>
                <w:bCs w:val="0"/>
                <w:i w:val="0"/>
                <w:iCs w:val="0"/>
                <w:color w:val="000000"/>
                <w:sz w:val="20"/>
                <w:szCs w:val="20"/>
                <w:highlight w:val="none"/>
                <w:u w:val="none"/>
              </w:rPr>
            </w:pPr>
            <w:r>
              <w:rPr>
                <w:rFonts w:hint="eastAsia" w:ascii="新宋体" w:hAnsi="新宋体" w:eastAsia="新宋体" w:cs="新宋体"/>
                <w:b w:val="0"/>
                <w:bCs w:val="0"/>
                <w:i w:val="0"/>
                <w:iCs w:val="0"/>
                <w:color w:val="000000"/>
                <w:kern w:val="0"/>
                <w:sz w:val="20"/>
                <w:szCs w:val="20"/>
                <w:highlight w:val="none"/>
                <w:u w:val="none"/>
                <w:lang w:val="en-US" w:eastAsia="zh-CN" w:bidi="ar"/>
              </w:rPr>
              <w:t xml:space="preserve">40 </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7A2670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A7B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259" w:type="dxa"/>
            <w:tcBorders>
              <w:top w:val="single" w:color="000000" w:sz="4" w:space="0"/>
              <w:left w:val="single" w:color="000000" w:sz="4" w:space="0"/>
              <w:bottom w:val="single" w:color="000000" w:sz="4" w:space="0"/>
              <w:right w:val="single" w:color="000000" w:sz="4" w:space="0"/>
            </w:tcBorders>
            <w:noWrap w:val="0"/>
            <w:vAlign w:val="center"/>
          </w:tcPr>
          <w:p w14:paraId="141854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280CB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寻呼话筒</w:t>
            </w:r>
          </w:p>
        </w:tc>
        <w:tc>
          <w:tcPr>
            <w:tcW w:w="8523" w:type="dxa"/>
            <w:tcBorders>
              <w:top w:val="single" w:color="000000" w:sz="4" w:space="0"/>
              <w:left w:val="nil"/>
              <w:bottom w:val="single" w:color="000000" w:sz="4" w:space="0"/>
              <w:right w:val="single" w:color="000000" w:sz="4" w:space="0"/>
            </w:tcBorders>
            <w:noWrap w:val="0"/>
            <w:vAlign w:val="center"/>
          </w:tcPr>
          <w:p w14:paraId="75C639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1.采用话筒桌面式设计，带有显示屏，带触摸控制功能；显示屏自带数字键、功能键，支持通过触摸呼叫广播，支持呼叫分区及多个分区，呼叫全区广播；可支持≥9个按键自定义一键呼叫广播功能。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2.内置≥1路网络硬件音频解码模块，具有≥1路RJ45网络接口，≥100Mbps传输速率。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3.支持监听任意终端功能，内置≥2W全频扬声器，实现双向通话和网络监听。</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4.支持≥1路音频线路输入，支持采集播放功能；具有≥1路音频线路输出，可外接功率放大器。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5.支持直接操作呼叫或对讲任意终端，支持通过话筒广播呼叫功能，广播延时低于100毫秒。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6.支持多种呼叫策略，包括无响应转移、占线转移、关机转移；自动接听、手动接听，支持自定义接听提示音，支持转移时间、无人接听时间、呼叫等待时间自定义。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7.具有≥1个3.5耳机接口、≥1路3.5话筒输入接口。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8.具有≥1路短路输出接口、≥1路短路输入接口。</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1B351D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56E94E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714AE74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FF0000"/>
                <w:sz w:val="20"/>
                <w:szCs w:val="20"/>
                <w:highlight w:val="none"/>
                <w:u w:val="none"/>
              </w:rPr>
            </w:pPr>
          </w:p>
        </w:tc>
      </w:tr>
    </w:tbl>
    <w:p w14:paraId="7DAD732E">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br w:type="page"/>
      </w:r>
    </w:p>
    <w:tbl>
      <w:tblPr>
        <w:tblStyle w:val="17"/>
        <w:tblW w:w="10786" w:type="dxa"/>
        <w:tblInd w:w="-1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
        <w:gridCol w:w="655"/>
        <w:gridCol w:w="8536"/>
        <w:gridCol w:w="341"/>
        <w:gridCol w:w="573"/>
        <w:gridCol w:w="409"/>
      </w:tblGrid>
      <w:tr w14:paraId="30FC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63" w:type="dxa"/>
            <w:gridSpan w:val="3"/>
            <w:tcBorders>
              <w:top w:val="single" w:color="000000" w:sz="4" w:space="0"/>
              <w:left w:val="single" w:color="000000" w:sz="4" w:space="0"/>
              <w:bottom w:val="single" w:color="000000" w:sz="4" w:space="0"/>
              <w:right w:val="single" w:color="000000" w:sz="4" w:space="0"/>
            </w:tcBorders>
            <w:noWrap/>
            <w:vAlign w:val="center"/>
          </w:tcPr>
          <w:p w14:paraId="1F600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2#、3#、4#、5#实训车间</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3B98A9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75CF8B">
            <w:pPr>
              <w:keepNext w:val="0"/>
              <w:keepLines w:val="0"/>
              <w:pageBreakBefore w:val="0"/>
              <w:kinsoku/>
              <w:wordWrap/>
              <w:overflowPunct/>
              <w:topLinePunct w:val="0"/>
              <w:autoSpaceDE/>
              <w:autoSpaceDN/>
              <w:bidi w:val="0"/>
              <w:adjustRightInd/>
              <w:snapToGrid/>
              <w:spacing w:line="240" w:lineRule="exact"/>
              <w:jc w:val="left"/>
              <w:rPr>
                <w:rFonts w:hint="eastAsia" w:ascii="新宋体" w:hAnsi="新宋体" w:eastAsia="新宋体" w:cs="新宋体"/>
                <w:b w:val="0"/>
                <w:bCs w:val="0"/>
                <w:i w:val="0"/>
                <w:iCs w:val="0"/>
                <w:color w:val="000000"/>
                <w:sz w:val="20"/>
                <w:szCs w:val="20"/>
                <w:highlight w:val="none"/>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E45062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780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272" w:type="dxa"/>
            <w:tcBorders>
              <w:top w:val="single" w:color="000000" w:sz="4" w:space="0"/>
              <w:left w:val="single" w:color="000000" w:sz="4" w:space="0"/>
              <w:bottom w:val="single" w:color="000000" w:sz="4" w:space="0"/>
              <w:right w:val="single" w:color="000000" w:sz="4" w:space="0"/>
            </w:tcBorders>
            <w:noWrap w:val="0"/>
            <w:vAlign w:val="center"/>
          </w:tcPr>
          <w:p w14:paraId="0256AD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9470F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IP网络功放终端</w:t>
            </w:r>
          </w:p>
        </w:tc>
        <w:tc>
          <w:tcPr>
            <w:tcW w:w="8536" w:type="dxa"/>
            <w:tcBorders>
              <w:top w:val="single" w:color="000000" w:sz="4" w:space="0"/>
              <w:left w:val="nil"/>
              <w:bottom w:val="single" w:color="000000" w:sz="4" w:space="0"/>
              <w:right w:val="single" w:color="000000" w:sz="4" w:space="0"/>
            </w:tcBorders>
            <w:noWrap w:val="0"/>
            <w:vAlign w:val="center"/>
          </w:tcPr>
          <w:p w14:paraId="1DB51B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1.设备采用标准≥19英寸机架设计，带有LCD显示屏。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2.内置≥1路网络硬件音频解码模块。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3.支持≥1路线路输入和≥1路话筒输入接口，可独立调节音量。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4.支持高低音调节电位器控制。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5.具有≥1路EMC输入接口，具有最高优先级。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6.具有≥1路音频输出接口。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7.具有≥1路三线制强切输出接口，无需强切电源。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8.集成数字功放，功率≥240W；支持定压方式输出。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9.支持通过后台软件对终端进行远程固件升级。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10.具有≥1路RJ45网络接口，≥100Mbps传输速率。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11.设备内置有主备切换检测模块，在断网或断电的故障情况下，实现自动切换到100V定压备份通道，主备切换过程无卡顿、不掉字。</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B24C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9D3F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467CE7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C1F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3" w:hRule="atLeast"/>
        </w:trPr>
        <w:tc>
          <w:tcPr>
            <w:tcW w:w="272" w:type="dxa"/>
            <w:tcBorders>
              <w:top w:val="single" w:color="000000" w:sz="4" w:space="0"/>
              <w:left w:val="single" w:color="000000" w:sz="4" w:space="0"/>
              <w:bottom w:val="single" w:color="000000" w:sz="4" w:space="0"/>
              <w:right w:val="single" w:color="000000" w:sz="4" w:space="0"/>
            </w:tcBorders>
            <w:noWrap w:val="0"/>
            <w:vAlign w:val="center"/>
          </w:tcPr>
          <w:p w14:paraId="7029B9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B9579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壁挂音箱</w:t>
            </w:r>
          </w:p>
        </w:tc>
        <w:tc>
          <w:tcPr>
            <w:tcW w:w="8536" w:type="dxa"/>
            <w:tcBorders>
              <w:top w:val="single" w:color="000000" w:sz="4" w:space="0"/>
              <w:left w:val="nil"/>
              <w:bottom w:val="single" w:color="000000" w:sz="4" w:space="0"/>
              <w:right w:val="single" w:color="000000" w:sz="4" w:space="0"/>
            </w:tcBorders>
            <w:noWrap w:val="0"/>
            <w:vAlign w:val="center"/>
          </w:tcPr>
          <w:p w14:paraId="626D8B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1．额定功率（100V）：3W,6W,10W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2．额定功率（70V）：1.5W,3W,5W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3．灵敏度：91dB±3dB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4．频率响应：130Hz-18KHz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5．喇叭单元：6.5"×1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6．防护等级：IP5X</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C66E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4ED992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807872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bl>
    <w:p w14:paraId="4005C694">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br w:type="page"/>
      </w:r>
    </w:p>
    <w:tbl>
      <w:tblPr>
        <w:tblStyle w:val="17"/>
        <w:tblW w:w="10787" w:type="dxa"/>
        <w:tblInd w:w="-1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7"/>
        <w:gridCol w:w="832"/>
        <w:gridCol w:w="8155"/>
        <w:gridCol w:w="327"/>
        <w:gridCol w:w="600"/>
        <w:gridCol w:w="396"/>
      </w:tblGrid>
      <w:tr w14:paraId="35BB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64" w:type="dxa"/>
            <w:gridSpan w:val="3"/>
            <w:tcBorders>
              <w:top w:val="single" w:color="000000" w:sz="4" w:space="0"/>
              <w:left w:val="single" w:color="000000" w:sz="4" w:space="0"/>
              <w:bottom w:val="single" w:color="000000" w:sz="4" w:space="0"/>
              <w:right w:val="single" w:color="000000" w:sz="4" w:space="0"/>
            </w:tcBorders>
            <w:noWrap w:val="0"/>
            <w:vAlign w:val="center"/>
          </w:tcPr>
          <w:p w14:paraId="6DF71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二号食堂</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61C203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371A9F1">
            <w:pPr>
              <w:keepNext w:val="0"/>
              <w:keepLines w:val="0"/>
              <w:pageBreakBefore w:val="0"/>
              <w:kinsoku/>
              <w:wordWrap/>
              <w:overflowPunct/>
              <w:topLinePunct w:val="0"/>
              <w:autoSpaceDE/>
              <w:autoSpaceDN/>
              <w:bidi w:val="0"/>
              <w:adjustRightInd/>
              <w:snapToGrid/>
              <w:spacing w:line="240" w:lineRule="exact"/>
              <w:jc w:val="left"/>
              <w:rPr>
                <w:rFonts w:hint="eastAsia" w:ascii="新宋体" w:hAnsi="新宋体" w:eastAsia="新宋体" w:cs="新宋体"/>
                <w:b w:val="0"/>
                <w:bCs w:val="0"/>
                <w:i w:val="0"/>
                <w:iCs w:val="0"/>
                <w:color w:val="000000"/>
                <w:sz w:val="20"/>
                <w:szCs w:val="20"/>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9F9832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0E1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56C7A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9705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IP网络功放终端</w:t>
            </w:r>
          </w:p>
        </w:tc>
        <w:tc>
          <w:tcPr>
            <w:tcW w:w="8155" w:type="dxa"/>
            <w:tcBorders>
              <w:top w:val="single" w:color="000000" w:sz="4" w:space="0"/>
              <w:left w:val="nil"/>
              <w:bottom w:val="single" w:color="000000" w:sz="4" w:space="0"/>
              <w:right w:val="single" w:color="000000" w:sz="4" w:space="0"/>
            </w:tcBorders>
            <w:noWrap w:val="0"/>
            <w:vAlign w:val="center"/>
          </w:tcPr>
          <w:p w14:paraId="3F5DD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1.设备采用标准≥19英寸机架设计，带有LCD显示屏。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2.内置≥1路网络硬件音频解码模块。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3.支持≥1路线路输入和≥1路话筒输入接口，可独立调节音量。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4.支持高低音调节电位器控制。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5.具有≥1路EMC输入接口，具有最高优先级。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6.具有≥1路音频输出接口。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7.具有≥1路三线制强切输出接口，无需强切电源。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8.集成数字功放，功率≥240W；支持定压方式输出。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9.支持通过后台软件对终端进行远程固件升级。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10.具有≥1路RJ45网络接口，≥100Mbps传输速率。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11.设备内置有主备切换检测模块，在断网或断电的故障情况下，实现自动切换到100V定压备份通道，主备切换过程无卡顿、不掉字。</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7F08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09C67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新宋体" w:hAnsi="新宋体" w:eastAsia="新宋体" w:cs="新宋体"/>
                <w:b w:val="0"/>
                <w:bCs w:val="0"/>
                <w:i w:val="0"/>
                <w:iCs w:val="0"/>
                <w:color w:val="000000"/>
                <w:sz w:val="20"/>
                <w:szCs w:val="20"/>
                <w:highlight w:val="none"/>
                <w:u w:val="none"/>
              </w:rPr>
            </w:pPr>
            <w:r>
              <w:rPr>
                <w:rFonts w:hint="eastAsia" w:ascii="新宋体" w:hAnsi="新宋体" w:eastAsia="新宋体" w:cs="新宋体"/>
                <w:b w:val="0"/>
                <w:bCs w:val="0"/>
                <w:i w:val="0"/>
                <w:iCs w:val="0"/>
                <w:color w:val="000000"/>
                <w:kern w:val="0"/>
                <w:sz w:val="20"/>
                <w:szCs w:val="20"/>
                <w:highlight w:val="none"/>
                <w:u w:val="none"/>
                <w:lang w:val="en-US" w:eastAsia="zh-CN" w:bidi="ar"/>
              </w:rPr>
              <w:t xml:space="preserve">2 </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9F4870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E86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04226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E9C9C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壁挂音箱</w:t>
            </w:r>
          </w:p>
        </w:tc>
        <w:tc>
          <w:tcPr>
            <w:tcW w:w="8155" w:type="dxa"/>
            <w:tcBorders>
              <w:top w:val="single" w:color="000000" w:sz="4" w:space="0"/>
              <w:left w:val="nil"/>
              <w:bottom w:val="single" w:color="000000" w:sz="4" w:space="0"/>
              <w:right w:val="single" w:color="000000" w:sz="4" w:space="0"/>
            </w:tcBorders>
            <w:noWrap w:val="0"/>
            <w:vAlign w:val="center"/>
          </w:tcPr>
          <w:p w14:paraId="13FDB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1．额定功率（100V）：3W,6W,10W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2．额定功率（70V）：1.5W,3W,5W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3．灵敏度：91dB±3dB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4．频率响应：130Hz-18KHz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5．喇叭单元：6.5"×1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6．防护等级：IP5X</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319A0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E510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D79352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913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5B5FF1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0427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音柱</w:t>
            </w:r>
          </w:p>
        </w:tc>
        <w:tc>
          <w:tcPr>
            <w:tcW w:w="8155" w:type="dxa"/>
            <w:tcBorders>
              <w:top w:val="single" w:color="000000" w:sz="4" w:space="0"/>
              <w:left w:val="nil"/>
              <w:bottom w:val="single" w:color="000000" w:sz="4" w:space="0"/>
              <w:right w:val="single" w:color="000000" w:sz="4" w:space="0"/>
            </w:tcBorders>
            <w:noWrap w:val="0"/>
            <w:vAlign w:val="center"/>
          </w:tcPr>
          <w:p w14:paraId="1A3E56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1．额定功率（100V）：12.5W,25W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2．额定功率（70V）：6.2W,12.5W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3．灵敏度：91dB±3dB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4．阻抗：黑:COM白:800Ω绿:400Ω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5．频率响应：50Hz-18KHz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6．喇叭单元：4"×2,2.5"×1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7．防护等级：IP66</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01CA88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F9931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新宋体" w:hAnsi="新宋体" w:eastAsia="新宋体" w:cs="新宋体"/>
                <w:b w:val="0"/>
                <w:bCs w:val="0"/>
                <w:i w:val="0"/>
                <w:iCs w:val="0"/>
                <w:color w:val="000000"/>
                <w:sz w:val="20"/>
                <w:szCs w:val="20"/>
                <w:highlight w:val="none"/>
                <w:u w:val="none"/>
              </w:rPr>
            </w:pPr>
            <w:r>
              <w:rPr>
                <w:rFonts w:hint="eastAsia" w:ascii="新宋体" w:hAnsi="新宋体" w:eastAsia="新宋体" w:cs="新宋体"/>
                <w:b w:val="0"/>
                <w:bCs w:val="0"/>
                <w:i w:val="0"/>
                <w:iCs w:val="0"/>
                <w:color w:val="000000"/>
                <w:kern w:val="0"/>
                <w:sz w:val="20"/>
                <w:szCs w:val="20"/>
                <w:highlight w:val="none"/>
                <w:u w:val="none"/>
                <w:lang w:val="en-US" w:eastAsia="zh-CN" w:bidi="ar"/>
              </w:rPr>
              <w:t xml:space="preserve">10 </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DA0138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3B07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6FC06E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045B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寻呼话筒</w:t>
            </w:r>
          </w:p>
        </w:tc>
        <w:tc>
          <w:tcPr>
            <w:tcW w:w="8155" w:type="dxa"/>
            <w:tcBorders>
              <w:top w:val="single" w:color="000000" w:sz="4" w:space="0"/>
              <w:left w:val="nil"/>
              <w:bottom w:val="single" w:color="000000" w:sz="4" w:space="0"/>
              <w:right w:val="single" w:color="000000" w:sz="4" w:space="0"/>
            </w:tcBorders>
            <w:noWrap w:val="0"/>
            <w:vAlign w:val="center"/>
          </w:tcPr>
          <w:p w14:paraId="3D292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1.采用话筒桌面式设计，带有显示屏，带触摸控制功能；显示屏自带数字键、功能键，支持通过触摸呼叫广播，支持呼叫分区及多个分区，呼叫全区广播；可支持≥9个按键自定义一键呼叫广播功能。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2.内置≥1路网络硬件音频解码模块，具有≥1路RJ45网络接口，≥100Mbps传输速率。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3.支持监听任意终端功能，内置≥2W全频扬声器，实现双向通话和网络监听。</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4.支持≥1路音频线路输入，支持采集播放功能；具有≥1路音频线路输出，可外接功率放大器。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5.支持直接操作呼叫或对讲任意终端，支持通过话筒广播呼叫功能，广播延时低于100毫秒。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6.支持多种呼叫策略，包括无响应转移、占线转移、关机转移；自动接听、手动接听，支持自定义接听提示音，支持转移时间、无人接听时间、呼叫等待时间自定义。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7.具有≥1个3.5耳机接口、≥1路3.5话筒输入接口。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8.具有≥1路短路输出接口、≥1路短路输入接口。</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E36D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FEAA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633000E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FF0000"/>
                <w:sz w:val="20"/>
                <w:szCs w:val="20"/>
                <w:highlight w:val="none"/>
                <w:u w:val="none"/>
              </w:rPr>
            </w:pPr>
          </w:p>
        </w:tc>
      </w:tr>
      <w:tr w14:paraId="3033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87" w:type="dxa"/>
            <w:gridSpan w:val="6"/>
            <w:tcBorders>
              <w:top w:val="single" w:color="000000" w:sz="4" w:space="0"/>
              <w:left w:val="single" w:color="000000" w:sz="4" w:space="0"/>
              <w:bottom w:val="single" w:color="000000" w:sz="4" w:space="0"/>
              <w:right w:val="single" w:color="000000" w:sz="4" w:space="0"/>
            </w:tcBorders>
            <w:noWrap/>
            <w:vAlign w:val="center"/>
          </w:tcPr>
          <w:p w14:paraId="4E88618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四、辅助材料</w:t>
            </w:r>
          </w:p>
        </w:tc>
      </w:tr>
      <w:tr w14:paraId="142E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20DE64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26EF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线材</w:t>
            </w:r>
          </w:p>
        </w:tc>
        <w:tc>
          <w:tcPr>
            <w:tcW w:w="8155" w:type="dxa"/>
            <w:tcBorders>
              <w:top w:val="single" w:color="000000" w:sz="4" w:space="0"/>
              <w:left w:val="single" w:color="000000" w:sz="4" w:space="0"/>
              <w:bottom w:val="single" w:color="000000" w:sz="4" w:space="0"/>
              <w:right w:val="single" w:color="000000" w:sz="4" w:space="0"/>
            </w:tcBorders>
            <w:noWrap w:val="0"/>
            <w:vAlign w:val="center"/>
          </w:tcPr>
          <w:p w14:paraId="1A9A48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5B99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6CBC0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2000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6581BBB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4"/>
                <w:szCs w:val="24"/>
                <w:highlight w:val="none"/>
                <w:u w:val="none"/>
              </w:rPr>
            </w:pPr>
          </w:p>
        </w:tc>
      </w:tr>
      <w:tr w14:paraId="5B3B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3E314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368D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水晶头</w:t>
            </w:r>
          </w:p>
        </w:tc>
        <w:tc>
          <w:tcPr>
            <w:tcW w:w="8155" w:type="dxa"/>
            <w:tcBorders>
              <w:top w:val="single" w:color="000000" w:sz="4" w:space="0"/>
              <w:left w:val="single" w:color="000000" w:sz="4" w:space="0"/>
              <w:bottom w:val="single" w:color="000000" w:sz="4" w:space="0"/>
              <w:right w:val="single" w:color="000000" w:sz="4" w:space="0"/>
            </w:tcBorders>
            <w:noWrap w:val="0"/>
            <w:vAlign w:val="center"/>
          </w:tcPr>
          <w:p w14:paraId="5B645D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六类水晶头工程级50U镀金100个装 RJ45千兆网线接头 CAT6，100个一盒</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07306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盒</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6B5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3C95D95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4"/>
                <w:szCs w:val="24"/>
                <w:highlight w:val="none"/>
                <w:u w:val="none"/>
              </w:rPr>
            </w:pPr>
          </w:p>
        </w:tc>
      </w:tr>
      <w:tr w14:paraId="1768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3D9BD9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F857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线材</w:t>
            </w:r>
          </w:p>
        </w:tc>
        <w:tc>
          <w:tcPr>
            <w:tcW w:w="8155" w:type="dxa"/>
            <w:tcBorders>
              <w:top w:val="single" w:color="000000" w:sz="4" w:space="0"/>
              <w:left w:val="single" w:color="000000" w:sz="4" w:space="0"/>
              <w:bottom w:val="single" w:color="000000" w:sz="4" w:space="0"/>
              <w:right w:val="single" w:color="000000" w:sz="4" w:space="0"/>
            </w:tcBorders>
            <w:noWrap w:val="0"/>
            <w:vAlign w:val="center"/>
          </w:tcPr>
          <w:p w14:paraId="25D4F0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铜芯护套线RVV2*1.5</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D43AA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11EEE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23085</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5C94C25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4"/>
                <w:szCs w:val="24"/>
                <w:highlight w:val="none"/>
                <w:u w:val="none"/>
              </w:rPr>
            </w:pPr>
          </w:p>
        </w:tc>
      </w:tr>
      <w:tr w14:paraId="4F85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0CE1E3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D7D8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线材</w:t>
            </w:r>
          </w:p>
        </w:tc>
        <w:tc>
          <w:tcPr>
            <w:tcW w:w="8155" w:type="dxa"/>
            <w:tcBorders>
              <w:top w:val="single" w:color="000000" w:sz="4" w:space="0"/>
              <w:left w:val="single" w:color="000000" w:sz="4" w:space="0"/>
              <w:bottom w:val="single" w:color="000000" w:sz="4" w:space="0"/>
              <w:right w:val="single" w:color="000000" w:sz="4" w:space="0"/>
            </w:tcBorders>
            <w:noWrap w:val="0"/>
            <w:vAlign w:val="center"/>
          </w:tcPr>
          <w:p w14:paraId="15C77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铜芯护套线RVV2*2.5</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02D4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1C9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380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4A6AADB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4"/>
                <w:szCs w:val="24"/>
                <w:highlight w:val="none"/>
                <w:u w:val="none"/>
              </w:rPr>
            </w:pPr>
          </w:p>
        </w:tc>
      </w:tr>
      <w:tr w14:paraId="58C8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3C1F8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5B51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PVC管</w:t>
            </w:r>
          </w:p>
        </w:tc>
        <w:tc>
          <w:tcPr>
            <w:tcW w:w="8155" w:type="dxa"/>
            <w:tcBorders>
              <w:top w:val="single" w:color="000000" w:sz="4" w:space="0"/>
              <w:left w:val="single" w:color="000000" w:sz="4" w:space="0"/>
              <w:bottom w:val="single" w:color="000000" w:sz="4" w:space="0"/>
              <w:right w:val="single" w:color="000000" w:sz="4" w:space="0"/>
            </w:tcBorders>
            <w:noWrap w:val="0"/>
            <w:vAlign w:val="center"/>
          </w:tcPr>
          <w:p w14:paraId="7B989C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白色线管A管DN25</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CA8B9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55CE9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1500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500BC56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4"/>
                <w:szCs w:val="24"/>
                <w:highlight w:val="none"/>
                <w:u w:val="none"/>
              </w:rPr>
            </w:pPr>
          </w:p>
        </w:tc>
      </w:tr>
      <w:tr w14:paraId="235D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5A473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CEE41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镀锌钢管</w:t>
            </w:r>
          </w:p>
        </w:tc>
        <w:tc>
          <w:tcPr>
            <w:tcW w:w="8155" w:type="dxa"/>
            <w:tcBorders>
              <w:top w:val="single" w:color="000000" w:sz="4" w:space="0"/>
              <w:left w:val="single" w:color="000000" w:sz="4" w:space="0"/>
              <w:bottom w:val="single" w:color="000000" w:sz="4" w:space="0"/>
              <w:right w:val="single" w:color="000000" w:sz="4" w:space="0"/>
            </w:tcBorders>
            <w:noWrap w:val="0"/>
            <w:vAlign w:val="center"/>
          </w:tcPr>
          <w:p w14:paraId="728493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DN=25mm，厚度：2.75mm</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4E4014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025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1650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60F9893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4"/>
                <w:szCs w:val="24"/>
                <w:highlight w:val="none"/>
                <w:u w:val="none"/>
              </w:rPr>
            </w:pPr>
          </w:p>
        </w:tc>
      </w:tr>
      <w:tr w14:paraId="3372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41D80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CD44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壁挂机柜</w:t>
            </w:r>
          </w:p>
        </w:tc>
        <w:tc>
          <w:tcPr>
            <w:tcW w:w="8155" w:type="dxa"/>
            <w:tcBorders>
              <w:top w:val="single" w:color="000000" w:sz="4" w:space="0"/>
              <w:left w:val="single" w:color="000000" w:sz="4" w:space="0"/>
              <w:bottom w:val="single" w:color="000000" w:sz="4" w:space="0"/>
              <w:right w:val="single" w:color="000000" w:sz="4" w:space="0"/>
            </w:tcBorders>
            <w:noWrap w:val="0"/>
            <w:vAlign w:val="center"/>
          </w:tcPr>
          <w:p w14:paraId="04409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网孔门 宽550*深400*高670mm(12U)，含固定螺丝、5孔插线板等附件</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7CCD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4223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1E332D2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4"/>
                <w:szCs w:val="24"/>
                <w:highlight w:val="none"/>
                <w:u w:val="none"/>
              </w:rPr>
            </w:pPr>
          </w:p>
        </w:tc>
      </w:tr>
      <w:tr w14:paraId="481B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2DE01E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73B75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其它辅助材料</w:t>
            </w:r>
          </w:p>
        </w:tc>
        <w:tc>
          <w:tcPr>
            <w:tcW w:w="8155" w:type="dxa"/>
            <w:tcBorders>
              <w:top w:val="single" w:color="000000" w:sz="4" w:space="0"/>
              <w:left w:val="single" w:color="000000" w:sz="4" w:space="0"/>
              <w:bottom w:val="single" w:color="000000" w:sz="4" w:space="0"/>
              <w:right w:val="single" w:color="000000" w:sz="4" w:space="0"/>
            </w:tcBorders>
            <w:noWrap w:val="0"/>
            <w:vAlign w:val="center"/>
          </w:tcPr>
          <w:p w14:paraId="19BF8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施工工具、钢钉、软管、线卡等</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32231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4582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4BF1809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4"/>
                <w:szCs w:val="24"/>
                <w:highlight w:val="none"/>
                <w:u w:val="none"/>
              </w:rPr>
            </w:pPr>
          </w:p>
        </w:tc>
      </w:tr>
    </w:tbl>
    <w:p w14:paraId="495DCA87">
      <w:pPr>
        <w:rPr>
          <w:rFonts w:hint="eastAsia" w:ascii="宋体" w:hAnsi="宋体" w:eastAsia="宋体" w:cs="宋体"/>
          <w:highlight w:val="none"/>
        </w:rPr>
      </w:pPr>
      <w:r>
        <w:rPr>
          <w:rFonts w:hint="eastAsia" w:ascii="宋体" w:hAnsi="宋体" w:eastAsia="宋体" w:cs="宋体"/>
          <w:highlight w:val="none"/>
        </w:rPr>
        <w:br w:type="page"/>
      </w:r>
    </w:p>
    <w:tbl>
      <w:tblPr>
        <w:tblStyle w:val="17"/>
        <w:tblW w:w="10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
        <w:gridCol w:w="846"/>
        <w:gridCol w:w="8127"/>
        <w:gridCol w:w="314"/>
        <w:gridCol w:w="586"/>
        <w:gridCol w:w="320"/>
      </w:tblGrid>
      <w:tr w14:paraId="2007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0639" w:type="dxa"/>
            <w:gridSpan w:val="6"/>
            <w:tcBorders>
              <w:top w:val="nil"/>
              <w:left w:val="nil"/>
              <w:bottom w:val="nil"/>
              <w:right w:val="nil"/>
            </w:tcBorders>
            <w:noWrap/>
            <w:vAlign w:val="center"/>
          </w:tcPr>
          <w:p w14:paraId="771A8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3、校园管理现代化提升工程概算表</w:t>
            </w:r>
          </w:p>
        </w:tc>
      </w:tr>
      <w:tr w14:paraId="5224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1E40E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BC1A4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8127" w:type="dxa"/>
            <w:tcBorders>
              <w:top w:val="single" w:color="000000" w:sz="4" w:space="0"/>
              <w:left w:val="single" w:color="000000" w:sz="4" w:space="0"/>
              <w:bottom w:val="single" w:color="000000" w:sz="4" w:space="0"/>
              <w:right w:val="single" w:color="000000" w:sz="4" w:space="0"/>
            </w:tcBorders>
            <w:noWrap/>
            <w:vAlign w:val="center"/>
          </w:tcPr>
          <w:p w14:paraId="602805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功能参数</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055BF9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2531E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320" w:type="dxa"/>
            <w:tcBorders>
              <w:top w:val="single" w:color="000000" w:sz="4" w:space="0"/>
              <w:left w:val="single" w:color="000000" w:sz="4" w:space="0"/>
              <w:bottom w:val="single" w:color="000000" w:sz="4" w:space="0"/>
              <w:right w:val="single" w:color="000000" w:sz="4" w:space="0"/>
            </w:tcBorders>
            <w:noWrap/>
            <w:vAlign w:val="center"/>
          </w:tcPr>
          <w:p w14:paraId="7E6984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4BA9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639" w:type="dxa"/>
            <w:gridSpan w:val="6"/>
            <w:tcBorders>
              <w:top w:val="single" w:color="000000" w:sz="4" w:space="0"/>
              <w:left w:val="single" w:color="000000" w:sz="4" w:space="0"/>
              <w:bottom w:val="single" w:color="000000" w:sz="4" w:space="0"/>
              <w:right w:val="single" w:color="000000" w:sz="4" w:space="0"/>
            </w:tcBorders>
            <w:noWrap/>
            <w:vAlign w:val="center"/>
          </w:tcPr>
          <w:p w14:paraId="6C318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3.1 智能运营中心</w:t>
            </w:r>
          </w:p>
        </w:tc>
      </w:tr>
      <w:tr w14:paraId="04B4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2"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62C145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EF12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LED显示屏</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0DDA5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1.LED类型 像素间距≤1.25mm，应采用RGB全倒装共阴驱动，晶圆倒置封装/无引线焊接工艺，COB封装；显示屏上的物理像素点数和实际显示的像素点数是1：1的关系，像素构成：1R1G1B，不得采用虚拟像素达到像素点指标。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★2.屏幕尺寸 ：≥10.8m×3m；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3.主要技术性能要求 1）亮度≥800nit（0-100%无级可调，根据环境光自动调节亮度，高效节能）；对比度≥15000:1；智能色温：标准9300K；1000～18000K可调，调节步长100k；色温误差：色温为9300K时100%、75%、50%、25%四档电平白场调节色温误差≤100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水平视角≥175°，垂直视角：≥175°；刷新频率3840~7680Hz；模组平整度：≤0.05mm，模组间相对错位值≤0.5%。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4.电磁屏蔽：屏体表面余磁不得超过60GS，减少屏体表面金属粉尘吸附；</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5.峰值功耗：≤280W/㎡，平均功耗：≤94W/㎡，带有智能节电功能，产品具有四重节能技术。（IC节能、待机节能、倒装节能、高转换率PFC电源）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6.电源、HUB、接收卡，采用板对板硬连接设计，无线材连接，须支持热拔插，故障率低，拆卸维护便捷。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7.质量稳定性 ：应7×24小时连续工作无故障，平均故障间隔时间（MTBF）≥100000小时，平均故障恢复时间（MTTR）≤1分钟；LED寿命≥120000小时；须支持电源、信号1+1允余备份，电源须支持双电力输入备份，双路信号冗余备份，任意断开其中一条单元信号接入线缆不影响单元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10.防护功能 具有防护性能，关键元器件符合三防设计原则。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11.符合节能标准，通过中国节能认证、环保认证、TUV低蓝光认证。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▲12.智能制造能力：制造厂家应具备自主生产基地，本项目不接受OEM厂家或非LED行业生产企业产品；制造厂商通过GB/T23001两化融合3A等级和智能制造能力成熟度三级认证。</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15FD78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平方米</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656C23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32.40 </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7A59604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56E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2CBE39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F2DE6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大屏钢结构</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248543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1.包含大屏钢结构及包边装饰、工程师安装调试及用户培训；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2.安装结构能满足LED高清显示屏的整体均匀平滑要求，采用环保型材，结构应便于安装和调试；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3.满足显示屏安装要求，定制（包含钢材支架、铝型材、预埋件、包边等）</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1FA05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平方米</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8F55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32.40 </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1B24F63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A94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5"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24343A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32F0A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视频处理器</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5C0F66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1、采用标准 19 英寸金属结构机箱，机箱为后挂耳结构，上盖无螺钉安装:外壳防护等级符合GBIT 4280-2017中IP20的要求;采用纯硬件 FPGA 架构设计、运行稳定、可靠、高效；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2、输入接口包括2路 HDMI2.0,1路 DP1.2+HDMI 2.0二选一,4路 HDMI1.3,1路USB3.0,支持选配1路 3G-SDI(IN+LOOP)，最大支持3路4096*2160@60HZ信号同时输入；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3、视频输出支持40个千兆网口输出，4路10G-OPT光口，最大带载高达2600万像素，最宽支持16384,最高8192；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4、音频输入支持视频口伴随音频输入及独立输入两种模式，音频输出支持网口扩展输出及3.5mm独立音频口输出，支持的音频编码 ：MPEG1/2 Layer I，MPEG1/2 Layer II，MPEG1/2 Layer III，AAC-LC，VORBIS，PCM 和 FLAC；</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5、支持输入源备份功能，主源丢失下，无需人为操作可自动切换至备源显示，切换过程无黑屏；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6、最大支持144HZ高帧率输入输出，输出支持插帧、抽帧、倍频（2倍频、3倍频、4倍频）功能，可将30HZ信号，倍频至120HZ输出；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7、最大可支持16个2K图层或4个4K图层，全部图层大小和位置可单独调节。4K接口输入2K图层，按2K图层计算图层资源；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U盘即插即播功能，最大支持4K级（3840*2160@60fps）图片和视频的流畅播放，播放列表计切换效果支持自定义编排，最多支持27种图片切换特效，包括水波涟漪、镜头拉近、直接推出、立体翻转、百叶窗、左右擦除、上下擦除、立方体旋转、溶解转场、网格转场、扇扫转场、画卷转场、淡入淡出、旋转扭曲、心形转场、拉帘推出、透视三角、圆形消失、矩形弹跳、星形旋转；</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10、标配全彩液晶，搭配实体按键，极大的方便了设备整体状态的监控及设备功能的控制；设备功能按键及丝印信息采用全中文提示，项目上无需粘贴额外的标签纸加以区分，清晰直观；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11、支持2种用户模式，标准模式和专业模式，满足不同角色对显示屏的分权管理，使用更加放心；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12、支持微信小程序快捷控制，包括亮度调节、输出画质调节、待机模式、画面冻结、场景切换、U盘播放等功能；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13、支持平板对控制器进行快捷控制，包括亮度调节、图层布局调节、画面冻结、黑屏、场景切换、音量大小等功能；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14、支持创建多个设备还原点，将当前设备的配屏，场景，输出等参数存储为还原点，当系统工作异常时，可根据还原点一键快速还原；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15、支持控制设备白名单，可通过MAC地址限制控制设备，非白名单内设备无法控制设备，不允许对设备进行操作；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16、MTBF≥150000小时，MTTR平均修复小于10分钟可用度大于 99%，整机寿命不小于150000小时。产品稳定性高、性能卓越、纯硬件结构，上电即可正常工作，无需做任何其它设置。</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224B4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26DB88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635E56A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7D2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6"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2356D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8CF8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配电柜</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214E1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1).功率冗余30%以上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2).PLC数据实时监测系统：具备每个回路的电流、电压、过载、电缆温度、能耗数据数据采集功能；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3).控制系统模块：控制任意回路分步上电、PLC远程上电、通断时间、场景预设功能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4).485通讯模块；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5).PLC供电模块：额定电压AC100V~265V，额定电流：2.5A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6).配套电箱，空开数量满足设备使用需求；；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7).具有短路、断路、过流、过压、欠压以及漏电等多种保护功能，可自动处理各种应急情况，定时自动开关大屏；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8).将每一个回路的用电数据信息（功耗、漏电电流、欠压数据、过压数据、过载数据）在后台的软件平台上可视化呈现出来，用户可根据用电数据情况来任意设定开合与通断；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9).可分别对各回路电流、功率进行设定，实现当回路电流或功率超过限定值时，该回路自动跳闸保护，同时可自由设定设备每个回路的开启和关闭时间；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10).发现险情立即预警并发送预警信息至APP 或PC 端。通过及时告警功能、预警机制及时发现配电系统设备、周围环境的异常情况；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11).综合管理平台：平台可显示设备总数、在线设备、报警数、预警数等汇总信息、设备报警分析比例图、设备信息处理情况、设备实时报警列表、和管理员信息，在IOT管理系统上统一显示与操控。 </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087A8F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5AF3A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10CAFA3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06A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6"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38B02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BDB78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物联网数据管理主机</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01BF8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支持多种管理（设备、数据、用户等）及远程管理。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支持300个用户终端同步登录与并发处理。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支持多空间区域和设备分区管理。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对设备深度管控、采集数据，监测参数。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支持15个物模型接入管理（可拓展）。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监测设备在线与运行状态，告警故障。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分类统一管理各类设备。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采集、分析、呈现系统运行数据。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具备物模型资产套件，可与上层对接。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支持物模型数据相关多种操作。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 物模型认证管理，双向数据连接。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 支持零代码构建业务场景与自动化规则配置。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硬件参数：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1.HDMI IN：2×HDMI 4K @60fps输入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2.HDMI OUT：3×HDMI 4K @60fps 输出 独立显示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3.USB接口：2xUSB 2.0、2xUSB 3.0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4.扩展模块：支持WIFI、蓝牙、AP模块</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49D511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69719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ign w:val="bottom"/>
          </w:tcPr>
          <w:p w14:paraId="2DE1078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5B6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570F7B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AB9E3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墙面8寸控制屏</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3A520A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1.支持场景切换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2.支持密码权限操作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3.支持单独设备操控功能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4.支持系统平台软件远程更新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5.支持单独设备操控功能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6.支持定制化场景管理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7.支持可视化免编程设计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8.支持环境健康监控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9.支持多权限多终端登录。</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47CBA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1DDA7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ign w:val="bottom"/>
          </w:tcPr>
          <w:p w14:paraId="758ADB3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211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47823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F1E0A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8通道数据处理器</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794CE1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1、网络控制器：100/1000Mbps，自动交换，自动协商，自动发现，标准UDP/IP协议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2、静态功耗：8W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3、静电防护空气：±15KV，接触±8KV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4、网络接口标准：2路RJ45端口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5、串行端口：8路标准RS-485/RS-232自定义通讯端口</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24FBC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28514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ign w:val="bottom"/>
          </w:tcPr>
          <w:p w14:paraId="5FC3AD4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1B9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3CDF7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3E4C6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多功能网关</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7F12B5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1、集 LAN、Wi-Fi、CoSS、Zigbee3.0协议于一身，可接入更多的生态产品。双向实时反馈设备运行状态；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2、网络连接方式：有线/WiFi/有线转WiFi联网，支持外置天线（标配网线*1、外置天线*1）；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3、供电方式：两插电源适配器（标配电源适配器*1）；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4、输入电压：5V DC；功率：2.5W；最大负载电流：1A；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5、含2个无线开关、1个红外控制终端。</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1B899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5F77DF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ign w:val="bottom"/>
          </w:tcPr>
          <w:p w14:paraId="45BF84B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995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2"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5C441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0871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AI摄像机</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6584E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1.物联网模组功能设计：采用嵌入式IOT物联网模组设计，可通过系统平台对本机进行实时工作运行状态数据通信，通过物联网模块汇聚到软件平台，统一实时计算及大数据分析。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2.远程数据采集：管理平台可对本摄像机实时的双向数据通信远程采集远程监测工作运行状态，输入源视频监测。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3.远程控制管理：管理平台可对本摄像机支持远程控制功能，可对本机进行场景保存、场景调取、方向方位调整、远近调节等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4.远程调试管理：管理平台可对本摄像机支持远程调试功能，可对本摄像机进行参数设置、预置位保存。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5.远程运维管理：管理平台可对本摄像机支持远程运维功能，实时监测设备运行状态，当发现设备运行异常时通过平台及时做出反馈处理。通过平台定时信息提醒用户进行设备系统线路更换维护。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远程巡检管理：管理平台可对本摄像机进行远程巡检功能，通过平台进行设备日常巡检（手动实时巡检、自动定期巡检），并出具巡检记录，当巡检记录出现异常时，系统及时提醒用户进行设备报修，确保设备运行正常。</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7.传感器类型：1/3” Progressive Scan CMOS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8.光圈：F1.6；焦距&amp;视场角：2.8mm，H:97°,V:52.5°,D:113.7°</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9.主码流：2560*1440@25fps，1920*1080@25fps，1280*720@25fps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10.子码流：704*576@25fps，640*480@25fps，352*288@25fps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11.编码方式：H265 Main Profile/ H264 Main Profile/MPEG4/MJPEG</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12.码率：固定码率/变码率/智能码率，256Kbps~4Mbps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13.音频编码方式：G.711A；内置喇叭和拾音器，支持双向语音对讲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14.图像调节：支持亮度、对比度、饱和度、锐度、色度、伽马可调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15.图像处理：支持背光补偿、数字透雾、数字降噪、自动曝光、宽动态、强光抑制、自动白平衡、场景切换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16.OSD支持叠加名称、日期、星期，自定义字段，支持配置叠加的字体颜色以及字体大小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17.集成协议：MegConnect（SDK/WebAPI）、Onvif、GB28181、GA/T 1400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18.报警输出1路；内置继电器，可通过干节点报警输出，RS4851路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19.SD卡：Micro SD/SDHC/SDXC卡槽，最大可支持256GB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20.网口：1 RJ45 百兆网口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21.防水等级：IP67</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22.供电方式：DC12V/1A;POE 48V/0.35A,符合802.3af/at协议</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579D2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77381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ign w:val="bottom"/>
          </w:tcPr>
          <w:p w14:paraId="27FA54D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B6D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48F78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CDA7A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空气、光线自控终端</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6928A5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1.支持MODBUS总线协议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2.具备防雷单元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3.具备ESD防静电单元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4.支持对温度、湿度、PM1.0、PM2.5、PM10、二氧化碳、甲醛、TVOC、声压级、光照度等数据环境监测。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5、实现自动调温、自动调光。</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216D4C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1964B6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ign w:val="bottom"/>
          </w:tcPr>
          <w:p w14:paraId="6DFFFDA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550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9"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1F459A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D4251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智能数字音频系统主机</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3878E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1、主机带载：单路可连接40个会议单元，最多可挂载80个会议单元，且最远线路长度可高达300米；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2、会议模式：支持先进先出和自由讨论模式；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3、控制联动：支持与中控系统联动，实现摄像跟踪功能；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4、视频矩阵：具有3进4出视频矩阵，可控制3个摄像机的视频切换，并支持3路视频同步监控输出；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5、输入输出：具有2组非平衡主输入、2组非平衡卡座输入和2组非平衡辅助输出，2组非平衡主输出（带反馈功能），一路6.35接口非平衡输出（带反馈功能）；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6、备份功能：支持与备份主机相连，实现主机双备份；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7、热插拔：具备线路带电“热插拔”功能，让系统的安全性及稳定性得到有力的保障；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8、控制接口：具有2个RS232控制接口，1路控制接口支持PELCO-P、PELCO-D、VISCA控制协议，控制摄像机完成自动摄像跟踪功能；1路控制接口可以连接电脑或中央控制系统，进行话筒及主机的功能控制；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9、设备自检：支持硬件自检功能，检测系统挂载的话筒数量、类别、音频、按键等，软件输出检查结果并提示故障点；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10、音频处理：内置DSP自适应音频处理器,可抑制回声；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11、频率响应：20Hz～20,000Hz；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12、信噪比：≥ 85dB；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13、动态范围：&gt;90dB；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14、总谐波失真：＜0.1%；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15、通道串音：&gt;80dB；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16、线路输入≥ 70 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17、AUX输入：≥ 75 dB。</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2BBCF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8686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69CAEDE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AA9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1"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7C6FA0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13993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桌面式发言单元</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3E414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Style w:val="26"/>
                <w:b w:val="0"/>
                <w:bCs w:val="0"/>
                <w:highlight w:val="none"/>
                <w:lang w:val="en-US" w:eastAsia="zh-CN" w:bidi="ar"/>
              </w:rPr>
              <w:t>1、开关设计：全新数控化静音开关设计；2、咪杆设计：稳固的带锁紧插拔式咪杆设计；3、拾音距离：高灵敏度咪芯设计拾音距离可达80cm以上；4、状态显示：话筒杆上红色雾面指示灯设计，指示发言状态；按键灯三色显示，红色表示正在发言，绿色表示正在优先，黄色表示故障；5、主席单元：具有主席优先按键，可以关闭正在发言的代表单元，不受话筒模式和发言人数限制；具备同时32只主席单元在线；6、摄像跟踪：具有自动摄像跟踪功能配合摄像头，使用会议主机或PC控制软件设置后可进行摄像自动跟踪；7、会议模式：支持先进先出和自由讨论模式；8、抗干扰性：超强抗手机射频(RF)干扰屏蔽设计,全金属外壳可提供防射频干扰能力；9、设备自检：支持会议主机和会议单元联动自检；10、防水等级：话筒防水级IPX5；11、热插拔：具备线路带电“热插拔”功能，让系统的安全性及稳定性得到有力的保障；12、指向性：超心型指向性驻极体电容咪；13、频率响应：20Hz～20KHz；14、灵敏度：-36dB；15、最大声压级：110dB；16、串扰：&gt;70dB；17、动态范围：&gt;80dB；18、总谐波失真THD：&lt;0.1%；19、信噪比：&gt;70dB（A计权）；20、输出阻抗：&lt;200</w:t>
            </w:r>
            <w:r>
              <w:rPr>
                <w:rStyle w:val="27"/>
                <w:rFonts w:eastAsia="宋体"/>
                <w:b w:val="0"/>
                <w:bCs w:val="0"/>
                <w:highlight w:val="none"/>
                <w:lang w:val="en-US" w:eastAsia="zh-CN" w:bidi="ar"/>
              </w:rPr>
              <w:t>Ω</w:t>
            </w:r>
            <w:r>
              <w:rPr>
                <w:rStyle w:val="28"/>
                <w:b w:val="0"/>
                <w:bCs w:val="0"/>
                <w:highlight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39DD3A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113BA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663220D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2EF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15FC3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8FD0C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无源全频音箱</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7AEBF8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Style w:val="26"/>
                <w:b w:val="0"/>
                <w:bCs w:val="0"/>
                <w:highlight w:val="none"/>
                <w:lang w:val="en-US" w:eastAsia="zh-CN" w:bidi="ar"/>
              </w:rPr>
              <w:t>1、系统类型：10"二分频无源音箱；2、功率：180W（额定）/720W（峰值）；3、低音单元：1×10" 铁氧体磁铁低频单元，2"音圈；4、高音单元：1×1" 铁氧体高频单元，1.5"音圈；5、最大声压级(1M)：115dB（额定）/121dB（峰值）；6、阻抗： 8Ω；7、灵敏度（1W/1M）: 92dB；8、频率响应：70Hz-20KHz(-6dB)；9、分频频率：2.2KHz；10、指向性：水平 90°，垂直60°；11、连接器：2×SPEAKON插座；</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2B731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61F502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01AB175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25B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1D3427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90C6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双通道专业数字功放</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79CD1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Style w:val="26"/>
                <w:b w:val="0"/>
                <w:bCs w:val="0"/>
                <w:highlight w:val="none"/>
                <w:lang w:val="en-US" w:eastAsia="zh-CN" w:bidi="ar"/>
              </w:rPr>
              <w:t>1、额定功率：2×300W/8</w:t>
            </w:r>
            <w:r>
              <w:rPr>
                <w:rStyle w:val="29"/>
                <w:rFonts w:eastAsia="宋体"/>
                <w:b w:val="0"/>
                <w:bCs w:val="0"/>
                <w:highlight w:val="none"/>
                <w:lang w:val="en-US" w:eastAsia="zh-CN" w:bidi="ar"/>
              </w:rPr>
              <w:t>Ω</w:t>
            </w:r>
            <w:r>
              <w:rPr>
                <w:rStyle w:val="26"/>
                <w:b w:val="0"/>
                <w:bCs w:val="0"/>
                <w:highlight w:val="none"/>
                <w:lang w:val="en-US" w:eastAsia="zh-CN" w:bidi="ar"/>
              </w:rPr>
              <w:t>，2×400W/4</w:t>
            </w:r>
            <w:r>
              <w:rPr>
                <w:rStyle w:val="29"/>
                <w:rFonts w:eastAsia="宋体"/>
                <w:b w:val="0"/>
                <w:bCs w:val="0"/>
                <w:highlight w:val="none"/>
                <w:lang w:val="en-US" w:eastAsia="zh-CN" w:bidi="ar"/>
              </w:rPr>
              <w:t>Ω</w:t>
            </w:r>
            <w:r>
              <w:rPr>
                <w:rStyle w:val="26"/>
                <w:b w:val="0"/>
                <w:bCs w:val="0"/>
                <w:highlight w:val="none"/>
                <w:lang w:val="en-US" w:eastAsia="zh-CN" w:bidi="ar"/>
              </w:rPr>
              <w:t>,桥接1×800W/8</w:t>
            </w:r>
            <w:r>
              <w:rPr>
                <w:rStyle w:val="29"/>
                <w:rFonts w:eastAsia="宋体"/>
                <w:b w:val="0"/>
                <w:bCs w:val="0"/>
                <w:highlight w:val="none"/>
                <w:lang w:val="en-US" w:eastAsia="zh-CN" w:bidi="ar"/>
              </w:rPr>
              <w:t>Ω</w:t>
            </w:r>
            <w:r>
              <w:rPr>
                <w:rStyle w:val="26"/>
                <w:b w:val="0"/>
                <w:bCs w:val="0"/>
                <w:highlight w:val="none"/>
                <w:lang w:val="en-US" w:eastAsia="zh-CN" w:bidi="ar"/>
              </w:rPr>
              <w:t>；2、频率响应：20Hz-20KHz；3、总谐波失真：&lt;0.5%  ；4、互调失真：≤0.35%；5、阻尼系数：&gt;200；6、电压增益：29dB；7、灵敏度：0.775V或1.4V或26dB；8、输入阻抗：20k</w:t>
            </w:r>
            <w:r>
              <w:rPr>
                <w:rStyle w:val="29"/>
                <w:rFonts w:eastAsia="宋体"/>
                <w:b w:val="0"/>
                <w:bCs w:val="0"/>
                <w:highlight w:val="none"/>
                <w:lang w:val="en-US" w:eastAsia="zh-CN" w:bidi="ar"/>
              </w:rPr>
              <w:t>Ω</w:t>
            </w:r>
            <w:r>
              <w:rPr>
                <w:rStyle w:val="26"/>
                <w:b w:val="0"/>
                <w:bCs w:val="0"/>
                <w:highlight w:val="none"/>
                <w:lang w:val="en-US" w:eastAsia="zh-CN" w:bidi="ar"/>
              </w:rPr>
              <w:t>平衡输入， 10k</w:t>
            </w:r>
            <w:r>
              <w:rPr>
                <w:rStyle w:val="29"/>
                <w:rFonts w:eastAsia="宋体"/>
                <w:b w:val="0"/>
                <w:bCs w:val="0"/>
                <w:highlight w:val="none"/>
                <w:lang w:val="en-US" w:eastAsia="zh-CN" w:bidi="ar"/>
              </w:rPr>
              <w:t>Ω</w:t>
            </w:r>
            <w:r>
              <w:rPr>
                <w:rStyle w:val="26"/>
                <w:b w:val="0"/>
                <w:bCs w:val="0"/>
                <w:highlight w:val="none"/>
                <w:lang w:val="en-US" w:eastAsia="zh-CN" w:bidi="ar"/>
              </w:rPr>
              <w:t>非平衡输入；9、信噪比：＞100dB；10、串扰：75dB；11、转换率：&gt;10V/us；12、输入接口：每通道1个平衡式×LR,一个平衡式×LR LINK连接口；13、输出接口：每通道1个4极SPEAKON和1对接线柱连接口；14、保护：防短路、空载、开启/关闭静音，信号干扰或过载；</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64CB5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24D5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24DBDA4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054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52B82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919D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专业音频处理器</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634019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双核高速浮点DSP；2、支持8路模拟输入通道，8路模拟输出通道；3、输入每通道处理功能：前级放大、信号发生器、扩展器、压缩器、5段参量均衡、反相、自动增益、自动混音等；4、输出每通道处理功能：31段图示均衡器、延时器、分频器、高低通滤波器、限幅器、反相等；5、具备高精度输入灵敏度调节，17档，步长3dB，可支持各种话筒声音的拾取；6、支持AFC反馈消除、AEC回声消除、ANC噪声消除等算法；7、支持USB接口，可实现多媒体录制/播放功能；8、兼容多方平台控制管理，支持Windows系统、iOS系统以及Andriod系统,通过iPAD或iPhone或安卓手机APP软件进行操作控制。</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14:paraId="70051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6D8B3D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00FE39D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F3E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9"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1744F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E71B6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专业自动反馈抑制器</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4DDEA3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处理器：采用32位浮点DSP、24位AD/DA；2、采样率：96K；3、输入输出：2路平衡输入，2路平衡输出；输入输出提供压缩器、噪声门功能；每通道提供7段PEQ及高通设置；4、陷波器：内置48个陷波器，每通道12个静态陷波器+12个动态陷波器；5、频响范围：20Hz~20kHz；6、系统延迟：&lt;1.9ms；7、数模转换：24-bit；8、总谐波失真：&lt;0.014%THD+D；9、信噪比：108dB(A)；10、动态范围：110dB；11、输入接口：2路XLR/2路1/4“TRS(母)平衡输入；12、输出接口：2路XLR/2路1/4“TRS(母)平衡输出；13、功能：噪声门、移频、陷波、EQ、压缩限幅器；14、反馈抑制方式：移频+自动限波；15、通讯接口：RS-485接口，USB Type-B；16、显示屏：3.3英寸分辨率16*16LCD屏。</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14:paraId="2B99F1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6660E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52F0CDD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A53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3E91FA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B667F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模拟调音台</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0CC684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路XLR平衡单声通道输入、超低噪音线路设计，动态余量大；2、每通道带3段均衡调节，MUTE静音开关，60MM平滑推子衰减器；3、1组立体声母线，2组AUX母线输出（包括FX)；4、内置48V幻象电源供电；5、自带16种DSP数字效果器,6、USB音频播放MP3；7、内置蓝牙5.0播放；8、LED显示屏清淅显示播放状态；9、十段三色电平灯显示。</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14:paraId="26BAAF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283D0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6853891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5F1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59A3E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1436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真分集无线话筒</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51095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真分集一拖二无线手持；2、频率范围：612MHz-692MHz，每个间隔频率为250Hz；3、扫频功能：可自动跳过正在使用的频率和其他杂波频率以避免串频干扰；4、功率调节：内置三级功率调节，每级约20米距离；5、智能对频：红外线自动对频，ACT自动选频；6、工作距离：无障碍直线100米以上；7、可调信道数：200通道；8、信噪比：&gt;100dB；9、失真度THD：&lt;0.01%；10、接收灵敏度： -95dBm；11、音频输出电压：0.3V；12、邻频干扰抑制：&gt;60dB；13、灵敏度：&gt;20dBM（1V）；14、频率响应：50Hz-20000Hz；15、振荡方式：PLL相位锁定频率合成；16、音频输出：平衡输出和混合输出。</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14:paraId="12978D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4BA9F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24788FC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AC6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6"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3B295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B8865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电源时序器</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3241A5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1、设备支持220V±10%, 50/60Hz 的输入电压，最大功耗支持8.8KW;2、支持8 路大电流时序电源输出，任意一路可根据使用需求修改为直通电源输出；设备前面板支持1路直通电源输出，不受时序控制；3、前面板配备显示屏，可随时监视市电电压的稳定性；具备过流保护、过压保护、欠压保护等，保护供电设备的使用安全；4、8路电源时序控制，每路输出闭合/断开的延时支持1~9999S自定义；5、采用串口通用协议控制，可兼容主流品牌的智能中央控制系统或第三方设备的控制；6、支持设备之间的级联控制，最大可支持255台设备；1 路 USB 供电，最大支持 5V/1A ；7、支持通过上位机软件实时获取设备电源输出口的闭合/断开状态。</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14:paraId="1ECC0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7D9CE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7834D41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038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6EDDE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74B5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机柜</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4CFA67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★规格（W*D*H）：600mm*1000mm*2000mm； 配置6个束线圈，2个理线架，2个侧板，1个底板，4个固定托盘，2个全高竖装32A PDU。采用黑色， PDU外壳选用优质型材；PDU电压：AC220V，输入容量：32A，分路空开配置20*A10+4*A16。</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65CF6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C044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ign w:val="center"/>
          </w:tcPr>
          <w:p w14:paraId="7E8B0D5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CE3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6656D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AED2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扩声系统辅材</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21F3C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会议主机连接线缆/音频线400米/音箱线200米/卡农公50个/卡侬母50个/莲花头10个/小三芯5个</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14:paraId="139A9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批</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7C8C3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354DF3F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0FB1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0F23B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33ED1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操作终端</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75B22D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CPU：≥8核/2.3GHz/内存：16GB/硬盘：512G SSD/显示器：23.8英寸、鼠标键盘/显卡：2G独显/DVD刻录/操作系统：（激活）</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20E015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DA0AA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9 </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1808946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3CC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6F415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EA4E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移动终端</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6D1332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Style w:val="28"/>
                <w:b w:val="0"/>
                <w:bCs w:val="0"/>
                <w:highlight w:val="none"/>
                <w:lang w:val="en-US" w:eastAsia="zh-CN" w:bidi="ar"/>
              </w:rPr>
              <w:t>Ultra9处理器，内存：32G；1TB固态硬盘；独显</w:t>
            </w:r>
            <w:r>
              <w:rPr>
                <w:rStyle w:val="30"/>
                <w:b w:val="0"/>
                <w:bCs w:val="0"/>
                <w:highlight w:val="none"/>
                <w:lang w:val="en-US" w:eastAsia="zh-CN" w:bidi="ar"/>
              </w:rPr>
              <w:t>‌</w:t>
            </w:r>
            <w:r>
              <w:rPr>
                <w:rStyle w:val="28"/>
                <w:b w:val="0"/>
                <w:bCs w:val="0"/>
                <w:highlight w:val="none"/>
                <w:lang w:val="en-US" w:eastAsia="zh-CN" w:bidi="ar"/>
              </w:rPr>
              <w:t>。屏幕为</w:t>
            </w:r>
            <w:r>
              <w:rPr>
                <w:rStyle w:val="30"/>
                <w:b w:val="0"/>
                <w:bCs w:val="0"/>
                <w:highlight w:val="none"/>
                <w:lang w:val="en-US" w:eastAsia="zh-CN" w:bidi="ar"/>
              </w:rPr>
              <w:t>‌</w:t>
            </w:r>
            <w:r>
              <w:rPr>
                <w:rStyle w:val="28"/>
                <w:b w:val="0"/>
                <w:bCs w:val="0"/>
                <w:highlight w:val="none"/>
                <w:lang w:val="en-US" w:eastAsia="zh-CN" w:bidi="ar"/>
              </w:rPr>
              <w:t>14.2英寸柔性OLED屏，3.1k分辨率，120hz刷新率，</w:t>
            </w:r>
            <w:r>
              <w:rPr>
                <w:rStyle w:val="30"/>
                <w:b w:val="0"/>
                <w:bCs w:val="0"/>
                <w:highlight w:val="none"/>
                <w:lang w:val="en-US" w:eastAsia="zh-CN" w:bidi="ar"/>
              </w:rPr>
              <w:t>‌</w:t>
            </w:r>
            <w:r>
              <w:rPr>
                <w:rStyle w:val="28"/>
                <w:b w:val="0"/>
                <w:bCs w:val="0"/>
                <w:highlight w:val="none"/>
                <w:lang w:val="en-US" w:eastAsia="zh-CN" w:bidi="ar"/>
              </w:rPr>
              <w:t>配备不少于1个高清接口、2个USB-C接口</w:t>
            </w:r>
            <w:r>
              <w:rPr>
                <w:rStyle w:val="30"/>
                <w:b w:val="0"/>
                <w:bCs w:val="0"/>
                <w:highlight w:val="none"/>
                <w:lang w:val="en-US" w:eastAsia="zh-CN" w:bidi="ar"/>
              </w:rPr>
              <w:t>‌</w:t>
            </w:r>
            <w:r>
              <w:rPr>
                <w:rStyle w:val="28"/>
                <w:b w:val="0"/>
                <w:bCs w:val="0"/>
                <w:highlight w:val="none"/>
                <w:lang w:val="en-US" w:eastAsia="zh-CN" w:bidi="ar"/>
              </w:rPr>
              <w:t>，70Wh大电池支持140W快充</w:t>
            </w:r>
            <w:r>
              <w:rPr>
                <w:rStyle w:val="30"/>
                <w:b w:val="0"/>
                <w:bCs w:val="0"/>
                <w:highlight w:val="none"/>
                <w:lang w:val="en-US" w:eastAsia="zh-CN" w:bidi="ar"/>
              </w:rPr>
              <w:t>‌</w:t>
            </w:r>
            <w:r>
              <w:rPr>
                <w:rStyle w:val="28"/>
                <w:b w:val="0"/>
                <w:bCs w:val="0"/>
                <w:highlight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5F53C4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02BF9A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3AB0607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18E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0"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62828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4878A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操作台</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11ADA2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1、控制台整体采用钢木结合材质，操作台整体台面高度740-760mm可调，宽600mm，台体下部留有足够的腿部活动空间。侧板及后背板带可变色氛围灯，可定制logo及单位标识文字等。样式及颜色可选。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2、台面板：绿色环保，板材厚度不低于27mm，采用高密度颗粒板双贴面防火板。</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3、框架结构：框架结构中各部件均使用一级冷轧钢板冲压折弯成型，主体框架冷轧钢构厚度不低于2mm，台面承重结构厚度不低于3mm，外表面静喷塑处理。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4、台面板封边工艺及环保要求：台面边缘以聚氨酯鸭嘴式造型收边，要求宽度不低于30mm。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5、前后门板：采用1.2m厚度优质冷轧钢门板，门板须有通风散热设计，通风率（开孔率）应不小于35%。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6、控制台金属件：采用优质冷轧钢板，表面处理经过酸洗-磷化-烘干-粉末喷涂，中性盐雾试验达到10级。</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03DE02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位</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528F4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9 </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659D647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BF6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27A60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25</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42EAC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双人参观坐席</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63762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1.内部主框架为2.0mm热镀锌钢板；2.台面：采用优质高压耐磨防火板整体厚度≥27mm，整体台面高度740-760mm可调，宽600mm；3.台面边缘：前端使用≥38mm，后端面使用≥2mm的软聚氨酯封边条；4.前后门板为木质材料，厚度≥18mm； 5.强弱电分离，保障线路安全。桌面颜色可选。</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50584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组</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436FA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10 </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5EDB648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6F5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5FC99B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26</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DA67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值班座椅</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3AFDE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优质西皮，高弹力海绵，实木扶手</w:t>
            </w:r>
          </w:p>
        </w:tc>
        <w:tc>
          <w:tcPr>
            <w:tcW w:w="314" w:type="dxa"/>
            <w:tcBorders>
              <w:top w:val="single" w:color="000000" w:sz="4" w:space="0"/>
              <w:left w:val="single" w:color="000000" w:sz="4" w:space="0"/>
              <w:bottom w:val="single" w:color="000000" w:sz="4" w:space="0"/>
              <w:right w:val="single" w:color="000000" w:sz="4" w:space="0"/>
            </w:tcBorders>
            <w:noWrap/>
            <w:vAlign w:val="center"/>
          </w:tcPr>
          <w:p w14:paraId="27FF2D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把</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29A3F1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29 </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402E59C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744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5CB223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27</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2610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2DB34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14:paraId="3A140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15A6C2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870</w:t>
            </w:r>
          </w:p>
        </w:tc>
        <w:tc>
          <w:tcPr>
            <w:tcW w:w="320" w:type="dxa"/>
            <w:tcBorders>
              <w:top w:val="single" w:color="000000" w:sz="4" w:space="0"/>
              <w:left w:val="single" w:color="000000" w:sz="4" w:space="0"/>
              <w:bottom w:val="single" w:color="000000" w:sz="4" w:space="0"/>
              <w:right w:val="single" w:color="000000" w:sz="4" w:space="0"/>
            </w:tcBorders>
            <w:noWrap/>
            <w:vAlign w:val="center"/>
          </w:tcPr>
          <w:p w14:paraId="1F549A4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5AA6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3DBD1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28</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FA809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49C617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电源线 RVV2*2.5mm</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14:paraId="27786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2C5711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200</w:t>
            </w:r>
          </w:p>
        </w:tc>
        <w:tc>
          <w:tcPr>
            <w:tcW w:w="320" w:type="dxa"/>
            <w:tcBorders>
              <w:top w:val="single" w:color="000000" w:sz="4" w:space="0"/>
              <w:left w:val="single" w:color="000000" w:sz="4" w:space="0"/>
              <w:bottom w:val="single" w:color="000000" w:sz="4" w:space="0"/>
              <w:right w:val="single" w:color="000000" w:sz="4" w:space="0"/>
            </w:tcBorders>
            <w:noWrap/>
            <w:vAlign w:val="center"/>
          </w:tcPr>
          <w:p w14:paraId="349EAFE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40D6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0A9EBC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29</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87E5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辅材</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52793C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线槽、水晶头、电源接头，胶带等</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14:paraId="590CC7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0E1C0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noWrap/>
            <w:vAlign w:val="center"/>
          </w:tcPr>
          <w:p w14:paraId="122DC5F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7A4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jc w:val="center"/>
        </w:trPr>
        <w:tc>
          <w:tcPr>
            <w:tcW w:w="446" w:type="dxa"/>
            <w:tcBorders>
              <w:top w:val="single" w:color="000000" w:sz="4" w:space="0"/>
              <w:left w:val="single" w:color="000000" w:sz="4" w:space="0"/>
              <w:bottom w:val="single" w:color="000000" w:sz="4" w:space="0"/>
              <w:right w:val="single" w:color="000000" w:sz="4" w:space="0"/>
            </w:tcBorders>
            <w:noWrap/>
            <w:vAlign w:val="center"/>
          </w:tcPr>
          <w:p w14:paraId="3FACC4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2717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装修</w:t>
            </w:r>
          </w:p>
        </w:tc>
        <w:tc>
          <w:tcPr>
            <w:tcW w:w="8127" w:type="dxa"/>
            <w:tcBorders>
              <w:top w:val="single" w:color="000000" w:sz="4" w:space="0"/>
              <w:left w:val="single" w:color="000000" w:sz="4" w:space="0"/>
              <w:bottom w:val="single" w:color="000000" w:sz="4" w:space="0"/>
              <w:right w:val="single" w:color="000000" w:sz="4" w:space="0"/>
            </w:tcBorders>
            <w:noWrap w:val="0"/>
            <w:vAlign w:val="center"/>
          </w:tcPr>
          <w:p w14:paraId="6E523B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见6.1装修清单</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14:paraId="25461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0C9132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14:paraId="4A2D184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bl>
    <w:p w14:paraId="3A87AED0">
      <w:pPr>
        <w:rPr>
          <w:rFonts w:hint="eastAsia" w:ascii="宋体" w:hAnsi="宋体" w:eastAsia="宋体" w:cs="宋体"/>
          <w:highlight w:val="none"/>
        </w:rPr>
      </w:pPr>
      <w:r>
        <w:rPr>
          <w:rFonts w:hint="eastAsia" w:ascii="宋体" w:hAnsi="宋体" w:eastAsia="宋体" w:cs="宋体"/>
          <w:highlight w:val="none"/>
        </w:rPr>
        <w:br w:type="page"/>
      </w:r>
    </w:p>
    <w:tbl>
      <w:tblPr>
        <w:tblStyle w:val="17"/>
        <w:tblW w:w="10953" w:type="dxa"/>
        <w:tblInd w:w="-1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
        <w:gridCol w:w="846"/>
        <w:gridCol w:w="8141"/>
        <w:gridCol w:w="313"/>
        <w:gridCol w:w="600"/>
        <w:gridCol w:w="589"/>
      </w:tblGrid>
      <w:tr w14:paraId="6463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0953"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6A36E">
            <w:pPr>
              <w:keepNext w:val="0"/>
              <w:keepLines w:val="0"/>
              <w:widowControl/>
              <w:suppressLineNumbers w:val="0"/>
              <w:jc w:val="both"/>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3.2 哈密职业技术学院数据分析平台升级及低代码应用建设</w:t>
            </w:r>
          </w:p>
        </w:tc>
      </w:tr>
      <w:tr w14:paraId="746D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49E7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C785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需求</w:t>
            </w:r>
          </w:p>
        </w:tc>
        <w:tc>
          <w:tcPr>
            <w:tcW w:w="8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5D94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描述</w:t>
            </w: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1506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53EB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6F84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2D21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2"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359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B9F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国产中间件</w:t>
            </w:r>
          </w:p>
        </w:tc>
        <w:tc>
          <w:tcPr>
            <w:tcW w:w="8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8C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1、中间件产品需提供完善的公共类管理策略，在实现共享库管理的基础上，也同时需要提供独特的、具备专利水平的类装载隔离策略及装置模块。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2、为保证系统稳定运行，对中间件负载能力要求较高，要求在全国产环境下满足至少五十万在线用户访问能力，并且运行稳定，90%平均响应时间低于400毫秒，中位响应时间低于200毫秒。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3、中间件产品成熟稳定，具有良好的先进性与兼容性，遵循Jakarta EE国际标准规范，需同时通过Jakarta EE8.0、Jakarta EE9.0、Jakarta EE9.1技术规范认证。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用于为上层应用提供运行环境、主要功能包括：提供Web服务、EJB服务、消息服务以及集群服务。产品需具备良好安全可靠能力以及与国产化芯片、操作系统中标麒麟、银河麒麟等兼容性，支持多种主流国产数据库，包括人大金仓、达梦、神通、南大通用等数据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4、符合财政部 工业和信息化部关于印发《操作系统政府采购需求标准（2023年版）》和财政部工业和信息化部关于印发《数据库政府采购需求标准（2023年版）》的文件内容要求</w:t>
            </w: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94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B7C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3 </w:t>
            </w: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581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5B41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8"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91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049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国产数据库（3年）</w:t>
            </w:r>
          </w:p>
        </w:tc>
        <w:tc>
          <w:tcPr>
            <w:tcW w:w="8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A3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具备数据存储、访问控制、身份鉴别、安全审计和数据备份恢复等功能，产品部署在服务器，以后台服务形式运行，数据库管理员及用户在管理主机上通过图形化管理工具或命令工具可实现对数据对象（表、视图、约束、索引、触发器、存储过程等）的配置管理；开发人员可通过标准化数据库访问接口，开发基于数据库的应用系统和软件产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具备智能数据库自治优化技术，支持基于代价的查询优化器；支持表及索引的统计信息；支持通过分析对象统计信息来生成最优（代价最小）的执行计划；支持数据库动态配置调整，支持数据库内存及执行计划智能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数据加密存储，支持国密算法加密，支持全面加密，数据文件，日志文件，备份文件，导入导出文件等均支持透明加密。支持数据库级、表级、列级等不同级别加密，支持不同用户、不同列设置不同密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统一的集中式Web图形化数据库运维管理工具，可对不同硬件平台和版本的数据库进行集中管理；支持跨平台迁移，支持Web图形化数据库迁移评估系统；提供在线SQL语言使用、系统管理员、安装等相关手册和联机帮助。</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5、符合财政部 工业和信息化部关于印发《操作系统政府采购需求标准（2023年版）》和财政部工业和信息化部关于印发《数据库政府采购需求标准（2023年版）》的文件内容要求</w:t>
            </w: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754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4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3 </w:t>
            </w: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3DE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5467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1"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D78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B3A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国产服务器操作系统</w:t>
            </w:r>
          </w:p>
        </w:tc>
        <w:tc>
          <w:tcPr>
            <w:tcW w:w="8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57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1、国产自研操作系统、支持自主可控CPU。</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2、具备文件管理、设备管理、日志管理、服务管理、进程和监控管理、网络管理、资料管理、软件包管理、硬盘管理等基本功能。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3、支持HTTP、FTP、VNC、TCP、UDP、IP、FTP、DNS、NFS、NTP、DHCP、SSH等多种网络协议。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4、配套产品支持：提供同品牌的高可用集群、云平台软件、安全云桌面管理软件、安全邮件等配套产品。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5、安全特性：提供安全中心管控工具，提供图形化应用执行控制工具，具有检查应用程序完整性、来源等功能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6、系统可支持强制访问控制，并可提供多种强制访问控制联合加载，包括SELINUX、APPARMOR等；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7、提供自研安全中心，支持以命令行工具和图形化界面的方式对系统进行安全加固、账户保护、网络保护、应用保护、可信度量、安全内存和指令流预检测方面的安全防护。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8、兼容人大金仓、达梦、南大通用、神通等数据库。在飞腾平台，支持GaussDB_100；在兆芯、海光、鲲鹏、飞腾平台，支持OpenGauss1.0.1。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9、符合财政部 工业和信息化部关于印发《操作系统政府采购需求标准（2023年版）》和财政部工业和信息化部关于印发《数据库政府采购需求标准（2023年版）》的文件内容要求</w:t>
            </w: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980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0BC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3 </w:t>
            </w: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19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3AC8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9"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E71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5D8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平台升级改造</w:t>
            </w:r>
          </w:p>
        </w:tc>
        <w:tc>
          <w:tcPr>
            <w:tcW w:w="8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55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针对学院质量诊断与改进平台、学生发展中心、教师发展中心、专业发展中心、课程发展中心、图书管理系统、一卡通管理系统、门禁管理系统、人脸识别管理系统、一卡通大数据平台、安防管理平台进行迁移、升级改造；改造升级后的系统整体要求需全面兼容信创环境，涵盖主流信创服务器、操作系统、数据库及中间件，确保系统稳定运行，无明显性能瓶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2、安全上严格遵循国家信息安全相关标准，采用多重加密技术，保障数据传输、存储安全，具备完善的用户权限管理、身份认证机制，防止数据泄露与非法访问。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3、质量诊断与改进平台支持无感接入钉钉、企业微信、微信等移动端平台，支持以微信、钉钉、企业微信、短信等多种消息推送方式，并可以直接点击查看详情。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4、图书管理系统升级后能够支持各校区图书馆的通借通还平台搭建，可实现与中心图书馆连接的任一馆读者在任一图书馆自由借还文献共享及通还通借联合服务。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★5、一卡通管理平台实现300路消费机、600路水控、1500路电控等终端设备接入。至少满足两家以上银行专线接入。实现各类报表的分析与统计。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6、一卡通大数据平台实现学生一卡通就餐情况分析，用水用电分析，一卡通门禁出入等涉及一卡通的使用情况分析及应用主题。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视频级联，对主校区视频监控平台扩容，满足不少于4000路视频图像调看，视频级联接入授权不少于2000路。实现哈密职业技术学校、铁道职业技术学院火石全校区的主要位置视频监控接入至主校区监控平台。实现视频监控平台对一校三区视频图像在主校区能任意调取。</w:t>
            </w: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10C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批</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66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1BB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4F6F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4"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30A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A23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数据采集</w:t>
            </w:r>
          </w:p>
        </w:tc>
        <w:tc>
          <w:tcPr>
            <w:tcW w:w="8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75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针对现有部门业务系统的数据库中存储的数据。主要包括即时通讯、公布公告、消息通知、人事、学工、教务、财务、资产、一卡通、科研、图书、质量诊断与改进、学生发展中心等系统的全量数据集采集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从数据形态上，主要包含3类数据：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1、在线的结构化数据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各个管理信息系统数据库中存储的数据，根据实现以下内容：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实现主要业务系统数据的全量采集。包括：主要包括即时通讯、公布公告、消息通知、人事、学工、教务、财务、资产、一卡通、科研、图书、质量诊断与改进、学生发展中心等系统的全量数据集采集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2、离线的结构化数据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在系统使用过程中，存在的大量线下电子表格数据的采集，存入数据库，形成数据资产；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3、非结构化数据（日志）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和个人行为相关的各种信息化设备输出的日志类数据，如各类文档等。</w:t>
            </w: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5F0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81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55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7D3E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1DB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8BB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数据连接</w:t>
            </w:r>
          </w:p>
        </w:tc>
        <w:tc>
          <w:tcPr>
            <w:tcW w:w="8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75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根据学院现有数据中台及各业务平台的需求及特点，通过以下4种数据连接方式供应数据，接口数量根据需求随用随建。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1、API调用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开放特定数据接口（即API）的访问权限，供应用程序通过代码调用数据。这种方式主要面向一站式服务、移动校园、微服务等新型、轻量级应用对数据的快速调用。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2、数据库连接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开放部分数据表的连接权限，供应用程序通过数据库客户端程序直接连接到数据库上读取数据。这种方式主要面向数据可视化平台、决策支持平台、传统的大型业务系统进行高强度、重负荷的数据调用。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3、中间库推送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通过ETL软件将各个应用所需的数据推动到中间库中。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4、电子表格离线下载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将数据表转换成电子表格文件供使用者下载后离线使用。</w:t>
            </w: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F37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2A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C24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0C78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4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C1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轻应用生态开发建设平台</w:t>
            </w:r>
          </w:p>
        </w:tc>
        <w:tc>
          <w:tcPr>
            <w:tcW w:w="81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48D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（1）项目分类管理支持将系统、页面、组件、数据源、接口等资源进行分类管理，方便管理和维护相应资源，同时也支持做权限隔离，不同项目生产应用互不干扰。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(2)中后台系统引擎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中后台系统引擎支持将开发生成的各类软件页面、微服务、微应用、数据图表等组合成独立软件系统。可以生成常见的数据门户、后台管理系统、大屏系统。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(3)数据报表引擎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数据报表引擎，主要用于将软件工厂组件资源组装成页面，更直观的展示各个组件资源的数据情况。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图形化的搭建工具，所见即所得的配置方式，无需编程能力，您只需要通过拖拽，即可创造出专业的页面应用。可以配置业务报表页面，也可以配置可视化大屏页面，同时页面提供了多种插件来实现更多的交互效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(4)数据大屏引擎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据大屏引擎，支持配置各种图表，包括：柱状图、折线图、饼图、散点图、热力图、树图等常规图表，以及3D柱状图、3D折线图等高级图表，支持多种控件：包括列表、IFRAME、文本等，来构建数据业务数据化大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(5)移动应用引擎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移动应用引擎，主要通过提供各种控件，包括：按钮、图片、通知栏、进度条、分割线、图标、轮播图、宫格、导航栏、操作栏等，通过可视化拖拽的方式来搭建我们的移动端应用，也可以直接使用移动端精品模板来快速创建移动端应用，并被智能问答管理端直接调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(6)普通表单引擎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普通表单引擎提供通过可视化的拖拽方式快速创建表单和表单对应的数据列表页面和统计分析页面，用户无需关心数据库表和接口，只需要关心需要收集的数据字段即可。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在自动化生成的过程中，会自动生成表单配套的数据库表、相关增删改查和统计分析接口。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(7)流程表单引擎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流程表单引擎只需要用户通过拖拽的方式创建好流程需要的表单、设计好流程图、配置好相关消息服务就可以自动生成流程相关的申请页面、我的申请列表页面、我已审核列表页面、待我审核列表页面、抄送我的列表页面、流程汇总页面，生成的页面可以直接发布出去使用，也可以当做组件放到页面设计器里面和其他类型的组件一起使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(8)数据API引擎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据API引擎，支持对接数据源，并配置出所需API接口，包括：可视化组件数据接口、管理端组件数据接口、条件里面（下拉选择器、多选框、单选框、级联）部分选项数据接口、流程审批动态选人接口、事件里面调用的接口等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(9)列表资源生成器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列表资源生成器，支持自动化生成网页页面、动作、交互事件和所需相关API接口的方式来实现列表和表单的自动化创建，同时支持自定义子页面配置、自定义动作和事件功能，实现列表应用的高效配置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(10)表单设计器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表单设计器，支持丰富的功能控件，可服务于管理端表单设计、条件组件设计、表单生成器、流程生成器。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(11)本地化模板库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包括常用图标素材库，综合控件模版库，移动应用模板库（门户页、详情页、个人页等）、数据报表模板库、列表控件模板库（卡片列表、数据列表、日程表等）、常见表单模板库、常用数据模版库（统计分析常用数据格式模版等），从而有效提升应用配置上线效率</w:t>
            </w: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CC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C7F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8D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0E26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1"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4A8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00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c>
          <w:tcPr>
            <w:tcW w:w="81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C4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4C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68D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716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470F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2"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2D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D69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微应用定制开发</w:t>
            </w:r>
          </w:p>
        </w:tc>
        <w:tc>
          <w:tcPr>
            <w:tcW w:w="8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18A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针对学校已建设的大型业务系统覆盖不到的细微场景，响应部门、师生提出的建设、改进需求，进行充分的调研、论证，基于敏捷开发的思路和规范进行应用、功能设计，并使用轻应用开发平台进行快速的开发、交付，以充分发挥轻应用开发平台灵活、便捷、快速交付的能力优势。</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本次项目拟建设10个微应用，包括但不限于各类学籍证明、成绩管理、历史录取分数管理、招生录取信息管理、疑似不在校分析大屏、慰问品方案管理、隐患收集平台、个人数据中心、访客预约、学生考勤打卡等，具体建设的微应用可根据实际情况和需求在开发工作量相等的前提下进行调整、变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每个微应用的定制开发，均需按以下建设过程进行建设。</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1)根据学校实际业务需求对各微应用使用部门、对象进行需求调研，编制微应用定制开发需求文档，并经部门确认定制需求内容；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2)针对学校各部门提出的微应用定制需求，根据各部门调研情况和定制开发需求文档，由原厂工程师使用低代码开发平台进行定制开发；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3)针对定制开发的微应用进行调试、测试，根据实际需求对接、集成在学校一站式服务大厅或校园移动端中，经需求部门确认后投入上线使用。</w:t>
            </w: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AA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92F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10 </w:t>
            </w: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4D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7604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6"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54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588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智慧校园融合集成</w:t>
            </w:r>
          </w:p>
        </w:tc>
        <w:tc>
          <w:tcPr>
            <w:tcW w:w="8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9CE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轻应用开发平台与使用其开发的微应用，并不是一个独立的个体，而是与学校智慧校园形成一个有机的整体，需符合学校智慧校园及信息化建设的整套规划和目标方向。因此，本期项目中，轻应用开发平台及相关微应用，须开放与智慧校园基础平台的各种功能和接口，完成与学校现有智慧校园一站式服务大厅、数据中台等系统的建设对接整合工作，同时需满足学校在信息化建设和发展规划方面的其他要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具体集成对接内容包括但不限于校内统一身份认证对接、服务大厅应用发布对接、数据API接口对接、组织架构权限配置、支付平台接口对接、消息平台接口对接等。</w:t>
            </w:r>
          </w:p>
        </w:tc>
        <w:tc>
          <w:tcPr>
            <w:tcW w:w="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B1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C40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200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bl>
    <w:p w14:paraId="18049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highlight w:val="none"/>
        </w:rPr>
      </w:pPr>
      <w:r>
        <w:rPr>
          <w:rFonts w:hint="eastAsia" w:ascii="宋体" w:hAnsi="宋体" w:eastAsia="宋体" w:cs="宋体"/>
          <w:b w:val="0"/>
          <w:bCs w:val="0"/>
          <w:i w:val="0"/>
          <w:iCs w:val="0"/>
          <w:color w:val="000000"/>
          <w:kern w:val="0"/>
          <w:sz w:val="20"/>
          <w:szCs w:val="20"/>
          <w:highlight w:val="none"/>
          <w:u w:val="none"/>
          <w:lang w:val="en-US" w:eastAsia="zh-CN" w:bidi="ar"/>
        </w:rPr>
        <w:br w:type="page"/>
      </w:r>
    </w:p>
    <w:tbl>
      <w:tblPr>
        <w:tblStyle w:val="17"/>
        <w:tblW w:w="10896" w:type="dxa"/>
        <w:tblInd w:w="-10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873"/>
        <w:gridCol w:w="8428"/>
        <w:gridCol w:w="600"/>
        <w:gridCol w:w="559"/>
      </w:tblGrid>
      <w:tr w14:paraId="7369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9CF43">
            <w:pPr>
              <w:keepNext w:val="0"/>
              <w:keepLines w:val="0"/>
              <w:widowControl/>
              <w:suppressLineNumbers w:val="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3.3 智慧党建</w:t>
            </w:r>
          </w:p>
        </w:tc>
      </w:tr>
      <w:tr w14:paraId="3CF4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CB47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45ED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功能模块</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CAED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功能要求</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3DE5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680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r>
      <w:tr w14:paraId="0FD7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83C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95E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党建门户</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D71C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构建党建信息展示门户平台，展示党建宣传工作、组织工作、领导重要讲话、文件制度等。用于展示党建工作内容，包括党建工作、宣传思想、基层党建、任免动态内容;党务动态内容，包括理论武装、组织人事、干部监督信箱、党风廉政、文化视窗等内容;展示党建专题内容，包括主题教育、学习教育、党建标准化规范、网络党校、干部监督信箱、廉政举报内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4C0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D80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r>
      <w:tr w14:paraId="1F05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365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BDF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党建工作台</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A3F6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用于展示党务工作者工作待办信息、重要提醒信息、任务完成情况信息、用户所在组织情况信息、以及用户所在支部相关信息。</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170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A9829">
            <w:pPr>
              <w:jc w:val="center"/>
              <w:rPr>
                <w:rFonts w:hint="eastAsia" w:ascii="宋体" w:hAnsi="宋体" w:eastAsia="宋体" w:cs="宋体"/>
                <w:b w:val="0"/>
                <w:bCs w:val="0"/>
                <w:i w:val="0"/>
                <w:iCs w:val="0"/>
                <w:color w:val="000000"/>
                <w:sz w:val="20"/>
                <w:szCs w:val="20"/>
                <w:highlight w:val="none"/>
                <w:u w:val="none"/>
              </w:rPr>
            </w:pPr>
          </w:p>
        </w:tc>
      </w:tr>
      <w:tr w14:paraId="44FD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69F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70D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制度查询</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053F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管理党制度文件，其中包括中央党内法规和规范性文件、党建制度、党委工作手册、党支部工作手册。</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03CE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635DF">
            <w:pPr>
              <w:jc w:val="center"/>
              <w:rPr>
                <w:rFonts w:hint="eastAsia" w:ascii="宋体" w:hAnsi="宋体" w:eastAsia="宋体" w:cs="宋体"/>
                <w:b w:val="0"/>
                <w:bCs w:val="0"/>
                <w:i w:val="0"/>
                <w:iCs w:val="0"/>
                <w:color w:val="000000"/>
                <w:sz w:val="20"/>
                <w:szCs w:val="20"/>
                <w:highlight w:val="none"/>
                <w:u w:val="none"/>
              </w:rPr>
            </w:pPr>
          </w:p>
        </w:tc>
      </w:tr>
      <w:tr w14:paraId="2FF8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AAE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A0D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组织管理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CD9C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党组织工作管理包含党组织信息管理、换届选举管理、党组织关系转移。党组织工作经费主要管理党组织内工作经费使用情况，其中包括每年工作经费预算、使用、以及统计情况。</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950FD">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B291A">
            <w:pPr>
              <w:jc w:val="center"/>
              <w:rPr>
                <w:rFonts w:hint="eastAsia" w:ascii="宋体" w:hAnsi="宋体" w:eastAsia="宋体" w:cs="宋体"/>
                <w:b w:val="0"/>
                <w:bCs w:val="0"/>
                <w:i w:val="0"/>
                <w:iCs w:val="0"/>
                <w:color w:val="000000"/>
                <w:sz w:val="20"/>
                <w:szCs w:val="20"/>
                <w:highlight w:val="none"/>
                <w:u w:val="none"/>
              </w:rPr>
            </w:pPr>
          </w:p>
        </w:tc>
      </w:tr>
      <w:tr w14:paraId="4838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B43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5E1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党员管理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6FC1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党员信息是整个系统的基础，是统计报表的依据。党员信息包括党员个人信息、以及个人相关信息查看。开展发展党员工作，明确责任和目标，发挥作用。制定党员发展计划，考察，发展及培养，向国家提供具备党员标准的合格而优秀的党员。每月定期收缴党费以及党费使用情况进行管理。为认真贯彻党的十九大会议精神，落实党要管党、从严治党方针，加强党员队伍先进性和纯洁性建设，充分彰显共产党员先锋。系统记录党员受纪律处分情况。其中包括违反组织纪律、违反整治纪律、违反干部选拔任用规定、违反工作纪律等。落实党内困难党员进行党内关怀帮扶，主要形式有“七一”慰问、春节慰问、日常走访慰问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4B87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1A9F6">
            <w:pPr>
              <w:jc w:val="center"/>
              <w:rPr>
                <w:rFonts w:hint="eastAsia" w:ascii="宋体" w:hAnsi="宋体" w:eastAsia="宋体" w:cs="宋体"/>
                <w:b w:val="0"/>
                <w:bCs w:val="0"/>
                <w:i w:val="0"/>
                <w:iCs w:val="0"/>
                <w:color w:val="000000"/>
                <w:sz w:val="20"/>
                <w:szCs w:val="20"/>
                <w:highlight w:val="none"/>
                <w:u w:val="none"/>
              </w:rPr>
            </w:pPr>
          </w:p>
        </w:tc>
      </w:tr>
      <w:tr w14:paraId="1DC0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C5D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D64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组织生活</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EE87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三会一课”制度是党的组织生活的基本制度，是党的基层支部应该长期坚持的重要制度，“三会”是：定期召开支部党员大会、支委会、党小组会；“一课”是：按时上好党课。主题党日作为一项制度安排，每月相对固定1天，每次确定主题，组织党员集中学习、听党课、交纳党费，开展民主议事和志愿服务等活动。主题党日内容包括集中学习、听党课、缴纳党费、志愿服务等。党员的入党日是党员的“政治生日”，用于记录对党员的入党日。同时支持对“政治生日”进行查询、导出等操作。过政治生日，引导党员时刻不忘自己的“第一身份”，发挥先锋模范作用。</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6581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CB3B8">
            <w:pPr>
              <w:jc w:val="center"/>
              <w:rPr>
                <w:rFonts w:hint="eastAsia" w:ascii="宋体" w:hAnsi="宋体" w:eastAsia="宋体" w:cs="宋体"/>
                <w:b w:val="0"/>
                <w:bCs w:val="0"/>
                <w:i w:val="0"/>
                <w:iCs w:val="0"/>
                <w:color w:val="000000"/>
                <w:sz w:val="20"/>
                <w:szCs w:val="20"/>
                <w:highlight w:val="none"/>
                <w:u w:val="none"/>
              </w:rPr>
            </w:pPr>
          </w:p>
        </w:tc>
      </w:tr>
      <w:tr w14:paraId="435C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DBE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A21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党内活动</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A6AA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党建考评用于党委对支部进行考评，评选等级为先进、一般、薄弱。</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A346E">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485F6">
            <w:pPr>
              <w:jc w:val="center"/>
              <w:rPr>
                <w:rFonts w:hint="eastAsia" w:ascii="宋体" w:hAnsi="宋体" w:eastAsia="宋体" w:cs="宋体"/>
                <w:b w:val="0"/>
                <w:bCs w:val="0"/>
                <w:i w:val="0"/>
                <w:iCs w:val="0"/>
                <w:color w:val="000000"/>
                <w:sz w:val="20"/>
                <w:szCs w:val="20"/>
                <w:highlight w:val="none"/>
                <w:u w:val="none"/>
              </w:rPr>
            </w:pPr>
          </w:p>
        </w:tc>
      </w:tr>
      <w:tr w14:paraId="71F4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EF8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C53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宣传工作</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5E47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宣传阵地又称宣传舆论阵地，是指宣传机构、场所等。主要展示方式包括横幅、展板、电子屏、宣传栏等内容。</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7BAD">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2927C">
            <w:pPr>
              <w:jc w:val="center"/>
              <w:rPr>
                <w:rFonts w:hint="eastAsia" w:ascii="宋体" w:hAnsi="宋体" w:eastAsia="宋体" w:cs="宋体"/>
                <w:b w:val="0"/>
                <w:bCs w:val="0"/>
                <w:i w:val="0"/>
                <w:iCs w:val="0"/>
                <w:color w:val="000000"/>
                <w:sz w:val="20"/>
                <w:szCs w:val="20"/>
                <w:highlight w:val="none"/>
                <w:u w:val="none"/>
              </w:rPr>
            </w:pPr>
          </w:p>
        </w:tc>
      </w:tr>
      <w:tr w14:paraId="3E05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BDF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168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综合查询</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D296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可以通过多维度、多条件对党组织信息查询，其中包括党组织名称、党组织类别、成立时间、换届时间、人数规模、考评结果、评先评优等进行综合查询，查询结果后可以直接查看组织详细信息。可以通过多维度、多条件对党员信息查询，其中包括所在组织、姓名、年龄段、党内职务、学历、性别、政治面貌、入党时间、转正时间、籍贯、名字等进行综合查询，查询结果后可以直接查看个人详细信息。</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07C7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BDB05">
            <w:pPr>
              <w:jc w:val="center"/>
              <w:rPr>
                <w:rFonts w:hint="eastAsia" w:ascii="宋体" w:hAnsi="宋体" w:eastAsia="宋体" w:cs="宋体"/>
                <w:b w:val="0"/>
                <w:bCs w:val="0"/>
                <w:i w:val="0"/>
                <w:iCs w:val="0"/>
                <w:color w:val="000000"/>
                <w:sz w:val="20"/>
                <w:szCs w:val="20"/>
                <w:highlight w:val="none"/>
                <w:u w:val="none"/>
              </w:rPr>
            </w:pPr>
          </w:p>
        </w:tc>
      </w:tr>
      <w:tr w14:paraId="2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8B88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3.4 内控管理系统</w:t>
            </w:r>
          </w:p>
        </w:tc>
      </w:tr>
      <w:tr w14:paraId="6B80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1E4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268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内控应用入口</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4364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展示与内控相关联的应用快捷入口。平台支持用户在登录状态下快速进入各个内控主题应用，统一入口，一网通办，方便各类用户快速进入内控相关子系统完成工作。</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80A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DA5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r>
      <w:tr w14:paraId="2219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16E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D10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内控最新活动</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D6A5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展示当前与内控相关联的各项业务活动，用户可实时查看学校举办的内控活动，知晓活动的来源、发布时间、活动内容。活动内容条目根据发布时间依次展示。</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136C6">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4B5A3">
            <w:pPr>
              <w:jc w:val="center"/>
              <w:rPr>
                <w:rFonts w:hint="eastAsia" w:ascii="宋体" w:hAnsi="宋体" w:eastAsia="宋体" w:cs="宋体"/>
                <w:b w:val="0"/>
                <w:bCs w:val="0"/>
                <w:i w:val="0"/>
                <w:iCs w:val="0"/>
                <w:color w:val="000000"/>
                <w:sz w:val="20"/>
                <w:szCs w:val="20"/>
                <w:highlight w:val="none"/>
                <w:u w:val="none"/>
              </w:rPr>
            </w:pPr>
          </w:p>
        </w:tc>
      </w:tr>
      <w:tr w14:paraId="0CEB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7ED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503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规章制度公开</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096D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展示学校规章制度的内容，坚持“制度+流程”的建设思路。规章制度下设制度文件、权责清单、流程汇编三大内容，制度优势通过汇编流程融入，体现制度依据、责任部门、责任岗位、内控要求等。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0279">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54864">
            <w:pPr>
              <w:jc w:val="center"/>
              <w:rPr>
                <w:rFonts w:hint="eastAsia" w:ascii="宋体" w:hAnsi="宋体" w:eastAsia="宋体" w:cs="宋体"/>
                <w:b w:val="0"/>
                <w:bCs w:val="0"/>
                <w:i w:val="0"/>
                <w:iCs w:val="0"/>
                <w:color w:val="000000"/>
                <w:sz w:val="20"/>
                <w:szCs w:val="20"/>
                <w:highlight w:val="none"/>
                <w:u w:val="none"/>
              </w:rPr>
            </w:pPr>
          </w:p>
        </w:tc>
      </w:tr>
      <w:tr w14:paraId="389B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12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68F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内部控制公开</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F329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在规章制度体系的建设基础上，结合学校各个业务领域的特点，将内部控制和风险管理进行清单化展示和矩阵式控制。彰显制度的优势，内控的执行，展示各领域的风险清单，针对这样的风险有哪些控制点，明确责任部门、控制环节、控制策略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D8E20">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83BF8">
            <w:pPr>
              <w:jc w:val="center"/>
              <w:rPr>
                <w:rFonts w:hint="eastAsia" w:ascii="宋体" w:hAnsi="宋体" w:eastAsia="宋体" w:cs="宋体"/>
                <w:b w:val="0"/>
                <w:bCs w:val="0"/>
                <w:i w:val="0"/>
                <w:iCs w:val="0"/>
                <w:color w:val="000000"/>
                <w:sz w:val="20"/>
                <w:szCs w:val="20"/>
                <w:highlight w:val="none"/>
                <w:u w:val="none"/>
              </w:rPr>
            </w:pPr>
          </w:p>
        </w:tc>
      </w:tr>
      <w:tr w14:paraId="7BAA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72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9DD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规章制度管理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F76F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学校法律法规管理系统负责梳理和维护法律法规，清单数据同步至本系统，用于风险控制点</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23853">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7137B">
            <w:pPr>
              <w:jc w:val="center"/>
              <w:rPr>
                <w:rFonts w:hint="eastAsia" w:ascii="宋体" w:hAnsi="宋体" w:eastAsia="宋体" w:cs="宋体"/>
                <w:b w:val="0"/>
                <w:bCs w:val="0"/>
                <w:i w:val="0"/>
                <w:iCs w:val="0"/>
                <w:color w:val="000000"/>
                <w:sz w:val="20"/>
                <w:szCs w:val="20"/>
                <w:highlight w:val="none"/>
                <w:u w:val="none"/>
              </w:rPr>
            </w:pPr>
          </w:p>
        </w:tc>
      </w:tr>
      <w:tr w14:paraId="5D09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8EA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378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权责清单管理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A847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提供维护学校权责清单查阅（数据从权责管理系统中同步）</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E7D1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0FA9">
            <w:pPr>
              <w:jc w:val="center"/>
              <w:rPr>
                <w:rFonts w:hint="eastAsia" w:ascii="宋体" w:hAnsi="宋体" w:eastAsia="宋体" w:cs="宋体"/>
                <w:b w:val="0"/>
                <w:bCs w:val="0"/>
                <w:i w:val="0"/>
                <w:iCs w:val="0"/>
                <w:color w:val="000000"/>
                <w:sz w:val="20"/>
                <w:szCs w:val="20"/>
                <w:highlight w:val="none"/>
                <w:u w:val="none"/>
              </w:rPr>
            </w:pPr>
          </w:p>
        </w:tc>
      </w:tr>
      <w:tr w14:paraId="7E4C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3C7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239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岗位管理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188F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提供设置学校各控制域的责任部门、责任岗位和责任人的体系设置，风险识别和处置按照上述设定可以进行流程流转</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A9CA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E5DD7">
            <w:pPr>
              <w:jc w:val="center"/>
              <w:rPr>
                <w:rFonts w:hint="eastAsia" w:ascii="宋体" w:hAnsi="宋体" w:eastAsia="宋体" w:cs="宋体"/>
                <w:b w:val="0"/>
                <w:bCs w:val="0"/>
                <w:i w:val="0"/>
                <w:iCs w:val="0"/>
                <w:color w:val="000000"/>
                <w:sz w:val="20"/>
                <w:szCs w:val="20"/>
                <w:highlight w:val="none"/>
                <w:u w:val="none"/>
              </w:rPr>
            </w:pPr>
          </w:p>
        </w:tc>
      </w:tr>
      <w:tr w14:paraId="036C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F6F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AE3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流程查看</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3CA9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流程查看模块展示全校各类标准办事流程列表，老师通过列表可以查看流程内容，其中流程节点支持查看关联的规章制度以及添加的说明、提示等信息，为老师在实际办事流程中提供指导依据与参考</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7C28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3F2FB">
            <w:pPr>
              <w:jc w:val="center"/>
              <w:rPr>
                <w:rFonts w:hint="eastAsia" w:ascii="宋体" w:hAnsi="宋体" w:eastAsia="宋体" w:cs="宋体"/>
                <w:b w:val="0"/>
                <w:bCs w:val="0"/>
                <w:i w:val="0"/>
                <w:iCs w:val="0"/>
                <w:color w:val="000000"/>
                <w:sz w:val="20"/>
                <w:szCs w:val="20"/>
                <w:highlight w:val="none"/>
                <w:u w:val="none"/>
              </w:rPr>
            </w:pPr>
          </w:p>
        </w:tc>
      </w:tr>
      <w:tr w14:paraId="7F7A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0DF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AB2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流程管理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9C7E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流程管理模块为老师提供新增流程汇编以及对已经发布的流程进行编辑、删除和修改的管理操作，各部门的老师可以通过流程管理模块对本部门涉及的流程汇编内容进行管理，发布的所有流程均可以在流程查看模块中给全体老师进行查看</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7506">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02DF0">
            <w:pPr>
              <w:jc w:val="center"/>
              <w:rPr>
                <w:rFonts w:hint="eastAsia" w:ascii="宋体" w:hAnsi="宋体" w:eastAsia="宋体" w:cs="宋体"/>
                <w:b w:val="0"/>
                <w:bCs w:val="0"/>
                <w:i w:val="0"/>
                <w:iCs w:val="0"/>
                <w:color w:val="000000"/>
                <w:sz w:val="20"/>
                <w:szCs w:val="20"/>
                <w:highlight w:val="none"/>
                <w:u w:val="none"/>
              </w:rPr>
            </w:pPr>
          </w:p>
        </w:tc>
      </w:tr>
      <w:tr w14:paraId="3706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3A3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6AA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权责管理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3059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权责管理模块提供权责清单的新增、导入、查询、编辑、删除以及提交审核功能，方便各职能部门通过在线形式添加部门的权责清单内容，并进行提交审核的操作，通过审核的清单内容在权责一览表中可以进行查看。同时，添加的权责内容支持与已发布的规章制度进行关联，体现权责清单内容以规章制度为支撑依据</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8B9A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93558">
            <w:pPr>
              <w:jc w:val="center"/>
              <w:rPr>
                <w:rFonts w:hint="eastAsia" w:ascii="宋体" w:hAnsi="宋体" w:eastAsia="宋体" w:cs="宋体"/>
                <w:b w:val="0"/>
                <w:bCs w:val="0"/>
                <w:i w:val="0"/>
                <w:iCs w:val="0"/>
                <w:color w:val="000000"/>
                <w:sz w:val="20"/>
                <w:szCs w:val="20"/>
                <w:highlight w:val="none"/>
                <w:u w:val="none"/>
              </w:rPr>
            </w:pPr>
          </w:p>
        </w:tc>
      </w:tr>
      <w:tr w14:paraId="4783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E5C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B5E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边界确认</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E288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边界确认模块支持部门之间对共同涉及事项各自分工内容的确认，在权责管理模块中增加的职责内容若涉及多个部门，各部门的职责分工则需要各个部门进行确认。涉及的部门在边界确认模块的列表中可以查看，进行职责分工内容的确认和打回等操作。对职责分工内容确认后该条数据会添加在双方的权责管理列表中</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1534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1C1B">
            <w:pPr>
              <w:jc w:val="center"/>
              <w:rPr>
                <w:rFonts w:hint="eastAsia" w:ascii="宋体" w:hAnsi="宋体" w:eastAsia="宋体" w:cs="宋体"/>
                <w:b w:val="0"/>
                <w:bCs w:val="0"/>
                <w:i w:val="0"/>
                <w:iCs w:val="0"/>
                <w:color w:val="000000"/>
                <w:sz w:val="20"/>
                <w:szCs w:val="20"/>
                <w:highlight w:val="none"/>
                <w:u w:val="none"/>
              </w:rPr>
            </w:pPr>
          </w:p>
        </w:tc>
      </w:tr>
      <w:tr w14:paraId="3961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E17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3F4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权责审核</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7F2C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各部门拟定的权责清单内容需经过部门负责人或分管领导进行审核，权责审核模块为审核人员提供线上审核的渠道。在权责审核列表中可以审核部门提交的新增、修改以及删除的权责内容，支持通过和不通过并填写意见的操作，提升权责审核的效率</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455AA">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66931">
            <w:pPr>
              <w:jc w:val="center"/>
              <w:rPr>
                <w:rFonts w:hint="eastAsia" w:ascii="宋体" w:hAnsi="宋体" w:eastAsia="宋体" w:cs="宋体"/>
                <w:b w:val="0"/>
                <w:bCs w:val="0"/>
                <w:i w:val="0"/>
                <w:iCs w:val="0"/>
                <w:color w:val="000000"/>
                <w:sz w:val="20"/>
                <w:szCs w:val="20"/>
                <w:highlight w:val="none"/>
                <w:u w:val="none"/>
              </w:rPr>
            </w:pPr>
          </w:p>
        </w:tc>
      </w:tr>
      <w:tr w14:paraId="3E71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6E7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C5E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权责一览表</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B5DF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权责一览表模块展示所有通过审核的权责清单内容，根据部门进行分类查看。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方便校内老师对各部门权责内容进行查询和内容查看。</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B0BB6">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1729D">
            <w:pPr>
              <w:jc w:val="center"/>
              <w:rPr>
                <w:rFonts w:hint="eastAsia" w:ascii="宋体" w:hAnsi="宋体" w:eastAsia="宋体" w:cs="宋体"/>
                <w:b w:val="0"/>
                <w:bCs w:val="0"/>
                <w:i w:val="0"/>
                <w:iCs w:val="0"/>
                <w:color w:val="000000"/>
                <w:sz w:val="20"/>
                <w:szCs w:val="20"/>
                <w:highlight w:val="none"/>
                <w:u w:val="none"/>
              </w:rPr>
            </w:pPr>
          </w:p>
        </w:tc>
      </w:tr>
      <w:tr w14:paraId="2974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47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50C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基础信息管理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F1A6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基础信息管理提供内控系统运行依赖的组织架构和人员信息查询功能，组织和人员数据一般由学校主数据中心通过接口推送。</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FD028">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FA700">
            <w:pPr>
              <w:jc w:val="center"/>
              <w:rPr>
                <w:rFonts w:hint="eastAsia" w:ascii="宋体" w:hAnsi="宋体" w:eastAsia="宋体" w:cs="宋体"/>
                <w:b w:val="0"/>
                <w:bCs w:val="0"/>
                <w:i w:val="0"/>
                <w:iCs w:val="0"/>
                <w:color w:val="000000"/>
                <w:sz w:val="20"/>
                <w:szCs w:val="20"/>
                <w:highlight w:val="none"/>
                <w:u w:val="none"/>
              </w:rPr>
            </w:pPr>
          </w:p>
        </w:tc>
      </w:tr>
      <w:tr w14:paraId="3B9C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FF2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277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岗位设置</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284B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根据内部控制要求，学校应合理划分校内各部门的职能，厘清各部门在组织层面和业务层面内部控制中的岗位和分工，明确各部门具体岗位、职责和工作要求。</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1D083">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920A8">
            <w:pPr>
              <w:jc w:val="center"/>
              <w:rPr>
                <w:rFonts w:hint="eastAsia" w:ascii="宋体" w:hAnsi="宋体" w:eastAsia="宋体" w:cs="宋体"/>
                <w:b w:val="0"/>
                <w:bCs w:val="0"/>
                <w:i w:val="0"/>
                <w:iCs w:val="0"/>
                <w:color w:val="000000"/>
                <w:sz w:val="20"/>
                <w:szCs w:val="20"/>
                <w:highlight w:val="none"/>
                <w:u w:val="none"/>
              </w:rPr>
            </w:pPr>
          </w:p>
        </w:tc>
      </w:tr>
      <w:tr w14:paraId="03CE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41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563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风险对象管理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5139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以风险控制的业务对象作为主体，管理风险对象的接入建模、观测建模、业务流程关联、风险控制点、规章制度。</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D2CB9">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0A192">
            <w:pPr>
              <w:jc w:val="center"/>
              <w:rPr>
                <w:rFonts w:hint="eastAsia" w:ascii="宋体" w:hAnsi="宋体" w:eastAsia="宋体" w:cs="宋体"/>
                <w:b w:val="0"/>
                <w:bCs w:val="0"/>
                <w:i w:val="0"/>
                <w:iCs w:val="0"/>
                <w:color w:val="000000"/>
                <w:sz w:val="20"/>
                <w:szCs w:val="20"/>
                <w:highlight w:val="none"/>
                <w:u w:val="none"/>
              </w:rPr>
            </w:pPr>
          </w:p>
        </w:tc>
      </w:tr>
      <w:tr w14:paraId="1F85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9D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8D3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业务流程库管理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199A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提供标准流程节点和接入流程库的自动映射和人工映射的功能，当系统监测映射关系出问题时，自动报警，提醒系统管理员更新流程映射</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4A6B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A7BDC">
            <w:pPr>
              <w:jc w:val="center"/>
              <w:rPr>
                <w:rFonts w:hint="eastAsia" w:ascii="宋体" w:hAnsi="宋体" w:eastAsia="宋体" w:cs="宋体"/>
                <w:b w:val="0"/>
                <w:bCs w:val="0"/>
                <w:i w:val="0"/>
                <w:iCs w:val="0"/>
                <w:color w:val="000000"/>
                <w:sz w:val="20"/>
                <w:szCs w:val="20"/>
                <w:highlight w:val="none"/>
                <w:u w:val="none"/>
              </w:rPr>
            </w:pPr>
          </w:p>
        </w:tc>
      </w:tr>
      <w:tr w14:paraId="76C3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8E1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0DE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接入数据建模</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C778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提供《接入数据建模》：存储数据表。方便后期的查询。通过接口与第三方系统数据对接。</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37108">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EAD4D">
            <w:pPr>
              <w:jc w:val="center"/>
              <w:rPr>
                <w:rFonts w:hint="eastAsia" w:ascii="宋体" w:hAnsi="宋体" w:eastAsia="宋体" w:cs="宋体"/>
                <w:b w:val="0"/>
                <w:bCs w:val="0"/>
                <w:i w:val="0"/>
                <w:iCs w:val="0"/>
                <w:color w:val="000000"/>
                <w:sz w:val="20"/>
                <w:szCs w:val="20"/>
                <w:highlight w:val="none"/>
                <w:u w:val="none"/>
              </w:rPr>
            </w:pPr>
          </w:p>
        </w:tc>
      </w:tr>
      <w:tr w14:paraId="379A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158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D27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业务观测建模</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EB8C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提供《业务观测建模》：建立。方便后期的查询。支持加表加字段。</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00514">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5EBCE">
            <w:pPr>
              <w:jc w:val="center"/>
              <w:rPr>
                <w:rFonts w:hint="eastAsia" w:ascii="宋体" w:hAnsi="宋体" w:eastAsia="宋体" w:cs="宋体"/>
                <w:b w:val="0"/>
                <w:bCs w:val="0"/>
                <w:i w:val="0"/>
                <w:iCs w:val="0"/>
                <w:color w:val="000000"/>
                <w:sz w:val="20"/>
                <w:szCs w:val="20"/>
                <w:highlight w:val="none"/>
                <w:u w:val="none"/>
              </w:rPr>
            </w:pPr>
          </w:p>
        </w:tc>
      </w:tr>
      <w:tr w14:paraId="3E3A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17F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874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事件库建模</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CAA5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提供对事件处置过程中所有事件库模型管理</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F7633">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1467C">
            <w:pPr>
              <w:jc w:val="center"/>
              <w:rPr>
                <w:rFonts w:hint="eastAsia" w:ascii="宋体" w:hAnsi="宋体" w:eastAsia="宋体" w:cs="宋体"/>
                <w:b w:val="0"/>
                <w:bCs w:val="0"/>
                <w:i w:val="0"/>
                <w:iCs w:val="0"/>
                <w:color w:val="000000"/>
                <w:sz w:val="20"/>
                <w:szCs w:val="20"/>
                <w:highlight w:val="none"/>
                <w:u w:val="none"/>
              </w:rPr>
            </w:pPr>
          </w:p>
        </w:tc>
      </w:tr>
      <w:tr w14:paraId="7849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B7C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DBB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数据标准管理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6FE4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提供数据的字典表需要实时同步。并且支持系统自定义字典表。</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F8C2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4AC8E">
            <w:pPr>
              <w:jc w:val="center"/>
              <w:rPr>
                <w:rFonts w:hint="eastAsia" w:ascii="宋体" w:hAnsi="宋体" w:eastAsia="宋体" w:cs="宋体"/>
                <w:b w:val="0"/>
                <w:bCs w:val="0"/>
                <w:i w:val="0"/>
                <w:iCs w:val="0"/>
                <w:color w:val="000000"/>
                <w:sz w:val="20"/>
                <w:szCs w:val="20"/>
                <w:highlight w:val="none"/>
                <w:u w:val="none"/>
              </w:rPr>
            </w:pPr>
          </w:p>
        </w:tc>
      </w:tr>
      <w:tr w14:paraId="5EC4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D56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2AF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中控制域管理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7FC1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对学校各个业务领域进行细分，如经济、人力、安全、教学等领域；各领域可以独立开展风险识别评估域风险处置。</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E5DE">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0A75E">
            <w:pPr>
              <w:jc w:val="center"/>
              <w:rPr>
                <w:rFonts w:hint="eastAsia" w:ascii="宋体" w:hAnsi="宋体" w:eastAsia="宋体" w:cs="宋体"/>
                <w:b w:val="0"/>
                <w:bCs w:val="0"/>
                <w:i w:val="0"/>
                <w:iCs w:val="0"/>
                <w:color w:val="000000"/>
                <w:sz w:val="20"/>
                <w:szCs w:val="20"/>
                <w:highlight w:val="none"/>
                <w:u w:val="none"/>
              </w:rPr>
            </w:pPr>
          </w:p>
        </w:tc>
      </w:tr>
      <w:tr w14:paraId="70CA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A4C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C46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控制标准管理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CEDA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内控系统提供一套完整的内控标准，也支持用户对内部控制各环节运行标准进行调整，内控标准涵盖：风险等级、风险族谱、控制类型、控制策略、控制频率、控制措施。</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7230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A2A42">
            <w:pPr>
              <w:jc w:val="center"/>
              <w:rPr>
                <w:rFonts w:hint="eastAsia" w:ascii="宋体" w:hAnsi="宋体" w:eastAsia="宋体" w:cs="宋体"/>
                <w:b w:val="0"/>
                <w:bCs w:val="0"/>
                <w:i w:val="0"/>
                <w:iCs w:val="0"/>
                <w:color w:val="000000"/>
                <w:sz w:val="20"/>
                <w:szCs w:val="20"/>
                <w:highlight w:val="none"/>
                <w:u w:val="none"/>
              </w:rPr>
            </w:pPr>
          </w:p>
        </w:tc>
      </w:tr>
      <w:tr w14:paraId="275F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AF4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902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问题筛选管理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FE10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结合各业务领域各自的特性，或不同的信息化建设进度，会造成数据质量存在偏差，系统提供管理员设置各控制领域/业务系统的业务数据和流程数据中的关键词，系统在进行风险观测时，对关键词进行过滤。</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4FE50">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461E8">
            <w:pPr>
              <w:jc w:val="center"/>
              <w:rPr>
                <w:rFonts w:hint="eastAsia" w:ascii="宋体" w:hAnsi="宋体" w:eastAsia="宋体" w:cs="宋体"/>
                <w:b w:val="0"/>
                <w:bCs w:val="0"/>
                <w:i w:val="0"/>
                <w:iCs w:val="0"/>
                <w:color w:val="000000"/>
                <w:sz w:val="20"/>
                <w:szCs w:val="20"/>
                <w:highlight w:val="none"/>
                <w:u w:val="none"/>
              </w:rPr>
            </w:pPr>
          </w:p>
        </w:tc>
      </w:tr>
      <w:tr w14:paraId="3952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4F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66D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系统授权</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1446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内控系统提供严谨的用户权限控制，包括：“系统菜单”、“角色”、“角色数据权限”、“角色菜单权限”的控制</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4BFF6">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1EE2D">
            <w:pPr>
              <w:jc w:val="center"/>
              <w:rPr>
                <w:rFonts w:hint="eastAsia" w:ascii="宋体" w:hAnsi="宋体" w:eastAsia="宋体" w:cs="宋体"/>
                <w:b w:val="0"/>
                <w:bCs w:val="0"/>
                <w:i w:val="0"/>
                <w:iCs w:val="0"/>
                <w:color w:val="000000"/>
                <w:sz w:val="20"/>
                <w:szCs w:val="20"/>
                <w:highlight w:val="none"/>
                <w:u w:val="none"/>
              </w:rPr>
            </w:pPr>
          </w:p>
        </w:tc>
      </w:tr>
      <w:tr w14:paraId="10BC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A82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26</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5E9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接口管理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979C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第三方系统（厂商）注册：输入系统名称和系统代码，创建成功后内控中台会为每个第三方系统生成一组秘钥，第三方系统在调用接口时需要传递系统代码以及使用对应的秘钥对报文进行签名。</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876E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40547">
            <w:pPr>
              <w:jc w:val="center"/>
              <w:rPr>
                <w:rFonts w:hint="eastAsia" w:ascii="宋体" w:hAnsi="宋体" w:eastAsia="宋体" w:cs="宋体"/>
                <w:b w:val="0"/>
                <w:bCs w:val="0"/>
                <w:i w:val="0"/>
                <w:iCs w:val="0"/>
                <w:color w:val="000000"/>
                <w:sz w:val="20"/>
                <w:szCs w:val="20"/>
                <w:highlight w:val="none"/>
                <w:u w:val="none"/>
              </w:rPr>
            </w:pPr>
          </w:p>
        </w:tc>
      </w:tr>
      <w:tr w14:paraId="51B8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E9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27</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7C7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接口授权</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E28C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接口授权：目前系统提供两个推送数据接口，分别为业务数据接口(pushModelData)和流程数据接口(pushFlowData)，对于业务数据接口可以针对厂商进行授权允许推送哪些业务数据。内控系统对于第三方系统的每次接口调用都会生成对应的日志信息，记录调用成功或失败以及失败原因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F605C">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74F66">
            <w:pPr>
              <w:jc w:val="center"/>
              <w:rPr>
                <w:rFonts w:hint="eastAsia" w:ascii="宋体" w:hAnsi="宋体" w:eastAsia="宋体" w:cs="宋体"/>
                <w:b w:val="0"/>
                <w:bCs w:val="0"/>
                <w:i w:val="0"/>
                <w:iCs w:val="0"/>
                <w:color w:val="000000"/>
                <w:sz w:val="20"/>
                <w:szCs w:val="20"/>
                <w:highlight w:val="none"/>
                <w:u w:val="none"/>
              </w:rPr>
            </w:pPr>
          </w:p>
        </w:tc>
      </w:tr>
      <w:tr w14:paraId="495E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958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28</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F65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接口API文档</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B101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接口API文档：在内控中台系统中配置好的模型会自动生成对应的接口。该文档提供基于Java语言的调用说明，其他语言可以参考Java的实现方式进行调用。</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796E2">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D998B">
            <w:pPr>
              <w:jc w:val="center"/>
              <w:rPr>
                <w:rFonts w:hint="eastAsia" w:ascii="宋体" w:hAnsi="宋体" w:eastAsia="宋体" w:cs="宋体"/>
                <w:b w:val="0"/>
                <w:bCs w:val="0"/>
                <w:i w:val="0"/>
                <w:iCs w:val="0"/>
                <w:color w:val="000000"/>
                <w:sz w:val="20"/>
                <w:szCs w:val="20"/>
                <w:highlight w:val="none"/>
                <w:u w:val="none"/>
              </w:rPr>
            </w:pPr>
          </w:p>
        </w:tc>
      </w:tr>
      <w:tr w14:paraId="7104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D9D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29</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BF3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业务环节管理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3AC0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提供对每一个业务环节都可以编辑自身所关联的控制目标、风险清单、风险点。</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93270">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8F122">
            <w:pPr>
              <w:jc w:val="center"/>
              <w:rPr>
                <w:rFonts w:hint="eastAsia" w:ascii="宋体" w:hAnsi="宋体" w:eastAsia="宋体" w:cs="宋体"/>
                <w:b w:val="0"/>
                <w:bCs w:val="0"/>
                <w:i w:val="0"/>
                <w:iCs w:val="0"/>
                <w:color w:val="000000"/>
                <w:sz w:val="20"/>
                <w:szCs w:val="20"/>
                <w:highlight w:val="none"/>
                <w:u w:val="none"/>
              </w:rPr>
            </w:pPr>
          </w:p>
        </w:tc>
      </w:tr>
      <w:tr w14:paraId="4907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746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DF9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控制目标管理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C64A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提供对每一个风险点建立初期都会依据一定的总体目标来规划。所以在业务环节内需要设置控制目标。</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35A4">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475B8">
            <w:pPr>
              <w:jc w:val="center"/>
              <w:rPr>
                <w:rFonts w:hint="eastAsia" w:ascii="宋体" w:hAnsi="宋体" w:eastAsia="宋体" w:cs="宋体"/>
                <w:b w:val="0"/>
                <w:bCs w:val="0"/>
                <w:i w:val="0"/>
                <w:iCs w:val="0"/>
                <w:color w:val="000000"/>
                <w:sz w:val="20"/>
                <w:szCs w:val="20"/>
                <w:highlight w:val="none"/>
                <w:u w:val="none"/>
              </w:rPr>
            </w:pPr>
          </w:p>
        </w:tc>
      </w:tr>
      <w:tr w14:paraId="3819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BA5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D8F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风险清单管理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F889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基于高校制度的政策与调研，整理和设计各领域可能存在的内部控制风险，形成内部控制风险清单库；风险清单库便于“风险识别”时可以快速识别分类</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E76C8">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6F776">
            <w:pPr>
              <w:jc w:val="center"/>
              <w:rPr>
                <w:rFonts w:hint="eastAsia" w:ascii="宋体" w:hAnsi="宋体" w:eastAsia="宋体" w:cs="宋体"/>
                <w:b w:val="0"/>
                <w:bCs w:val="0"/>
                <w:i w:val="0"/>
                <w:iCs w:val="0"/>
                <w:color w:val="000000"/>
                <w:sz w:val="20"/>
                <w:szCs w:val="20"/>
                <w:highlight w:val="none"/>
                <w:u w:val="none"/>
              </w:rPr>
            </w:pPr>
          </w:p>
        </w:tc>
      </w:tr>
      <w:tr w14:paraId="241D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B76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A9B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风险控制矩阵管理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5950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根据高校内部控制的风险清单库，绘制内部控制名目以及风险控制矩阵（风险矩阵包括风险端口、过程步骤、风险点、控制点、控制活动、涉及相关部门及岗位）</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5E604">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1A597">
            <w:pPr>
              <w:jc w:val="center"/>
              <w:rPr>
                <w:rFonts w:hint="eastAsia" w:ascii="宋体" w:hAnsi="宋体" w:eastAsia="宋体" w:cs="宋体"/>
                <w:b w:val="0"/>
                <w:bCs w:val="0"/>
                <w:i w:val="0"/>
                <w:iCs w:val="0"/>
                <w:color w:val="000000"/>
                <w:sz w:val="20"/>
                <w:szCs w:val="20"/>
                <w:highlight w:val="none"/>
                <w:u w:val="none"/>
              </w:rPr>
            </w:pPr>
          </w:p>
        </w:tc>
      </w:tr>
      <w:tr w14:paraId="26A6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F14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293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风险上报</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84AB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供学校各类人群通过风险上报模块提交问题，上报可能的内控风险事件，共同治理学校内部风险。支持风险上报、风险跟踪、风险撤销等功能。列表分为待受理、已受理和仅回复三个页签，支持事件描述模糊搜索。</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BC9FE">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8FE28">
            <w:pPr>
              <w:jc w:val="center"/>
              <w:rPr>
                <w:rFonts w:hint="eastAsia" w:ascii="宋体" w:hAnsi="宋体" w:eastAsia="宋体" w:cs="宋体"/>
                <w:b w:val="0"/>
                <w:bCs w:val="0"/>
                <w:i w:val="0"/>
                <w:iCs w:val="0"/>
                <w:color w:val="000000"/>
                <w:sz w:val="20"/>
                <w:szCs w:val="20"/>
                <w:highlight w:val="none"/>
                <w:u w:val="none"/>
              </w:rPr>
            </w:pPr>
          </w:p>
        </w:tc>
      </w:tr>
      <w:tr w14:paraId="5DDE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C9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47C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事件受理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287F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问题来源分为各类人群反馈的问题和内控监管平台智能识别的问题，受理人员负责确认问题的有效性。受理环节需要对问题归属的控制域、控制目标、风险清单、控制点一一识别并明确，为后续的风险识别评估提供参考。</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9091E">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408A9">
            <w:pPr>
              <w:jc w:val="center"/>
              <w:rPr>
                <w:rFonts w:hint="eastAsia" w:ascii="宋体" w:hAnsi="宋体" w:eastAsia="宋体" w:cs="宋体"/>
                <w:b w:val="0"/>
                <w:bCs w:val="0"/>
                <w:i w:val="0"/>
                <w:iCs w:val="0"/>
                <w:color w:val="000000"/>
                <w:sz w:val="20"/>
                <w:szCs w:val="20"/>
                <w:highlight w:val="none"/>
                <w:u w:val="none"/>
              </w:rPr>
            </w:pPr>
          </w:p>
        </w:tc>
      </w:tr>
      <w:tr w14:paraId="39B7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7F5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2B6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风险评估</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32E3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评估包含了两个阶段：风险识别、风险分析，风险分析是在风险识别的基础上，运用定量和定性方法对风险发生的可能性和对单位目标实现的影响程度进行分析，最终提交风险决策。风险评估分为待办和已办两个页签，可以查看事件的受理任务。列表上支持按照业务域、风险等级、风险类别等条件进行筛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7F98E">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364C">
            <w:pPr>
              <w:jc w:val="center"/>
              <w:rPr>
                <w:rFonts w:hint="eastAsia" w:ascii="宋体" w:hAnsi="宋体" w:eastAsia="宋体" w:cs="宋体"/>
                <w:b w:val="0"/>
                <w:bCs w:val="0"/>
                <w:i w:val="0"/>
                <w:iCs w:val="0"/>
                <w:color w:val="000000"/>
                <w:sz w:val="20"/>
                <w:szCs w:val="20"/>
                <w:highlight w:val="none"/>
                <w:u w:val="none"/>
              </w:rPr>
            </w:pPr>
          </w:p>
        </w:tc>
      </w:tr>
      <w:tr w14:paraId="3B73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CE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36</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519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风险处置</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5F45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风险处置环节处置人员可处置系统/人工推送的处置工单，并反馈处理情况。风险处置分为待办和已办两个页签，可以查看事件的受理任务。列表上支持按照事件编号、业务域、风险类别等条件进行筛选。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57CE4">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6562A">
            <w:pPr>
              <w:jc w:val="center"/>
              <w:rPr>
                <w:rFonts w:hint="eastAsia" w:ascii="宋体" w:hAnsi="宋体" w:eastAsia="宋体" w:cs="宋体"/>
                <w:b w:val="0"/>
                <w:bCs w:val="0"/>
                <w:i w:val="0"/>
                <w:iCs w:val="0"/>
                <w:color w:val="000000"/>
                <w:sz w:val="20"/>
                <w:szCs w:val="20"/>
                <w:highlight w:val="none"/>
                <w:u w:val="none"/>
              </w:rPr>
            </w:pPr>
          </w:p>
        </w:tc>
      </w:tr>
      <w:tr w14:paraId="00C6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81C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37</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53E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事件办结</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B906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在事件办结环节，支持事件到结束，同样支持事件退回至处置环节。事件办结分为待办和已办两个页签，可以查看事件的受理任务。列表上支持按照业务域、风险等级、风险类别等条件进行筛选。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364A">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05B8F">
            <w:pPr>
              <w:jc w:val="center"/>
              <w:rPr>
                <w:rFonts w:hint="eastAsia" w:ascii="宋体" w:hAnsi="宋体" w:eastAsia="宋体" w:cs="宋体"/>
                <w:b w:val="0"/>
                <w:bCs w:val="0"/>
                <w:i w:val="0"/>
                <w:iCs w:val="0"/>
                <w:color w:val="000000"/>
                <w:sz w:val="20"/>
                <w:szCs w:val="20"/>
                <w:highlight w:val="none"/>
                <w:u w:val="none"/>
              </w:rPr>
            </w:pPr>
          </w:p>
        </w:tc>
      </w:tr>
      <w:tr w14:paraId="4DAA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038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38</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A43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风险监控</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F707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展示风险监控的运行过程中的统计情况，包括接入模型数量、系统检测数据总量、合规记录总数、不合规记录总数、梳理风险点个数、高风险点总数、中风险点总数、低风险点总数等。列表支持根据风险对象名称和业务域进行筛选，并且支持导出功能。</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3F0E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28127">
            <w:pPr>
              <w:jc w:val="center"/>
              <w:rPr>
                <w:rFonts w:hint="eastAsia" w:ascii="宋体" w:hAnsi="宋体" w:eastAsia="宋体" w:cs="宋体"/>
                <w:b w:val="0"/>
                <w:bCs w:val="0"/>
                <w:i w:val="0"/>
                <w:iCs w:val="0"/>
                <w:color w:val="000000"/>
                <w:sz w:val="20"/>
                <w:szCs w:val="20"/>
                <w:highlight w:val="none"/>
                <w:u w:val="none"/>
              </w:rPr>
            </w:pPr>
          </w:p>
        </w:tc>
      </w:tr>
      <w:tr w14:paraId="29D1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84F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39</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C56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风险评价</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D199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针对学校各业务域发生的风险事件进行评价总结，评价分用于内控报告方案进行抽取，包括综合得分及评价意见。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风险评价列表支持按照发生时间、归属域、风险等级、评价状态进行筛选。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7254C">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280BE">
            <w:pPr>
              <w:jc w:val="center"/>
              <w:rPr>
                <w:rFonts w:hint="eastAsia" w:ascii="宋体" w:hAnsi="宋体" w:eastAsia="宋体" w:cs="宋体"/>
                <w:b w:val="0"/>
                <w:bCs w:val="0"/>
                <w:i w:val="0"/>
                <w:iCs w:val="0"/>
                <w:color w:val="000000"/>
                <w:sz w:val="20"/>
                <w:szCs w:val="20"/>
                <w:highlight w:val="none"/>
                <w:u w:val="none"/>
              </w:rPr>
            </w:pPr>
          </w:p>
        </w:tc>
      </w:tr>
      <w:tr w14:paraId="7AC8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54C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81F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风险报告</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8C48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支持根据风险评估结果编制风险报告，并及时提交单位领导班子，提请单位领导关注重要风险，采取有针对性的应对策略和控制措施。系统提供新增、删除风险报告的功能。</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EAB1C">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86807">
            <w:pPr>
              <w:jc w:val="center"/>
              <w:rPr>
                <w:rFonts w:hint="eastAsia" w:ascii="宋体" w:hAnsi="宋体" w:eastAsia="宋体" w:cs="宋体"/>
                <w:b w:val="0"/>
                <w:bCs w:val="0"/>
                <w:i w:val="0"/>
                <w:iCs w:val="0"/>
                <w:color w:val="000000"/>
                <w:sz w:val="20"/>
                <w:szCs w:val="20"/>
                <w:highlight w:val="none"/>
                <w:u w:val="none"/>
              </w:rPr>
            </w:pPr>
          </w:p>
        </w:tc>
      </w:tr>
      <w:tr w14:paraId="3588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120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94A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预案管理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D37E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系统管理员可以编辑业务域的预案信息，查看处置人员修改记录。监管人员、部门负责人支持查看全域预案信息及编辑所属域的预案信息，关联历史事件和关联风险清单。</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099A6">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B14D8">
            <w:pPr>
              <w:jc w:val="center"/>
              <w:rPr>
                <w:rFonts w:hint="eastAsia" w:ascii="宋体" w:hAnsi="宋体" w:eastAsia="宋体" w:cs="宋体"/>
                <w:b w:val="0"/>
                <w:bCs w:val="0"/>
                <w:i w:val="0"/>
                <w:iCs w:val="0"/>
                <w:color w:val="000000"/>
                <w:sz w:val="20"/>
                <w:szCs w:val="20"/>
                <w:highlight w:val="none"/>
                <w:u w:val="none"/>
              </w:rPr>
            </w:pPr>
          </w:p>
        </w:tc>
      </w:tr>
      <w:tr w14:paraId="6C8B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D109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3.5 合同管理平台</w:t>
            </w:r>
          </w:p>
        </w:tc>
      </w:tr>
      <w:tr w14:paraId="3A98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119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A2B8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合同相对方</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EB84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存储与单位有业务往来的单位、个人的相关信息，包括：基础信息（包含合作状态、类型、合作等级、信用等级、证件号等）；单位信息（包含工商注册信息和联系人信息）；个人信息（包含证件号码、联系电话等）；财务信息（包含银行账号、开户银行等）和其他附件等。供单位内需要签订、经办合同的相关人员查看本单位的合作方的相关信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3D2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9D9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r>
      <w:tr w14:paraId="7EBB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F19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7A3D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合同准备</w:t>
            </w:r>
          </w:p>
        </w:tc>
        <w:tc>
          <w:tcPr>
            <w:tcW w:w="84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E476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单位内各部门可根据实际需要，定制所需的合同编号格式。单位根据实际需要，可存储本单位、外单位的格式与非格式的合同范本或模板，供合同编制时相关人员下载使用,供单位内需要签订、经办合同的相关人员查看本人权责范围内的合同范本，并下载使用。</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A5252">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1135D">
            <w:pPr>
              <w:jc w:val="center"/>
              <w:rPr>
                <w:rFonts w:hint="eastAsia" w:ascii="宋体" w:hAnsi="宋体" w:eastAsia="宋体" w:cs="宋体"/>
                <w:b w:val="0"/>
                <w:bCs w:val="0"/>
                <w:i w:val="0"/>
                <w:iCs w:val="0"/>
                <w:color w:val="000000"/>
                <w:sz w:val="20"/>
                <w:szCs w:val="20"/>
                <w:highlight w:val="none"/>
                <w:u w:val="none"/>
              </w:rPr>
            </w:pPr>
          </w:p>
        </w:tc>
      </w:tr>
      <w:tr w14:paraId="7D1E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51B1">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80B18">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3E97C">
            <w:pPr>
              <w:jc w:val="left"/>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7F5C2">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47BD1">
            <w:pPr>
              <w:jc w:val="center"/>
              <w:rPr>
                <w:rFonts w:hint="eastAsia" w:ascii="宋体" w:hAnsi="宋体" w:eastAsia="宋体" w:cs="宋体"/>
                <w:b w:val="0"/>
                <w:bCs w:val="0"/>
                <w:i w:val="0"/>
                <w:iCs w:val="0"/>
                <w:color w:val="000000"/>
                <w:sz w:val="20"/>
                <w:szCs w:val="20"/>
                <w:highlight w:val="none"/>
                <w:u w:val="none"/>
              </w:rPr>
            </w:pPr>
          </w:p>
        </w:tc>
      </w:tr>
      <w:tr w14:paraId="4249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5BE06">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D7298">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8613C">
            <w:pPr>
              <w:jc w:val="left"/>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80A0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8B88B">
            <w:pPr>
              <w:jc w:val="center"/>
              <w:rPr>
                <w:rFonts w:hint="eastAsia" w:ascii="宋体" w:hAnsi="宋体" w:eastAsia="宋体" w:cs="宋体"/>
                <w:b w:val="0"/>
                <w:bCs w:val="0"/>
                <w:i w:val="0"/>
                <w:iCs w:val="0"/>
                <w:color w:val="000000"/>
                <w:sz w:val="20"/>
                <w:szCs w:val="20"/>
                <w:highlight w:val="none"/>
                <w:u w:val="none"/>
              </w:rPr>
            </w:pPr>
          </w:p>
        </w:tc>
      </w:tr>
      <w:tr w14:paraId="20E3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632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97B0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合同档案</w:t>
            </w:r>
          </w:p>
        </w:tc>
        <w:tc>
          <w:tcPr>
            <w:tcW w:w="84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2600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存储合同的各项信息包含：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基础信息、详细信息、收款信息、付款信息、执行情况;按合同的结束日期，查看目前正在履行中且在当前系统日期之后90天内将到期的合同记录。</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38A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C836B">
            <w:pPr>
              <w:jc w:val="center"/>
              <w:rPr>
                <w:rFonts w:hint="eastAsia" w:ascii="宋体" w:hAnsi="宋体" w:eastAsia="宋体" w:cs="宋体"/>
                <w:b w:val="0"/>
                <w:bCs w:val="0"/>
                <w:i w:val="0"/>
                <w:iCs w:val="0"/>
                <w:color w:val="000000"/>
                <w:sz w:val="20"/>
                <w:szCs w:val="20"/>
                <w:highlight w:val="none"/>
                <w:u w:val="none"/>
              </w:rPr>
            </w:pPr>
          </w:p>
        </w:tc>
      </w:tr>
      <w:tr w14:paraId="4E17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F5BE1">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6318C">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5F2DE">
            <w:pPr>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1F80F">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ADF0">
            <w:pPr>
              <w:jc w:val="center"/>
              <w:rPr>
                <w:rFonts w:hint="eastAsia" w:ascii="宋体" w:hAnsi="宋体" w:eastAsia="宋体" w:cs="宋体"/>
                <w:b w:val="0"/>
                <w:bCs w:val="0"/>
                <w:i w:val="0"/>
                <w:iCs w:val="0"/>
                <w:color w:val="000000"/>
                <w:sz w:val="20"/>
                <w:szCs w:val="20"/>
                <w:highlight w:val="none"/>
                <w:u w:val="none"/>
              </w:rPr>
            </w:pPr>
          </w:p>
        </w:tc>
      </w:tr>
      <w:tr w14:paraId="51C0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5D5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DBAF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合同签订</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C1A5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供单位内各部门在合同拟稿后，提请相关部门、法务、领导等进行审批，形成最终可执行的合同文本，记录合同的签订日期、相对方、合同金额、期限等内容并形成合同档案。</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C71FF">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4BAF7">
            <w:pPr>
              <w:jc w:val="center"/>
              <w:rPr>
                <w:rFonts w:hint="eastAsia" w:ascii="宋体" w:hAnsi="宋体" w:eastAsia="宋体" w:cs="宋体"/>
                <w:b w:val="0"/>
                <w:bCs w:val="0"/>
                <w:i w:val="0"/>
                <w:iCs w:val="0"/>
                <w:color w:val="000000"/>
                <w:sz w:val="20"/>
                <w:szCs w:val="20"/>
                <w:highlight w:val="none"/>
                <w:u w:val="none"/>
              </w:rPr>
            </w:pPr>
          </w:p>
        </w:tc>
      </w:tr>
      <w:tr w14:paraId="299B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473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E7AB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合同执行</w:t>
            </w:r>
          </w:p>
        </w:tc>
        <w:tc>
          <w:tcPr>
            <w:tcW w:w="84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8E31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合同执行过程中，需要对合同内容进行变更时，由经办人员注明变更的的内容（包含相对方、合同金额、合同期限、部分条款），上传变更后的合同文本发起审批，之后对合同档案信息进行更新。合同执行过程中需要签订补充合同时，合同执行人员根据实际情况上传补充合同并发起审批，之后补充合同作为合同的一部分同时执行。</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FCB4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94C3F">
            <w:pPr>
              <w:jc w:val="center"/>
              <w:rPr>
                <w:rFonts w:hint="eastAsia" w:ascii="宋体" w:hAnsi="宋体" w:eastAsia="宋体" w:cs="宋体"/>
                <w:b w:val="0"/>
                <w:bCs w:val="0"/>
                <w:i w:val="0"/>
                <w:iCs w:val="0"/>
                <w:color w:val="000000"/>
                <w:sz w:val="20"/>
                <w:szCs w:val="20"/>
                <w:highlight w:val="none"/>
                <w:u w:val="none"/>
              </w:rPr>
            </w:pPr>
          </w:p>
        </w:tc>
      </w:tr>
      <w:tr w14:paraId="7163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AFB3">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0EE84">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5A4C9">
            <w:pPr>
              <w:jc w:val="left"/>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58698">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36959">
            <w:pPr>
              <w:jc w:val="center"/>
              <w:rPr>
                <w:rFonts w:hint="eastAsia" w:ascii="宋体" w:hAnsi="宋体" w:eastAsia="宋体" w:cs="宋体"/>
                <w:b w:val="0"/>
                <w:bCs w:val="0"/>
                <w:i w:val="0"/>
                <w:iCs w:val="0"/>
                <w:color w:val="000000"/>
                <w:sz w:val="20"/>
                <w:szCs w:val="20"/>
                <w:highlight w:val="none"/>
                <w:u w:val="none"/>
              </w:rPr>
            </w:pPr>
          </w:p>
        </w:tc>
      </w:tr>
      <w:tr w14:paraId="42A8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146CF">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03F47">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53A75">
            <w:pPr>
              <w:jc w:val="left"/>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9D2B3">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75E4A">
            <w:pPr>
              <w:jc w:val="center"/>
              <w:rPr>
                <w:rFonts w:hint="eastAsia" w:ascii="宋体" w:hAnsi="宋体" w:eastAsia="宋体" w:cs="宋体"/>
                <w:b w:val="0"/>
                <w:bCs w:val="0"/>
                <w:i w:val="0"/>
                <w:iCs w:val="0"/>
                <w:color w:val="000000"/>
                <w:sz w:val="20"/>
                <w:szCs w:val="20"/>
                <w:highlight w:val="none"/>
                <w:u w:val="none"/>
              </w:rPr>
            </w:pPr>
          </w:p>
        </w:tc>
      </w:tr>
      <w:tr w14:paraId="0054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C03CB">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E5387">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92B60">
            <w:pPr>
              <w:jc w:val="left"/>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D4BDC">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358BD">
            <w:pPr>
              <w:jc w:val="center"/>
              <w:rPr>
                <w:rFonts w:hint="eastAsia" w:ascii="宋体" w:hAnsi="宋体" w:eastAsia="宋体" w:cs="宋体"/>
                <w:b w:val="0"/>
                <w:bCs w:val="0"/>
                <w:i w:val="0"/>
                <w:iCs w:val="0"/>
                <w:color w:val="000000"/>
                <w:sz w:val="20"/>
                <w:szCs w:val="20"/>
                <w:highlight w:val="none"/>
                <w:u w:val="none"/>
              </w:rPr>
            </w:pPr>
          </w:p>
        </w:tc>
      </w:tr>
      <w:tr w14:paraId="3FED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8088C">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3C420">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BAF98">
            <w:pPr>
              <w:jc w:val="left"/>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0C07E">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1647A">
            <w:pPr>
              <w:jc w:val="center"/>
              <w:rPr>
                <w:rFonts w:hint="eastAsia" w:ascii="宋体" w:hAnsi="宋体" w:eastAsia="宋体" w:cs="宋体"/>
                <w:b w:val="0"/>
                <w:bCs w:val="0"/>
                <w:i w:val="0"/>
                <w:iCs w:val="0"/>
                <w:color w:val="000000"/>
                <w:sz w:val="20"/>
                <w:szCs w:val="20"/>
                <w:highlight w:val="none"/>
                <w:u w:val="none"/>
              </w:rPr>
            </w:pPr>
          </w:p>
        </w:tc>
      </w:tr>
      <w:tr w14:paraId="3DD3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CC3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577E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合同票款</w:t>
            </w:r>
          </w:p>
        </w:tc>
        <w:tc>
          <w:tcPr>
            <w:tcW w:w="84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536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由日常事务管理应用中对应功能处理执行。</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421C2">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F3397">
            <w:pPr>
              <w:jc w:val="center"/>
              <w:rPr>
                <w:rFonts w:hint="eastAsia" w:ascii="宋体" w:hAnsi="宋体" w:eastAsia="宋体" w:cs="宋体"/>
                <w:b w:val="0"/>
                <w:bCs w:val="0"/>
                <w:i w:val="0"/>
                <w:iCs w:val="0"/>
                <w:color w:val="000000"/>
                <w:sz w:val="20"/>
                <w:szCs w:val="20"/>
                <w:highlight w:val="none"/>
                <w:u w:val="none"/>
              </w:rPr>
            </w:pPr>
          </w:p>
        </w:tc>
      </w:tr>
      <w:tr w14:paraId="629D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4A529">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05BCB">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39DA3">
            <w:pPr>
              <w:jc w:val="center"/>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76671">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B514D">
            <w:pPr>
              <w:jc w:val="center"/>
              <w:rPr>
                <w:rFonts w:hint="eastAsia" w:ascii="宋体" w:hAnsi="宋体" w:eastAsia="宋体" w:cs="宋体"/>
                <w:b w:val="0"/>
                <w:bCs w:val="0"/>
                <w:i w:val="0"/>
                <w:iCs w:val="0"/>
                <w:color w:val="000000"/>
                <w:sz w:val="20"/>
                <w:szCs w:val="20"/>
                <w:highlight w:val="none"/>
                <w:u w:val="none"/>
              </w:rPr>
            </w:pPr>
          </w:p>
        </w:tc>
      </w:tr>
      <w:tr w14:paraId="3186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092A6">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FC529">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A665E">
            <w:pPr>
              <w:jc w:val="center"/>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4272">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B7AE3">
            <w:pPr>
              <w:jc w:val="center"/>
              <w:rPr>
                <w:rFonts w:hint="eastAsia" w:ascii="宋体" w:hAnsi="宋体" w:eastAsia="宋体" w:cs="宋体"/>
                <w:b w:val="0"/>
                <w:bCs w:val="0"/>
                <w:i w:val="0"/>
                <w:iCs w:val="0"/>
                <w:color w:val="000000"/>
                <w:sz w:val="20"/>
                <w:szCs w:val="20"/>
                <w:highlight w:val="none"/>
                <w:u w:val="none"/>
              </w:rPr>
            </w:pPr>
          </w:p>
        </w:tc>
      </w:tr>
      <w:tr w14:paraId="5C9B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40747">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40FD4">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54664">
            <w:pPr>
              <w:jc w:val="center"/>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53120">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9A7A">
            <w:pPr>
              <w:jc w:val="center"/>
              <w:rPr>
                <w:rFonts w:hint="eastAsia" w:ascii="宋体" w:hAnsi="宋体" w:eastAsia="宋体" w:cs="宋体"/>
                <w:b w:val="0"/>
                <w:bCs w:val="0"/>
                <w:i w:val="0"/>
                <w:iCs w:val="0"/>
                <w:color w:val="000000"/>
                <w:sz w:val="20"/>
                <w:szCs w:val="20"/>
                <w:highlight w:val="none"/>
                <w:u w:val="none"/>
              </w:rPr>
            </w:pPr>
          </w:p>
        </w:tc>
      </w:tr>
      <w:tr w14:paraId="4FFF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781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55F8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我的经办</w:t>
            </w:r>
          </w:p>
        </w:tc>
        <w:tc>
          <w:tcPr>
            <w:tcW w:w="84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013A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员工可自行补录由本人经办合同的信息，上传合同的相关附件；按权限修改本人经办与执行合同的部分信息。员工上传和维护本人所编制或经办的合同模板或范本。员工登记本人所执行合同收到的票据信息，并进行数据维护。</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9F4F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902C9">
            <w:pPr>
              <w:jc w:val="center"/>
              <w:rPr>
                <w:rFonts w:hint="eastAsia" w:ascii="宋体" w:hAnsi="宋体" w:eastAsia="宋体" w:cs="宋体"/>
                <w:b w:val="0"/>
                <w:bCs w:val="0"/>
                <w:i w:val="0"/>
                <w:iCs w:val="0"/>
                <w:color w:val="000000"/>
                <w:sz w:val="20"/>
                <w:szCs w:val="20"/>
                <w:highlight w:val="none"/>
                <w:u w:val="none"/>
              </w:rPr>
            </w:pPr>
          </w:p>
        </w:tc>
      </w:tr>
      <w:tr w14:paraId="0BC8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022AF">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CE667">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F76BF">
            <w:pPr>
              <w:jc w:val="left"/>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B70AC">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6ACAD">
            <w:pPr>
              <w:jc w:val="center"/>
              <w:rPr>
                <w:rFonts w:hint="eastAsia" w:ascii="宋体" w:hAnsi="宋体" w:eastAsia="宋体" w:cs="宋体"/>
                <w:b w:val="0"/>
                <w:bCs w:val="0"/>
                <w:i w:val="0"/>
                <w:iCs w:val="0"/>
                <w:color w:val="000000"/>
                <w:sz w:val="20"/>
                <w:szCs w:val="20"/>
                <w:highlight w:val="none"/>
                <w:u w:val="none"/>
              </w:rPr>
            </w:pPr>
          </w:p>
        </w:tc>
      </w:tr>
      <w:tr w14:paraId="6B74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8AF04">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B2373">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FDB90">
            <w:pPr>
              <w:jc w:val="left"/>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0637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9E779">
            <w:pPr>
              <w:jc w:val="center"/>
              <w:rPr>
                <w:rFonts w:hint="eastAsia" w:ascii="宋体" w:hAnsi="宋体" w:eastAsia="宋体" w:cs="宋体"/>
                <w:b w:val="0"/>
                <w:bCs w:val="0"/>
                <w:i w:val="0"/>
                <w:iCs w:val="0"/>
                <w:color w:val="000000"/>
                <w:sz w:val="20"/>
                <w:szCs w:val="20"/>
                <w:highlight w:val="none"/>
                <w:u w:val="none"/>
              </w:rPr>
            </w:pPr>
          </w:p>
        </w:tc>
      </w:tr>
      <w:tr w14:paraId="256E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88EE1">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2509D">
            <w:pP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4C923">
            <w:pPr>
              <w:jc w:val="left"/>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34DA1">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5D026">
            <w:pPr>
              <w:jc w:val="center"/>
              <w:rPr>
                <w:rFonts w:hint="eastAsia" w:ascii="宋体" w:hAnsi="宋体" w:eastAsia="宋体" w:cs="宋体"/>
                <w:b w:val="0"/>
                <w:bCs w:val="0"/>
                <w:i w:val="0"/>
                <w:iCs w:val="0"/>
                <w:color w:val="000000"/>
                <w:sz w:val="20"/>
                <w:szCs w:val="20"/>
                <w:highlight w:val="none"/>
                <w:u w:val="none"/>
              </w:rPr>
            </w:pPr>
          </w:p>
        </w:tc>
      </w:tr>
      <w:tr w14:paraId="30AE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0B7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0900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我的记录</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410D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员工查询本人经办的合同变更记录、经办的合同补充记录、经办的合同状态调整记录、合同履约总结记录等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2D3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A6D9D">
            <w:pPr>
              <w:jc w:val="center"/>
              <w:rPr>
                <w:rFonts w:hint="eastAsia" w:ascii="宋体" w:hAnsi="宋体" w:eastAsia="宋体" w:cs="宋体"/>
                <w:b w:val="0"/>
                <w:bCs w:val="0"/>
                <w:i w:val="0"/>
                <w:iCs w:val="0"/>
                <w:color w:val="000000"/>
                <w:sz w:val="20"/>
                <w:szCs w:val="20"/>
                <w:highlight w:val="none"/>
                <w:u w:val="none"/>
              </w:rPr>
            </w:pPr>
          </w:p>
        </w:tc>
      </w:tr>
      <w:tr w14:paraId="173F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1A4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C9FE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合同报表</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7487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统计各种类、各业务类别的合同情况、各部门经办的合同情况；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统计本年度合同签约情况、本年实际合同付款与收款情况；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统计本年度合同状态调整、变更情况；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统计合作方合同状态、合作等级情况。</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5704C">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6E8CF">
            <w:pPr>
              <w:jc w:val="center"/>
              <w:rPr>
                <w:rFonts w:hint="eastAsia" w:ascii="宋体" w:hAnsi="宋体" w:eastAsia="宋体" w:cs="宋体"/>
                <w:b w:val="0"/>
                <w:bCs w:val="0"/>
                <w:i w:val="0"/>
                <w:iCs w:val="0"/>
                <w:color w:val="000000"/>
                <w:sz w:val="20"/>
                <w:szCs w:val="20"/>
                <w:highlight w:val="none"/>
                <w:u w:val="none"/>
              </w:rPr>
            </w:pPr>
          </w:p>
        </w:tc>
      </w:tr>
      <w:tr w14:paraId="0087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9E6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7E79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业务空间</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6DEE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常用工作的相关入口，快速处理相关工作；展示费用、预算的相关数据和记录，快速处理相关事项。</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22FF1">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84CFC">
            <w:pPr>
              <w:jc w:val="center"/>
              <w:rPr>
                <w:rFonts w:hint="eastAsia" w:ascii="宋体" w:hAnsi="宋体" w:eastAsia="宋体" w:cs="宋体"/>
                <w:b w:val="0"/>
                <w:bCs w:val="0"/>
                <w:i w:val="0"/>
                <w:iCs w:val="0"/>
                <w:color w:val="000000"/>
                <w:sz w:val="20"/>
                <w:szCs w:val="20"/>
                <w:highlight w:val="none"/>
                <w:u w:val="none"/>
              </w:rPr>
            </w:pPr>
          </w:p>
        </w:tc>
      </w:tr>
      <w:tr w14:paraId="7C09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77DC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3.6 采购管理平台</w:t>
            </w:r>
          </w:p>
        </w:tc>
      </w:tr>
      <w:tr w14:paraId="212F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5B8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0B8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基础数据</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4B90F9E">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包含物料信息、物资物料仓库、供货清单、供货明细等，存储物料的相关信息包括：基础信息、采购信息、库存信息与库存明细</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15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062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r>
      <w:tr w14:paraId="50AA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0F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441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采购计划</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2911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包含采购申报、采购计划信息、采购计划调整审批</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D929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4D033">
            <w:pPr>
              <w:jc w:val="center"/>
              <w:rPr>
                <w:rFonts w:hint="eastAsia" w:ascii="宋体" w:hAnsi="宋体" w:eastAsia="宋体" w:cs="宋体"/>
                <w:b w:val="0"/>
                <w:bCs w:val="0"/>
                <w:i w:val="0"/>
                <w:iCs w:val="0"/>
                <w:color w:val="000000"/>
                <w:sz w:val="20"/>
                <w:szCs w:val="20"/>
                <w:highlight w:val="none"/>
                <w:u w:val="none"/>
              </w:rPr>
            </w:pPr>
          </w:p>
        </w:tc>
      </w:tr>
      <w:tr w14:paraId="4A9D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FEC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AA2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采购询比价</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91EE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采购部门在采购前，可记录单个物料不同供应商的报价信息（包含报价日期、含税单价、最低采购量、可供货日期、付款要求等）。采购部门在进行了物资物料的询价比价后，根据询比价情况，报审相应物资物料的最近采购限价，在下采购订单时控制订单价格。</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528E9">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A1E00">
            <w:pPr>
              <w:jc w:val="center"/>
              <w:rPr>
                <w:rFonts w:hint="eastAsia" w:ascii="宋体" w:hAnsi="宋体" w:eastAsia="宋体" w:cs="宋体"/>
                <w:b w:val="0"/>
                <w:bCs w:val="0"/>
                <w:i w:val="0"/>
                <w:iCs w:val="0"/>
                <w:color w:val="000000"/>
                <w:sz w:val="20"/>
                <w:szCs w:val="20"/>
                <w:highlight w:val="none"/>
                <w:u w:val="none"/>
              </w:rPr>
            </w:pPr>
          </w:p>
        </w:tc>
      </w:tr>
      <w:tr w14:paraId="4F3B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0B1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13D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供应商信息</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96FA26B">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存储供应商的的相关信息，包括：合作信息（合作来源、等级、合作状态等）；基础信息（名称、证件号码、行业、地址等）；联系人信息（姓名、部门职务、手机号码、电子邮箱等）；其他附件（归口部门、查阅与编辑授权、附件列表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F3EA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34750">
            <w:pPr>
              <w:jc w:val="center"/>
              <w:rPr>
                <w:rFonts w:hint="eastAsia" w:ascii="宋体" w:hAnsi="宋体" w:eastAsia="宋体" w:cs="宋体"/>
                <w:b w:val="0"/>
                <w:bCs w:val="0"/>
                <w:i w:val="0"/>
                <w:iCs w:val="0"/>
                <w:color w:val="000000"/>
                <w:sz w:val="20"/>
                <w:szCs w:val="20"/>
                <w:highlight w:val="none"/>
                <w:u w:val="none"/>
              </w:rPr>
            </w:pPr>
          </w:p>
        </w:tc>
      </w:tr>
      <w:tr w14:paraId="5AD4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5B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40B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招标与合同</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F98E524">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包含招标信息、采购招标审批、采购合同信息、采购合同审批等，存储招标的相关信息，包括：基础信息、详细信息、招标公告、邀标信息；招标的经办人员选择招标事项，填写评标信息（开标时间地点、评标小组等）和投标单位信息（包含单价名称、投标金额、评标得分和商务谈判情况等），经审批后确认中标单位，并上传中标通知书和记录通知书的发放情况。</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29E30">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074FC">
            <w:pPr>
              <w:jc w:val="center"/>
              <w:rPr>
                <w:rFonts w:hint="eastAsia" w:ascii="宋体" w:hAnsi="宋体" w:eastAsia="宋体" w:cs="宋体"/>
                <w:b w:val="0"/>
                <w:bCs w:val="0"/>
                <w:i w:val="0"/>
                <w:iCs w:val="0"/>
                <w:color w:val="000000"/>
                <w:sz w:val="20"/>
                <w:szCs w:val="20"/>
                <w:highlight w:val="none"/>
                <w:u w:val="none"/>
              </w:rPr>
            </w:pPr>
          </w:p>
        </w:tc>
      </w:tr>
      <w:tr w14:paraId="0AC6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7AA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AA7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采购订单</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3AC1AC8">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存储采购订单的信息，包括：</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基础信息（包含经办部门、订单日期、供应商、采购类别、订单总额、采购合同、付款方式、运输方式等）和订单信息（包含物资物料名称、编码、类别、规格型号、采购数量、采购单价、含税总价、税率、交货日期、入库数量、入库日期等）。采购部门将编制的采购订单提交审批，并按审批结果执行。</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A008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32D13">
            <w:pPr>
              <w:jc w:val="center"/>
              <w:rPr>
                <w:rFonts w:hint="eastAsia" w:ascii="宋体" w:hAnsi="宋体" w:eastAsia="宋体" w:cs="宋体"/>
                <w:b w:val="0"/>
                <w:bCs w:val="0"/>
                <w:i w:val="0"/>
                <w:iCs w:val="0"/>
                <w:color w:val="000000"/>
                <w:sz w:val="20"/>
                <w:szCs w:val="20"/>
                <w:highlight w:val="none"/>
                <w:u w:val="none"/>
              </w:rPr>
            </w:pPr>
          </w:p>
        </w:tc>
      </w:tr>
      <w:tr w14:paraId="6C20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15D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B61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采购入库与物料出入</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8DC1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采购到货后，对入库前需要质检的物资物料进行质量检验，记录质检情况。采购到货且需要入库质检的完成质检后，相关的物资物料进入各个存放地点进行存储。</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29F68">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91956">
            <w:pPr>
              <w:jc w:val="center"/>
              <w:rPr>
                <w:rFonts w:hint="eastAsia" w:ascii="宋体" w:hAnsi="宋体" w:eastAsia="宋体" w:cs="宋体"/>
                <w:b w:val="0"/>
                <w:bCs w:val="0"/>
                <w:i w:val="0"/>
                <w:iCs w:val="0"/>
                <w:color w:val="000000"/>
                <w:sz w:val="20"/>
                <w:szCs w:val="20"/>
                <w:highlight w:val="none"/>
                <w:u w:val="none"/>
              </w:rPr>
            </w:pPr>
          </w:p>
        </w:tc>
      </w:tr>
      <w:tr w14:paraId="05A4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60F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7BA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采购付款</w:t>
            </w:r>
          </w:p>
        </w:tc>
        <w:tc>
          <w:tcPr>
            <w:tcW w:w="84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E517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由日常事务管理应用中对应功能处理执行。</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F6D20">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2AD0C">
            <w:pPr>
              <w:jc w:val="center"/>
              <w:rPr>
                <w:rFonts w:hint="eastAsia" w:ascii="宋体" w:hAnsi="宋体" w:eastAsia="宋体" w:cs="宋体"/>
                <w:b w:val="0"/>
                <w:bCs w:val="0"/>
                <w:i w:val="0"/>
                <w:iCs w:val="0"/>
                <w:color w:val="000000"/>
                <w:sz w:val="20"/>
                <w:szCs w:val="20"/>
                <w:highlight w:val="none"/>
                <w:u w:val="none"/>
              </w:rPr>
            </w:pPr>
          </w:p>
        </w:tc>
      </w:tr>
      <w:tr w14:paraId="2D35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4EFDC">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BE018">
            <w:pPr>
              <w:jc w:val="center"/>
              <w:rPr>
                <w:rFonts w:hint="eastAsia" w:ascii="宋体" w:hAnsi="宋体" w:eastAsia="宋体" w:cs="宋体"/>
                <w:b w:val="0"/>
                <w:bCs w:val="0"/>
                <w:i w:val="0"/>
                <w:iCs w:val="0"/>
                <w:color w:val="000000"/>
                <w:sz w:val="20"/>
                <w:szCs w:val="20"/>
                <w:highlight w:val="none"/>
                <w:u w:val="none"/>
              </w:rPr>
            </w:pPr>
          </w:p>
        </w:tc>
        <w:tc>
          <w:tcPr>
            <w:tcW w:w="8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691B9">
            <w:pPr>
              <w:jc w:val="left"/>
              <w:rPr>
                <w:rFonts w:hint="eastAsia" w:ascii="宋体" w:hAnsi="宋体" w:eastAsia="宋体" w:cs="宋体"/>
                <w:b w:val="0"/>
                <w:bCs w:val="0"/>
                <w:i w:val="0"/>
                <w:iCs w:val="0"/>
                <w:color w:val="000000"/>
                <w:sz w:val="20"/>
                <w:szCs w:val="20"/>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AFA90">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DF267">
            <w:pPr>
              <w:jc w:val="center"/>
              <w:rPr>
                <w:rFonts w:hint="eastAsia" w:ascii="宋体" w:hAnsi="宋体" w:eastAsia="宋体" w:cs="宋体"/>
                <w:b w:val="0"/>
                <w:bCs w:val="0"/>
                <w:i w:val="0"/>
                <w:iCs w:val="0"/>
                <w:color w:val="000000"/>
                <w:sz w:val="20"/>
                <w:szCs w:val="20"/>
                <w:highlight w:val="none"/>
                <w:u w:val="none"/>
              </w:rPr>
            </w:pPr>
          </w:p>
        </w:tc>
      </w:tr>
      <w:tr w14:paraId="7959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134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B44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我的记录</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CB20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查看本人经办或执行的采购、招标、询价、合同、订单和付款记录。</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85F03">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52717">
            <w:pPr>
              <w:jc w:val="center"/>
              <w:rPr>
                <w:rFonts w:hint="eastAsia" w:ascii="宋体" w:hAnsi="宋体" w:eastAsia="宋体" w:cs="宋体"/>
                <w:b w:val="0"/>
                <w:bCs w:val="0"/>
                <w:i w:val="0"/>
                <w:iCs w:val="0"/>
                <w:color w:val="000000"/>
                <w:sz w:val="20"/>
                <w:szCs w:val="20"/>
                <w:highlight w:val="none"/>
                <w:u w:val="none"/>
              </w:rPr>
            </w:pPr>
          </w:p>
        </w:tc>
      </w:tr>
      <w:tr w14:paraId="2D3E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7F2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BDF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指标图表</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117A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在一屏中显示采购的相关指标和统计图表，供相关管理者直观查看数据，以便更全面地掌握信息。</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9C583">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2D767">
            <w:pPr>
              <w:jc w:val="center"/>
              <w:rPr>
                <w:rFonts w:hint="eastAsia" w:ascii="宋体" w:hAnsi="宋体" w:eastAsia="宋体" w:cs="宋体"/>
                <w:b w:val="0"/>
                <w:bCs w:val="0"/>
                <w:i w:val="0"/>
                <w:iCs w:val="0"/>
                <w:color w:val="000000"/>
                <w:sz w:val="20"/>
                <w:szCs w:val="20"/>
                <w:highlight w:val="none"/>
                <w:u w:val="none"/>
              </w:rPr>
            </w:pPr>
          </w:p>
        </w:tc>
      </w:tr>
      <w:tr w14:paraId="6FA4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4DC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528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数据查询</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BFCDD6E">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供相关人员根据授权查询：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物料报价记录与明细、物料供货商明细、物料限价审批记录；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采购计划调整记录、采购订单明细、采购付款记录；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物料入库与检验记录、存货记录、延迟入库记录等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F516D">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3D305">
            <w:pPr>
              <w:jc w:val="center"/>
              <w:rPr>
                <w:rFonts w:hint="eastAsia" w:ascii="宋体" w:hAnsi="宋体" w:eastAsia="宋体" w:cs="宋体"/>
                <w:b w:val="0"/>
                <w:bCs w:val="0"/>
                <w:i w:val="0"/>
                <w:iCs w:val="0"/>
                <w:color w:val="000000"/>
                <w:sz w:val="20"/>
                <w:szCs w:val="20"/>
                <w:highlight w:val="none"/>
                <w:u w:val="none"/>
              </w:rPr>
            </w:pPr>
          </w:p>
        </w:tc>
      </w:tr>
      <w:tr w14:paraId="3F92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8DF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EF3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采购报表</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18773FE">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统计本年的采购计划、招标、合同、订单、付款情况；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统计物资物料的出入库、在用种类、入库质检情况；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统计采购询比价、采购均价、采购计划完成情况等。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CCE1">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960EC">
            <w:pPr>
              <w:jc w:val="center"/>
              <w:rPr>
                <w:rFonts w:hint="eastAsia" w:ascii="宋体" w:hAnsi="宋体" w:eastAsia="宋体" w:cs="宋体"/>
                <w:b w:val="0"/>
                <w:bCs w:val="0"/>
                <w:i w:val="0"/>
                <w:iCs w:val="0"/>
                <w:color w:val="000000"/>
                <w:sz w:val="20"/>
                <w:szCs w:val="20"/>
                <w:highlight w:val="none"/>
                <w:u w:val="none"/>
              </w:rPr>
            </w:pPr>
          </w:p>
        </w:tc>
      </w:tr>
      <w:tr w14:paraId="1AAF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82C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DA1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业务空间</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E3D3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常用工作的相关入口，快速处理相关工作；展示采购、供应商的相关数据和记录，快速审批相关事项。</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E4DA">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27672">
            <w:pPr>
              <w:jc w:val="center"/>
              <w:rPr>
                <w:rFonts w:hint="eastAsia" w:ascii="宋体" w:hAnsi="宋体" w:eastAsia="宋体" w:cs="宋体"/>
                <w:b w:val="0"/>
                <w:bCs w:val="0"/>
                <w:i w:val="0"/>
                <w:iCs w:val="0"/>
                <w:color w:val="000000"/>
                <w:sz w:val="20"/>
                <w:szCs w:val="20"/>
                <w:highlight w:val="none"/>
                <w:u w:val="none"/>
              </w:rPr>
            </w:pPr>
          </w:p>
        </w:tc>
      </w:tr>
      <w:tr w14:paraId="5A8B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283F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3.7 智慧后勤管理</w:t>
            </w:r>
          </w:p>
        </w:tc>
      </w:tr>
      <w:tr w14:paraId="25CE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A34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540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物联中台</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D31B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物联中台是整个物联网的核心部分，它通过网络采集各种智能终端的信息，给各个应用系统提供数据和能力，同时也可以根据用户的行为或云计算的结果来控制智能终端的行为动作；物联中台统一设备、业务应用系统等接入，向下接入海量设备，实现设备数据、事件、服务的统一智能化管理；对接业务系统数据和第三方设备等，对终端设备和环境进行全息管控、故障监测和数据实时监控。</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53D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7EE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r>
      <w:tr w14:paraId="6C38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010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673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人员管理系统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C729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对外聘人员、教工家属以及校外商户/租户的有效管理和信息采集，完善后勤人员的数据源头，为后续用户管理及安全监控提供基础数据</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703A">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A023C">
            <w:pPr>
              <w:jc w:val="center"/>
              <w:rPr>
                <w:rFonts w:hint="eastAsia" w:ascii="宋体" w:hAnsi="宋体" w:eastAsia="宋体" w:cs="宋体"/>
                <w:b w:val="0"/>
                <w:bCs w:val="0"/>
                <w:i w:val="0"/>
                <w:iCs w:val="0"/>
                <w:color w:val="000000"/>
                <w:sz w:val="20"/>
                <w:szCs w:val="20"/>
                <w:highlight w:val="none"/>
                <w:u w:val="none"/>
              </w:rPr>
            </w:pPr>
          </w:p>
        </w:tc>
      </w:tr>
      <w:tr w14:paraId="4A93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E7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F1A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智慧物业系统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69A5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建立线上物业服务平台，统一多校区多物业公司的服务标准，实现校内物业服务的智能监控与远程管理，通过月度考核及调查问卷等形式监督物业服务质量，提高管理效率</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64C18">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4EDC">
            <w:pPr>
              <w:jc w:val="center"/>
              <w:rPr>
                <w:rFonts w:hint="eastAsia" w:ascii="宋体" w:hAnsi="宋体" w:eastAsia="宋体" w:cs="宋体"/>
                <w:b w:val="0"/>
                <w:bCs w:val="0"/>
                <w:i w:val="0"/>
                <w:iCs w:val="0"/>
                <w:color w:val="000000"/>
                <w:sz w:val="20"/>
                <w:szCs w:val="20"/>
                <w:highlight w:val="none"/>
                <w:u w:val="none"/>
              </w:rPr>
            </w:pPr>
          </w:p>
        </w:tc>
      </w:tr>
      <w:tr w14:paraId="196C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E6D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A85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智慧报修系统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B63E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为师生提供手机或其他终端设备在线提交报修申请的服务平台，可实时查看报修进度和结果。后勤人员可以快速响应和处理报修请求，提升维修服务的及时性和满意度。系统支持手动派单、自动派单、抢单等多种模式，增加了维修派单接单的灵活性，提高了维修工作效率</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33B36">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51F7B">
            <w:pPr>
              <w:jc w:val="center"/>
              <w:rPr>
                <w:rFonts w:hint="eastAsia" w:ascii="宋体" w:hAnsi="宋体" w:eastAsia="宋体" w:cs="宋体"/>
                <w:b w:val="0"/>
                <w:bCs w:val="0"/>
                <w:i w:val="0"/>
                <w:iCs w:val="0"/>
                <w:color w:val="000000"/>
                <w:sz w:val="20"/>
                <w:szCs w:val="20"/>
                <w:highlight w:val="none"/>
                <w:u w:val="none"/>
              </w:rPr>
            </w:pPr>
          </w:p>
        </w:tc>
      </w:tr>
      <w:tr w14:paraId="745F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3D5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400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智慧库房管理系统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83FD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智慧库房管理系统采用智能化管理方式，实现库存物资的采购、实时盘点、出入库管理和预警提醒。通过优化库存结构和减少浪费，降低采购成本，提高库存周转率。</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4CE10">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AFE42">
            <w:pPr>
              <w:jc w:val="center"/>
              <w:rPr>
                <w:rFonts w:hint="eastAsia" w:ascii="宋体" w:hAnsi="宋体" w:eastAsia="宋体" w:cs="宋体"/>
                <w:b w:val="0"/>
                <w:bCs w:val="0"/>
                <w:i w:val="0"/>
                <w:iCs w:val="0"/>
                <w:color w:val="000000"/>
                <w:sz w:val="20"/>
                <w:szCs w:val="20"/>
                <w:highlight w:val="none"/>
                <w:u w:val="none"/>
              </w:rPr>
            </w:pPr>
          </w:p>
        </w:tc>
      </w:tr>
      <w:tr w14:paraId="4BBE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67D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A77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智慧房屋系统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D75E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智慧房屋系统提供全面的公房、周转房和经营房的管理和维护功能。并提供相关费用设置与统计、催缴服务。通过物联中台打通智能水电，实现水电的记录和费用的计算。</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4A216">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F74A5">
            <w:pPr>
              <w:jc w:val="center"/>
              <w:rPr>
                <w:rFonts w:hint="eastAsia" w:ascii="宋体" w:hAnsi="宋体" w:eastAsia="宋体" w:cs="宋体"/>
                <w:b w:val="0"/>
                <w:bCs w:val="0"/>
                <w:i w:val="0"/>
                <w:iCs w:val="0"/>
                <w:color w:val="000000"/>
                <w:sz w:val="20"/>
                <w:szCs w:val="20"/>
                <w:highlight w:val="none"/>
                <w:u w:val="none"/>
              </w:rPr>
            </w:pPr>
          </w:p>
        </w:tc>
      </w:tr>
      <w:tr w14:paraId="51B0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695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DB2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智慧餐饮系统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6502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智慧餐饮系统通过数字化手段优化餐饮供应和管理流程。提供多样化的菜品选择和营养搭配建议，满足师生的个性化需求。同时，为师生提供招待餐厅在线预约服务</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B3890">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C4082">
            <w:pPr>
              <w:jc w:val="center"/>
              <w:rPr>
                <w:rFonts w:hint="eastAsia" w:ascii="宋体" w:hAnsi="宋体" w:eastAsia="宋体" w:cs="宋体"/>
                <w:b w:val="0"/>
                <w:bCs w:val="0"/>
                <w:i w:val="0"/>
                <w:iCs w:val="0"/>
                <w:color w:val="000000"/>
                <w:sz w:val="20"/>
                <w:szCs w:val="20"/>
                <w:highlight w:val="none"/>
                <w:u w:val="none"/>
              </w:rPr>
            </w:pPr>
          </w:p>
        </w:tc>
      </w:tr>
      <w:tr w14:paraId="7CEB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4C3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E25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食堂物资采购系统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FA57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食堂物资采购服务使得管理人员的决策更加及时准确，食堂管理更加精细化。不仅可以对询价、采购、毛料、入库、出库进行监控和数据监管，还能通过大量灵活运用技术手段使决策更加科学化。</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59E3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B44E1">
            <w:pPr>
              <w:jc w:val="center"/>
              <w:rPr>
                <w:rFonts w:hint="eastAsia" w:ascii="宋体" w:hAnsi="宋体" w:eastAsia="宋体" w:cs="宋体"/>
                <w:b w:val="0"/>
                <w:bCs w:val="0"/>
                <w:i w:val="0"/>
                <w:iCs w:val="0"/>
                <w:color w:val="000000"/>
                <w:sz w:val="20"/>
                <w:szCs w:val="20"/>
                <w:highlight w:val="none"/>
                <w:u w:val="none"/>
              </w:rPr>
            </w:pPr>
          </w:p>
        </w:tc>
      </w:tr>
      <w:tr w14:paraId="130B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5A0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320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智慧食堂管理系统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CBF6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结合食堂后勤人员、供应商等各方工作，优化完善现有食堂采购、供应、结算、监管等环节，将食堂所拥有的人、财、物、信息等资源进行有效整合，并结合供应商供应配送服务，建立统一的餐饮管理平台，帮助企业在供需两端实现商品流，信息流，物流等数据互通，提供大数据支撑服务，加速提升食堂发展水平。</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5FA8D">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82352">
            <w:pPr>
              <w:jc w:val="center"/>
              <w:rPr>
                <w:rFonts w:hint="eastAsia" w:ascii="宋体" w:hAnsi="宋体" w:eastAsia="宋体" w:cs="宋体"/>
                <w:b w:val="0"/>
                <w:bCs w:val="0"/>
                <w:i w:val="0"/>
                <w:iCs w:val="0"/>
                <w:color w:val="000000"/>
                <w:sz w:val="20"/>
                <w:szCs w:val="20"/>
                <w:highlight w:val="none"/>
                <w:u w:val="none"/>
              </w:rPr>
            </w:pPr>
          </w:p>
        </w:tc>
      </w:tr>
      <w:tr w14:paraId="329E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775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104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智慧食安监控系统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94C4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可以通过平台查看食堂每次从采购、制作成餐、上餐、处理的全过程，一旦有顾客出现食品安全问题，都能够最快时间找出问题所在，降低影响。</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0068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E7A8B">
            <w:pPr>
              <w:jc w:val="center"/>
              <w:rPr>
                <w:rFonts w:hint="eastAsia" w:ascii="宋体" w:hAnsi="宋体" w:eastAsia="宋体" w:cs="宋体"/>
                <w:b w:val="0"/>
                <w:bCs w:val="0"/>
                <w:i w:val="0"/>
                <w:iCs w:val="0"/>
                <w:color w:val="000000"/>
                <w:sz w:val="20"/>
                <w:szCs w:val="20"/>
                <w:highlight w:val="none"/>
                <w:u w:val="none"/>
              </w:rPr>
            </w:pPr>
          </w:p>
        </w:tc>
      </w:tr>
      <w:tr w14:paraId="5C9D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300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BE6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智慧公寓系统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17CE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立足于精细化管理理念，涵盖了从房间信息管理、楼栋管理员设置、床位分配与调宿管理、可视化宿舍资源展示、住宿信息清理、假期留宿安排、卫生检查与晚归违纪管理等，实现了对学生住宿全流程、全方位的信息化管理。</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04DE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6ACAF">
            <w:pPr>
              <w:jc w:val="center"/>
              <w:rPr>
                <w:rFonts w:hint="eastAsia" w:ascii="宋体" w:hAnsi="宋体" w:eastAsia="宋体" w:cs="宋体"/>
                <w:b w:val="0"/>
                <w:bCs w:val="0"/>
                <w:i w:val="0"/>
                <w:iCs w:val="0"/>
                <w:color w:val="000000"/>
                <w:sz w:val="20"/>
                <w:szCs w:val="20"/>
                <w:highlight w:val="none"/>
                <w:u w:val="none"/>
              </w:rPr>
            </w:pPr>
          </w:p>
        </w:tc>
      </w:tr>
      <w:tr w14:paraId="7870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21C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312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基建工程系统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6A99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基建工程管理用于规划、协调、执行和监督校园基建工程项目等全流程管理，确保各工程项目按质按量完成，同时优化资源分配和使用效率，及时发现和处理隐患。</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7F31A">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7F296">
            <w:pPr>
              <w:jc w:val="center"/>
              <w:rPr>
                <w:rFonts w:hint="eastAsia" w:ascii="宋体" w:hAnsi="宋体" w:eastAsia="宋体" w:cs="宋体"/>
                <w:b w:val="0"/>
                <w:bCs w:val="0"/>
                <w:i w:val="0"/>
                <w:iCs w:val="0"/>
                <w:color w:val="000000"/>
                <w:sz w:val="20"/>
                <w:szCs w:val="20"/>
                <w:highlight w:val="none"/>
                <w:u w:val="none"/>
              </w:rPr>
            </w:pPr>
          </w:p>
        </w:tc>
      </w:tr>
      <w:tr w14:paraId="5B85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352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774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智慧车辆管理系统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68C6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智慧车辆管理系统优化校园交通秩序和车辆使用效率。提供便捷的校车出行和车辆借用服务，满足师生的出行需求。</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AC558">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AB743">
            <w:pPr>
              <w:jc w:val="center"/>
              <w:rPr>
                <w:rFonts w:hint="eastAsia" w:ascii="宋体" w:hAnsi="宋体" w:eastAsia="宋体" w:cs="宋体"/>
                <w:b w:val="0"/>
                <w:bCs w:val="0"/>
                <w:i w:val="0"/>
                <w:iCs w:val="0"/>
                <w:color w:val="000000"/>
                <w:sz w:val="20"/>
                <w:szCs w:val="20"/>
                <w:highlight w:val="none"/>
                <w:u w:val="none"/>
              </w:rPr>
            </w:pPr>
          </w:p>
        </w:tc>
      </w:tr>
      <w:tr w14:paraId="5113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070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39D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医务室管理系统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75AF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医务室管理系统主要包括挂号系统、门诊收费系统、药品管理、门诊医生管理等多个模块。它帮助校医务室实现了信息化、网络化，实现了系统设计目标，相比传统的管理模式，有效的减少了大量的人力投入和工作效率以及学生的就诊记录，大大提高了在校学生看病的效率</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FFA0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079D1">
            <w:pPr>
              <w:jc w:val="center"/>
              <w:rPr>
                <w:rFonts w:hint="eastAsia" w:ascii="宋体" w:hAnsi="宋体" w:eastAsia="宋体" w:cs="宋体"/>
                <w:b w:val="0"/>
                <w:bCs w:val="0"/>
                <w:i w:val="0"/>
                <w:iCs w:val="0"/>
                <w:color w:val="000000"/>
                <w:sz w:val="20"/>
                <w:szCs w:val="20"/>
                <w:highlight w:val="none"/>
                <w:u w:val="none"/>
              </w:rPr>
            </w:pPr>
          </w:p>
        </w:tc>
      </w:tr>
      <w:tr w14:paraId="74B9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4B8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5A6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物联数据中心</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4EA1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1.项目管理: 数据流任务基于项目创建，可新增、修改、删除项目基本信息。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任务管理：统一对数据流任务进行管理，包括创建任务、启禁用任务、定时执行任务、实时执行任务、手动触发执行任务、查看任务流详情等；任务支持数据同步和数据处理类型，创建任务时，可根据实际数据采集或推送需求，自定义数据流任务中各个节点和最终出口数据的规则，通过规则对数据进行采集、处理、输出等，规则包括但不限于数据输入、分组聚合、数据连接、数据筛选、字段设置、数据映射、存储策略定义、数据过期策略定义、数据输出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3.数据源管理：支持关系型、非关系型、接口类、文件类等各种类型数据源，可新增数据源、修改数据源连接配置信息、在线测试数据源连接情况等。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4.数据结构管理:针对JSON 、XML等特殊结构的数据，可定义这种数据结构的数据处理模板，在创建数据源或任务处理时能够根据模板自动对此类数据的格式进行校验。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指标管理：提供指标管理功能，包括指标类型新增、修改、删除，具体指标的新增、修改、删除;指标创建后，在创建数据流任务时，可将出口数据与指标增加映射关系，供其它系统可以基于指标查询任务的出口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维度管理：提供维度管理功能，包括维度类型新增、修改、删除，具体维度的新增、修改、删除;维度创建后，在创建数据流任务时，可将出口数据与维度增加映射关系，供其它系统可以基于维度查询任务的出口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7.集群管理：可对数据流任务的集群服务进行管理，包括集群服务新增、启用、删除、在线测试集群服务是否可用等。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需与学校物联中台、电控管理系统、数据中心平台、统一身份平台、融合门户进行对接，实现数据交换，建立对应的数据交换流程，实现数据交互，统一身份认证、统一门户整合，实现本期所建平台与原有系统平台之间的数据一致性及功能兼容性等，此项包含与原有系统对接产生的接口费。</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BECBF">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300A7">
            <w:pPr>
              <w:jc w:val="center"/>
              <w:rPr>
                <w:rFonts w:hint="eastAsia" w:ascii="宋体" w:hAnsi="宋体" w:eastAsia="宋体" w:cs="宋体"/>
                <w:b w:val="0"/>
                <w:bCs w:val="0"/>
                <w:i w:val="0"/>
                <w:iCs w:val="0"/>
                <w:color w:val="000000"/>
                <w:sz w:val="20"/>
                <w:szCs w:val="20"/>
                <w:highlight w:val="none"/>
                <w:u w:val="none"/>
              </w:rPr>
            </w:pPr>
          </w:p>
        </w:tc>
      </w:tr>
      <w:tr w14:paraId="454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137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D95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综合能耗管理系统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56C4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综合能耗管理系统集用水用电、空调能耗于一体，帮助学校加强能耗管理、强化使用责任、减少能源浪费、推进能源管理制度改革、促进能源合理利用。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系统可按组织架构、使用区域、设备类别、时间等维度进行能耗数据的综合展示分析，帮助学校建立能耗指标体系及相关的定额指标体系。通过综合能耗管理系统让学校各类、各级能耗情况可视、可管、可分析，从而高效优化能源分配计划，提高用能人员的主动节能意识，达到能耗管控的目标。</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1783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86FBD">
            <w:pPr>
              <w:jc w:val="center"/>
              <w:rPr>
                <w:rFonts w:hint="eastAsia" w:ascii="宋体" w:hAnsi="宋体" w:eastAsia="宋体" w:cs="宋体"/>
                <w:b w:val="0"/>
                <w:bCs w:val="0"/>
                <w:i w:val="0"/>
                <w:iCs w:val="0"/>
                <w:color w:val="000000"/>
                <w:sz w:val="20"/>
                <w:szCs w:val="20"/>
                <w:highlight w:val="none"/>
                <w:u w:val="none"/>
              </w:rPr>
            </w:pPr>
          </w:p>
        </w:tc>
      </w:tr>
      <w:tr w14:paraId="2577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AD9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081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对账管理系统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6C63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1、提供校园账户充值、消费、提现、退款、金额划转、金额校正等支付功能。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系统从充值、消费、退款、提现等业务维度，汇总了校园内全部用户整体支付情况，并针对性的为每个用户提供了详细的支付流水，可根据日、周、月、年、任意时段等条件查询专项财务数据、导出报表，方便在进行个人余额对账时了解用户真实的支付水平；同时系统统计了微信、支付宝实际的入账情况，可根据类型、时间等筛选条件查询入账情况、导出报表、打印报表，为财务人员在与真实的银行账户进行对账时提供依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3、基于记账准、分账清、结算快的原则，对学校各场景产生的支付交易数据和实际资金定期进行自动对账，针对账户直接存在的差异记录，系统明确差异原因，以便及时做平账处理，保证资金流的平衡。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4、提供满足不同角色管理不同业务、具备不同系统操作权限的需求，能够对分配的角色赋予对应的系统操作权限与操作范围的设置，加强系统财务信息、财务数据安全性。</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B383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4B2B">
            <w:pPr>
              <w:jc w:val="center"/>
              <w:rPr>
                <w:rFonts w:hint="eastAsia" w:ascii="宋体" w:hAnsi="宋体" w:eastAsia="宋体" w:cs="宋体"/>
                <w:b w:val="0"/>
                <w:bCs w:val="0"/>
                <w:i w:val="0"/>
                <w:iCs w:val="0"/>
                <w:color w:val="000000"/>
                <w:sz w:val="20"/>
                <w:szCs w:val="20"/>
                <w:highlight w:val="none"/>
                <w:u w:val="none"/>
              </w:rPr>
            </w:pPr>
          </w:p>
        </w:tc>
      </w:tr>
      <w:tr w14:paraId="7193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2F3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D7D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卡务管理系统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ACBE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1、提供对实体卡进行绑卡、挂失卡、解挂卡、解冻卡、补换卡等业务进行办理，可进行批量操作；提供实体卡打印和卡片打印页面样式自定义设置功能。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2、集中存储和管理人脸采集、指纹采集记录，系统可查询和导出所有的人脸、指纹采集记录，并可放大查看用户身份证照与现场采集照片的对比图。</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3、提供查询和导出发卡机、移动端、自助机等不同渠道下办理的发卡、绑卡、挂失、解挂、补换卡等所有的卡务记录。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4、提供临时访客登记功能。学校可对临时访问人员发放临时卡，临时人员领取卡片时需要进行身份登记，方便临时人员轨迹追踪。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5、监控人工卡务终端机、自助卡务终端机等终端设备的运行状态等情况，并通过参数灵活配置方式远程控制设备、业务功能。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6、系统对接：为了充分实现学校信息共享，系统预览对接接口，满足与学校其它系统用户数据、一卡通数据等数据的对接需求。</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57AED">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70E1">
            <w:pPr>
              <w:jc w:val="center"/>
              <w:rPr>
                <w:rFonts w:hint="eastAsia" w:ascii="宋体" w:hAnsi="宋体" w:eastAsia="宋体" w:cs="宋体"/>
                <w:b w:val="0"/>
                <w:bCs w:val="0"/>
                <w:i w:val="0"/>
                <w:iCs w:val="0"/>
                <w:color w:val="000000"/>
                <w:sz w:val="20"/>
                <w:szCs w:val="20"/>
                <w:highlight w:val="none"/>
                <w:u w:val="none"/>
              </w:rPr>
            </w:pPr>
          </w:p>
        </w:tc>
      </w:tr>
      <w:tr w14:paraId="3A28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5E8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215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消费管理系统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4B5A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1、可通过刷卡、二维码等方式进行消费。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2、通过系统集中存储及管理商户及用户等信息。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提供对所有商户消费终端设备的远程管控。包括终端设备的远程锁定、设备的远程解锁、设备的远程升级；包括对消费终端设备消费时段、消费次数、人员类型限制、支付手续费等参数的设置；包括用户在消费终端POS机单笔消费限额、每日消费限额、超额密码支付等限额管理；包括用户对消费金额存在异议时可在设备直接发起退款申请，由管理员同意后金额原渠道退回；包括直接扣款、确认扣款、密码扣款等不同消费模式的设置及等自定义、定额不同金额输入模式的设置；包括用户消费详情、用户消费统计、用户退款统计等数据的统计查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提供商户与消费终端POS机进行唯一绑定、解绑，方便商户对自身机具的管理功能；提供每个商户对应的消费终端POS机下全部的消费、退款交易明细，方便商户财务运营管理；提供针对每个商户的结算报表和交易报表，为商户对账、结算提供依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提供消费补贴管理功能，可根据单次、每月、每半年、每年等发放模式实现补贴的循环下发，下发后补贴会实时到账用户的补贴账户。同一用户可享受不同补贴计划，补贴金额可以进行累加；补贴下发时，可设置自动清零有效期，到达有效时间后，系统将自动清零补贴余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6、提供可对补贴对象进行分类归组，以组的形式下发补贴更加高效、管理更加方便。</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7、提供商户、用户、餐段、消费方式等不同维度整体消费情况统计分析，并可查看全部消费流水的交易明细；能够根据日、周、月、年、任意时段等条件查询专项消费数据、导出并打印不同类型的报表。</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D901C">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075CB">
            <w:pPr>
              <w:jc w:val="center"/>
              <w:rPr>
                <w:rFonts w:hint="eastAsia" w:ascii="宋体" w:hAnsi="宋体" w:eastAsia="宋体" w:cs="宋体"/>
                <w:b w:val="0"/>
                <w:bCs w:val="0"/>
                <w:i w:val="0"/>
                <w:iCs w:val="0"/>
                <w:color w:val="000000"/>
                <w:sz w:val="20"/>
                <w:szCs w:val="20"/>
                <w:highlight w:val="none"/>
                <w:u w:val="none"/>
              </w:rPr>
            </w:pPr>
          </w:p>
        </w:tc>
      </w:tr>
      <w:tr w14:paraId="6BDC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7C4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558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冷水水控管理系统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20EE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1、实时抄表：自动采集并统计用水数据，用户能通过软件实时的掌握用水的情况。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2、预付费充值：支持预付费模式，随充随用，避免浪费水资源。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3、欠费提醒：基础用量不足或水费低于阈值，系统自动提醒用户及时缴费。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4、补贴发放：可批量或针对区域、人员发放水费、水量补贴，同一用户可享受不同补贴计划，补贴金额可以进行累加。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5、灵活配置：根据不同场景可设置收费或不收费、可设置收费方式、可设置水费单价、欠费额度等。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6、远程开合阀：提供远程对水表进行开阀、合阀功能，可在漏水、学校放假等特殊情况进行远程控制。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7、状态监测：系统长期对冷水表状态进行监测，查看冷水表在离线、开启/关闭、告警情况等状态。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8、数据管理：所有用水记录实时推送至用户。</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4E16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778D4">
            <w:pPr>
              <w:jc w:val="center"/>
              <w:rPr>
                <w:rFonts w:hint="eastAsia" w:ascii="宋体" w:hAnsi="宋体" w:eastAsia="宋体" w:cs="宋体"/>
                <w:b w:val="0"/>
                <w:bCs w:val="0"/>
                <w:i w:val="0"/>
                <w:iCs w:val="0"/>
                <w:color w:val="000000"/>
                <w:sz w:val="20"/>
                <w:szCs w:val="20"/>
                <w:highlight w:val="none"/>
                <w:u w:val="none"/>
              </w:rPr>
            </w:pPr>
          </w:p>
        </w:tc>
      </w:tr>
      <w:tr w14:paraId="25B5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BA8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7E7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热水水控管理系统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792A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1、实时抄表：自动采集并统计用水数据，用户；件实时的掌握用水的情况。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2、在线充值：不用线下缴费，移动微信、支付等方式充值水费更加方便，更加贴切用户现有的生活习惯。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3、欠费提醒：基础用量不足或水费低于阈值，系统自动提醒用户及时缴费，避免了因为长时间欠费而无法正常用水。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4、补贴发放：可批量或针对区域、人员发放水费、水量补贴，同一用户可享受不同补贴计划，补贴金额可以进行累加。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5、灵活配置：根据不同场景可单独对某栋或某区域设置收费或不收费、可设置收费方式、可设置水费单价、欠费额度等。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6、温度扣费：出水温度达到设定的阈值才扣费。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7、远程开合阀：提供通过手机或后台远程对水表进行开阀、合阀功能，可在漏水、学校放假等特殊情况进行远程控制。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8、状态监测：系统长期对热水表状态进行监测，用户可通过手机或管理员通过后台查看热水表在离线、开启/关闭、告警情况等状态。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9、异常告警：系统定期进行漏水检测、异常用水检测（耗用明显过大/小等），存在异常时，系统及时提醒用户及管理员，防止发生安全事故，造成经济损害，避免了水资源的浪费。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10、数据管理：所有用水记录实时推送至用户，手机端、管理后台均可实时查询明细流水。系统从人员、区域、告警、水量、耗用金额等不同维度统计整体用水情况，可在后台导出并打印不同类型的报表。</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8690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8BCC2">
            <w:pPr>
              <w:jc w:val="center"/>
              <w:rPr>
                <w:rFonts w:hint="eastAsia" w:ascii="宋体" w:hAnsi="宋体" w:eastAsia="宋体" w:cs="宋体"/>
                <w:b w:val="0"/>
                <w:bCs w:val="0"/>
                <w:i w:val="0"/>
                <w:iCs w:val="0"/>
                <w:color w:val="000000"/>
                <w:sz w:val="20"/>
                <w:szCs w:val="20"/>
                <w:highlight w:val="none"/>
                <w:u w:val="none"/>
              </w:rPr>
            </w:pPr>
          </w:p>
        </w:tc>
      </w:tr>
      <w:tr w14:paraId="2176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A1A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FC2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电控管理系统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8FDF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1、恶性负载配置：可以对每个房间设定负载阈值、暂停供电时间和自动恢复次数进行自主设定。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2、恶性负载识别：可以对房间的负载进行检测，超过设定负载值时自动切断其电源，管理员可以在后台进行合闸。</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3、设备管理：可以对电控设备状态进行可视化查看。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4、退费管理：可以自助申请退费或管理人员对学生进行退宿处理自动生成退费申请单，审批通过后，可以把剩余电费退回给学生。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5、大屏显示：可以实时统计区域内设备的运行状态、能耗情况和告警统计等信息。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6、补贴管理：可以按房间类型或按房间人数自动进行补贴下发；可以按楼栋单个或批量设置单次或者每月补助金额，可以对剩余补贴清零。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7、收费模式：可以选择预付费和后付费两种使用方式。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8、用电计量：可以实时计量每个房间的用电信息。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9、缴费功能：可以使用线下人工缴费和通过移动端进行在线充值。</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10、定时管控：可以设置定时管控计划，对学生用电时间进行定时控制。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11、实时监控：可以对每个房间的用电情况进行实时监控；可以直观显示学生房间当前的充值金额、剩余金额、电表读数、已用电量等。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12、可查看房间历史账户余额、使用电量、充值金额。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13、可对指定的若干房间或所有房间在一个时间段内的用电量进行统计。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14、分组管理：可以对人员、房间进行预定义分组。</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15、余额处理：可以对房间剩余金额进行退款、留存和清零等操作。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16、任务管理：可以对所有下发给设备的指令生成对应的任务记录；可以查看指令的下发状态，对于下发失败的，可以进行补发。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17、告警监控：系统实时检测设备的运行情况，发生故障时及时产生告警。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18.操作记录：系统具备操作记录功能，方便监控系统中用户的操作行为，出现问题时可及时追溯，定位与分析是否为误操作。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19.固件升级：可以远程单个或者批量升级设备固件程序。</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3FE0D">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C8FEB">
            <w:pPr>
              <w:jc w:val="center"/>
              <w:rPr>
                <w:rFonts w:hint="eastAsia" w:ascii="宋体" w:hAnsi="宋体" w:eastAsia="宋体" w:cs="宋体"/>
                <w:b w:val="0"/>
                <w:bCs w:val="0"/>
                <w:i w:val="0"/>
                <w:iCs w:val="0"/>
                <w:color w:val="000000"/>
                <w:sz w:val="20"/>
                <w:szCs w:val="20"/>
                <w:highlight w:val="none"/>
                <w:u w:val="none"/>
              </w:rPr>
            </w:pPr>
          </w:p>
        </w:tc>
      </w:tr>
      <w:tr w14:paraId="6A51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4B0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2DA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门锁管理系统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2038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1、实时监控：对门锁设备状态实时监测，包括设备状态、电量等。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2、低电量告警：对低电量的门，在平台上进行提醒，维护部门根据信息更换电池。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3、开门方式：具备刷卡、蓝牙、密码、机械钥匙和远程等开门方式。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4、卡处理：对校园卡挂失、解挂和冻结数据下发到无线门锁。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5、远程开锁：可单个或批量对门锁设备进行远程开锁。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6、用户和角色管理：具备多级用户管理、角色管理、用户权限管理功能。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7、限时功能：对白名单人员设定有效期，超过有效期则开锁功能无效。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8、房间视图：具备房间可视化图形界面，可查看门锁安装位置信息、门锁开关状态、在离线状态等。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9、开门记录：可根据姓名、区域、时间等多个维度进行筛选查询开门记录。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10、自动授权：远程自动将白名单成员信息下发到设备上。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11、门锁管理：具备门锁管理功能，可单个或批量启用、禁用门锁、导入白名单。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12、应急开门：具备应急开门功能，遇到紧急情况时，可通过系统单个或批量对房间门锁进行远程开门。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13、楼栋管理员：可设置楼栋管理员；可对该楼栋所有门锁设备进行开锁。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14、任务管理：对于所有下发记录都会生成对应的任务记录；可查看指令的下发状态；可对下发失败的记录进行补发操作。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15、参数设置：可在系统管理界面上设置灵活配置开门参数，包含启禁用远程开门、刷卡开门、密码开门，设置普通模式或急速模式等。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16、操作日志：可在系统管理界面上查看操作日志，便于问题回溯。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17、固件升级：可远程单个或者批量升级设备固件程序。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18、历史白名单：可查看系统下发的开门白名单历史记录，可通过用户名称或用户账号搜索查询。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19、常开设置：具备常开设置功能，可设置多个常开时间段，可自由选择常开的门锁，方便宿舍维修维护。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20、问题反馈：具备问题反馈功能，可在系统查看用户的问题反馈，以便及时处理。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21、公告管理：具备公告管理功能，可在系统下发公告至用户手机端程序。</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E63D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99B71">
            <w:pPr>
              <w:jc w:val="center"/>
              <w:rPr>
                <w:rFonts w:hint="eastAsia" w:ascii="宋体" w:hAnsi="宋体" w:eastAsia="宋体" w:cs="宋体"/>
                <w:b w:val="0"/>
                <w:bCs w:val="0"/>
                <w:i w:val="0"/>
                <w:iCs w:val="0"/>
                <w:color w:val="000000"/>
                <w:sz w:val="20"/>
                <w:szCs w:val="20"/>
                <w:highlight w:val="none"/>
                <w:u w:val="none"/>
              </w:rPr>
            </w:pPr>
          </w:p>
        </w:tc>
      </w:tr>
      <w:tr w14:paraId="2C66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037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9E5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空调管理系统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FFB0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1、可视化方式对设备信息进行总览，包括空调安装位置、空调运行状态、空调风扇、空调模式、空调温度、空调湿度等。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2、可以通过系统远程对区域内所有房间的空调进行开启跟关闭。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3、可以设置定时开启/关闭计划，避免人走忘关所造成的能源浪费情况。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4、可以在固定时间段内、对所选固定区域设备设置温度控制策略，控制环境温度，避免温度过高或过低，创造健康舒适的环境。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5、当有安装红外感应设备时，可以通过红外感应，判断房间内是否有人存在，当房间内处于无人情况时，自动关闭空调。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6、当设备出现温度过高、电流电压过高过低、电量过低等异常情况时，设备自动产生告警并上报到后台，管理员可以在系统查看到该告警记录，根据上报的告警信息进行处理。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7、自动统计形成节电分析以及能源统计报表，可以通过日、周、月、年、自定义时段、每个区域、每栋楼、每个房间等多种维度快速查询空调耗能数据，可对报表进行导出、打印等。</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5023D">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AEDB4">
            <w:pPr>
              <w:jc w:val="center"/>
              <w:rPr>
                <w:rFonts w:hint="eastAsia" w:ascii="宋体" w:hAnsi="宋体" w:eastAsia="宋体" w:cs="宋体"/>
                <w:b w:val="0"/>
                <w:bCs w:val="0"/>
                <w:i w:val="0"/>
                <w:iCs w:val="0"/>
                <w:color w:val="000000"/>
                <w:sz w:val="20"/>
                <w:szCs w:val="20"/>
                <w:highlight w:val="none"/>
                <w:u w:val="none"/>
              </w:rPr>
            </w:pPr>
          </w:p>
        </w:tc>
      </w:tr>
      <w:tr w14:paraId="3DC9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38C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D84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照明管理系统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3352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1、状态查看：实时查看照明设备的开、关状态。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2、分区管控：支持对照明设备实现分楼层、分区域等的远程智能管控。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3、分时段管控：支持对照明设备实现时段智能管控。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4、设备状态监测：支持实时监测设备在离线状态、查看设备上下线日志，便于维护处理。</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6E6C9">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7007F">
            <w:pPr>
              <w:jc w:val="center"/>
              <w:rPr>
                <w:rFonts w:hint="eastAsia" w:ascii="宋体" w:hAnsi="宋体" w:eastAsia="宋体" w:cs="宋体"/>
                <w:b w:val="0"/>
                <w:bCs w:val="0"/>
                <w:i w:val="0"/>
                <w:iCs w:val="0"/>
                <w:color w:val="000000"/>
                <w:sz w:val="20"/>
                <w:szCs w:val="20"/>
                <w:highlight w:val="none"/>
                <w:u w:val="none"/>
              </w:rPr>
            </w:pPr>
          </w:p>
        </w:tc>
      </w:tr>
      <w:tr w14:paraId="5194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014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26</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019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闸机门禁管理系统</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97D0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1、设备管理：可以查看门禁设备状态；可以对门禁设备远程升级、参数配置、任务指令下发和名单下发等进行远程管理；可以对设备详细的日志记录。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2、通行记录：可以在管理平台web端根据姓名、区域、时间等多个维度进行筛选查询和管理。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3、数据分析：可以进行多维度的数据统计、查询和分析。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4、通行权限管理：可以管理门禁开启或关闭、保证授权人员的自由出入、限制未授权人员的进入和对非法进入行为予以报警；可以按时段设置自动常开或禁止通行。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5、用户和角色管理：支持多级用户管理和角色管理。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6、告警记录：对设备故障生成告警记录并推送告警信息给相关管理人员。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7、通行趋势表：可以通过数据趋势表查看学生当天通行总体数量；可以通过柱形图或折线图的不同颜色、不同时间段的统计图表展示；可以查看不同时间段学生进和出信息的趋势变化。</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8、下发记录：可以对系统任务执行过程进行监管，对执行失败的任务可以实时查看失败原因并对失败任务采取相应的处理措施。</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FD2E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59828">
            <w:pPr>
              <w:jc w:val="center"/>
              <w:rPr>
                <w:rFonts w:hint="eastAsia" w:ascii="宋体" w:hAnsi="宋体" w:eastAsia="宋体" w:cs="宋体"/>
                <w:b w:val="0"/>
                <w:bCs w:val="0"/>
                <w:i w:val="0"/>
                <w:iCs w:val="0"/>
                <w:color w:val="000000"/>
                <w:sz w:val="20"/>
                <w:szCs w:val="20"/>
                <w:highlight w:val="none"/>
                <w:u w:val="none"/>
              </w:rPr>
            </w:pPr>
          </w:p>
        </w:tc>
      </w:tr>
      <w:tr w14:paraId="5CFB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7E9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27</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5B4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教室综合管控平台</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DD56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教室综合管控平台融合教室内各系统和平台，为学校提供统一的教室场景智慧管理服务、智能化运维、数据分析呈现。</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EE80F">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EB10C">
            <w:pPr>
              <w:jc w:val="center"/>
              <w:rPr>
                <w:rFonts w:hint="eastAsia" w:ascii="宋体" w:hAnsi="宋体" w:eastAsia="宋体" w:cs="宋体"/>
                <w:b w:val="0"/>
                <w:bCs w:val="0"/>
                <w:i w:val="0"/>
                <w:iCs w:val="0"/>
                <w:color w:val="000000"/>
                <w:sz w:val="20"/>
                <w:szCs w:val="20"/>
                <w:highlight w:val="none"/>
                <w:u w:val="none"/>
              </w:rPr>
            </w:pPr>
          </w:p>
        </w:tc>
      </w:tr>
      <w:tr w14:paraId="3380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C975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3.8 创新创业管理平台</w:t>
            </w:r>
          </w:p>
        </w:tc>
      </w:tr>
      <w:tr w14:paraId="1E94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660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EF6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用户信息管理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A8C9603">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支持管理校内人员的信息，校内教师的基本信息来源为导入或同步，管理人员可以单独维护相关教职工信息，所有的教师均有权限完善自己的基本信息（工号、所在单位、用户类型不可修改），教师可通过手机端维护基本信息。支持管理校外人员的信息，校外人员在外网申请注册个人账户，填写完相关信息后，管理人员对注册用户提交的相关内容进行单个审批：打回、拒绝、通过，也可批量操作；也可查询与导出用户注册信息，可进行自定义导出数据。支持管理学生的信息，学生的基本信息来源为导入或同步。管理人员可根据自己权限进行查询与自定义导出相关数据，也可导入或者新增，学生也可通过手机端维护基本信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4E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B05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r>
      <w:tr w14:paraId="0C68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D9C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AB2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创业项目管理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7C7D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开启批次：支持管理人员可随时开启项目申报批次，设置评审专家信息，可以同时开启多个批次。专家取校内人员、校外人员信息库。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申报：学生选择对应开启的批次提交项目申报。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审批：学院针对自己学院学生提交的项目申报内容进行审批、打回。</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专家评分：专家针对批次中学院审批通过的学生项目申报进行评分以及评语。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评级：管理人员对学生的项目申报专家审批过后的内容进行评级，管理人员审批时需展示专家相关评语以及评分和综合评分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查询及统计：学生、学院等可根据各自权限查询、自定义导出以及自定义统计学生项目申报内容。</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96E69">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DD6F8">
            <w:pPr>
              <w:jc w:val="center"/>
              <w:rPr>
                <w:rFonts w:hint="eastAsia" w:ascii="宋体" w:hAnsi="宋体" w:eastAsia="宋体" w:cs="宋体"/>
                <w:b w:val="0"/>
                <w:bCs w:val="0"/>
                <w:i w:val="0"/>
                <w:iCs w:val="0"/>
                <w:color w:val="000000"/>
                <w:sz w:val="20"/>
                <w:szCs w:val="20"/>
                <w:highlight w:val="none"/>
                <w:u w:val="none"/>
              </w:rPr>
            </w:pPr>
          </w:p>
        </w:tc>
      </w:tr>
      <w:tr w14:paraId="098C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BAEC4">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490BF">
            <w:pPr>
              <w:jc w:val="center"/>
              <w:rPr>
                <w:rFonts w:hint="eastAsia" w:ascii="宋体" w:hAnsi="宋体" w:eastAsia="宋体" w:cs="宋体"/>
                <w:b w:val="0"/>
                <w:bCs w:val="0"/>
                <w:i w:val="0"/>
                <w:iCs w:val="0"/>
                <w:color w:val="000000"/>
                <w:sz w:val="20"/>
                <w:szCs w:val="20"/>
                <w:highlight w:val="none"/>
                <w:u w:val="none"/>
              </w:rPr>
            </w:pP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FC0E537">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开启批次：管理人员可随时开启项目中期检查批次，可同时开启多个批次。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申请：学生选择对应开启的批次，提交项目检查内容：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审批：管理人员根据各自权限针对批次提交的学生内容进行审批和打回。</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查询及统计：学生、管理人员根据各自权限自定义统计、查询、自定义导出相关信息。</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5FC69">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CD87">
            <w:pPr>
              <w:jc w:val="center"/>
              <w:rPr>
                <w:rFonts w:hint="eastAsia" w:ascii="宋体" w:hAnsi="宋体" w:eastAsia="宋体" w:cs="宋体"/>
                <w:b w:val="0"/>
                <w:bCs w:val="0"/>
                <w:i w:val="0"/>
                <w:iCs w:val="0"/>
                <w:color w:val="000000"/>
                <w:sz w:val="20"/>
                <w:szCs w:val="20"/>
                <w:highlight w:val="none"/>
                <w:u w:val="none"/>
              </w:rPr>
            </w:pPr>
          </w:p>
        </w:tc>
      </w:tr>
      <w:tr w14:paraId="57A5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0B634">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49A90">
            <w:pPr>
              <w:jc w:val="center"/>
              <w:rPr>
                <w:rFonts w:hint="eastAsia" w:ascii="宋体" w:hAnsi="宋体" w:eastAsia="宋体" w:cs="宋体"/>
                <w:b w:val="0"/>
                <w:bCs w:val="0"/>
                <w:i w:val="0"/>
                <w:iCs w:val="0"/>
                <w:color w:val="000000"/>
                <w:sz w:val="20"/>
                <w:szCs w:val="20"/>
                <w:highlight w:val="none"/>
                <w:u w:val="none"/>
              </w:rPr>
            </w:pP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DE2D9BB">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开启批次：管理人员可随时开启项目结项批次，可同时开启多个批次。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申请：学生选择对应开启的批次，提交项目结项内容。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审批：管理人员根据各自权限针对批次提交的学生内容进行审批。管理人员审批时给予项目定级“不合格、合格、良好、优秀”。</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查询及统计：学生、管理人员根据各自权限自定义导出、查询、自定义统计相关信息。</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E769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82A56">
            <w:pPr>
              <w:jc w:val="center"/>
              <w:rPr>
                <w:rFonts w:hint="eastAsia" w:ascii="宋体" w:hAnsi="宋体" w:eastAsia="宋体" w:cs="宋体"/>
                <w:b w:val="0"/>
                <w:bCs w:val="0"/>
                <w:i w:val="0"/>
                <w:iCs w:val="0"/>
                <w:color w:val="000000"/>
                <w:sz w:val="20"/>
                <w:szCs w:val="20"/>
                <w:highlight w:val="none"/>
                <w:u w:val="none"/>
              </w:rPr>
            </w:pPr>
          </w:p>
        </w:tc>
      </w:tr>
      <w:tr w14:paraId="7CA1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6C45">
            <w:pPr>
              <w:jc w:val="center"/>
              <w:rPr>
                <w:rFonts w:hint="eastAsia" w:ascii="宋体" w:hAnsi="宋体" w:eastAsia="宋体" w:cs="宋体"/>
                <w:b w:val="0"/>
                <w:bCs w:val="0"/>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1FE71">
            <w:pPr>
              <w:jc w:val="center"/>
              <w:rPr>
                <w:rFonts w:hint="eastAsia" w:ascii="宋体" w:hAnsi="宋体" w:eastAsia="宋体" w:cs="宋体"/>
                <w:b w:val="0"/>
                <w:bCs w:val="0"/>
                <w:i w:val="0"/>
                <w:iCs w:val="0"/>
                <w:color w:val="000000"/>
                <w:sz w:val="20"/>
                <w:szCs w:val="20"/>
                <w:highlight w:val="none"/>
                <w:u w:val="none"/>
              </w:rPr>
            </w:pP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DB61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管理人员可导入、新增、删除、查询学生项目信息，管理人员、学生根据各自权限进行查询。</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BFA1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60D1">
            <w:pPr>
              <w:jc w:val="center"/>
              <w:rPr>
                <w:rFonts w:hint="eastAsia" w:ascii="宋体" w:hAnsi="宋体" w:eastAsia="宋体" w:cs="宋体"/>
                <w:b w:val="0"/>
                <w:bCs w:val="0"/>
                <w:i w:val="0"/>
                <w:iCs w:val="0"/>
                <w:color w:val="000000"/>
                <w:sz w:val="20"/>
                <w:szCs w:val="20"/>
                <w:highlight w:val="none"/>
                <w:u w:val="none"/>
              </w:rPr>
            </w:pPr>
          </w:p>
        </w:tc>
      </w:tr>
      <w:tr w14:paraId="1DD9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639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28B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项目竞赛管理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E1B5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发布竞赛：管理人员可随时发布竞赛，发布时生成打分二维码。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设置打分专家：管理人员设置各批次的打分专家（取校外人员和校内人员信息）。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用户申请：学生、校外用户、老师在批次时间范围内提交竞赛申请。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审批：管理人员根据各自权限审批、打回、拒绝相关提交的竞赛内容。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专家打分：专家通过扫码竞赛的打分二维码，进行初审打分和答辩打分，展示信息包含：竞赛项目名称、学院、专家名称、评审分，形成单项目打分进行展示。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数据查询及统计：管理人员拥有相关权限的查询、自定义导出、统计功能。</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5FFA0">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11B82">
            <w:pPr>
              <w:jc w:val="center"/>
              <w:rPr>
                <w:rFonts w:hint="eastAsia" w:ascii="宋体" w:hAnsi="宋体" w:eastAsia="宋体" w:cs="宋体"/>
                <w:b w:val="0"/>
                <w:bCs w:val="0"/>
                <w:i w:val="0"/>
                <w:iCs w:val="0"/>
                <w:color w:val="000000"/>
                <w:sz w:val="20"/>
                <w:szCs w:val="20"/>
                <w:highlight w:val="none"/>
                <w:u w:val="none"/>
              </w:rPr>
            </w:pPr>
          </w:p>
        </w:tc>
      </w:tr>
      <w:tr w14:paraId="30D8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A48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A89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众创空间管理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6E03B4D">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包含众创空间维护、入驻申请、退出申请、场地管理、创业团队管理、创业企业管理等，管理人员可针对众创空间信息进行添加、删除、修改、自定义导出、自定义统计。基础信息维护后工位数、电脑数、家具数、其他设备数需要减去已使用的数量，同时点开详情可查看已使用用户信息、工位数、电脑数、家具数、其他设备数。</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1C2D9">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9C975">
            <w:pPr>
              <w:jc w:val="center"/>
              <w:rPr>
                <w:rFonts w:hint="eastAsia" w:ascii="宋体" w:hAnsi="宋体" w:eastAsia="宋体" w:cs="宋体"/>
                <w:b w:val="0"/>
                <w:bCs w:val="0"/>
                <w:i w:val="0"/>
                <w:iCs w:val="0"/>
                <w:color w:val="000000"/>
                <w:sz w:val="20"/>
                <w:szCs w:val="20"/>
                <w:highlight w:val="none"/>
                <w:u w:val="none"/>
              </w:rPr>
            </w:pPr>
          </w:p>
        </w:tc>
      </w:tr>
      <w:tr w14:paraId="4C04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589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9B6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历年大赛报名库</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41B4A">
            <w:pPr>
              <w:keepNext w:val="0"/>
              <w:keepLines w:val="0"/>
              <w:widowControl/>
              <w:suppressLineNumbers w:val="0"/>
              <w:jc w:val="both"/>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由管理人员导入学生创业竞赛信息，学生、学院根据各自权限查看即可。</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A326F">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2D83A">
            <w:pPr>
              <w:jc w:val="center"/>
              <w:rPr>
                <w:rFonts w:hint="eastAsia" w:ascii="宋体" w:hAnsi="宋体" w:eastAsia="宋体" w:cs="宋体"/>
                <w:b w:val="0"/>
                <w:bCs w:val="0"/>
                <w:i w:val="0"/>
                <w:iCs w:val="0"/>
                <w:color w:val="000000"/>
                <w:sz w:val="20"/>
                <w:szCs w:val="20"/>
                <w:highlight w:val="none"/>
                <w:u w:val="none"/>
              </w:rPr>
            </w:pPr>
          </w:p>
        </w:tc>
      </w:tr>
      <w:tr w14:paraId="37B9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1EB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464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技术成果转化</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B991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申请：学生/校外人员/教职工提交技术成果转化申请。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审批：管理人员可针对学生/校外人员/教职工提交的内容进行审批。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数据查询及统计：管理人员、提交人可根据各自权限在查询页面进行自定义导出、统计。</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7F83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2E974">
            <w:pPr>
              <w:jc w:val="center"/>
              <w:rPr>
                <w:rFonts w:hint="eastAsia" w:ascii="宋体" w:hAnsi="宋体" w:eastAsia="宋体" w:cs="宋体"/>
                <w:b w:val="0"/>
                <w:bCs w:val="0"/>
                <w:i w:val="0"/>
                <w:iCs w:val="0"/>
                <w:color w:val="000000"/>
                <w:sz w:val="20"/>
                <w:szCs w:val="20"/>
                <w:highlight w:val="none"/>
                <w:u w:val="none"/>
              </w:rPr>
            </w:pPr>
          </w:p>
        </w:tc>
      </w:tr>
      <w:tr w14:paraId="6AF9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B35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2FE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创业项目推广</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6923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申请信息：发布推广申请，信息包含如：项目名称*、项目简介*、团队简介*、项目开展内容*（手输文本）、竞争优势*（手输文本）、联系方式*等。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审核：管理人员审核学生提交的相关内容。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更新申请：对个人审核通过的项目推广信息可以修改项目简介、团队简介、项目开展内容、竞争优势、联系方式，更新后通过创新创业学院审核有效。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留言管理：学生提交的推广申请通过后直接展示在外网，用户可以通过外网进行留言，留言信息包含：姓名（*）、联系方式（*）、留言内容，留言需要管理人员进行审核后有效，通过管理人员审核后可以公开留言。</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数据查询及统计：管理人员可针对相关数据进行查询及统计、自定义导出、导入推广申请内容数据。</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3C9A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2FAA7">
            <w:pPr>
              <w:jc w:val="center"/>
              <w:rPr>
                <w:rFonts w:hint="eastAsia" w:ascii="宋体" w:hAnsi="宋体" w:eastAsia="宋体" w:cs="宋体"/>
                <w:b w:val="0"/>
                <w:bCs w:val="0"/>
                <w:i w:val="0"/>
                <w:iCs w:val="0"/>
                <w:color w:val="000000"/>
                <w:sz w:val="20"/>
                <w:szCs w:val="20"/>
                <w:highlight w:val="none"/>
                <w:u w:val="none"/>
              </w:rPr>
            </w:pPr>
          </w:p>
        </w:tc>
      </w:tr>
      <w:tr w14:paraId="17F2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566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A04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校企合作</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F028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注册：相关企业注册信息，在登录入库处增加注册按钮，企业点击后也可以直接注册。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审核：管理人员可审批、打回、拒绝企业提交的相关注册信息。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展示：外网展示内容。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数据查询及统计：管理人员可进行导入、查询、自定义统计、自定义导出。</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3F4E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A817E">
            <w:pPr>
              <w:jc w:val="center"/>
              <w:rPr>
                <w:rFonts w:hint="eastAsia" w:ascii="宋体" w:hAnsi="宋体" w:eastAsia="宋体" w:cs="宋体"/>
                <w:b w:val="0"/>
                <w:bCs w:val="0"/>
                <w:i w:val="0"/>
                <w:iCs w:val="0"/>
                <w:color w:val="000000"/>
                <w:sz w:val="20"/>
                <w:szCs w:val="20"/>
                <w:highlight w:val="none"/>
                <w:u w:val="none"/>
              </w:rPr>
            </w:pPr>
          </w:p>
        </w:tc>
      </w:tr>
      <w:tr w14:paraId="65CA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C08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F3B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创业导师信息</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FD40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提交申请：所有教职工（校内、校外人员）都可导师申请。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审批：管理人员可审批、打回、拒绝相关教职工提交的申请内容。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数据查询及统计：管理人员可查询、自定义统计、自定义导出相关数据，也可导入相关导师信息。</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14A17">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FB629">
            <w:pPr>
              <w:jc w:val="center"/>
              <w:rPr>
                <w:rFonts w:hint="eastAsia" w:ascii="宋体" w:hAnsi="宋体" w:eastAsia="宋体" w:cs="宋体"/>
                <w:b w:val="0"/>
                <w:bCs w:val="0"/>
                <w:i w:val="0"/>
                <w:iCs w:val="0"/>
                <w:color w:val="000000"/>
                <w:sz w:val="20"/>
                <w:szCs w:val="20"/>
                <w:highlight w:val="none"/>
                <w:u w:val="none"/>
              </w:rPr>
            </w:pPr>
          </w:p>
        </w:tc>
      </w:tr>
      <w:tr w14:paraId="7A9F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439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171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投资人信息</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9FA5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提交申请：投资人提交申请。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审批：管理人员可审批、打回、拒绝相关投资人内容。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数据查询及统计：管理人员可查询、自定义统计、自定义导出相关数据，也可以导出相关投资人信息。</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B84A5">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92BB6">
            <w:pPr>
              <w:jc w:val="center"/>
              <w:rPr>
                <w:rFonts w:hint="eastAsia" w:ascii="宋体" w:hAnsi="宋体" w:eastAsia="宋体" w:cs="宋体"/>
                <w:b w:val="0"/>
                <w:bCs w:val="0"/>
                <w:i w:val="0"/>
                <w:iCs w:val="0"/>
                <w:color w:val="000000"/>
                <w:sz w:val="20"/>
                <w:szCs w:val="20"/>
                <w:highlight w:val="none"/>
                <w:u w:val="none"/>
              </w:rPr>
            </w:pPr>
          </w:p>
        </w:tc>
      </w:tr>
      <w:tr w14:paraId="2329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F18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834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创新创业教育学习园地</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CFDE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管理人员提交优秀项目资源内容，提交内容有：标题*、内容（超文本）、附件（视频大小2GB、文件等）、链接地址（有链接的情况下，点击标题就可以跳转链接地址）。提交保存后，其他层次进行查看。管理人员提交参赛视频内容，提交内容有：标题*、内容（超文本）、附件（视频大小2GB、文件等）、链接地址（有链接的情况下，点击标题就可以跳转链接地址）。提交保存后，其他层次进行查看。</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5DB7A">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5474D">
            <w:pPr>
              <w:jc w:val="center"/>
              <w:rPr>
                <w:rFonts w:hint="eastAsia" w:ascii="宋体" w:hAnsi="宋体" w:eastAsia="宋体" w:cs="宋体"/>
                <w:b w:val="0"/>
                <w:bCs w:val="0"/>
                <w:i w:val="0"/>
                <w:iCs w:val="0"/>
                <w:color w:val="000000"/>
                <w:sz w:val="20"/>
                <w:szCs w:val="20"/>
                <w:highlight w:val="none"/>
                <w:u w:val="none"/>
              </w:rPr>
            </w:pPr>
          </w:p>
        </w:tc>
      </w:tr>
      <w:tr w14:paraId="5E83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6A5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8DD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创新创业学分管理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FFC8788">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提交：学生可随时提交创新创业学分申请。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审批：管理人员可审批、打回、拒绝相关学生创新创业学分内容。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数据查询与统计：管理人员可查询、自定义统计、自定义导出相关数据，也可以导出相关学生创新创业学分信息。 </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A4D4B">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AF0CE">
            <w:pPr>
              <w:jc w:val="center"/>
              <w:rPr>
                <w:rFonts w:hint="eastAsia" w:ascii="宋体" w:hAnsi="宋体" w:eastAsia="宋体" w:cs="宋体"/>
                <w:b w:val="0"/>
                <w:bCs w:val="0"/>
                <w:i w:val="0"/>
                <w:iCs w:val="0"/>
                <w:color w:val="000000"/>
                <w:sz w:val="20"/>
                <w:szCs w:val="20"/>
                <w:highlight w:val="none"/>
                <w:u w:val="none"/>
              </w:rPr>
            </w:pPr>
          </w:p>
        </w:tc>
      </w:tr>
      <w:tr w14:paraId="7474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CDA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D06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创新创业培训课程管理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4C2C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提交：学生可随时提交网络创业培训课程申请。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审批：管理人员可审批、打回、拒绝相关学生网络创业培训课程内容。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数据查询与统计：管理人员可查询、自定义统计、自定义导出相关数据，也可以导出相关学生网络创业培训课程信息。</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F33AC">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46BA1">
            <w:pPr>
              <w:jc w:val="center"/>
              <w:rPr>
                <w:rFonts w:hint="eastAsia" w:ascii="宋体" w:hAnsi="宋体" w:eastAsia="宋体" w:cs="宋体"/>
                <w:b w:val="0"/>
                <w:bCs w:val="0"/>
                <w:i w:val="0"/>
                <w:iCs w:val="0"/>
                <w:color w:val="000000"/>
                <w:sz w:val="20"/>
                <w:szCs w:val="20"/>
                <w:highlight w:val="none"/>
                <w:u w:val="none"/>
              </w:rPr>
            </w:pPr>
          </w:p>
        </w:tc>
      </w:tr>
      <w:tr w14:paraId="2003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2A6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8E2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就业管理</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F463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包含就业信息网、就业管理中心、企业招聘中心、学生应聘中心和数据统计。就业信息网和就业网后台管理；全面展示学校就业工作的动态、展示学校学院简介、展示学校有关就业方面新闻动态、展示就业部门职责介绍、展示学校招聘会安排及通知、展示学校就业政策及就业指南，自定义设置网站LOGO，飘窗图片，首页链接等内容，提供新闻公告、政策通知等信息的发布管理。企业单位管理、企业职位管理、学生就业管理，对企业入驻就业信息网的信息进行审核。可以新增、修改企业信息，审核通过的企业也可以在这里进行维护。对企业申请招聘活动进行审核，以及管理发布企业招聘活动。对企业发布的长期职位进行审核。同步应届毕业生学生信息，查询应届毕业学生信息。对学生就业登记信息进行审核，以及管理维护在读往届学生就业登记信息。为企业提供招聘管理端，可以上传企业信息、管理校园招聘的职位信息，对学生应聘的简历预览与下载，安排面试。或者申请参加学校举行的线下招聘会。为学生提供应聘管理端，查看个人的基本信息以及学校发布的各类通知公告，登记，登记个人的就业相关信息，便于学校就业相关部门了解学生的相关情况。查询各学院各专业学生就业去向记录。可查看公司的招聘信息，包括职位名称、人数、待遇。统计当前各学院的就业率。统计历史各学院的就业率。</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05FD6">
            <w:pPr>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71585">
            <w:pPr>
              <w:jc w:val="center"/>
              <w:rPr>
                <w:rFonts w:hint="eastAsia" w:ascii="宋体" w:hAnsi="宋体" w:eastAsia="宋体" w:cs="宋体"/>
                <w:b w:val="0"/>
                <w:bCs w:val="0"/>
                <w:i w:val="0"/>
                <w:iCs w:val="0"/>
                <w:color w:val="000000"/>
                <w:sz w:val="20"/>
                <w:szCs w:val="20"/>
                <w:highlight w:val="none"/>
                <w:u w:val="none"/>
              </w:rPr>
            </w:pPr>
          </w:p>
        </w:tc>
      </w:tr>
      <w:tr w14:paraId="54FA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1"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0E2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054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软件系统整体要求</w:t>
            </w:r>
          </w:p>
        </w:tc>
        <w:tc>
          <w:tcPr>
            <w:tcW w:w="8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A9F6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本期项目建设所有业务系统与学校现有智慧校园平台均能实现无缝对接，且无额外接口费用。同时，支持功能模块二次定制开发。提供与多种第三方应用系统的接口和支持二次开发的标准API系统对接提供开发接口，允许通过这些接口修正数据结构和业务逻辑；提供Web Service接口，允许其他系统调用本系统，也允许本系统调用其他系统。</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0E20D">
            <w:pPr>
              <w:rPr>
                <w:rFonts w:hint="eastAsia" w:ascii="宋体" w:hAnsi="宋体" w:eastAsia="宋体" w:cs="宋体"/>
                <w:b w:val="0"/>
                <w:bCs w:val="0"/>
                <w:i w:val="0"/>
                <w:iCs w:val="0"/>
                <w:color w:val="000000"/>
                <w:sz w:val="20"/>
                <w:szCs w:val="20"/>
                <w:highlight w:val="none"/>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D5468">
            <w:pPr>
              <w:rPr>
                <w:rFonts w:hint="eastAsia" w:ascii="宋体" w:hAnsi="宋体" w:eastAsia="宋体" w:cs="宋体"/>
                <w:b w:val="0"/>
                <w:bCs w:val="0"/>
                <w:i w:val="0"/>
                <w:iCs w:val="0"/>
                <w:color w:val="000000"/>
                <w:sz w:val="20"/>
                <w:szCs w:val="20"/>
                <w:highlight w:val="none"/>
                <w:u w:val="none"/>
              </w:rPr>
            </w:pPr>
          </w:p>
        </w:tc>
      </w:tr>
    </w:tbl>
    <w:p w14:paraId="548CED31">
      <w:pPr>
        <w:rPr>
          <w:rFonts w:hint="eastAsia" w:ascii="宋体" w:hAnsi="宋体" w:eastAsia="宋体" w:cs="宋体"/>
          <w:highlight w:val="none"/>
        </w:rPr>
      </w:pPr>
      <w:r>
        <w:rPr>
          <w:rFonts w:hint="eastAsia" w:ascii="宋体" w:hAnsi="宋体" w:eastAsia="宋体" w:cs="宋体"/>
          <w:highlight w:val="none"/>
        </w:rPr>
        <w:br w:type="page"/>
      </w:r>
    </w:p>
    <w:tbl>
      <w:tblPr>
        <w:tblStyle w:val="17"/>
        <w:tblW w:w="10813" w:type="dxa"/>
        <w:tblInd w:w="-10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
        <w:gridCol w:w="873"/>
        <w:gridCol w:w="8359"/>
        <w:gridCol w:w="272"/>
        <w:gridCol w:w="560"/>
        <w:gridCol w:w="340"/>
      </w:tblGrid>
      <w:tr w14:paraId="4E58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3" w:type="dxa"/>
            <w:gridSpan w:val="6"/>
            <w:tcBorders>
              <w:top w:val="single" w:color="000000" w:sz="4" w:space="0"/>
              <w:left w:val="single" w:color="000000" w:sz="4" w:space="0"/>
              <w:bottom w:val="single" w:color="000000" w:sz="4" w:space="0"/>
              <w:right w:val="single" w:color="000000" w:sz="4" w:space="0"/>
            </w:tcBorders>
            <w:noWrap/>
            <w:vAlign w:val="center"/>
          </w:tcPr>
          <w:p w14:paraId="28AB4A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四、师生服务便捷化建设工程概算</w:t>
            </w:r>
          </w:p>
        </w:tc>
      </w:tr>
      <w:tr w14:paraId="0BFC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3BDEB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1F0A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8359" w:type="dxa"/>
            <w:tcBorders>
              <w:top w:val="single" w:color="000000" w:sz="4" w:space="0"/>
              <w:left w:val="single" w:color="000000" w:sz="4" w:space="0"/>
              <w:bottom w:val="single" w:color="000000" w:sz="4" w:space="0"/>
              <w:right w:val="single" w:color="000000" w:sz="4" w:space="0"/>
            </w:tcBorders>
            <w:noWrap/>
            <w:vAlign w:val="center"/>
          </w:tcPr>
          <w:p w14:paraId="758A48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功能参数</w:t>
            </w:r>
          </w:p>
        </w:tc>
        <w:tc>
          <w:tcPr>
            <w:tcW w:w="272" w:type="dxa"/>
            <w:tcBorders>
              <w:top w:val="single" w:color="000000" w:sz="4" w:space="0"/>
              <w:left w:val="single" w:color="000000" w:sz="4" w:space="0"/>
              <w:bottom w:val="single" w:color="000000" w:sz="4" w:space="0"/>
              <w:right w:val="single" w:color="000000" w:sz="4" w:space="0"/>
            </w:tcBorders>
            <w:noWrap/>
            <w:vAlign w:val="center"/>
          </w:tcPr>
          <w:p w14:paraId="2C00D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4CFE5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340" w:type="dxa"/>
            <w:tcBorders>
              <w:top w:val="single" w:color="000000" w:sz="4" w:space="0"/>
              <w:left w:val="single" w:color="000000" w:sz="4" w:space="0"/>
              <w:bottom w:val="single" w:color="000000" w:sz="4" w:space="0"/>
              <w:right w:val="single" w:color="000000" w:sz="4" w:space="0"/>
            </w:tcBorders>
            <w:noWrap/>
            <w:vAlign w:val="center"/>
          </w:tcPr>
          <w:p w14:paraId="01C81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6D40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3" w:type="dxa"/>
            <w:gridSpan w:val="6"/>
            <w:tcBorders>
              <w:top w:val="single" w:color="000000" w:sz="4" w:space="0"/>
              <w:left w:val="single" w:color="000000" w:sz="4" w:space="0"/>
              <w:bottom w:val="single" w:color="000000" w:sz="4" w:space="0"/>
              <w:right w:val="single" w:color="000000" w:sz="4" w:space="0"/>
            </w:tcBorders>
            <w:noWrap/>
            <w:vAlign w:val="center"/>
          </w:tcPr>
          <w:p w14:paraId="3D964B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4.1一卡通建设</w:t>
            </w:r>
          </w:p>
        </w:tc>
      </w:tr>
      <w:tr w14:paraId="59C4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3" w:type="dxa"/>
            <w:gridSpan w:val="6"/>
            <w:tcBorders>
              <w:top w:val="single" w:color="000000" w:sz="4" w:space="0"/>
              <w:left w:val="single" w:color="000000" w:sz="4" w:space="0"/>
              <w:bottom w:val="single" w:color="000000" w:sz="4" w:space="0"/>
              <w:right w:val="single" w:color="000000" w:sz="4" w:space="0"/>
            </w:tcBorders>
            <w:noWrap/>
            <w:vAlign w:val="center"/>
          </w:tcPr>
          <w:p w14:paraId="7745A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4.1.1 一卡通软件部分</w:t>
            </w:r>
          </w:p>
        </w:tc>
      </w:tr>
      <w:tr w14:paraId="3E2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06E51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8FCA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人脸认证服务平台</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14:paraId="563D1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Style w:val="31"/>
                <w:b w:val="0"/>
                <w:bCs w:val="0"/>
                <w:highlight w:val="none"/>
                <w:lang w:val="en-US" w:eastAsia="zh-CN" w:bidi="ar"/>
              </w:rPr>
              <w:t>通过人脸认证服务管理系统的建设，增加一卡通平台业务系统人脸识别扩展能力，（如考勤、门禁、通道、访客等系统的人脸识别扩展）。同时兼容行业各品牌厂家人脸识别算法和终端设备。</w:t>
            </w:r>
            <w:r>
              <w:rPr>
                <w:rStyle w:val="31"/>
                <w:b w:val="0"/>
                <w:bCs w:val="0"/>
                <w:highlight w:val="none"/>
                <w:lang w:val="en-US" w:eastAsia="zh-CN" w:bidi="ar"/>
              </w:rPr>
              <w:br w:type="textWrapping"/>
            </w:r>
            <w:r>
              <w:rPr>
                <w:rStyle w:val="31"/>
                <w:b w:val="0"/>
                <w:bCs w:val="0"/>
                <w:highlight w:val="none"/>
                <w:lang w:val="en-US" w:eastAsia="zh-CN" w:bidi="ar"/>
              </w:rPr>
              <w:t>包含但不限以下内容：</w:t>
            </w:r>
            <w:r>
              <w:rPr>
                <w:rStyle w:val="31"/>
                <w:b w:val="0"/>
                <w:bCs w:val="0"/>
                <w:highlight w:val="none"/>
                <w:lang w:val="en-US" w:eastAsia="zh-CN" w:bidi="ar"/>
              </w:rPr>
              <w:br w:type="textWrapping"/>
            </w:r>
            <w:r>
              <w:rPr>
                <w:rStyle w:val="32"/>
                <w:rFonts w:eastAsia="宋体"/>
                <w:b w:val="0"/>
                <w:bCs w:val="0"/>
                <w:highlight w:val="none"/>
                <w:lang w:val="en-US" w:eastAsia="zh-CN" w:bidi="ar"/>
              </w:rPr>
              <w:t></w:t>
            </w:r>
            <w:r>
              <w:rPr>
                <w:rStyle w:val="31"/>
                <w:b w:val="0"/>
                <w:bCs w:val="0"/>
                <w:highlight w:val="none"/>
                <w:lang w:val="en-US" w:eastAsia="zh-CN" w:bidi="ar"/>
              </w:rPr>
              <w:t>识别参数阈值灵活配置：系统提供多种厂家算法接入，每种识别算法可提供多组参数供用户选择识别分数和活体分数。</w:t>
            </w:r>
            <w:r>
              <w:rPr>
                <w:rStyle w:val="31"/>
                <w:b w:val="0"/>
                <w:bCs w:val="0"/>
                <w:highlight w:val="none"/>
                <w:lang w:val="en-US" w:eastAsia="zh-CN" w:bidi="ar"/>
              </w:rPr>
              <w:br w:type="textWrapping"/>
            </w:r>
            <w:r>
              <w:rPr>
                <w:rStyle w:val="32"/>
                <w:rFonts w:eastAsia="宋体"/>
                <w:b w:val="0"/>
                <w:bCs w:val="0"/>
                <w:highlight w:val="none"/>
                <w:lang w:val="en-US" w:eastAsia="zh-CN" w:bidi="ar"/>
              </w:rPr>
              <w:t></w:t>
            </w:r>
            <w:r>
              <w:rPr>
                <w:rStyle w:val="31"/>
                <w:b w:val="0"/>
                <w:bCs w:val="0"/>
                <w:highlight w:val="none"/>
                <w:lang w:val="en-US" w:eastAsia="zh-CN" w:bidi="ar"/>
              </w:rPr>
              <w:t>支持多品牌终端接入：人脸识别认证服务提供标准化接入规范，支持识别场景的相关的门禁、平板等终端接入</w:t>
            </w:r>
            <w:r>
              <w:rPr>
                <w:rStyle w:val="31"/>
                <w:b w:val="0"/>
                <w:bCs w:val="0"/>
                <w:highlight w:val="none"/>
                <w:lang w:val="en-US" w:eastAsia="zh-CN" w:bidi="ar"/>
              </w:rPr>
              <w:br w:type="textWrapping"/>
            </w:r>
            <w:r>
              <w:rPr>
                <w:rStyle w:val="32"/>
                <w:rFonts w:eastAsia="宋体"/>
                <w:b w:val="0"/>
                <w:bCs w:val="0"/>
                <w:highlight w:val="none"/>
                <w:lang w:val="en-US" w:eastAsia="zh-CN" w:bidi="ar"/>
              </w:rPr>
              <w:t></w:t>
            </w:r>
            <w:r>
              <w:rPr>
                <w:rStyle w:val="31"/>
                <w:b w:val="0"/>
                <w:bCs w:val="0"/>
                <w:highlight w:val="none"/>
                <w:lang w:val="en-US" w:eastAsia="zh-CN" w:bidi="ar"/>
              </w:rPr>
              <w:t>支持活体检测：系统提供的人脸识别算法支持活体检测，对于电子屏照片、视频、大头像照片、打印纸质照片、纸质、皮质类面具等非真人可有效防御。</w:t>
            </w:r>
            <w:r>
              <w:rPr>
                <w:rStyle w:val="31"/>
                <w:b w:val="0"/>
                <w:bCs w:val="0"/>
                <w:highlight w:val="none"/>
                <w:lang w:val="en-US" w:eastAsia="zh-CN" w:bidi="ar"/>
              </w:rPr>
              <w:br w:type="textWrapping"/>
            </w:r>
            <w:r>
              <w:rPr>
                <w:rStyle w:val="32"/>
                <w:rFonts w:eastAsia="宋体"/>
                <w:b w:val="0"/>
                <w:bCs w:val="0"/>
                <w:highlight w:val="none"/>
                <w:lang w:val="en-US" w:eastAsia="zh-CN" w:bidi="ar"/>
              </w:rPr>
              <w:t></w:t>
            </w:r>
            <w:r>
              <w:rPr>
                <w:rStyle w:val="31"/>
                <w:b w:val="0"/>
                <w:bCs w:val="0"/>
                <w:highlight w:val="none"/>
                <w:lang w:val="en-US" w:eastAsia="zh-CN" w:bidi="ar"/>
              </w:rPr>
              <w:t>支持多种方式证照采集：支持原有系统同步、手工批量导入、职工手机端自助采集等方式采集照片。</w:t>
            </w:r>
            <w:r>
              <w:rPr>
                <w:rStyle w:val="32"/>
                <w:rFonts w:eastAsia="宋体"/>
                <w:b w:val="0"/>
                <w:bCs w:val="0"/>
                <w:highlight w:val="none"/>
                <w:lang w:val="en-US" w:eastAsia="zh-CN" w:bidi="ar"/>
              </w:rPr>
              <w:t></w:t>
            </w:r>
          </w:p>
        </w:tc>
        <w:tc>
          <w:tcPr>
            <w:tcW w:w="272" w:type="dxa"/>
            <w:tcBorders>
              <w:top w:val="single" w:color="000000" w:sz="4" w:space="0"/>
              <w:left w:val="single" w:color="000000" w:sz="4" w:space="0"/>
              <w:bottom w:val="single" w:color="000000" w:sz="4" w:space="0"/>
              <w:right w:val="single" w:color="000000" w:sz="4" w:space="0"/>
            </w:tcBorders>
            <w:noWrap w:val="0"/>
            <w:vAlign w:val="center"/>
          </w:tcPr>
          <w:p w14:paraId="669EB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5664ED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0" w:type="dxa"/>
            <w:tcBorders>
              <w:top w:val="single" w:color="000000" w:sz="4" w:space="0"/>
              <w:left w:val="single" w:color="000000" w:sz="4" w:space="0"/>
              <w:bottom w:val="single" w:color="000000" w:sz="4" w:space="0"/>
              <w:right w:val="single" w:color="000000" w:sz="4" w:space="0"/>
            </w:tcBorders>
            <w:noWrap/>
            <w:vAlign w:val="center"/>
          </w:tcPr>
          <w:p w14:paraId="1532434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2BC2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84AFA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964F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数字化校园对接</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14:paraId="22766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支持紧耦合、松耦合、不耦合等多种结合方式；提供API动态库、通讯接入服务、WebService服务、中间库同步、应用程序、卡空间开放等多种对接形式。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数字化校园对接：1、数据推送 2、统一身份认证3、教务考勤</w:t>
            </w:r>
          </w:p>
        </w:tc>
        <w:tc>
          <w:tcPr>
            <w:tcW w:w="272" w:type="dxa"/>
            <w:tcBorders>
              <w:top w:val="single" w:color="000000" w:sz="4" w:space="0"/>
              <w:left w:val="single" w:color="000000" w:sz="4" w:space="0"/>
              <w:bottom w:val="single" w:color="000000" w:sz="4" w:space="0"/>
              <w:right w:val="single" w:color="000000" w:sz="4" w:space="0"/>
            </w:tcBorders>
            <w:noWrap w:val="0"/>
            <w:vAlign w:val="center"/>
          </w:tcPr>
          <w:p w14:paraId="51C08C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14D2F1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340" w:type="dxa"/>
            <w:tcBorders>
              <w:top w:val="single" w:color="000000" w:sz="4" w:space="0"/>
              <w:left w:val="single" w:color="000000" w:sz="4" w:space="0"/>
              <w:bottom w:val="single" w:color="000000" w:sz="4" w:space="0"/>
              <w:right w:val="single" w:color="000000" w:sz="4" w:space="0"/>
            </w:tcBorders>
            <w:noWrap w:val="0"/>
            <w:vAlign w:val="center"/>
          </w:tcPr>
          <w:p w14:paraId="51C6A6A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7969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2BDC5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210C6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访客管理平台</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14:paraId="583FD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访客可通过PC端和移动端等多种途径预约，还可终端人证比对登记。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后台能指定访客可进出的校门门禁，访客登记可联动门禁/闸机，实现预约期自主进出。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可设置访客通行方式与识别介质，设备可外接身份证阅读器进行人证比对后进出校。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能设置访客来访次数及来访提前时间。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可设置被访人邀约链接有效次数，超次则不能预约。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支持访客黑名单管理，依身份证号匹配剔除违规者预约权限。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能够设置访客的访问区域，仅在规定区域有门禁权限。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支持审批替代人设置、到校须知通知、访客事由自定义。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访客申请表单内容可自定义选择或必填/选填，还支持自定义审批流程与多级审批，可按多种方式设置审批人，并设置或签、与签，还能设置抄送人员与不接受访问人员。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有多种查询功能，包括被访预约、访客预约、校内实时访客、访客通行记录的查询，支持短信与车牌号对接</w:t>
            </w:r>
          </w:p>
        </w:tc>
        <w:tc>
          <w:tcPr>
            <w:tcW w:w="272" w:type="dxa"/>
            <w:tcBorders>
              <w:top w:val="single" w:color="000000" w:sz="4" w:space="0"/>
              <w:left w:val="single" w:color="000000" w:sz="4" w:space="0"/>
              <w:bottom w:val="single" w:color="000000" w:sz="4" w:space="0"/>
              <w:right w:val="single" w:color="000000" w:sz="4" w:space="0"/>
            </w:tcBorders>
            <w:noWrap w:val="0"/>
            <w:vAlign w:val="center"/>
          </w:tcPr>
          <w:p w14:paraId="5B1CC2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2E9E7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0" w:type="dxa"/>
            <w:tcBorders>
              <w:top w:val="single" w:color="000000" w:sz="4" w:space="0"/>
              <w:left w:val="single" w:color="000000" w:sz="4" w:space="0"/>
              <w:bottom w:val="single" w:color="000000" w:sz="4" w:space="0"/>
              <w:right w:val="single" w:color="000000" w:sz="4" w:space="0"/>
            </w:tcBorders>
            <w:noWrap/>
            <w:vAlign w:val="center"/>
          </w:tcPr>
          <w:p w14:paraId="58A8FCC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65B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3" w:type="dxa"/>
            <w:gridSpan w:val="6"/>
            <w:tcBorders>
              <w:top w:val="single" w:color="000000" w:sz="4" w:space="0"/>
              <w:left w:val="single" w:color="000000" w:sz="4" w:space="0"/>
              <w:bottom w:val="single" w:color="000000" w:sz="4" w:space="0"/>
              <w:right w:val="single" w:color="000000" w:sz="4" w:space="0"/>
            </w:tcBorders>
            <w:noWrap/>
            <w:vAlign w:val="center"/>
          </w:tcPr>
          <w:p w14:paraId="11C3A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4.1.2 大门口人员通道</w:t>
            </w:r>
          </w:p>
        </w:tc>
      </w:tr>
      <w:tr w14:paraId="1171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640CF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8504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设备管控平台</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14:paraId="50A233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1.添加、维护AI宿舍考勤的相关设备（人脸识别考勤机、考勤终端显示屏）；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2.添加、维护AI教职工考勤机，用于教职工上下班考勤；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3.考勤识别结果实时推送给教职工坐班考勤模块，实现学校教职工上下班考勤管理。（需与人事行政平台集成）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4.对宿舍学生进行考勤，在学校规定的考勤时间内学生主动到人脸识别考勤机上进行考勤识别；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5.在考勤终端显示屏上实时显示每栋、每层的考勤情况；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6.结合学生请假、留宿申请等数据可准确反应宿舍人员情况，宿管员结合 APP 应用可快速、高效的完成宿舍考勤工作。</w:t>
            </w:r>
          </w:p>
        </w:tc>
        <w:tc>
          <w:tcPr>
            <w:tcW w:w="272" w:type="dxa"/>
            <w:tcBorders>
              <w:top w:val="single" w:color="000000" w:sz="4" w:space="0"/>
              <w:left w:val="single" w:color="000000" w:sz="4" w:space="0"/>
              <w:bottom w:val="single" w:color="000000" w:sz="4" w:space="0"/>
              <w:right w:val="single" w:color="000000" w:sz="4" w:space="0"/>
            </w:tcBorders>
            <w:noWrap w:val="0"/>
            <w:vAlign w:val="center"/>
          </w:tcPr>
          <w:p w14:paraId="3E2635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329F5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0" w:type="dxa"/>
            <w:tcBorders>
              <w:top w:val="single" w:color="000000" w:sz="4" w:space="0"/>
              <w:left w:val="single" w:color="000000" w:sz="4" w:space="0"/>
              <w:bottom w:val="single" w:color="000000" w:sz="4" w:space="0"/>
              <w:right w:val="single" w:color="000000" w:sz="4" w:space="0"/>
            </w:tcBorders>
            <w:noWrap/>
            <w:vAlign w:val="center"/>
          </w:tcPr>
          <w:p w14:paraId="2A2EA64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9EA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5"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3827BF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A1C59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人脸考勤机</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14:paraId="065C1D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Style w:val="31"/>
                <w:b w:val="0"/>
                <w:bCs w:val="0"/>
                <w:highlight w:val="none"/>
                <w:lang w:val="en-US" w:eastAsia="zh-CN" w:bidi="ar"/>
              </w:rPr>
              <w:t>1. 硬件参数</w:t>
            </w:r>
            <w:r>
              <w:rPr>
                <w:rStyle w:val="31"/>
                <w:b w:val="0"/>
                <w:bCs w:val="0"/>
                <w:highlight w:val="none"/>
                <w:lang w:val="en-US" w:eastAsia="zh-CN" w:bidi="ar"/>
              </w:rPr>
              <w:br w:type="textWrapping"/>
            </w:r>
            <w:r>
              <w:rPr>
                <w:rStyle w:val="31"/>
                <w:b w:val="0"/>
                <w:bCs w:val="0"/>
                <w:highlight w:val="none"/>
                <w:lang w:val="en-US" w:eastAsia="zh-CN" w:bidi="ar"/>
              </w:rPr>
              <w:t>1) 人脸识别：采用可见光+近红外双目摄像头，实现活体检测和各种环境下准确人脸识别；需能抵御图片、视频、人脸模型等非活体攻击；</w:t>
            </w:r>
            <w:r>
              <w:rPr>
                <w:rStyle w:val="31"/>
                <w:b w:val="0"/>
                <w:bCs w:val="0"/>
                <w:highlight w:val="none"/>
                <w:lang w:val="en-US" w:eastAsia="zh-CN" w:bidi="ar"/>
              </w:rPr>
              <w:br w:type="textWrapping"/>
            </w:r>
            <w:r>
              <w:rPr>
                <w:rStyle w:val="31"/>
                <w:b w:val="0"/>
                <w:bCs w:val="0"/>
                <w:highlight w:val="none"/>
                <w:lang w:val="en-US" w:eastAsia="zh-CN" w:bidi="ar"/>
              </w:rPr>
              <w:t>2) 人脸比对：内置数据库，可对抓拍人脸本地实时完成比对，并将比对结果生成日志存储；</w:t>
            </w:r>
            <w:r>
              <w:rPr>
                <w:rStyle w:val="31"/>
                <w:b w:val="0"/>
                <w:bCs w:val="0"/>
                <w:highlight w:val="none"/>
                <w:lang w:val="en-US" w:eastAsia="zh-CN" w:bidi="ar"/>
              </w:rPr>
              <w:br w:type="textWrapping"/>
            </w:r>
            <w:r>
              <w:rPr>
                <w:rStyle w:val="31"/>
                <w:b w:val="0"/>
                <w:bCs w:val="0"/>
                <w:highlight w:val="none"/>
                <w:lang w:val="en-US" w:eastAsia="zh-CN" w:bidi="ar"/>
              </w:rPr>
              <w:t>★3) 识别速度：&lt;500ms；</w:t>
            </w:r>
            <w:r>
              <w:rPr>
                <w:rStyle w:val="31"/>
                <w:b w:val="0"/>
                <w:bCs w:val="0"/>
                <w:highlight w:val="none"/>
                <w:lang w:val="en-US" w:eastAsia="zh-CN" w:bidi="ar"/>
              </w:rPr>
              <w:br w:type="textWrapping"/>
            </w:r>
            <w:r>
              <w:rPr>
                <w:rStyle w:val="31"/>
                <w:b w:val="0"/>
                <w:bCs w:val="0"/>
                <w:highlight w:val="none"/>
                <w:lang w:val="en-US" w:eastAsia="zh-CN" w:bidi="ar"/>
              </w:rPr>
              <w:t>4) 识别距离：0.3~2米范围内均能识别；</w:t>
            </w:r>
            <w:r>
              <w:rPr>
                <w:rStyle w:val="31"/>
                <w:b w:val="0"/>
                <w:bCs w:val="0"/>
                <w:highlight w:val="none"/>
                <w:lang w:val="en-US" w:eastAsia="zh-CN" w:bidi="ar"/>
              </w:rPr>
              <w:br w:type="textWrapping"/>
            </w:r>
            <w:r>
              <w:rPr>
                <w:rStyle w:val="31"/>
                <w:b w:val="0"/>
                <w:bCs w:val="0"/>
                <w:highlight w:val="none"/>
                <w:lang w:val="en-US" w:eastAsia="zh-CN" w:bidi="ar"/>
              </w:rPr>
              <w:t>5) 识别人脸高度：1.2~2.2米范围内均能识别；</w:t>
            </w:r>
            <w:r>
              <w:rPr>
                <w:rStyle w:val="31"/>
                <w:b w:val="0"/>
                <w:bCs w:val="0"/>
                <w:highlight w:val="none"/>
                <w:lang w:val="en-US" w:eastAsia="zh-CN" w:bidi="ar"/>
              </w:rPr>
              <w:br w:type="textWrapping"/>
            </w:r>
            <w:r>
              <w:rPr>
                <w:rStyle w:val="31"/>
                <w:b w:val="0"/>
                <w:bCs w:val="0"/>
                <w:highlight w:val="none"/>
                <w:lang w:val="en-US" w:eastAsia="zh-CN" w:bidi="ar"/>
              </w:rPr>
              <w:t>6) 多种识别模式：支持人脸识别、口罩检测等；</w:t>
            </w:r>
            <w:r>
              <w:rPr>
                <w:rStyle w:val="31"/>
                <w:b w:val="0"/>
                <w:bCs w:val="0"/>
                <w:highlight w:val="none"/>
                <w:lang w:val="en-US" w:eastAsia="zh-CN" w:bidi="ar"/>
              </w:rPr>
              <w:br w:type="textWrapping"/>
            </w:r>
            <w:r>
              <w:rPr>
                <w:rStyle w:val="31"/>
                <w:b w:val="0"/>
                <w:bCs w:val="0"/>
                <w:highlight w:val="none"/>
                <w:lang w:val="en-US" w:eastAsia="zh-CN" w:bidi="ar"/>
              </w:rPr>
              <w:t>7) 识别率：无遮挡识别率≥99%，佩戴口罩识别率≥80%；</w:t>
            </w:r>
            <w:r>
              <w:rPr>
                <w:rStyle w:val="31"/>
                <w:b w:val="0"/>
                <w:bCs w:val="0"/>
                <w:highlight w:val="none"/>
                <w:lang w:val="en-US" w:eastAsia="zh-CN" w:bidi="ar"/>
              </w:rPr>
              <w:br w:type="textWrapping"/>
            </w:r>
            <w:r>
              <w:rPr>
                <w:rStyle w:val="31"/>
                <w:b w:val="0"/>
                <w:bCs w:val="0"/>
                <w:highlight w:val="none"/>
                <w:lang w:val="en-US" w:eastAsia="zh-CN" w:bidi="ar"/>
              </w:rPr>
              <w:t>8) 语音播报：支持人脸识别验证结果播报、口罩佩戴提示播报；</w:t>
            </w:r>
            <w:r>
              <w:rPr>
                <w:rStyle w:val="31"/>
                <w:b w:val="0"/>
                <w:bCs w:val="0"/>
                <w:highlight w:val="none"/>
                <w:lang w:val="en-US" w:eastAsia="zh-CN" w:bidi="ar"/>
              </w:rPr>
              <w:br w:type="textWrapping"/>
            </w:r>
            <w:r>
              <w:rPr>
                <w:rStyle w:val="31"/>
                <w:b w:val="0"/>
                <w:bCs w:val="0"/>
                <w:highlight w:val="none"/>
                <w:lang w:val="en-US" w:eastAsia="zh-CN" w:bidi="ar"/>
              </w:rPr>
              <w:t>9) 显示屏：≥8英寸；</w:t>
            </w:r>
            <w:r>
              <w:rPr>
                <w:rStyle w:val="31"/>
                <w:b w:val="0"/>
                <w:bCs w:val="0"/>
                <w:highlight w:val="none"/>
                <w:lang w:val="en-US" w:eastAsia="zh-CN" w:bidi="ar"/>
              </w:rPr>
              <w:br w:type="textWrapping"/>
            </w:r>
            <w:r>
              <w:rPr>
                <w:rStyle w:val="31"/>
                <w:b w:val="0"/>
                <w:bCs w:val="0"/>
                <w:highlight w:val="none"/>
                <w:lang w:val="en-US" w:eastAsia="zh-CN" w:bidi="ar"/>
              </w:rPr>
              <w:t>10) 分辨率：≥800</w:t>
            </w:r>
            <w:r>
              <w:rPr>
                <w:rStyle w:val="33"/>
                <w:rFonts w:eastAsia="宋体"/>
                <w:b w:val="0"/>
                <w:bCs w:val="0"/>
                <w:highlight w:val="none"/>
                <w:lang w:val="en-US" w:eastAsia="zh-CN" w:bidi="ar"/>
              </w:rPr>
              <w:t></w:t>
            </w:r>
            <w:r>
              <w:rPr>
                <w:rStyle w:val="31"/>
                <w:b w:val="0"/>
                <w:bCs w:val="0"/>
                <w:highlight w:val="none"/>
                <w:lang w:val="en-US" w:eastAsia="zh-CN" w:bidi="ar"/>
              </w:rPr>
              <w:t>1280；</w:t>
            </w:r>
            <w:r>
              <w:rPr>
                <w:rStyle w:val="31"/>
                <w:b w:val="0"/>
                <w:bCs w:val="0"/>
                <w:highlight w:val="none"/>
                <w:lang w:val="en-US" w:eastAsia="zh-CN" w:bidi="ar"/>
              </w:rPr>
              <w:br w:type="textWrapping"/>
            </w:r>
            <w:r>
              <w:rPr>
                <w:rStyle w:val="31"/>
                <w:b w:val="0"/>
                <w:bCs w:val="0"/>
                <w:highlight w:val="none"/>
                <w:lang w:val="en-US" w:eastAsia="zh-CN" w:bidi="ar"/>
              </w:rPr>
              <w:t>11) 补光：白光补光灯、红绿光灯指示灯；</w:t>
            </w:r>
            <w:r>
              <w:rPr>
                <w:rStyle w:val="31"/>
                <w:b w:val="0"/>
                <w:bCs w:val="0"/>
                <w:highlight w:val="none"/>
                <w:lang w:val="en-US" w:eastAsia="zh-CN" w:bidi="ar"/>
              </w:rPr>
              <w:br w:type="textWrapping"/>
            </w:r>
            <w:r>
              <w:rPr>
                <w:rStyle w:val="31"/>
                <w:b w:val="0"/>
                <w:bCs w:val="0"/>
                <w:highlight w:val="none"/>
                <w:lang w:val="en-US" w:eastAsia="zh-CN" w:bidi="ar"/>
              </w:rPr>
              <w:t>12) 音效：扬声器；</w:t>
            </w:r>
            <w:r>
              <w:rPr>
                <w:rStyle w:val="31"/>
                <w:b w:val="0"/>
                <w:bCs w:val="0"/>
                <w:highlight w:val="none"/>
                <w:lang w:val="en-US" w:eastAsia="zh-CN" w:bidi="ar"/>
              </w:rPr>
              <w:br w:type="textWrapping"/>
            </w:r>
            <w:r>
              <w:rPr>
                <w:rStyle w:val="31"/>
                <w:b w:val="0"/>
                <w:bCs w:val="0"/>
                <w:highlight w:val="none"/>
                <w:lang w:val="en-US" w:eastAsia="zh-CN" w:bidi="ar"/>
              </w:rPr>
              <w:t>13) 网络接口：RJ45 10M/100M 自适应以太网口；</w:t>
            </w:r>
            <w:r>
              <w:rPr>
                <w:rStyle w:val="31"/>
                <w:b w:val="0"/>
                <w:bCs w:val="0"/>
                <w:highlight w:val="none"/>
                <w:lang w:val="en-US" w:eastAsia="zh-CN" w:bidi="ar"/>
              </w:rPr>
              <w:br w:type="textWrapping"/>
            </w:r>
            <w:r>
              <w:rPr>
                <w:rStyle w:val="31"/>
                <w:b w:val="0"/>
                <w:bCs w:val="0"/>
                <w:highlight w:val="none"/>
                <w:lang w:val="en-US" w:eastAsia="zh-CN" w:bidi="ar"/>
              </w:rPr>
              <w:t>14) 人脸数据库：支持不少于5万张人脸库；</w:t>
            </w:r>
            <w:r>
              <w:rPr>
                <w:rStyle w:val="31"/>
                <w:b w:val="0"/>
                <w:bCs w:val="0"/>
                <w:highlight w:val="none"/>
                <w:lang w:val="en-US" w:eastAsia="zh-CN" w:bidi="ar"/>
              </w:rPr>
              <w:br w:type="textWrapping"/>
            </w:r>
            <w:r>
              <w:rPr>
                <w:rStyle w:val="31"/>
                <w:b w:val="0"/>
                <w:bCs w:val="0"/>
                <w:highlight w:val="none"/>
                <w:lang w:val="en-US" w:eastAsia="zh-CN" w:bidi="ar"/>
              </w:rPr>
              <w:t>15) 防护等级：≥IP65；</w:t>
            </w:r>
            <w:r>
              <w:rPr>
                <w:rStyle w:val="31"/>
                <w:b w:val="0"/>
                <w:bCs w:val="0"/>
                <w:highlight w:val="none"/>
                <w:lang w:val="en-US" w:eastAsia="zh-CN" w:bidi="ar"/>
              </w:rPr>
              <w:br w:type="textWrapping"/>
            </w:r>
            <w:r>
              <w:rPr>
                <w:rStyle w:val="31"/>
                <w:b w:val="0"/>
                <w:bCs w:val="0"/>
                <w:highlight w:val="none"/>
                <w:lang w:val="en-US" w:eastAsia="zh-CN" w:bidi="ar"/>
              </w:rPr>
              <w:t>2. 系统集成对接</w:t>
            </w:r>
            <w:r>
              <w:rPr>
                <w:rStyle w:val="31"/>
                <w:b w:val="0"/>
                <w:bCs w:val="0"/>
                <w:highlight w:val="none"/>
                <w:lang w:val="en-US" w:eastAsia="zh-CN" w:bidi="ar"/>
              </w:rPr>
              <w:br w:type="textWrapping"/>
            </w:r>
            <w:r>
              <w:rPr>
                <w:rStyle w:val="31"/>
                <w:b w:val="0"/>
                <w:bCs w:val="0"/>
                <w:highlight w:val="none"/>
                <w:lang w:val="en-US" w:eastAsia="zh-CN" w:bidi="ar"/>
              </w:rPr>
              <w:t xml:space="preserve">考勤机管理软件需要对接我校智慧校园软件，包括： </w:t>
            </w:r>
            <w:r>
              <w:rPr>
                <w:rStyle w:val="31"/>
                <w:b w:val="0"/>
                <w:bCs w:val="0"/>
                <w:highlight w:val="none"/>
                <w:lang w:val="en-US" w:eastAsia="zh-CN" w:bidi="ar"/>
              </w:rPr>
              <w:br w:type="textWrapping"/>
            </w:r>
            <w:r>
              <w:rPr>
                <w:rStyle w:val="31"/>
                <w:b w:val="0"/>
                <w:bCs w:val="0"/>
                <w:highlight w:val="none"/>
                <w:lang w:val="en-US" w:eastAsia="zh-CN" w:bidi="ar"/>
              </w:rPr>
              <w:t>1) 考勤机管理软件与智慧校园平台数据同步，鉴权认证接口，获取组织机构信息，获取班级信息、班主任信息、学生信息、学生请假信息、学生实习等信息；</w:t>
            </w:r>
            <w:r>
              <w:rPr>
                <w:rStyle w:val="31"/>
                <w:b w:val="0"/>
                <w:bCs w:val="0"/>
                <w:highlight w:val="none"/>
                <w:lang w:val="en-US" w:eastAsia="zh-CN" w:bidi="ar"/>
              </w:rPr>
              <w:br w:type="textWrapping"/>
            </w:r>
            <w:r>
              <w:rPr>
                <w:rStyle w:val="31"/>
                <w:b w:val="0"/>
                <w:bCs w:val="0"/>
                <w:highlight w:val="none"/>
                <w:lang w:val="en-US" w:eastAsia="zh-CN" w:bidi="ar"/>
              </w:rPr>
              <w:t>2) 同步学生请假数据，获取学生姓名、班级、班主任、请假日期、时段信息。请假学生自动标注并无需考勤。</w:t>
            </w:r>
            <w:r>
              <w:rPr>
                <w:rStyle w:val="31"/>
                <w:b w:val="0"/>
                <w:bCs w:val="0"/>
                <w:highlight w:val="none"/>
                <w:lang w:val="en-US" w:eastAsia="zh-CN" w:bidi="ar"/>
              </w:rPr>
              <w:br w:type="textWrapping"/>
            </w:r>
            <w:r>
              <w:rPr>
                <w:rStyle w:val="31"/>
                <w:b w:val="0"/>
                <w:bCs w:val="0"/>
                <w:highlight w:val="none"/>
                <w:lang w:val="en-US" w:eastAsia="zh-CN" w:bidi="ar"/>
              </w:rPr>
              <w:t>3) 同步学生节假日留寝数据，获取学生姓名、班级、班主任、请假日期、时段信息。节假日留寝学生自动标注并无需考勤。</w:t>
            </w:r>
            <w:r>
              <w:rPr>
                <w:rStyle w:val="31"/>
                <w:b w:val="0"/>
                <w:bCs w:val="0"/>
                <w:highlight w:val="none"/>
                <w:lang w:val="en-US" w:eastAsia="zh-CN" w:bidi="ar"/>
              </w:rPr>
              <w:br w:type="textWrapping"/>
            </w:r>
            <w:r>
              <w:rPr>
                <w:rStyle w:val="31"/>
                <w:b w:val="0"/>
                <w:bCs w:val="0"/>
                <w:highlight w:val="none"/>
                <w:lang w:val="en-US" w:eastAsia="zh-CN" w:bidi="ar"/>
              </w:rPr>
              <w:t>4) 考勤数据自动生成统计报表，供学生宿舍管理相关人员或部门查看。</w:t>
            </w:r>
            <w:r>
              <w:rPr>
                <w:rStyle w:val="31"/>
                <w:b w:val="0"/>
                <w:bCs w:val="0"/>
                <w:highlight w:val="none"/>
                <w:lang w:val="en-US" w:eastAsia="zh-CN" w:bidi="ar"/>
              </w:rPr>
              <w:br w:type="textWrapping"/>
            </w:r>
            <w:r>
              <w:rPr>
                <w:rStyle w:val="31"/>
                <w:b w:val="0"/>
                <w:bCs w:val="0"/>
                <w:highlight w:val="none"/>
                <w:lang w:val="en-US" w:eastAsia="zh-CN" w:bidi="ar"/>
              </w:rPr>
              <w:t>5) 系统对接完成后，供应商应对采购人提供必要的使用培训，直到采购人熟练使用为止。</w:t>
            </w:r>
          </w:p>
        </w:tc>
        <w:tc>
          <w:tcPr>
            <w:tcW w:w="272" w:type="dxa"/>
            <w:tcBorders>
              <w:top w:val="single" w:color="000000" w:sz="4" w:space="0"/>
              <w:left w:val="single" w:color="000000" w:sz="4" w:space="0"/>
              <w:bottom w:val="single" w:color="000000" w:sz="4" w:space="0"/>
              <w:right w:val="single" w:color="000000" w:sz="4" w:space="0"/>
            </w:tcBorders>
            <w:noWrap w:val="0"/>
            <w:vAlign w:val="center"/>
          </w:tcPr>
          <w:p w14:paraId="4C9DE4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6C63E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60</w:t>
            </w:r>
          </w:p>
        </w:tc>
        <w:tc>
          <w:tcPr>
            <w:tcW w:w="340" w:type="dxa"/>
            <w:tcBorders>
              <w:top w:val="single" w:color="000000" w:sz="4" w:space="0"/>
              <w:left w:val="single" w:color="000000" w:sz="4" w:space="0"/>
              <w:bottom w:val="single" w:color="000000" w:sz="4" w:space="0"/>
              <w:right w:val="single" w:color="000000" w:sz="4" w:space="0"/>
            </w:tcBorders>
            <w:noWrap/>
            <w:vAlign w:val="center"/>
          </w:tcPr>
          <w:p w14:paraId="1FA6255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53D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2509FA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9F54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有障碍通道机（翼闸双机芯）</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14:paraId="1C313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供电 AC220V/50Hz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功率 ＜50W（单机芯），＜100W（双机芯）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材质厚度 SUS304不锈钢，厚度1.2mm（含）以上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电机类型 长寿命直流无刷电机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电机寿命 MTBF≥1500万次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红外检测功能 应具备不少于6对长寿命对射红外</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门翼材质 有机玻璃（带冷光源）或红色软翼</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通道宽度 标准550mm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外壳对外界机械碰撞的防护等级 设备机身外壳的人员通行检测部分、指示部分应符合IK04的要求；其他表面应符合IK07的要求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机械特性 具备机械和红外电子双重防夹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电气安全 自带漏电保护器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抗电强度 要求1.5kV、1min；无击穿、飞弧现象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声光指示 LED通道指示和通行指示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敞开模式 支持设置敞开时段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消防联动 支持消防联动自动开闸和断电自动开闸</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自检功能 具备自检测、自诊断、自动报警功能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报警功能 支持非法闯入、逆向通过、尾随等异常行为检测并报警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远程管理功能 支持远程配置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身份验证方式 刷卡、扫码或人脸识别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通行速度 要求通行速度20-40人/分钟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尺寸 1400×950×280(mm)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工作温度 -20℃～70℃，支持扩展加热装置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使用环境室内、外</w:t>
            </w:r>
          </w:p>
        </w:tc>
        <w:tc>
          <w:tcPr>
            <w:tcW w:w="272" w:type="dxa"/>
            <w:tcBorders>
              <w:top w:val="single" w:color="000000" w:sz="4" w:space="0"/>
              <w:left w:val="single" w:color="000000" w:sz="4" w:space="0"/>
              <w:bottom w:val="single" w:color="000000" w:sz="4" w:space="0"/>
              <w:right w:val="single" w:color="000000" w:sz="4" w:space="0"/>
            </w:tcBorders>
            <w:noWrap w:val="0"/>
            <w:vAlign w:val="center"/>
          </w:tcPr>
          <w:p w14:paraId="55163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65260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0" w:type="dxa"/>
            <w:tcBorders>
              <w:top w:val="single" w:color="000000" w:sz="4" w:space="0"/>
              <w:left w:val="single" w:color="000000" w:sz="4" w:space="0"/>
              <w:bottom w:val="single" w:color="000000" w:sz="4" w:space="0"/>
              <w:right w:val="single" w:color="000000" w:sz="4" w:space="0"/>
            </w:tcBorders>
            <w:noWrap/>
            <w:vAlign w:val="center"/>
          </w:tcPr>
          <w:p w14:paraId="1701DDA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6ABD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73ECB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CBD3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智能人脸识别平板</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14:paraId="1C183A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供电 DC12V/2A；处理器 不低于8核1.8GHz处理器；运行内存 不低于2G RAM；存储 不低于16G Flash</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屏幕 不低于8吋电容触控屏，分辨率1280×800；刷卡方式 设备应具有屏幕刷卡功能，可支持的卡应包括IC卡、手机NFC和第二代居民身份证；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摄像头 ≥200W像素双目摄像头（可见光+红外光）；补光灯 自带红外和白色补光灯，支持灯光亮度调节；光感和测距 自带光感传感器和测距传感器；人脸特征容量 离线状态下，设备可存储的人脸特征库容量应不小于10万人；人脸识别精度 在同一设定阈值条件下，误识率应≤0.3%时，设备的人脸识别通过率不低于98%；佩戴口罩识别 戴口罩识别的错误接受率应小于5%，同时错误拒绝率应小于2%；人脸识别比对时间 设备的人脸特征平均比对时间应不大于400ms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声音 真人语音；接口 以太网×1，继电器×1，USB×1，RS485×1，开门按钮×1，韦根×1，报警输入×2，报警输出×1；通讯方式 以太网；安装方式 立柱安装；扫码 支持手机出示二维码反扫开门；人脸识别 内置算法，活体识别；在线升级 支持OTA软件升级，可升级固件和应用程序；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实现与学校已有人员信息库对接；防护等级 IP66</w:t>
            </w:r>
          </w:p>
        </w:tc>
        <w:tc>
          <w:tcPr>
            <w:tcW w:w="272" w:type="dxa"/>
            <w:tcBorders>
              <w:top w:val="single" w:color="000000" w:sz="4" w:space="0"/>
              <w:left w:val="single" w:color="000000" w:sz="4" w:space="0"/>
              <w:bottom w:val="single" w:color="000000" w:sz="4" w:space="0"/>
              <w:right w:val="single" w:color="000000" w:sz="4" w:space="0"/>
            </w:tcBorders>
            <w:noWrap w:val="0"/>
            <w:vAlign w:val="center"/>
          </w:tcPr>
          <w:p w14:paraId="27667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04F5D1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340" w:type="dxa"/>
            <w:tcBorders>
              <w:top w:val="single" w:color="000000" w:sz="4" w:space="0"/>
              <w:left w:val="single" w:color="000000" w:sz="4" w:space="0"/>
              <w:bottom w:val="single" w:color="000000" w:sz="4" w:space="0"/>
              <w:right w:val="single" w:color="000000" w:sz="4" w:space="0"/>
            </w:tcBorders>
            <w:noWrap/>
            <w:vAlign w:val="center"/>
          </w:tcPr>
          <w:p w14:paraId="4A2268B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r w14:paraId="1D97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9"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F597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F069D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主控模块</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14:paraId="503E5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1、阻止外来人员进入。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2、能够随时获取学生的归校状态。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3、对于晚归、未归、在寝时间超长的学生要能对应的发出预警。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4、预警规则可应用于不同的场所或人员。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5、预警规则可设置不同级别的预警。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宿舍管理的纬度分为人员纬度和场所纬度，对应不同的角色内存：大于8GB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CPU：优于；CPUE5-2680v4@2.40GHz(4核)</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硬盘: 大于4TB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内置wifi，可自建热点，手机可通过接入热点进行网络配置。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能够完成对人脸照片的质量判断及反馈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能够完成对于两张照片的1:1相似度比对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能够对传入的照片实现1:N比对</w:t>
            </w:r>
          </w:p>
        </w:tc>
        <w:tc>
          <w:tcPr>
            <w:tcW w:w="272" w:type="dxa"/>
            <w:tcBorders>
              <w:top w:val="single" w:color="000000" w:sz="4" w:space="0"/>
              <w:left w:val="single" w:color="000000" w:sz="4" w:space="0"/>
              <w:bottom w:val="single" w:color="000000" w:sz="4" w:space="0"/>
              <w:right w:val="single" w:color="000000" w:sz="4" w:space="0"/>
            </w:tcBorders>
            <w:noWrap w:val="0"/>
            <w:vAlign w:val="center"/>
          </w:tcPr>
          <w:p w14:paraId="7C6FD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0BAAB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0" w:type="dxa"/>
            <w:tcBorders>
              <w:top w:val="single" w:color="000000" w:sz="4" w:space="0"/>
              <w:left w:val="single" w:color="000000" w:sz="4" w:space="0"/>
              <w:bottom w:val="single" w:color="000000" w:sz="4" w:space="0"/>
              <w:right w:val="single" w:color="000000" w:sz="4" w:space="0"/>
            </w:tcBorders>
            <w:noWrap/>
            <w:vAlign w:val="center"/>
          </w:tcPr>
          <w:p w14:paraId="24802FA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000000"/>
                <w:sz w:val="20"/>
                <w:szCs w:val="20"/>
                <w:highlight w:val="none"/>
                <w:u w:val="none"/>
              </w:rPr>
            </w:pPr>
          </w:p>
        </w:tc>
      </w:tr>
    </w:tbl>
    <w:p w14:paraId="6A355F45">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br w:type="page"/>
      </w:r>
    </w:p>
    <w:tbl>
      <w:tblPr>
        <w:tblStyle w:val="17"/>
        <w:tblW w:w="10814" w:type="dxa"/>
        <w:tblInd w:w="-10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
        <w:gridCol w:w="873"/>
        <w:gridCol w:w="8345"/>
        <w:gridCol w:w="287"/>
        <w:gridCol w:w="572"/>
        <w:gridCol w:w="328"/>
      </w:tblGrid>
      <w:tr w14:paraId="713C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4" w:type="dxa"/>
            <w:gridSpan w:val="6"/>
            <w:tcBorders>
              <w:top w:val="single" w:color="000000" w:sz="4" w:space="0"/>
              <w:left w:val="single" w:color="000000" w:sz="4" w:space="0"/>
              <w:bottom w:val="single" w:color="000000" w:sz="4" w:space="0"/>
              <w:right w:val="single" w:color="000000" w:sz="4" w:space="0"/>
            </w:tcBorders>
            <w:noWrap/>
            <w:vAlign w:val="center"/>
          </w:tcPr>
          <w:p w14:paraId="6BCFF80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4.1.3 门禁管理系统</w:t>
            </w:r>
          </w:p>
        </w:tc>
      </w:tr>
      <w:tr w14:paraId="36B8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F9EDB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755D1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门禁管理系统升级</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29A0CA3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软件使用权管理：可灵活定义权限组，针对不同的权限组可定义不同的管理功能。不同人群赋予不同的权限组，并限定管理范围。将“权限管理”模块授权给某一人之后，该人员则可在限定范围内继续授权管理员，实现分级授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2、场所定义可设置场所管理员，管理员拥有该场所的全通行权限，并可通过web端或移动端对该场所的通行人员进行授权，场所管理员自动获得手机端远程开门权限。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3、可建立多个授权时段规则，可按每年有效月、每月有效日、每周有效日条件进行设置，每日可建立至少4个时段规则。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提供多种授权方式，包含按人授权、按门授权、按部门授权、按身份授权、公共授权。其中按人授权即以人员为主体受权对象，配置其可通行的时段规则、门或场所；按门授权即以门为主体授权对象，配置其可通行的时段规则、人员；按部门授权即以部门为授权主体对象，配置，配置其可通行的时段规则、门或场所，整个部门下的所有人员均获得赋权，当部门人员发生变更时，赋权同步发生变更，无需单独处理；按身份授权即以部门为授权主体对象，配置，配置其可通行的时段规则、门或场所，整个身份下的所有人员均获得赋权，当身份人员发生变更时，赋权同步发生变更，无需单独处理；可设定公共权限，即可对校内所有档案人员进行一键权限设置，档案内人员自动拥有学校场所进出权限，并随着人员的更新自动实时更新门禁权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5、常开常闭授权，可配置门的常开常闭规则，配置不同的时段规则和生效的门，则对应的门处于常开或常闭状态，无需进行识别即可进出。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6、可统一查询某人或某门的所有规则类授权，包含按人/门授权、按部门授权、按身份授权、公共授权等类型，便于管理者定位查询每个人的授权记录详情。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2、角色管理：可自定义角色，默认角色为学生、教师、系统运维人员、管理者、辅导员、校领导等，支持根据业务诉求进行角色自定义添加，并进行功能和管理范围授权。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实时监测各楼宇、房间的进出数据、身份是否识别成功的状态、门是否开启的状态等。可以对管理权限内的所有门的出入情况进行监控，实时显示进出人员的档案照片，对无权限人员进行报警，并可以通过后台软件或移动端进行远程控制门的开关，支持远程开门、强制开门、取消强制开门等门禁操作。</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3812F1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2944FD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0F8426EE">
            <w:pPr>
              <w:jc w:val="center"/>
              <w:rPr>
                <w:rFonts w:hint="eastAsia" w:ascii="宋体" w:hAnsi="宋体" w:eastAsia="宋体" w:cs="宋体"/>
                <w:b w:val="0"/>
                <w:bCs w:val="0"/>
                <w:i w:val="0"/>
                <w:iCs w:val="0"/>
                <w:color w:val="000000"/>
                <w:sz w:val="20"/>
                <w:szCs w:val="20"/>
                <w:highlight w:val="none"/>
                <w:u w:val="none"/>
              </w:rPr>
            </w:pPr>
          </w:p>
        </w:tc>
      </w:tr>
      <w:tr w14:paraId="7890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5D11D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D642E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门禁控制器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7BB7B3A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内存容量：16M flash；注册卡数量：二十万张；脱机记录存储数量：十六万条；开门方式：刷卡、刷卡+密码、员工密码、超级密码、胁迫密码；权限管理：对门权限，人员权限进行分别管理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可以分别控制每个门\每个方向和每个人在不同时段上所拥有的权限；通讯接口：TCP/IP；可接读卡器数量：四个；读卡器接口：韦根26、34、66协议（支持2.4Ｇ读卡器）、RS485；可接开门按钮数量：2个；可接门磁数量：2个；可接电锁数量：2个；开门延时：1~600秒可调；校时功能：实时对终端进行同步；事件和报警记录：刷卡开门，按钮开门，员工密码开门，超级密码开门，胁迫密码开门，常开状态开门，常闭限制，无权限，未授权，密码错误或未授权，系统启动记录,等各种类型的事件和报警记录；上传功能：实时上传所有的刷卡记录及报警信息；U盘功能：基本通讯参数的设定；门控器固件升级；LED状态指示：通过LED灯，指示终端的状态；运行温度：-20 至 70℃；运行湿度：10-90％RH，无冷凝；</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057DE5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59D72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50</w:t>
            </w:r>
          </w:p>
        </w:tc>
        <w:tc>
          <w:tcPr>
            <w:tcW w:w="328" w:type="dxa"/>
            <w:tcBorders>
              <w:top w:val="single" w:color="000000" w:sz="4" w:space="0"/>
              <w:left w:val="single" w:color="000000" w:sz="4" w:space="0"/>
              <w:bottom w:val="single" w:color="000000" w:sz="4" w:space="0"/>
              <w:right w:val="single" w:color="000000" w:sz="4" w:space="0"/>
            </w:tcBorders>
            <w:noWrap/>
            <w:vAlign w:val="center"/>
          </w:tcPr>
          <w:p w14:paraId="74B537A7">
            <w:pPr>
              <w:jc w:val="center"/>
              <w:rPr>
                <w:rFonts w:hint="eastAsia" w:ascii="宋体" w:hAnsi="宋体" w:eastAsia="宋体" w:cs="宋体"/>
                <w:b w:val="0"/>
                <w:bCs w:val="0"/>
                <w:i w:val="0"/>
                <w:iCs w:val="0"/>
                <w:color w:val="000000"/>
                <w:sz w:val="20"/>
                <w:szCs w:val="20"/>
                <w:highlight w:val="none"/>
                <w:u w:val="none"/>
              </w:rPr>
            </w:pPr>
          </w:p>
        </w:tc>
      </w:tr>
      <w:tr w14:paraId="45020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7F0E74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03FFF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门禁控制器（一控四）</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CDAF18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内存容量：16M flash；注册卡数量：二十万张；脱机记录存储数量：十六万条；开门方式：刷卡、刷卡+密码、员工密码、超级密码、胁迫密码；权限管理：对门权限，人员权限进行分别管理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可以分别控制每个门\每个方向和每个人在不同时段上所拥有的权限；通讯接口：TCP/IP；可接读卡器数量：四个；读卡器接口：韦根26、34、66协议（支持2.4Ｇ读卡器）、RS485；可接开门按钮数量：2个；可接门磁数量：2个；可接电锁数量：2个；开门延时：1~600秒可调；校时功能：实时对终端进行同步；事件和报警记录：刷卡开门，按钮开门，员工密码开门，超级密码开门，胁迫密码开门，常开状态开门，常闭限制，无权限，未授权，密码错误或未授权，系统启动记录,等各种类型的事件和报警记录；上传功能：实时上传所有的刷卡记录及报警信息；U盘功能：基本通讯参数的设定；门控器固件升级；LED状态指示：通过LED灯，指示终端的状态</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2D6CB9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2DC63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328" w:type="dxa"/>
            <w:tcBorders>
              <w:top w:val="single" w:color="000000" w:sz="4" w:space="0"/>
              <w:left w:val="single" w:color="000000" w:sz="4" w:space="0"/>
              <w:bottom w:val="single" w:color="000000" w:sz="4" w:space="0"/>
              <w:right w:val="single" w:color="000000" w:sz="4" w:space="0"/>
            </w:tcBorders>
            <w:noWrap/>
            <w:vAlign w:val="center"/>
          </w:tcPr>
          <w:p w14:paraId="20F39898">
            <w:pPr>
              <w:jc w:val="center"/>
              <w:rPr>
                <w:rFonts w:hint="eastAsia" w:ascii="宋体" w:hAnsi="宋体" w:eastAsia="宋体" w:cs="宋体"/>
                <w:b w:val="0"/>
                <w:bCs w:val="0"/>
                <w:i w:val="0"/>
                <w:iCs w:val="0"/>
                <w:color w:val="000000"/>
                <w:sz w:val="20"/>
                <w:szCs w:val="20"/>
                <w:highlight w:val="none"/>
                <w:u w:val="none"/>
              </w:rPr>
            </w:pPr>
          </w:p>
        </w:tc>
      </w:tr>
      <w:tr w14:paraId="4BF8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7403F0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3B035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韦根读头</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0CCBDBC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宿舍楼疏散门，行政楼疏散门识别方式 IC卡、CPU卡、密码、卡+密码；识别距离 2~8cm；通讯方式 韦根通讯、RS485通讯；通讯距离 韦根最远60m，RS485最远150m；声音提示 蜂鸣器；彩灯提示 红、蓝双色LED指示灯；防撬报警 支持；电气参数 9~15V DC，75~105mA；</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490FE9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3A4A8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104</w:t>
            </w:r>
          </w:p>
        </w:tc>
        <w:tc>
          <w:tcPr>
            <w:tcW w:w="328" w:type="dxa"/>
            <w:tcBorders>
              <w:top w:val="single" w:color="000000" w:sz="4" w:space="0"/>
              <w:left w:val="single" w:color="000000" w:sz="4" w:space="0"/>
              <w:bottom w:val="single" w:color="000000" w:sz="4" w:space="0"/>
              <w:right w:val="single" w:color="000000" w:sz="4" w:space="0"/>
            </w:tcBorders>
            <w:noWrap/>
            <w:vAlign w:val="center"/>
          </w:tcPr>
          <w:p w14:paraId="6B6C62C5">
            <w:pPr>
              <w:jc w:val="center"/>
              <w:rPr>
                <w:rFonts w:hint="eastAsia" w:ascii="宋体" w:hAnsi="宋体" w:eastAsia="宋体" w:cs="宋体"/>
                <w:b w:val="0"/>
                <w:bCs w:val="0"/>
                <w:i w:val="0"/>
                <w:iCs w:val="0"/>
                <w:color w:val="000000"/>
                <w:sz w:val="20"/>
                <w:szCs w:val="20"/>
                <w:highlight w:val="none"/>
                <w:u w:val="none"/>
              </w:rPr>
            </w:pPr>
          </w:p>
        </w:tc>
      </w:tr>
      <w:tr w14:paraId="3DE1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B3834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B677A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刷卡+人脸读头</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D70197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超级内核：采用双核处理器，系统高速、稳定；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顶级算法：采用人脸算法及宽动态识别技术；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活体检测：有效防止使用照片或视频等方式替代识别；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微波感应传感器：精确探测，2.5米即可唤醒，完成识别准备工作；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4寸触摸屏：可在本机查看信息、操作设置、密码开门等；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防水防尘：金属外壳，防水防尘，室内室外皆适用；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安全型门禁：可搭配门控器使用，即使外部终端遭到破坏或者拆卸，门禁依然有效。门控器具有消防联动功能，且提及小巧，安装方便、不影响美观；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高清摄像头：200万像素摄像头，现场记录清晰照片；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通讯方式全面：RS485、WG26/34、网口等。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接口方便：可接电锁、读卡器、网线、U盘（升级、导数据）等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补光灯自动开关：根据环境变化自动开启或关闭补光灯，节能环保</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6F6CA9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641D82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60</w:t>
            </w:r>
          </w:p>
        </w:tc>
        <w:tc>
          <w:tcPr>
            <w:tcW w:w="328" w:type="dxa"/>
            <w:tcBorders>
              <w:top w:val="single" w:color="000000" w:sz="4" w:space="0"/>
              <w:left w:val="single" w:color="000000" w:sz="4" w:space="0"/>
              <w:bottom w:val="single" w:color="000000" w:sz="4" w:space="0"/>
              <w:right w:val="single" w:color="000000" w:sz="4" w:space="0"/>
            </w:tcBorders>
            <w:noWrap/>
            <w:vAlign w:val="center"/>
          </w:tcPr>
          <w:p w14:paraId="77B92081">
            <w:pPr>
              <w:jc w:val="center"/>
              <w:rPr>
                <w:rFonts w:hint="eastAsia" w:ascii="宋体" w:hAnsi="宋体" w:eastAsia="宋体" w:cs="宋体"/>
                <w:b w:val="0"/>
                <w:bCs w:val="0"/>
                <w:i w:val="0"/>
                <w:iCs w:val="0"/>
                <w:color w:val="000000"/>
                <w:sz w:val="20"/>
                <w:szCs w:val="20"/>
                <w:highlight w:val="none"/>
                <w:u w:val="none"/>
              </w:rPr>
            </w:pPr>
          </w:p>
        </w:tc>
      </w:tr>
      <w:tr w14:paraId="3C28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C4128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DC703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电磁锁</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614384B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电磁锁磁力锁单开门280公斤12V带门磁室外家用工程 工业</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60AD15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18F868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80</w:t>
            </w:r>
          </w:p>
        </w:tc>
        <w:tc>
          <w:tcPr>
            <w:tcW w:w="328" w:type="dxa"/>
            <w:tcBorders>
              <w:top w:val="single" w:color="000000" w:sz="4" w:space="0"/>
              <w:left w:val="single" w:color="000000" w:sz="4" w:space="0"/>
              <w:bottom w:val="single" w:color="000000" w:sz="4" w:space="0"/>
              <w:right w:val="single" w:color="000000" w:sz="4" w:space="0"/>
            </w:tcBorders>
            <w:noWrap/>
            <w:vAlign w:val="center"/>
          </w:tcPr>
          <w:p w14:paraId="19F9E83B">
            <w:pPr>
              <w:jc w:val="center"/>
              <w:rPr>
                <w:rFonts w:hint="eastAsia" w:ascii="宋体" w:hAnsi="宋体" w:eastAsia="宋体" w:cs="宋体"/>
                <w:b w:val="0"/>
                <w:bCs w:val="0"/>
                <w:i w:val="0"/>
                <w:iCs w:val="0"/>
                <w:color w:val="000000"/>
                <w:sz w:val="20"/>
                <w:szCs w:val="20"/>
                <w:highlight w:val="none"/>
                <w:u w:val="none"/>
              </w:rPr>
            </w:pPr>
          </w:p>
        </w:tc>
      </w:tr>
      <w:tr w14:paraId="7E4C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3F33F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DFFD0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消防联动控制板</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019BA7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扩展板输入端与火警或其他报警器连接，接收开关信号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当FA接到信号时，扩展板判断发生火警，门禁控制板继电器动作，所有的门都会打开，软件端生成一条火警记录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当A3接到信号时，扩展板判断发生防盗报警，门禁控制板所有的门都会关闭，软件端生成一条防盗报警记录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当A1，A2接到信号，软件端只是生成对应的记录，并不会影响门的开关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火警，强制锁门（匪盗）  是根据扩展板输入端信号输入触发的，触发源对应的门可以不用勾选</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3B99C7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5A315E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62</w:t>
            </w:r>
          </w:p>
        </w:tc>
        <w:tc>
          <w:tcPr>
            <w:tcW w:w="328" w:type="dxa"/>
            <w:tcBorders>
              <w:top w:val="single" w:color="000000" w:sz="4" w:space="0"/>
              <w:left w:val="single" w:color="000000" w:sz="4" w:space="0"/>
              <w:bottom w:val="single" w:color="000000" w:sz="4" w:space="0"/>
              <w:right w:val="single" w:color="000000" w:sz="4" w:space="0"/>
            </w:tcBorders>
            <w:noWrap/>
            <w:vAlign w:val="center"/>
          </w:tcPr>
          <w:p w14:paraId="5B420B10">
            <w:pPr>
              <w:jc w:val="center"/>
              <w:rPr>
                <w:rFonts w:hint="eastAsia" w:ascii="宋体" w:hAnsi="宋体" w:eastAsia="宋体" w:cs="宋体"/>
                <w:b w:val="0"/>
                <w:bCs w:val="0"/>
                <w:i w:val="0"/>
                <w:iCs w:val="0"/>
                <w:color w:val="000000"/>
                <w:sz w:val="20"/>
                <w:szCs w:val="20"/>
                <w:highlight w:val="none"/>
                <w:u w:val="none"/>
              </w:rPr>
            </w:pPr>
          </w:p>
        </w:tc>
      </w:tr>
      <w:tr w14:paraId="7E42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D79A1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BC57F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闭门器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0B4744D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闭门器液压缓冲消防门防火门家用 承重45-65KG</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24D098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4218A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144</w:t>
            </w:r>
          </w:p>
        </w:tc>
        <w:tc>
          <w:tcPr>
            <w:tcW w:w="328" w:type="dxa"/>
            <w:tcBorders>
              <w:top w:val="single" w:color="000000" w:sz="4" w:space="0"/>
              <w:left w:val="single" w:color="000000" w:sz="4" w:space="0"/>
              <w:bottom w:val="single" w:color="000000" w:sz="4" w:space="0"/>
              <w:right w:val="single" w:color="000000" w:sz="4" w:space="0"/>
            </w:tcBorders>
            <w:noWrap/>
            <w:vAlign w:val="center"/>
          </w:tcPr>
          <w:p w14:paraId="25680EDB">
            <w:pPr>
              <w:jc w:val="center"/>
              <w:rPr>
                <w:rFonts w:hint="eastAsia" w:ascii="宋体" w:hAnsi="宋体" w:eastAsia="宋体" w:cs="宋体"/>
                <w:b w:val="0"/>
                <w:bCs w:val="0"/>
                <w:i w:val="0"/>
                <w:iCs w:val="0"/>
                <w:color w:val="000000"/>
                <w:sz w:val="20"/>
                <w:szCs w:val="20"/>
                <w:highlight w:val="none"/>
                <w:u w:val="none"/>
              </w:rPr>
            </w:pPr>
          </w:p>
        </w:tc>
      </w:tr>
    </w:tbl>
    <w:p w14:paraId="6EFD6AB1">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br w:type="page"/>
      </w:r>
    </w:p>
    <w:tbl>
      <w:tblPr>
        <w:tblStyle w:val="17"/>
        <w:tblW w:w="10814" w:type="dxa"/>
        <w:tblInd w:w="-10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
        <w:gridCol w:w="859"/>
        <w:gridCol w:w="8345"/>
        <w:gridCol w:w="300"/>
        <w:gridCol w:w="546"/>
        <w:gridCol w:w="341"/>
      </w:tblGrid>
      <w:tr w14:paraId="7358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4" w:type="dxa"/>
            <w:gridSpan w:val="6"/>
            <w:tcBorders>
              <w:top w:val="single" w:color="000000" w:sz="4" w:space="0"/>
              <w:left w:val="single" w:color="000000" w:sz="4" w:space="0"/>
              <w:bottom w:val="single" w:color="000000" w:sz="4" w:space="0"/>
              <w:right w:val="single" w:color="000000" w:sz="4" w:space="0"/>
            </w:tcBorders>
            <w:noWrap/>
            <w:vAlign w:val="center"/>
          </w:tcPr>
          <w:p w14:paraId="59CE218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4.1.4 一卡通淋浴</w:t>
            </w:r>
          </w:p>
        </w:tc>
      </w:tr>
      <w:tr w14:paraId="48C9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0E6B93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C83E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数据采集器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56D07D9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RISC架构的工业级嵌入式计算机；实现数据采集、协议转换；通讯接口：4通道RS-485和1路10/100Mbps以太网；架构 工业级RISC架构</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FLASH 128MB的NAND闪存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通讯方式 下行：CAN或485，上行：以太网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通讯端口 ≥4个CAN或RS-485，≥1个RJ45，≥1个RS-232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WEB服务 内置WEB服务器，支持WEB页面配置参数、查看状态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电源功耗 ＜6W</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2D7D3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C1B0B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6803C83">
            <w:pPr>
              <w:jc w:val="center"/>
              <w:rPr>
                <w:rFonts w:hint="eastAsia" w:ascii="宋体" w:hAnsi="宋体" w:eastAsia="宋体" w:cs="宋体"/>
                <w:b w:val="0"/>
                <w:bCs w:val="0"/>
                <w:i w:val="0"/>
                <w:iCs w:val="0"/>
                <w:color w:val="000000"/>
                <w:sz w:val="20"/>
                <w:szCs w:val="20"/>
                <w:highlight w:val="none"/>
                <w:u w:val="none"/>
              </w:rPr>
            </w:pPr>
          </w:p>
        </w:tc>
      </w:tr>
      <w:tr w14:paraId="2326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564D7F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1F55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分体水控器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080D18C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 宽电压输入  DC 15～24V ≥ 8W；AC 12～24V ≥ 8VA；静态工作电流 ≤300mA；消费模式 支持刷卡消费、扫码消费、按键验证在线消费；支持卡类型 支持Mifare 1卡/CPU卡；用户键盘 防水键盘（数字键+功能键）；最小显示金额 0.01元；显示类型 不小于2寸（含）液晶屏，分辨率128×64；支持屏显二维码；通讯方式 CAN ；通讯距离 ≥200m；读写速度 ≤0.3秒/次；脱机存储 不少于17000条；使用环境温度 -10 ~ 50ºC；环境湿度 ≤93%(+40 ºC)；读卡距离 ≤40mm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加密方式 ESAM芯片加密；防水 IP68</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23062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1B611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59BA1832">
            <w:pPr>
              <w:jc w:val="center"/>
              <w:rPr>
                <w:rFonts w:hint="eastAsia" w:ascii="宋体" w:hAnsi="宋体" w:eastAsia="宋体" w:cs="宋体"/>
                <w:b w:val="0"/>
                <w:bCs w:val="0"/>
                <w:i w:val="0"/>
                <w:iCs w:val="0"/>
                <w:color w:val="000000"/>
                <w:sz w:val="20"/>
                <w:szCs w:val="20"/>
                <w:highlight w:val="none"/>
                <w:u w:val="none"/>
              </w:rPr>
            </w:pPr>
          </w:p>
        </w:tc>
      </w:tr>
      <w:tr w14:paraId="6B04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1E7F39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713B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电磁阀</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72700E1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工作电压 DC12V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工作压力 0.005-0.8MPa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介质温度 0 -100℃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过滤 可拆洗式过滤功能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使用寿命 ≥10万次</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D9033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FF3E7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966B814">
            <w:pPr>
              <w:jc w:val="center"/>
              <w:rPr>
                <w:rFonts w:hint="eastAsia" w:ascii="宋体" w:hAnsi="宋体" w:eastAsia="宋体" w:cs="宋体"/>
                <w:b w:val="0"/>
                <w:bCs w:val="0"/>
                <w:i w:val="0"/>
                <w:iCs w:val="0"/>
                <w:color w:val="000000"/>
                <w:sz w:val="20"/>
                <w:szCs w:val="20"/>
                <w:highlight w:val="none"/>
                <w:u w:val="none"/>
              </w:rPr>
            </w:pPr>
          </w:p>
        </w:tc>
      </w:tr>
      <w:tr w14:paraId="36B4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03B758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CBE4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集中电源</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426FD4A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额定功率 400W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输入电压 AC 220V  ±15%  50Hz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输出电压 AC15-24V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最大输出电流 14A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外壳防护等级 IP20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3DF5E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650B9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EF67D13">
            <w:pPr>
              <w:jc w:val="center"/>
              <w:rPr>
                <w:rFonts w:hint="eastAsia" w:ascii="宋体" w:hAnsi="宋体" w:eastAsia="宋体" w:cs="宋体"/>
                <w:b w:val="0"/>
                <w:bCs w:val="0"/>
                <w:i w:val="0"/>
                <w:iCs w:val="0"/>
                <w:color w:val="000000"/>
                <w:sz w:val="20"/>
                <w:szCs w:val="20"/>
                <w:highlight w:val="none"/>
                <w:u w:val="none"/>
              </w:rPr>
            </w:pPr>
          </w:p>
        </w:tc>
      </w:tr>
      <w:tr w14:paraId="7329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4" w:type="dxa"/>
            <w:gridSpan w:val="6"/>
            <w:tcBorders>
              <w:top w:val="single" w:color="000000" w:sz="4" w:space="0"/>
              <w:left w:val="single" w:color="000000" w:sz="4" w:space="0"/>
              <w:bottom w:val="single" w:color="000000" w:sz="4" w:space="0"/>
              <w:right w:val="single" w:color="000000" w:sz="4" w:space="0"/>
            </w:tcBorders>
            <w:noWrap/>
            <w:vAlign w:val="center"/>
          </w:tcPr>
          <w:p w14:paraId="5C5B799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4.1.5 一卡通校车管理</w:t>
            </w:r>
          </w:p>
        </w:tc>
      </w:tr>
      <w:tr w14:paraId="2C41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43891F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EC8F6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人脸车载机</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04795CF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使用基于八核高速处理器，搭载智能操作系统，聚合“人脸支付”、“刷卡闪付”和“扫码付”功能为一体，为用户提供多渠道支付体验的智能POS终端，适用于企业班车、城市公交等场景。</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7A789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85412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DB7E28D">
            <w:pPr>
              <w:jc w:val="center"/>
              <w:rPr>
                <w:rFonts w:hint="eastAsia" w:ascii="宋体" w:hAnsi="宋体" w:eastAsia="宋体" w:cs="宋体"/>
                <w:b w:val="0"/>
                <w:bCs w:val="0"/>
                <w:i w:val="0"/>
                <w:iCs w:val="0"/>
                <w:color w:val="000000"/>
                <w:sz w:val="20"/>
                <w:szCs w:val="20"/>
                <w:highlight w:val="none"/>
                <w:u w:val="none"/>
              </w:rPr>
            </w:pPr>
          </w:p>
        </w:tc>
      </w:tr>
      <w:tr w14:paraId="77AE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4" w:type="dxa"/>
            <w:gridSpan w:val="6"/>
            <w:tcBorders>
              <w:top w:val="single" w:color="000000" w:sz="4" w:space="0"/>
              <w:left w:val="single" w:color="000000" w:sz="4" w:space="0"/>
              <w:bottom w:val="single" w:color="000000" w:sz="4" w:space="0"/>
              <w:right w:val="single" w:color="000000" w:sz="4" w:space="0"/>
            </w:tcBorders>
            <w:noWrap/>
            <w:vAlign w:val="center"/>
          </w:tcPr>
          <w:p w14:paraId="71D8504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4.1.6 线缆附材</w:t>
            </w:r>
          </w:p>
        </w:tc>
      </w:tr>
      <w:tr w14:paraId="35D3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31E258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B5BA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7FB25CA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4E054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F1BBA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12000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5AFE03B0">
            <w:pPr>
              <w:jc w:val="center"/>
              <w:rPr>
                <w:rFonts w:hint="eastAsia" w:ascii="宋体" w:hAnsi="宋体" w:eastAsia="宋体" w:cs="宋体"/>
                <w:b w:val="0"/>
                <w:bCs w:val="0"/>
                <w:i w:val="0"/>
                <w:iCs w:val="0"/>
                <w:color w:val="000000"/>
                <w:sz w:val="20"/>
                <w:szCs w:val="20"/>
                <w:highlight w:val="none"/>
                <w:u w:val="none"/>
              </w:rPr>
            </w:pPr>
          </w:p>
        </w:tc>
      </w:tr>
      <w:tr w14:paraId="1D6F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1BC504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169B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9F4077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电源线 RVV2*1.5mm</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CE924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59703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8000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8C14287">
            <w:pPr>
              <w:jc w:val="center"/>
              <w:rPr>
                <w:rFonts w:hint="eastAsia" w:ascii="宋体" w:hAnsi="宋体" w:eastAsia="宋体" w:cs="宋体"/>
                <w:b w:val="0"/>
                <w:bCs w:val="0"/>
                <w:i w:val="0"/>
                <w:iCs w:val="0"/>
                <w:color w:val="000000"/>
                <w:sz w:val="20"/>
                <w:szCs w:val="20"/>
                <w:highlight w:val="none"/>
                <w:u w:val="none"/>
              </w:rPr>
            </w:pPr>
          </w:p>
        </w:tc>
      </w:tr>
      <w:tr w14:paraId="33BB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1CDD37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FD394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信号线</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3E236E0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信号线RVVP2*1.0mm</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A227A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87F76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20000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C537622">
            <w:pPr>
              <w:jc w:val="center"/>
              <w:rPr>
                <w:rFonts w:hint="eastAsia" w:ascii="宋体" w:hAnsi="宋体" w:eastAsia="宋体" w:cs="宋体"/>
                <w:b w:val="0"/>
                <w:bCs w:val="0"/>
                <w:i w:val="0"/>
                <w:iCs w:val="0"/>
                <w:color w:val="000000"/>
                <w:sz w:val="20"/>
                <w:szCs w:val="20"/>
                <w:highlight w:val="none"/>
                <w:u w:val="none"/>
              </w:rPr>
            </w:pPr>
          </w:p>
        </w:tc>
      </w:tr>
      <w:tr w14:paraId="0696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68CA5E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7C246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辅材</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4E6150A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线槽、水晶头、电源接头，胶带等</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F136E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1D306C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6AB5AF2">
            <w:pPr>
              <w:jc w:val="center"/>
              <w:rPr>
                <w:rFonts w:hint="eastAsia" w:ascii="宋体" w:hAnsi="宋体" w:eastAsia="宋体" w:cs="宋体"/>
                <w:b w:val="0"/>
                <w:bCs w:val="0"/>
                <w:i w:val="0"/>
                <w:iCs w:val="0"/>
                <w:color w:val="000000"/>
                <w:sz w:val="20"/>
                <w:szCs w:val="20"/>
                <w:highlight w:val="none"/>
                <w:u w:val="none"/>
              </w:rPr>
            </w:pPr>
          </w:p>
        </w:tc>
      </w:tr>
      <w:tr w14:paraId="4834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73" w:type="dxa"/>
            <w:gridSpan w:val="5"/>
            <w:tcBorders>
              <w:top w:val="single" w:color="000000" w:sz="4" w:space="0"/>
              <w:left w:val="single" w:color="000000" w:sz="4" w:space="0"/>
              <w:bottom w:val="single" w:color="000000" w:sz="4" w:space="0"/>
              <w:right w:val="single" w:color="000000" w:sz="4" w:space="0"/>
            </w:tcBorders>
            <w:noWrap/>
            <w:vAlign w:val="center"/>
          </w:tcPr>
          <w:p w14:paraId="1B02B6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6EAB5E3">
            <w:pPr>
              <w:jc w:val="center"/>
              <w:rPr>
                <w:rFonts w:hint="eastAsia" w:ascii="宋体" w:hAnsi="宋体" w:eastAsia="宋体" w:cs="宋体"/>
                <w:b w:val="0"/>
                <w:bCs w:val="0"/>
                <w:i w:val="0"/>
                <w:iCs w:val="0"/>
                <w:color w:val="000000"/>
                <w:sz w:val="20"/>
                <w:szCs w:val="20"/>
                <w:highlight w:val="none"/>
                <w:u w:val="none"/>
              </w:rPr>
            </w:pPr>
          </w:p>
        </w:tc>
      </w:tr>
      <w:tr w14:paraId="2F7D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4" w:type="dxa"/>
            <w:gridSpan w:val="6"/>
            <w:tcBorders>
              <w:top w:val="single" w:color="000000" w:sz="4" w:space="0"/>
              <w:left w:val="single" w:color="000000" w:sz="4" w:space="0"/>
              <w:bottom w:val="single" w:color="000000" w:sz="4" w:space="0"/>
              <w:right w:val="single" w:color="000000" w:sz="4" w:space="0"/>
            </w:tcBorders>
            <w:noWrap/>
            <w:vAlign w:val="center"/>
          </w:tcPr>
          <w:p w14:paraId="61717CC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4.2 视频会议建设</w:t>
            </w:r>
          </w:p>
        </w:tc>
      </w:tr>
      <w:tr w14:paraId="677D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77465E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35C91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高清MCU</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343113D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Style w:val="31"/>
                <w:b w:val="0"/>
                <w:bCs w:val="0"/>
                <w:highlight w:val="none"/>
                <w:lang w:val="en-US" w:eastAsia="zh-CN" w:bidi="ar"/>
              </w:rPr>
              <w:t>1.国产音视频编解码芯片、电信级插卡式。</w:t>
            </w:r>
            <w:r>
              <w:rPr>
                <w:rStyle w:val="31"/>
                <w:b w:val="0"/>
                <w:bCs w:val="0"/>
                <w:highlight w:val="none"/>
                <w:lang w:val="en-US" w:eastAsia="zh-CN" w:bidi="ar"/>
              </w:rPr>
              <w:br w:type="textWrapping"/>
            </w:r>
            <w:r>
              <w:rPr>
                <w:rStyle w:val="31"/>
                <w:b w:val="0"/>
                <w:bCs w:val="0"/>
                <w:highlight w:val="none"/>
                <w:lang w:val="en-US" w:eastAsia="zh-CN" w:bidi="ar"/>
              </w:rPr>
              <w:t>2.支持数据以图表形式显示使用率和内存使用率，支持以图表形式实时统计和展示终端设备在线数、会议详情（包括会议数量、会议名称、会议状态、会议时长等）。</w:t>
            </w:r>
            <w:r>
              <w:rPr>
                <w:rStyle w:val="31"/>
                <w:b w:val="0"/>
                <w:bCs w:val="0"/>
                <w:highlight w:val="none"/>
                <w:lang w:val="en-US" w:eastAsia="zh-CN" w:bidi="ar"/>
              </w:rPr>
              <w:br w:type="textWrapping"/>
            </w:r>
            <w:r>
              <w:rPr>
                <w:rStyle w:val="31"/>
                <w:b w:val="0"/>
                <w:bCs w:val="0"/>
                <w:highlight w:val="none"/>
                <w:lang w:val="en-US" w:eastAsia="zh-CN" w:bidi="ar"/>
              </w:rPr>
              <w:t>★3.单机支持≥10组物理会议，支持≥96路1080P并发用户，支持并发≥20个虚拟会议。支持MCU级联功能，级联模式可支持≥1000以上用户入会；支持MCU组成资源池、形成MCU分布式架构，实现MCU资源的统一管理、动态分配MCU资源、相互备份</w:t>
            </w:r>
            <w:r>
              <w:rPr>
                <w:rStyle w:val="34"/>
                <w:b w:val="0"/>
                <w:bCs w:val="0"/>
                <w:highlight w:val="none"/>
                <w:lang w:val="en-US" w:eastAsia="zh-CN" w:bidi="ar"/>
              </w:rPr>
              <w:t>，与老校区互联互通。</w:t>
            </w:r>
            <w:r>
              <w:rPr>
                <w:rStyle w:val="31"/>
                <w:b w:val="0"/>
                <w:bCs w:val="0"/>
                <w:highlight w:val="none"/>
                <w:lang w:val="en-US" w:eastAsia="zh-CN" w:bidi="ar"/>
              </w:rPr>
              <w:br w:type="textWrapping"/>
            </w:r>
            <w:r>
              <w:rPr>
                <w:rStyle w:val="31"/>
                <w:b w:val="0"/>
                <w:bCs w:val="0"/>
                <w:highlight w:val="none"/>
                <w:lang w:val="en-US" w:eastAsia="zh-CN" w:bidi="ar"/>
              </w:rPr>
              <w:t>4.内置GK模块，支持终端注册E.164分机号，并使用E.164分机号互相呼叫。支持NAT、H.460等技术，可穿越防火墙。</w:t>
            </w:r>
            <w:r>
              <w:rPr>
                <w:rStyle w:val="31"/>
                <w:b w:val="0"/>
                <w:bCs w:val="0"/>
                <w:highlight w:val="none"/>
                <w:lang w:val="en-US" w:eastAsia="zh-CN" w:bidi="ar"/>
              </w:rPr>
              <w:br w:type="textWrapping"/>
            </w:r>
            <w:r>
              <w:rPr>
                <w:rStyle w:val="31"/>
                <w:b w:val="0"/>
                <w:bCs w:val="0"/>
                <w:highlight w:val="none"/>
                <w:lang w:val="en-US" w:eastAsia="zh-CN" w:bidi="ar"/>
              </w:rPr>
              <w:t>5.单台设备支持≥18路HDMI视频输出，内置电视墙输出功能，可输出不同会议的合成画面，也可选择输出不同会议的任意会场单画面。</w:t>
            </w:r>
            <w:r>
              <w:rPr>
                <w:rStyle w:val="31"/>
                <w:b w:val="0"/>
                <w:bCs w:val="0"/>
                <w:highlight w:val="none"/>
                <w:lang w:val="en-US" w:eastAsia="zh-CN" w:bidi="ar"/>
              </w:rPr>
              <w:br w:type="textWrapping"/>
            </w:r>
            <w:r>
              <w:rPr>
                <w:rStyle w:val="31"/>
                <w:b w:val="0"/>
                <w:bCs w:val="0"/>
                <w:highlight w:val="none"/>
                <w:lang w:val="en-US" w:eastAsia="zh-CN" w:bidi="ar"/>
              </w:rPr>
              <w:t>6.支持所有终端同时发送辅流，支持主流辅流混合画面。</w:t>
            </w:r>
            <w:r>
              <w:rPr>
                <w:rStyle w:val="31"/>
                <w:b w:val="0"/>
                <w:bCs w:val="0"/>
                <w:highlight w:val="none"/>
                <w:lang w:val="en-US" w:eastAsia="zh-CN" w:bidi="ar"/>
              </w:rPr>
              <w:br w:type="textWrapping"/>
            </w:r>
            <w:r>
              <w:rPr>
                <w:rStyle w:val="31"/>
                <w:b w:val="0"/>
                <w:bCs w:val="0"/>
                <w:highlight w:val="none"/>
                <w:lang w:val="en-US" w:eastAsia="zh-CN" w:bidi="ar"/>
              </w:rPr>
              <w:t>7.支持≥19种多画面布局，每屏支持可达≥60画面，支持自动分屏功能；辅流画面可合成在多画面中，画面窗口支持自动填充、语音激励、视频轮询、辅流显示等功能，并可在同界面直接观看会议实时视频。</w:t>
            </w:r>
            <w:r>
              <w:rPr>
                <w:rStyle w:val="31"/>
                <w:b w:val="0"/>
                <w:bCs w:val="0"/>
                <w:highlight w:val="none"/>
                <w:lang w:val="en-US" w:eastAsia="zh-CN" w:bidi="ar"/>
              </w:rPr>
              <w:br w:type="textWrapping"/>
            </w:r>
            <w:r>
              <w:rPr>
                <w:rStyle w:val="31"/>
                <w:b w:val="0"/>
                <w:bCs w:val="0"/>
                <w:highlight w:val="none"/>
                <w:lang w:val="en-US" w:eastAsia="zh-CN" w:bidi="ar"/>
              </w:rPr>
              <w:t>8.支持多画面轮询功能，支持≥10个1080P会议同时60分屏多画面轮询能力；可指定轮询窗口、轮询会场、轮询时间间隔等，提供功能界面截图佐证。</w:t>
            </w:r>
            <w:r>
              <w:rPr>
                <w:rStyle w:val="31"/>
                <w:b w:val="0"/>
                <w:bCs w:val="0"/>
                <w:highlight w:val="none"/>
                <w:lang w:val="en-US" w:eastAsia="zh-CN" w:bidi="ar"/>
              </w:rPr>
              <w:br w:type="textWrapping"/>
            </w:r>
            <w:r>
              <w:rPr>
                <w:rStyle w:val="31"/>
                <w:b w:val="0"/>
                <w:bCs w:val="0"/>
                <w:highlight w:val="none"/>
                <w:lang w:val="en-US" w:eastAsia="zh-CN" w:bidi="ar"/>
              </w:rPr>
              <w:t>9.设备具备有双网口；服务器标配有≥200G存储空间，用于存储视频会议的投票、签到、点名、共享文件、录制视频、拍照图片等数据文件；支持扩展存储容量到≥4TB。</w:t>
            </w:r>
            <w:r>
              <w:rPr>
                <w:rStyle w:val="31"/>
                <w:b w:val="0"/>
                <w:bCs w:val="0"/>
                <w:highlight w:val="none"/>
                <w:lang w:val="en-US" w:eastAsia="zh-CN" w:bidi="ar"/>
              </w:rPr>
              <w:br w:type="textWrapping"/>
            </w:r>
            <w:r>
              <w:rPr>
                <w:rStyle w:val="31"/>
                <w:b w:val="0"/>
                <w:bCs w:val="0"/>
                <w:highlight w:val="none"/>
                <w:lang w:val="en-US" w:eastAsia="zh-CN" w:bidi="ar"/>
              </w:rPr>
              <w:t>10.支持视频点名功能，可设置点名主题、画面布局、主会场、主会场显示窗口、被点名会场显示窗口，点名结束后可生成完整点名结果的excel表格下载保存。</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8FD3DC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9E5237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103F5F3">
            <w:pPr>
              <w:rPr>
                <w:rFonts w:hint="eastAsia" w:ascii="宋体" w:hAnsi="宋体" w:eastAsia="宋体" w:cs="宋体"/>
                <w:b w:val="0"/>
                <w:bCs w:val="0"/>
                <w:i w:val="0"/>
                <w:iCs w:val="0"/>
                <w:color w:val="000000"/>
                <w:sz w:val="20"/>
                <w:szCs w:val="20"/>
                <w:highlight w:val="none"/>
                <w:u w:val="none"/>
              </w:rPr>
            </w:pPr>
          </w:p>
        </w:tc>
      </w:tr>
      <w:tr w14:paraId="2431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A4B85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3365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高清终端</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536DF30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1.与MCU同一品牌，采用分体式结构，内置硬件视频处理单元，内置操作系统。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2.支持ITU-T H.323、SIP标准协议，具有良好的兼容性；CQ系列支持H.239、BFCP双流协议，主辅流皆可达到优于或等同于1080P。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3.主屏支持输出4K分辨率信号，单屏支持≥25路视频画面，支持单屏双显、双屏双显应用功能，可实现多画面布局，支持画中画等多种常用布局类型。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4.支持辅流批注功能，发送辅流和接收辅流时都可在辅流画面上进行实时批注；可设置三种不同粗细的画笔，设置三种画笔颜色，发送辅流时可设置是否开放批注权限给与会成员共同批注。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终端申请主席对会议中的其他参会终端从直播模式转到会议模式或者从会议模式转到直播模式，支持终端主动向主席申请从直播模式转到会议模式，会议模式支持电子白板、文件共享、电子投票、会议签到等功能。支持在终端上预约会议，可选择成员、设置会议密码、主席密码、直播密码、会议时间等，提交后MCU根据会议时间自动召开会议，会议支持电子白板、文件共享、电子投票、会议签到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6.具备接口类型：视频输入：HDMI≥3路；视频输出：HDMI≥2路；音频输入：MIC IN≥1路、LINE IN≥1路、HDMI≥1路；音频输出：HDMI≥1路、LINE OUT≥1路；网络：RJ45≥1路；≥1路WIFI网络（可选配为4G网络）；USB接口：≥2个USB2.0接口，可用于接扩展设备或在线升级；控制接口：RS-232≥1路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7.无需注册，只需输入会议号码即可加入相应的会议，并可选择以会议互动模式加入或直播模式加入。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8.支持在终端上一键召开立即会议即可在MCU上快速创建一个虚拟会议并自动加入会议，可在终端上邀请会场入会，会议支持电子白板、文件共享、电子投票、会议签到等功能。</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64BF0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3E784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3507A14">
            <w:pPr>
              <w:keepNext w:val="0"/>
              <w:keepLines w:val="0"/>
              <w:widowControl/>
              <w:suppressLineNumbers w:val="0"/>
              <w:jc w:val="left"/>
              <w:textAlignment w:val="center"/>
              <w:rPr>
                <w:rFonts w:hint="default" w:ascii="Times New Roman" w:hAnsi="Times New Roman" w:cs="Times New Roman"/>
                <w:b w:val="0"/>
                <w:bCs w:val="0"/>
                <w:i w:val="0"/>
                <w:iCs w:val="0"/>
                <w:color w:val="000000"/>
                <w:sz w:val="20"/>
                <w:szCs w:val="20"/>
                <w:highlight w:val="none"/>
                <w:u w:val="none"/>
              </w:rPr>
            </w:pPr>
            <w:r>
              <w:rPr>
                <w:rStyle w:val="35"/>
                <w:rFonts w:eastAsia="宋体"/>
                <w:b w:val="0"/>
                <w:bCs w:val="0"/>
                <w:highlight w:val="none"/>
                <w:lang w:val="en-US" w:eastAsia="zh-CN" w:bidi="ar"/>
              </w:rPr>
              <w:t>6</w:t>
            </w:r>
            <w:r>
              <w:rPr>
                <w:rStyle w:val="31"/>
                <w:b w:val="0"/>
                <w:bCs w:val="0"/>
                <w:highlight w:val="none"/>
                <w:lang w:val="en-US" w:eastAsia="zh-CN" w:bidi="ar"/>
              </w:rPr>
              <w:t>个会议室</w:t>
            </w:r>
          </w:p>
        </w:tc>
      </w:tr>
      <w:tr w14:paraId="723A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7BC9A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47518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高清摄像机</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07110BB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1.高清摄像机具备20倍光学变倍镜头，并支持16倍数字变焦；采用1/2.8英寸、207万有效像素的高品质HD CMOS传感器。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2.镜头焦距f4.42mm ~ 88.5mm, 光圈系数F1.8 ~ F2.8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3.支持HDMI、SDI、USB、网络四路视频同时输出。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4.支持RS232和RS485串口，可对摄像机进行控制；支持预置位数量255个，预置位精度：0.1°。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5.水平视场角：60.7°～3.36°；支持水平转动范围：-170°～+170°，垂直转动范围：-30°～+90°，水平转动速度范围：水平：1.7° ~ 100°/s，俯仰：1.7° ~ 69.9°/s。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6.支持先进的2D、3D降噪技术。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7.内置AI技术和行人重识别技术，支持与会人员自动框选，发言人员自动跟踪。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8.支持PoE供电。产品厂家提供GB/T27922-2011《商品售后服务评价体系》标准十星级证书复印件。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9.具备≥1路HDMI输出接口、≥1路3G-SDI输出接口、≥1路USB3.0输出接口，具备≥1路3.5mm音频输入接口和。</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12AA61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70493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6</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A3C73C3">
            <w:pPr>
              <w:rPr>
                <w:rFonts w:hint="default" w:ascii="Times New Roman" w:hAnsi="Times New Roman" w:cs="Times New Roman"/>
                <w:b w:val="0"/>
                <w:bCs w:val="0"/>
                <w:i w:val="0"/>
                <w:iCs w:val="0"/>
                <w:color w:val="000000"/>
                <w:sz w:val="20"/>
                <w:szCs w:val="20"/>
                <w:highlight w:val="none"/>
                <w:u w:val="none"/>
              </w:rPr>
            </w:pPr>
          </w:p>
        </w:tc>
      </w:tr>
      <w:tr w14:paraId="356D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6A20E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7866E2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软终端</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2D2B72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1.支持标准H.323协议，支持H.264HP编解码，可支持全高清1080p/30的视频会议；集成通信录，通话记录模块。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2.支持辅流批注功能，接收辅流时可在辅流画面上进行实时批注；CQ系列可设置三种不同粗细的画笔，设置五种画笔颜色，设置圆形、方形、箭头、线条等批注图形；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3.支持会议签到、电子白板、电子投票、文件共享等数据会议功能，满足远程培训、教学等场景应用需求。支持多画面布局，单屏支持25路画面同时显示。</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C5038F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405EBC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75</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53A07A5">
            <w:pPr>
              <w:rPr>
                <w:rFonts w:hint="default" w:ascii="Times New Roman" w:hAnsi="Times New Roman" w:cs="Times New Roman"/>
                <w:b w:val="0"/>
                <w:bCs w:val="0"/>
                <w:i w:val="0"/>
                <w:iCs w:val="0"/>
                <w:color w:val="000000"/>
                <w:sz w:val="20"/>
                <w:szCs w:val="20"/>
                <w:highlight w:val="none"/>
                <w:u w:val="none"/>
              </w:rPr>
            </w:pPr>
          </w:p>
        </w:tc>
      </w:tr>
      <w:tr w14:paraId="65E5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6FEA5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3A58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LED显示屏</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0041258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1.LED类型 像素间距≤1.25mm，应采用RGB全倒装共阴驱动，晶圆倒置封装/无引线焊接工艺，COB封装；显示屏上的物理像素点数和实际显示的像素点数是1：1的关系，像素构成：1R1G1B，不得采用虚拟像素达到像素点指标。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★2.屏幕尺寸 宽≥4.2 米，高≥2.36米，；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3.主要技术性能要求 1）亮度≥800nit（0-100%无级可调，根据环境光自动调节亮度，高效节能）；对比度≥15000:1；智能色温：标准9300K；1000～18000K可调，调节步长100k；色温误差：色温为9300K时100%、75%、50%、25%四档电平白场调节色温误差≤100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水平视角≥175°，垂直视角：≥175°；刷新频率3840~7680Hz；模组平整度：≤0.05mm，模组间相对错位值≤0.5%。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4.电磁屏蔽：屏体表面余磁不得超过60GS，减少屏体表面金属粉尘吸附；</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5.峰值功耗：≤280W/㎡，平均功耗：≤94W/㎡，带有智能节电功能，产品具有四重节能技术。（IC节能、待机节能、倒装节能、高转换率PFC电源）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6.电源、HUB、接收卡，采用板对板硬连接设计，无线材连接，须支持热拔插，故障率低，拆卸维护便捷。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7.质量稳定性 ：应7×24小时连续工作无故障，平均故障间隔时间（MTBF）≥100000小时，平均故障恢复时间（MTTR）≤1分钟；LED寿命≥120000小时；须支持电源、信号1+1允余备份，电源须支持双电力输入备份，双路信号冗余备份，任意断开其中一条单元信号接入线缆不影响单元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10.防护功能 具有防护性能，关键元器件符合三防设计原则。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11.符合节能标准，通过中国节能认证、环保认证、TUV低蓝光认证。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智能制造能力：制造厂家应具备自主生产基地，本项目不接受OEM厂家或非LED行业生产企业产品，制造厂商主营业务范围应为LED屏，主营业务收入占比不低于70%；制造厂商通过GB/T23001两化融合3A等级和智能制造能力成熟度三级认证。</w:t>
            </w:r>
          </w:p>
        </w:tc>
        <w:tc>
          <w:tcPr>
            <w:tcW w:w="300" w:type="dxa"/>
            <w:tcBorders>
              <w:top w:val="single" w:color="000000" w:sz="4" w:space="0"/>
              <w:left w:val="single" w:color="000000" w:sz="4" w:space="0"/>
              <w:bottom w:val="single" w:color="000000" w:sz="4" w:space="0"/>
              <w:right w:val="single" w:color="000000" w:sz="4" w:space="0"/>
            </w:tcBorders>
            <w:noWrap/>
            <w:vAlign w:val="center"/>
          </w:tcPr>
          <w:p w14:paraId="6A59E7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平方米</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6AA14F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9.92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8EDCE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大会议室</w:t>
            </w:r>
          </w:p>
        </w:tc>
      </w:tr>
      <w:tr w14:paraId="7A7A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152BF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BA43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大屏钢结构</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419E4B3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1.包含大屏钢结构及包边装饰、工程师安装调试及用户培训；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2.安装结构能满足LED高清显示屏的整体均匀平滑要求，采用环保型材，结构应便于安装和调试；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3.满足显示屏安装要求，定制（包含钢材支架、铝型材、预埋件、包边等）</w:t>
            </w:r>
          </w:p>
        </w:tc>
        <w:tc>
          <w:tcPr>
            <w:tcW w:w="300" w:type="dxa"/>
            <w:tcBorders>
              <w:top w:val="single" w:color="000000" w:sz="4" w:space="0"/>
              <w:left w:val="single" w:color="000000" w:sz="4" w:space="0"/>
              <w:bottom w:val="single" w:color="000000" w:sz="4" w:space="0"/>
              <w:right w:val="single" w:color="000000" w:sz="4" w:space="0"/>
            </w:tcBorders>
            <w:noWrap/>
            <w:vAlign w:val="center"/>
          </w:tcPr>
          <w:p w14:paraId="45F1B4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平方米</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7D3675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9.92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F48E12A">
            <w:pPr>
              <w:jc w:val="center"/>
              <w:rPr>
                <w:rFonts w:hint="eastAsia" w:ascii="宋体" w:hAnsi="宋体" w:eastAsia="宋体" w:cs="宋体"/>
                <w:b w:val="0"/>
                <w:bCs w:val="0"/>
                <w:i w:val="0"/>
                <w:iCs w:val="0"/>
                <w:color w:val="000000"/>
                <w:sz w:val="20"/>
                <w:szCs w:val="20"/>
                <w:highlight w:val="none"/>
                <w:u w:val="none"/>
              </w:rPr>
            </w:pPr>
          </w:p>
        </w:tc>
      </w:tr>
      <w:tr w14:paraId="2F05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C9623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E50E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智能播控处理器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75897C0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★1、支持20路千兆网口输出，支持显示屏输出画面缩放。宽度范围64-16384，高度范围64-8192，最大带载1300w，支持自由走线，摆脱矩形带载限制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硬件配置：4 核A73+4核A53的 ARM处理器 主频2.2GHz；板载8G运行内存，128G内部存储空间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3、支持3路音频输出，1xSPDF数字音频输出接口，1x3.5mm音频输出；1x凤凰端子音频输出；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4、支持2路USB2.0，1路USB3.0输入，用于多媒体播放和功能扩展；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5、集成一路继电器，可以用于连接固态继电器，方便进行LED显示屏电源管理；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6、支持一路千兆以太网控制，支持TCP/IP协议，一路RS232串口，对接中控设备，一路传感器接口；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7、2路HDMI2.0输入，1路HDMI1.3输入；1路HDMI1.3预监输出；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8、2路10G光口输出，支持光电转换模式；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9、搭配WIFI6芯片，实现无线传输低延迟，高稳定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▲10、支持多种播控方式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-U盘播放：可即插即播或拷贝播放，支持HEVC/H265./H264等主流编码格式的4K高清视频解码；支持U盘离线播放，拔出U盘后播放内容不受影响；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-软件端播控:手机 app 播控，pc端软件播控，云端远程播控；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-遥控器播控：可在显示屏上进行本地节目播控及简单的节目制作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11、支持遥控器AI语音控制，集成丰富的语音控制指令，轻松实现屏幕控制；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12、支持Type-c接口/USB接口投屏器，支持多平台终端投屏（包括Windows、Mac OS、IOS、Android系统，最多9路无线投屏画面同时显示），配合终端APP可实现无线投屏控制：镜像反控、无线快照、无线发言</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13、基于Android13定制的桌面UI系统，可添加第三方APP应用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14、支持红外待机唤醒，待机进入低功耗模式，实现待机功耗小于0.5w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15、支持蓝牙5.1，可兼容蓝牙遥控器、蓝牙鼠标、蓝牙键盘、蓝牙音响等；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16、双WIFI模式，支持WiFi AP 和WIFI STA两种模式同时开启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支持云端控制管理，平台无需单独安装客户端，可实现随时随地访问，融合实现：企业信息管理、多角色权限管理、显示屏管理、配置文件管理、售前方案配置、画面监控、配置/维护显示屏信息、显示屏故障定位及恢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22、系统支持预设画面模式切换，包含标准模式、会议模式等4种效果模式；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23、支持手机端app扫码或手动获取配置文件参数下发进行屏体点亮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24、支持手机端APP手动和拍照完成显示屏连接；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25、支持手机端APP手动和拍照进行显示屏亮暗线校正；</w:t>
            </w:r>
          </w:p>
        </w:tc>
        <w:tc>
          <w:tcPr>
            <w:tcW w:w="300" w:type="dxa"/>
            <w:tcBorders>
              <w:top w:val="single" w:color="000000" w:sz="4" w:space="0"/>
              <w:left w:val="single" w:color="000000" w:sz="4" w:space="0"/>
              <w:bottom w:val="single" w:color="000000" w:sz="4" w:space="0"/>
              <w:right w:val="single" w:color="000000" w:sz="4" w:space="0"/>
            </w:tcBorders>
            <w:noWrap/>
            <w:vAlign w:val="center"/>
          </w:tcPr>
          <w:p w14:paraId="6E2BFB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76B18B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67A1442B">
            <w:pPr>
              <w:jc w:val="center"/>
              <w:rPr>
                <w:rFonts w:hint="eastAsia" w:ascii="宋体" w:hAnsi="宋体" w:eastAsia="宋体" w:cs="宋体"/>
                <w:b w:val="0"/>
                <w:bCs w:val="0"/>
                <w:i w:val="0"/>
                <w:iCs w:val="0"/>
                <w:color w:val="000000"/>
                <w:sz w:val="20"/>
                <w:szCs w:val="20"/>
                <w:highlight w:val="none"/>
                <w:u w:val="none"/>
              </w:rPr>
            </w:pPr>
          </w:p>
        </w:tc>
      </w:tr>
      <w:tr w14:paraId="1AF7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4EBBD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B8D01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配电柜</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065C8C8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1).功率冗余30%以上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2).PLC数据实时监测系统：具备每个回路的电流、电压、过载、电缆温度、能耗数据数据采集功能；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3).控制系统模块：控制任意回路分步上电、PLC远程上电、通断时间、场景预设功能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4).485通讯模块；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5).PLC供电模块：额定电压AC100V~265V，额定电流：2.5A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6).配套电箱，空开数量满足设备使用需求；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7).具有短路、断路、过流、过压、欠压以及漏电等多种保护功能，可自动处理各种应急情况，定时自动开关大屏；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8).将每一个回路的用电数据信息（功耗、漏电电流、欠压数据、过压数据、过载数据）在后台的软件平台上可视化呈现出来，用户可根据用电数据情况来任意设定开合与通断；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9).可分别对各回路电流、功率进行设定，实现当回路电流或功率超过限定值时，该回路自动跳闸保护，同时可自由设定设备每个回路的开启和关闭时间；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10).发现险情立即预警并发送预警信息至APP 或PC 端。通过及时告警功能、预警机制及时发现配电系统设备、周围环境的异常情况；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11).综合管理平台：平台可显示设备总数、在线设备、报警数、预警数等汇总信息、设备报警分析比例图、设备信息处理情况、设备实时报警列表、和管理员信息，在IOT管理系统上统一显示与操控。 </w:t>
            </w:r>
          </w:p>
        </w:tc>
        <w:tc>
          <w:tcPr>
            <w:tcW w:w="300" w:type="dxa"/>
            <w:tcBorders>
              <w:top w:val="single" w:color="000000" w:sz="4" w:space="0"/>
              <w:left w:val="single" w:color="000000" w:sz="4" w:space="0"/>
              <w:bottom w:val="single" w:color="000000" w:sz="4" w:space="0"/>
              <w:right w:val="single" w:color="000000" w:sz="4" w:space="0"/>
            </w:tcBorders>
            <w:noWrap/>
            <w:vAlign w:val="center"/>
          </w:tcPr>
          <w:p w14:paraId="7D247C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52CBC6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25EF646">
            <w:pPr>
              <w:jc w:val="center"/>
              <w:rPr>
                <w:rFonts w:hint="eastAsia" w:ascii="宋体" w:hAnsi="宋体" w:eastAsia="宋体" w:cs="宋体"/>
                <w:b w:val="0"/>
                <w:bCs w:val="0"/>
                <w:i w:val="0"/>
                <w:iCs w:val="0"/>
                <w:color w:val="000000"/>
                <w:sz w:val="20"/>
                <w:szCs w:val="20"/>
                <w:highlight w:val="none"/>
                <w:u w:val="none"/>
              </w:rPr>
            </w:pPr>
          </w:p>
        </w:tc>
      </w:tr>
      <w:tr w14:paraId="02F9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D342F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CB5E7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显示屏</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0C2B186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1.屏幕尺寸不小于86英寸，屏幕显示分辨率最高可支持4K，屏幕刷新率可达60Hz画面无闪烁。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2.液晶屏幕对比度不小于4000:1，亮度不小于400cd/㎡；屏幕表面采用厚度≤4mm钢化玻璃，具有防眩光功能。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3.整机外观尺寸宽度不小于6200mm，高度不小于1200mm。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4、含落地支架。</w:t>
            </w:r>
          </w:p>
        </w:tc>
        <w:tc>
          <w:tcPr>
            <w:tcW w:w="300" w:type="dxa"/>
            <w:tcBorders>
              <w:top w:val="single" w:color="000000" w:sz="4" w:space="0"/>
              <w:left w:val="single" w:color="000000" w:sz="4" w:space="0"/>
              <w:bottom w:val="single" w:color="000000" w:sz="4" w:space="0"/>
              <w:right w:val="single" w:color="000000" w:sz="4" w:space="0"/>
            </w:tcBorders>
            <w:noWrap/>
            <w:vAlign w:val="center"/>
          </w:tcPr>
          <w:p w14:paraId="238EC2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36774F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6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A9ACD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小会议室</w:t>
            </w:r>
          </w:p>
        </w:tc>
      </w:tr>
      <w:tr w14:paraId="77E7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E687D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1F01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智能数字会议系统主机</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9F8A2F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主机带载能力，单路可连40个会议单元，最多80个，线路最长250米。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会议支持先进先出和自由讨论模式。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支持与中控系统联动实现摄像跟踪，并具备3进4出视频矩阵，能控制摄像机视频切换和3路视频同步监控输出。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多种输入输出端口，包括非平衡主输入、卡座输入、辅助输出、主输出、6.35接口非平衡输出等。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支持主机双备份，可与备份主机连接。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具备热插拔功能，保障系统安全稳定。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2个RS232控制接口，可实现摄像机自动摄像跟踪、话筒及主机功能控制。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支持设备自检，内置DSP自适应音频处理器抑制回声，还有相关音频参数如频率响应、信噪比等。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9、音频处理：内置DSP自适应音频处理器,可抑制回声；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10、频率响应：20Hz～20,000Hz；信噪比：≥ 85dB；动态范围：&gt;90dB；总谐波失真：＜0.1%；通道串音：&gt;80dB；线路输入≥ 70 dB；AUX输入：≥ 75 dB。</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A3F9D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357EA0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FBA15C5">
            <w:pPr>
              <w:jc w:val="center"/>
              <w:rPr>
                <w:rFonts w:hint="eastAsia" w:ascii="宋体" w:hAnsi="宋体" w:eastAsia="宋体" w:cs="宋体"/>
                <w:b w:val="0"/>
                <w:bCs w:val="0"/>
                <w:i w:val="0"/>
                <w:iCs w:val="0"/>
                <w:color w:val="000000"/>
                <w:sz w:val="20"/>
                <w:szCs w:val="20"/>
                <w:highlight w:val="none"/>
                <w:u w:val="none"/>
              </w:rPr>
            </w:pPr>
          </w:p>
        </w:tc>
      </w:tr>
      <w:tr w14:paraId="3787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C1EA1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197E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桌面式发言单元</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4E3DB07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Style w:val="31"/>
                <w:b w:val="0"/>
                <w:bCs w:val="0"/>
                <w:highlight w:val="none"/>
                <w:lang w:val="en-US" w:eastAsia="zh-CN" w:bidi="ar"/>
              </w:rPr>
              <w:t>1、开关设计：全新数控化静音开关设计；</w:t>
            </w:r>
            <w:r>
              <w:rPr>
                <w:rStyle w:val="31"/>
                <w:b w:val="0"/>
                <w:bCs w:val="0"/>
                <w:highlight w:val="none"/>
                <w:lang w:val="en-US" w:eastAsia="zh-CN" w:bidi="ar"/>
              </w:rPr>
              <w:br w:type="textWrapping"/>
            </w:r>
            <w:r>
              <w:rPr>
                <w:rStyle w:val="31"/>
                <w:b w:val="0"/>
                <w:bCs w:val="0"/>
                <w:highlight w:val="none"/>
                <w:lang w:val="en-US" w:eastAsia="zh-CN" w:bidi="ar"/>
              </w:rPr>
              <w:t>2、咪杆设计：稳固的带锁紧插拔式咪杆设计；</w:t>
            </w:r>
            <w:r>
              <w:rPr>
                <w:rStyle w:val="31"/>
                <w:b w:val="0"/>
                <w:bCs w:val="0"/>
                <w:highlight w:val="none"/>
                <w:lang w:val="en-US" w:eastAsia="zh-CN" w:bidi="ar"/>
              </w:rPr>
              <w:br w:type="textWrapping"/>
            </w:r>
            <w:r>
              <w:rPr>
                <w:rStyle w:val="31"/>
                <w:b w:val="0"/>
                <w:bCs w:val="0"/>
                <w:highlight w:val="none"/>
                <w:lang w:val="en-US" w:eastAsia="zh-CN" w:bidi="ar"/>
              </w:rPr>
              <w:t>3、拾音距离：高灵敏度咪芯设计拾音距离可达80cm以上；</w:t>
            </w:r>
            <w:r>
              <w:rPr>
                <w:rStyle w:val="31"/>
                <w:b w:val="0"/>
                <w:bCs w:val="0"/>
                <w:highlight w:val="none"/>
                <w:lang w:val="en-US" w:eastAsia="zh-CN" w:bidi="ar"/>
              </w:rPr>
              <w:br w:type="textWrapping"/>
            </w:r>
            <w:r>
              <w:rPr>
                <w:rStyle w:val="31"/>
                <w:b w:val="0"/>
                <w:bCs w:val="0"/>
                <w:highlight w:val="none"/>
                <w:lang w:val="en-US" w:eastAsia="zh-CN" w:bidi="ar"/>
              </w:rPr>
              <w:t>4、状态显示：话筒杆上红色雾面指示灯设计，指示发言状态；按键灯三色显示，红色表示正在发言，绿色表示正在优先，黄色表示故障；</w:t>
            </w:r>
            <w:r>
              <w:rPr>
                <w:rStyle w:val="31"/>
                <w:b w:val="0"/>
                <w:bCs w:val="0"/>
                <w:highlight w:val="none"/>
                <w:lang w:val="en-US" w:eastAsia="zh-CN" w:bidi="ar"/>
              </w:rPr>
              <w:br w:type="textWrapping"/>
            </w:r>
            <w:r>
              <w:rPr>
                <w:rStyle w:val="31"/>
                <w:b w:val="0"/>
                <w:bCs w:val="0"/>
                <w:highlight w:val="none"/>
                <w:lang w:val="en-US" w:eastAsia="zh-CN" w:bidi="ar"/>
              </w:rPr>
              <w:t>5、主席单元：具有主席优先按键，可以关闭正在发言的代表单元，不受话筒模式和发言人数限制；具备同时32只主席单元在线；</w:t>
            </w:r>
            <w:r>
              <w:rPr>
                <w:rStyle w:val="31"/>
                <w:b w:val="0"/>
                <w:bCs w:val="0"/>
                <w:highlight w:val="none"/>
                <w:lang w:val="en-US" w:eastAsia="zh-CN" w:bidi="ar"/>
              </w:rPr>
              <w:br w:type="textWrapping"/>
            </w:r>
            <w:r>
              <w:rPr>
                <w:rStyle w:val="31"/>
                <w:b w:val="0"/>
                <w:bCs w:val="0"/>
                <w:highlight w:val="none"/>
                <w:lang w:val="en-US" w:eastAsia="zh-CN" w:bidi="ar"/>
              </w:rPr>
              <w:t>6、摄像跟踪：具有自动摄像跟踪功能配合摄像头，使用会议主机或PC控制软件设置后可进行摄像自动跟踪；</w:t>
            </w:r>
            <w:r>
              <w:rPr>
                <w:rStyle w:val="31"/>
                <w:b w:val="0"/>
                <w:bCs w:val="0"/>
                <w:highlight w:val="none"/>
                <w:lang w:val="en-US" w:eastAsia="zh-CN" w:bidi="ar"/>
              </w:rPr>
              <w:br w:type="textWrapping"/>
            </w:r>
            <w:r>
              <w:rPr>
                <w:rStyle w:val="31"/>
                <w:b w:val="0"/>
                <w:bCs w:val="0"/>
                <w:highlight w:val="none"/>
                <w:lang w:val="en-US" w:eastAsia="zh-CN" w:bidi="ar"/>
              </w:rPr>
              <w:t>7、会议模式：支持先进先出和自由讨论模式；</w:t>
            </w:r>
            <w:r>
              <w:rPr>
                <w:rStyle w:val="31"/>
                <w:b w:val="0"/>
                <w:bCs w:val="0"/>
                <w:highlight w:val="none"/>
                <w:lang w:val="en-US" w:eastAsia="zh-CN" w:bidi="ar"/>
              </w:rPr>
              <w:br w:type="textWrapping"/>
            </w:r>
            <w:r>
              <w:rPr>
                <w:rStyle w:val="31"/>
                <w:b w:val="0"/>
                <w:bCs w:val="0"/>
                <w:highlight w:val="none"/>
                <w:lang w:val="en-US" w:eastAsia="zh-CN" w:bidi="ar"/>
              </w:rPr>
              <w:t>8、抗干扰性：超强抗手机射频(RF)干扰屏蔽设计,全金属外壳可提供防射频干扰能力；</w:t>
            </w:r>
            <w:r>
              <w:rPr>
                <w:rStyle w:val="31"/>
                <w:b w:val="0"/>
                <w:bCs w:val="0"/>
                <w:highlight w:val="none"/>
                <w:lang w:val="en-US" w:eastAsia="zh-CN" w:bidi="ar"/>
              </w:rPr>
              <w:br w:type="textWrapping"/>
            </w:r>
            <w:r>
              <w:rPr>
                <w:rStyle w:val="31"/>
                <w:b w:val="0"/>
                <w:bCs w:val="0"/>
                <w:highlight w:val="none"/>
                <w:lang w:val="en-US" w:eastAsia="zh-CN" w:bidi="ar"/>
              </w:rPr>
              <w:t>9、设备自检：支持会议主机和会议单元联动自检；</w:t>
            </w:r>
            <w:r>
              <w:rPr>
                <w:rStyle w:val="31"/>
                <w:b w:val="0"/>
                <w:bCs w:val="0"/>
                <w:highlight w:val="none"/>
                <w:lang w:val="en-US" w:eastAsia="zh-CN" w:bidi="ar"/>
              </w:rPr>
              <w:br w:type="textWrapping"/>
            </w:r>
            <w:r>
              <w:rPr>
                <w:rStyle w:val="31"/>
                <w:b w:val="0"/>
                <w:bCs w:val="0"/>
                <w:highlight w:val="none"/>
                <w:lang w:val="en-US" w:eastAsia="zh-CN" w:bidi="ar"/>
              </w:rPr>
              <w:t>10、防水等级：话筒防水级IPX5；</w:t>
            </w:r>
            <w:r>
              <w:rPr>
                <w:rStyle w:val="31"/>
                <w:b w:val="0"/>
                <w:bCs w:val="0"/>
                <w:highlight w:val="none"/>
                <w:lang w:val="en-US" w:eastAsia="zh-CN" w:bidi="ar"/>
              </w:rPr>
              <w:br w:type="textWrapping"/>
            </w:r>
            <w:r>
              <w:rPr>
                <w:rStyle w:val="31"/>
                <w:b w:val="0"/>
                <w:bCs w:val="0"/>
                <w:highlight w:val="none"/>
                <w:lang w:val="en-US" w:eastAsia="zh-CN" w:bidi="ar"/>
              </w:rPr>
              <w:t>11、热插拔：具备线路带电“热插拔”功能，让系统的安全性及稳定性得到有力的保障；</w:t>
            </w:r>
            <w:r>
              <w:rPr>
                <w:rStyle w:val="31"/>
                <w:b w:val="0"/>
                <w:bCs w:val="0"/>
                <w:highlight w:val="none"/>
                <w:lang w:val="en-US" w:eastAsia="zh-CN" w:bidi="ar"/>
              </w:rPr>
              <w:br w:type="textWrapping"/>
            </w:r>
            <w:r>
              <w:rPr>
                <w:rStyle w:val="31"/>
                <w:b w:val="0"/>
                <w:bCs w:val="0"/>
                <w:highlight w:val="none"/>
                <w:lang w:val="en-US" w:eastAsia="zh-CN" w:bidi="ar"/>
              </w:rPr>
              <w:t>12、指向性：超心型指向性驻极体电容咪；</w:t>
            </w:r>
            <w:r>
              <w:rPr>
                <w:rStyle w:val="31"/>
                <w:b w:val="0"/>
                <w:bCs w:val="0"/>
                <w:highlight w:val="none"/>
                <w:lang w:val="en-US" w:eastAsia="zh-CN" w:bidi="ar"/>
              </w:rPr>
              <w:br w:type="textWrapping"/>
            </w:r>
            <w:r>
              <w:rPr>
                <w:rStyle w:val="31"/>
                <w:b w:val="0"/>
                <w:bCs w:val="0"/>
                <w:highlight w:val="none"/>
                <w:lang w:val="en-US" w:eastAsia="zh-CN" w:bidi="ar"/>
              </w:rPr>
              <w:t>13、咪杆长度：38cm；频率响应：20Hz～20KHz；灵敏度：-36dB；最大声压级：110dB；串扰：&gt;70dB；动态范围：&gt;80dB；总谐波失真THD：&lt;0.1%；信噪比：&gt;70dB（A计权）；输出阻抗：&lt;200</w:t>
            </w:r>
            <w:r>
              <w:rPr>
                <w:rStyle w:val="36"/>
                <w:rFonts w:eastAsia="宋体"/>
                <w:b w:val="0"/>
                <w:bCs w:val="0"/>
                <w:highlight w:val="none"/>
                <w:lang w:val="en-US" w:eastAsia="zh-CN" w:bidi="ar"/>
              </w:rPr>
              <w:t>Ω</w:t>
            </w:r>
            <w:r>
              <w:rPr>
                <w:rStyle w:val="31"/>
                <w:b w:val="0"/>
                <w:bCs w:val="0"/>
                <w:highlight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F6D5F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2A9A0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48FE9DF">
            <w:pPr>
              <w:jc w:val="center"/>
              <w:rPr>
                <w:rFonts w:hint="eastAsia" w:ascii="宋体" w:hAnsi="宋体" w:eastAsia="宋体" w:cs="宋体"/>
                <w:b w:val="0"/>
                <w:bCs w:val="0"/>
                <w:i w:val="0"/>
                <w:iCs w:val="0"/>
                <w:color w:val="000000"/>
                <w:sz w:val="20"/>
                <w:szCs w:val="20"/>
                <w:highlight w:val="none"/>
                <w:u w:val="none"/>
              </w:rPr>
            </w:pPr>
          </w:p>
        </w:tc>
      </w:tr>
      <w:tr w14:paraId="58B1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04929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D85D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无源全频音箱</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75B58D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Style w:val="31"/>
                <w:b w:val="0"/>
                <w:bCs w:val="0"/>
                <w:highlight w:val="none"/>
                <w:lang w:val="en-US" w:eastAsia="zh-CN" w:bidi="ar"/>
              </w:rPr>
              <w:t>1、系统类型：10"二分频无源音箱；</w:t>
            </w:r>
            <w:r>
              <w:rPr>
                <w:rStyle w:val="31"/>
                <w:b w:val="0"/>
                <w:bCs w:val="0"/>
                <w:highlight w:val="none"/>
                <w:lang w:val="en-US" w:eastAsia="zh-CN" w:bidi="ar"/>
              </w:rPr>
              <w:br w:type="textWrapping"/>
            </w:r>
            <w:r>
              <w:rPr>
                <w:rStyle w:val="31"/>
                <w:b w:val="0"/>
                <w:bCs w:val="0"/>
                <w:highlight w:val="none"/>
                <w:lang w:val="en-US" w:eastAsia="zh-CN" w:bidi="ar"/>
              </w:rPr>
              <w:t>2、功率：180W（额定）/720W（峰值）；</w:t>
            </w:r>
            <w:r>
              <w:rPr>
                <w:rStyle w:val="31"/>
                <w:b w:val="0"/>
                <w:bCs w:val="0"/>
                <w:highlight w:val="none"/>
                <w:lang w:val="en-US" w:eastAsia="zh-CN" w:bidi="ar"/>
              </w:rPr>
              <w:br w:type="textWrapping"/>
            </w:r>
            <w:r>
              <w:rPr>
                <w:rStyle w:val="31"/>
                <w:b w:val="0"/>
                <w:bCs w:val="0"/>
                <w:highlight w:val="none"/>
                <w:lang w:val="en-US" w:eastAsia="zh-CN" w:bidi="ar"/>
              </w:rPr>
              <w:t>3、低音单元：1×10" 铁氧体磁铁低频单元，2"音圈；</w:t>
            </w:r>
            <w:r>
              <w:rPr>
                <w:rStyle w:val="31"/>
                <w:b w:val="0"/>
                <w:bCs w:val="0"/>
                <w:highlight w:val="none"/>
                <w:lang w:val="en-US" w:eastAsia="zh-CN" w:bidi="ar"/>
              </w:rPr>
              <w:br w:type="textWrapping"/>
            </w:r>
            <w:r>
              <w:rPr>
                <w:rStyle w:val="31"/>
                <w:b w:val="0"/>
                <w:bCs w:val="0"/>
                <w:highlight w:val="none"/>
                <w:lang w:val="en-US" w:eastAsia="zh-CN" w:bidi="ar"/>
              </w:rPr>
              <w:t>4、高音单元：1×1" 铁氧体高频单元，1.5"音圈；</w:t>
            </w:r>
            <w:r>
              <w:rPr>
                <w:rStyle w:val="31"/>
                <w:b w:val="0"/>
                <w:bCs w:val="0"/>
                <w:highlight w:val="none"/>
                <w:lang w:val="en-US" w:eastAsia="zh-CN" w:bidi="ar"/>
              </w:rPr>
              <w:br w:type="textWrapping"/>
            </w:r>
            <w:r>
              <w:rPr>
                <w:rStyle w:val="31"/>
                <w:b w:val="0"/>
                <w:bCs w:val="0"/>
                <w:highlight w:val="none"/>
                <w:lang w:val="en-US" w:eastAsia="zh-CN" w:bidi="ar"/>
              </w:rPr>
              <w:t>5、最大声压级(1M)：115dB（额定）/121dB（峰值）；</w:t>
            </w:r>
            <w:r>
              <w:rPr>
                <w:rStyle w:val="31"/>
                <w:b w:val="0"/>
                <w:bCs w:val="0"/>
                <w:highlight w:val="none"/>
                <w:lang w:val="en-US" w:eastAsia="zh-CN" w:bidi="ar"/>
              </w:rPr>
              <w:br w:type="textWrapping"/>
            </w:r>
            <w:r>
              <w:rPr>
                <w:rStyle w:val="31"/>
                <w:b w:val="0"/>
                <w:bCs w:val="0"/>
                <w:highlight w:val="none"/>
                <w:lang w:val="en-US" w:eastAsia="zh-CN" w:bidi="ar"/>
              </w:rPr>
              <w:t>6、阻抗： 8</w:t>
            </w:r>
            <w:r>
              <w:rPr>
                <w:rStyle w:val="36"/>
                <w:rFonts w:eastAsia="宋体"/>
                <w:b w:val="0"/>
                <w:bCs w:val="0"/>
                <w:highlight w:val="none"/>
                <w:lang w:val="en-US" w:eastAsia="zh-CN" w:bidi="ar"/>
              </w:rPr>
              <w:t>Ω</w:t>
            </w:r>
            <w:r>
              <w:rPr>
                <w:rStyle w:val="31"/>
                <w:b w:val="0"/>
                <w:bCs w:val="0"/>
                <w:highlight w:val="none"/>
                <w:lang w:val="en-US" w:eastAsia="zh-CN" w:bidi="ar"/>
              </w:rPr>
              <w:t>；</w:t>
            </w:r>
            <w:r>
              <w:rPr>
                <w:rStyle w:val="31"/>
                <w:b w:val="0"/>
                <w:bCs w:val="0"/>
                <w:highlight w:val="none"/>
                <w:lang w:val="en-US" w:eastAsia="zh-CN" w:bidi="ar"/>
              </w:rPr>
              <w:br w:type="textWrapping"/>
            </w:r>
            <w:r>
              <w:rPr>
                <w:rStyle w:val="31"/>
                <w:b w:val="0"/>
                <w:bCs w:val="0"/>
                <w:highlight w:val="none"/>
                <w:lang w:val="en-US" w:eastAsia="zh-CN" w:bidi="ar"/>
              </w:rPr>
              <w:t>7、灵敏度（1W/1M）: 92dB；</w:t>
            </w:r>
            <w:r>
              <w:rPr>
                <w:rStyle w:val="31"/>
                <w:b w:val="0"/>
                <w:bCs w:val="0"/>
                <w:highlight w:val="none"/>
                <w:lang w:val="en-US" w:eastAsia="zh-CN" w:bidi="ar"/>
              </w:rPr>
              <w:br w:type="textWrapping"/>
            </w:r>
            <w:r>
              <w:rPr>
                <w:rStyle w:val="31"/>
                <w:b w:val="0"/>
                <w:bCs w:val="0"/>
                <w:highlight w:val="none"/>
                <w:lang w:val="en-US" w:eastAsia="zh-CN" w:bidi="ar"/>
              </w:rPr>
              <w:t>8、频率响应：70Hz-20KHz(-6dB)；</w:t>
            </w:r>
            <w:r>
              <w:rPr>
                <w:rStyle w:val="31"/>
                <w:b w:val="0"/>
                <w:bCs w:val="0"/>
                <w:highlight w:val="none"/>
                <w:lang w:val="en-US" w:eastAsia="zh-CN" w:bidi="ar"/>
              </w:rPr>
              <w:br w:type="textWrapping"/>
            </w:r>
            <w:r>
              <w:rPr>
                <w:rStyle w:val="31"/>
                <w:b w:val="0"/>
                <w:bCs w:val="0"/>
                <w:highlight w:val="none"/>
                <w:lang w:val="en-US" w:eastAsia="zh-CN" w:bidi="ar"/>
              </w:rPr>
              <w:t>9、分频频率：2.2KHz；</w:t>
            </w:r>
            <w:r>
              <w:rPr>
                <w:rStyle w:val="31"/>
                <w:b w:val="0"/>
                <w:bCs w:val="0"/>
                <w:highlight w:val="none"/>
                <w:lang w:val="en-US" w:eastAsia="zh-CN" w:bidi="ar"/>
              </w:rPr>
              <w:br w:type="textWrapping"/>
            </w:r>
            <w:r>
              <w:rPr>
                <w:rStyle w:val="31"/>
                <w:b w:val="0"/>
                <w:bCs w:val="0"/>
                <w:highlight w:val="none"/>
                <w:lang w:val="en-US" w:eastAsia="zh-CN" w:bidi="ar"/>
              </w:rPr>
              <w:t>10、指向性：水平 90°，垂直60°；</w:t>
            </w:r>
            <w:r>
              <w:rPr>
                <w:rStyle w:val="31"/>
                <w:b w:val="0"/>
                <w:bCs w:val="0"/>
                <w:highlight w:val="none"/>
                <w:lang w:val="en-US" w:eastAsia="zh-CN" w:bidi="ar"/>
              </w:rPr>
              <w:br w:type="textWrapping"/>
            </w:r>
            <w:r>
              <w:rPr>
                <w:rStyle w:val="31"/>
                <w:b w:val="0"/>
                <w:bCs w:val="0"/>
                <w:highlight w:val="none"/>
                <w:lang w:val="en-US" w:eastAsia="zh-CN" w:bidi="ar"/>
              </w:rPr>
              <w:t>11、连接器：2×SPEAKON插座；</w:t>
            </w:r>
            <w:r>
              <w:rPr>
                <w:rStyle w:val="31"/>
                <w:b w:val="0"/>
                <w:bCs w:val="0"/>
                <w:highlight w:val="none"/>
                <w:lang w:val="en-US" w:eastAsia="zh-CN" w:bidi="ar"/>
              </w:rPr>
              <w:br w:type="textWrapping"/>
            </w:r>
            <w:r>
              <w:rPr>
                <w:rStyle w:val="31"/>
                <w:b w:val="0"/>
                <w:bCs w:val="0"/>
                <w:highlight w:val="none"/>
                <w:lang w:val="en-US" w:eastAsia="zh-CN" w:bidi="ar"/>
              </w:rPr>
              <w:t>12、箱体：梯形高强度黑点颗粒油漆箱体，黑色金属铁网保护及内贴声学滤网；含支架。</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A008A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5AD3C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6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29F53CC">
            <w:pPr>
              <w:jc w:val="center"/>
              <w:rPr>
                <w:rFonts w:hint="eastAsia" w:ascii="宋体" w:hAnsi="宋体" w:eastAsia="宋体" w:cs="宋体"/>
                <w:b w:val="0"/>
                <w:bCs w:val="0"/>
                <w:i w:val="0"/>
                <w:iCs w:val="0"/>
                <w:color w:val="000000"/>
                <w:sz w:val="20"/>
                <w:szCs w:val="20"/>
                <w:highlight w:val="none"/>
                <w:u w:val="none"/>
              </w:rPr>
            </w:pPr>
          </w:p>
        </w:tc>
      </w:tr>
      <w:tr w14:paraId="7722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F3B30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00A9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双通道专业数字功放</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584C05A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Style w:val="31"/>
                <w:b w:val="0"/>
                <w:bCs w:val="0"/>
                <w:highlight w:val="none"/>
                <w:lang w:val="en-US" w:eastAsia="zh-CN" w:bidi="ar"/>
              </w:rPr>
              <w:t>1、额定功率：2×300W/8</w:t>
            </w:r>
            <w:r>
              <w:rPr>
                <w:rStyle w:val="36"/>
                <w:rFonts w:eastAsia="宋体"/>
                <w:b w:val="0"/>
                <w:bCs w:val="0"/>
                <w:highlight w:val="none"/>
                <w:lang w:val="en-US" w:eastAsia="zh-CN" w:bidi="ar"/>
              </w:rPr>
              <w:t>Ω</w:t>
            </w:r>
            <w:r>
              <w:rPr>
                <w:rStyle w:val="31"/>
                <w:b w:val="0"/>
                <w:bCs w:val="0"/>
                <w:highlight w:val="none"/>
                <w:lang w:val="en-US" w:eastAsia="zh-CN" w:bidi="ar"/>
              </w:rPr>
              <w:t>，2×400W/4</w:t>
            </w:r>
            <w:r>
              <w:rPr>
                <w:rStyle w:val="36"/>
                <w:rFonts w:eastAsia="宋体"/>
                <w:b w:val="0"/>
                <w:bCs w:val="0"/>
                <w:highlight w:val="none"/>
                <w:lang w:val="en-US" w:eastAsia="zh-CN" w:bidi="ar"/>
              </w:rPr>
              <w:t>Ω</w:t>
            </w:r>
            <w:r>
              <w:rPr>
                <w:rStyle w:val="31"/>
                <w:b w:val="0"/>
                <w:bCs w:val="0"/>
                <w:highlight w:val="none"/>
                <w:lang w:val="en-US" w:eastAsia="zh-CN" w:bidi="ar"/>
              </w:rPr>
              <w:t>,桥接1×800W/8</w:t>
            </w:r>
            <w:r>
              <w:rPr>
                <w:rStyle w:val="36"/>
                <w:rFonts w:eastAsia="宋体"/>
                <w:b w:val="0"/>
                <w:bCs w:val="0"/>
                <w:highlight w:val="none"/>
                <w:lang w:val="en-US" w:eastAsia="zh-CN" w:bidi="ar"/>
              </w:rPr>
              <w:t>Ω</w:t>
            </w:r>
            <w:r>
              <w:rPr>
                <w:rStyle w:val="31"/>
                <w:b w:val="0"/>
                <w:bCs w:val="0"/>
                <w:highlight w:val="none"/>
                <w:lang w:val="en-US" w:eastAsia="zh-CN" w:bidi="ar"/>
              </w:rPr>
              <w:t>；</w:t>
            </w:r>
            <w:r>
              <w:rPr>
                <w:rStyle w:val="31"/>
                <w:b w:val="0"/>
                <w:bCs w:val="0"/>
                <w:highlight w:val="none"/>
                <w:lang w:val="en-US" w:eastAsia="zh-CN" w:bidi="ar"/>
              </w:rPr>
              <w:br w:type="textWrapping"/>
            </w:r>
            <w:r>
              <w:rPr>
                <w:rStyle w:val="31"/>
                <w:b w:val="0"/>
                <w:bCs w:val="0"/>
                <w:highlight w:val="none"/>
                <w:lang w:val="en-US" w:eastAsia="zh-CN" w:bidi="ar"/>
              </w:rPr>
              <w:t>2、频率响应：20Hz-20KHz；</w:t>
            </w:r>
            <w:r>
              <w:rPr>
                <w:rStyle w:val="31"/>
                <w:b w:val="0"/>
                <w:bCs w:val="0"/>
                <w:highlight w:val="none"/>
                <w:lang w:val="en-US" w:eastAsia="zh-CN" w:bidi="ar"/>
              </w:rPr>
              <w:br w:type="textWrapping"/>
            </w:r>
            <w:r>
              <w:rPr>
                <w:rStyle w:val="31"/>
                <w:b w:val="0"/>
                <w:bCs w:val="0"/>
                <w:highlight w:val="none"/>
                <w:lang w:val="en-US" w:eastAsia="zh-CN" w:bidi="ar"/>
              </w:rPr>
              <w:t>3、总谐波失真：&lt;0.5%  ；</w:t>
            </w:r>
            <w:r>
              <w:rPr>
                <w:rStyle w:val="31"/>
                <w:b w:val="0"/>
                <w:bCs w:val="0"/>
                <w:highlight w:val="none"/>
                <w:lang w:val="en-US" w:eastAsia="zh-CN" w:bidi="ar"/>
              </w:rPr>
              <w:br w:type="textWrapping"/>
            </w:r>
            <w:r>
              <w:rPr>
                <w:rStyle w:val="31"/>
                <w:b w:val="0"/>
                <w:bCs w:val="0"/>
                <w:highlight w:val="none"/>
                <w:lang w:val="en-US" w:eastAsia="zh-CN" w:bidi="ar"/>
              </w:rPr>
              <w:t>4、互调失真：≤0.35%；</w:t>
            </w:r>
            <w:r>
              <w:rPr>
                <w:rStyle w:val="31"/>
                <w:b w:val="0"/>
                <w:bCs w:val="0"/>
                <w:highlight w:val="none"/>
                <w:lang w:val="en-US" w:eastAsia="zh-CN" w:bidi="ar"/>
              </w:rPr>
              <w:br w:type="textWrapping"/>
            </w:r>
            <w:r>
              <w:rPr>
                <w:rStyle w:val="31"/>
                <w:b w:val="0"/>
                <w:bCs w:val="0"/>
                <w:highlight w:val="none"/>
                <w:lang w:val="en-US" w:eastAsia="zh-CN" w:bidi="ar"/>
              </w:rPr>
              <w:t>5、阻尼系数：&gt;200；</w:t>
            </w:r>
            <w:r>
              <w:rPr>
                <w:rStyle w:val="31"/>
                <w:b w:val="0"/>
                <w:bCs w:val="0"/>
                <w:highlight w:val="none"/>
                <w:lang w:val="en-US" w:eastAsia="zh-CN" w:bidi="ar"/>
              </w:rPr>
              <w:br w:type="textWrapping"/>
            </w:r>
            <w:r>
              <w:rPr>
                <w:rStyle w:val="31"/>
                <w:b w:val="0"/>
                <w:bCs w:val="0"/>
                <w:highlight w:val="none"/>
                <w:lang w:val="en-US" w:eastAsia="zh-CN" w:bidi="ar"/>
              </w:rPr>
              <w:t>6、电压增益：29dB；</w:t>
            </w:r>
            <w:r>
              <w:rPr>
                <w:rStyle w:val="31"/>
                <w:b w:val="0"/>
                <w:bCs w:val="0"/>
                <w:highlight w:val="none"/>
                <w:lang w:val="en-US" w:eastAsia="zh-CN" w:bidi="ar"/>
              </w:rPr>
              <w:br w:type="textWrapping"/>
            </w:r>
            <w:r>
              <w:rPr>
                <w:rStyle w:val="31"/>
                <w:b w:val="0"/>
                <w:bCs w:val="0"/>
                <w:highlight w:val="none"/>
                <w:lang w:val="en-US" w:eastAsia="zh-CN" w:bidi="ar"/>
              </w:rPr>
              <w:t>7、灵敏度：0.775V或1.4V或26dB；</w:t>
            </w:r>
            <w:r>
              <w:rPr>
                <w:rStyle w:val="31"/>
                <w:b w:val="0"/>
                <w:bCs w:val="0"/>
                <w:highlight w:val="none"/>
                <w:lang w:val="en-US" w:eastAsia="zh-CN" w:bidi="ar"/>
              </w:rPr>
              <w:br w:type="textWrapping"/>
            </w:r>
            <w:r>
              <w:rPr>
                <w:rStyle w:val="31"/>
                <w:b w:val="0"/>
                <w:bCs w:val="0"/>
                <w:highlight w:val="none"/>
                <w:lang w:val="en-US" w:eastAsia="zh-CN" w:bidi="ar"/>
              </w:rPr>
              <w:t>8、输入阻抗：20k</w:t>
            </w:r>
            <w:r>
              <w:rPr>
                <w:rStyle w:val="36"/>
                <w:rFonts w:eastAsia="宋体"/>
                <w:b w:val="0"/>
                <w:bCs w:val="0"/>
                <w:highlight w:val="none"/>
                <w:lang w:val="en-US" w:eastAsia="zh-CN" w:bidi="ar"/>
              </w:rPr>
              <w:t>Ω</w:t>
            </w:r>
            <w:r>
              <w:rPr>
                <w:rStyle w:val="31"/>
                <w:b w:val="0"/>
                <w:bCs w:val="0"/>
                <w:highlight w:val="none"/>
                <w:lang w:val="en-US" w:eastAsia="zh-CN" w:bidi="ar"/>
              </w:rPr>
              <w:t>平衡输入， 10k</w:t>
            </w:r>
            <w:r>
              <w:rPr>
                <w:rStyle w:val="36"/>
                <w:rFonts w:eastAsia="宋体"/>
                <w:b w:val="0"/>
                <w:bCs w:val="0"/>
                <w:highlight w:val="none"/>
                <w:lang w:val="en-US" w:eastAsia="zh-CN" w:bidi="ar"/>
              </w:rPr>
              <w:t>Ω</w:t>
            </w:r>
            <w:r>
              <w:rPr>
                <w:rStyle w:val="31"/>
                <w:b w:val="0"/>
                <w:bCs w:val="0"/>
                <w:highlight w:val="none"/>
                <w:lang w:val="en-US" w:eastAsia="zh-CN" w:bidi="ar"/>
              </w:rPr>
              <w:t>非平衡输入；</w:t>
            </w:r>
            <w:r>
              <w:rPr>
                <w:rStyle w:val="31"/>
                <w:b w:val="0"/>
                <w:bCs w:val="0"/>
                <w:highlight w:val="none"/>
                <w:lang w:val="en-US" w:eastAsia="zh-CN" w:bidi="ar"/>
              </w:rPr>
              <w:br w:type="textWrapping"/>
            </w:r>
            <w:r>
              <w:rPr>
                <w:rStyle w:val="31"/>
                <w:b w:val="0"/>
                <w:bCs w:val="0"/>
                <w:highlight w:val="none"/>
                <w:lang w:val="en-US" w:eastAsia="zh-CN" w:bidi="ar"/>
              </w:rPr>
              <w:t>9、信噪比：＞100dB；</w:t>
            </w:r>
            <w:r>
              <w:rPr>
                <w:rStyle w:val="31"/>
                <w:b w:val="0"/>
                <w:bCs w:val="0"/>
                <w:highlight w:val="none"/>
                <w:lang w:val="en-US" w:eastAsia="zh-CN" w:bidi="ar"/>
              </w:rPr>
              <w:br w:type="textWrapping"/>
            </w:r>
            <w:r>
              <w:rPr>
                <w:rStyle w:val="31"/>
                <w:b w:val="0"/>
                <w:bCs w:val="0"/>
                <w:highlight w:val="none"/>
                <w:lang w:val="en-US" w:eastAsia="zh-CN" w:bidi="ar"/>
              </w:rPr>
              <w:t>10、串扰：75dB；</w:t>
            </w:r>
            <w:r>
              <w:rPr>
                <w:rStyle w:val="31"/>
                <w:b w:val="0"/>
                <w:bCs w:val="0"/>
                <w:highlight w:val="none"/>
                <w:lang w:val="en-US" w:eastAsia="zh-CN" w:bidi="ar"/>
              </w:rPr>
              <w:br w:type="textWrapping"/>
            </w:r>
            <w:r>
              <w:rPr>
                <w:rStyle w:val="31"/>
                <w:b w:val="0"/>
                <w:bCs w:val="0"/>
                <w:highlight w:val="none"/>
                <w:lang w:val="en-US" w:eastAsia="zh-CN" w:bidi="ar"/>
              </w:rPr>
              <w:t>11、转换率：&gt;10V/us；</w:t>
            </w:r>
            <w:r>
              <w:rPr>
                <w:rStyle w:val="31"/>
                <w:b w:val="0"/>
                <w:bCs w:val="0"/>
                <w:highlight w:val="none"/>
                <w:lang w:val="en-US" w:eastAsia="zh-CN" w:bidi="ar"/>
              </w:rPr>
              <w:br w:type="textWrapping"/>
            </w:r>
            <w:r>
              <w:rPr>
                <w:rStyle w:val="31"/>
                <w:b w:val="0"/>
                <w:bCs w:val="0"/>
                <w:highlight w:val="none"/>
                <w:lang w:val="en-US" w:eastAsia="zh-CN" w:bidi="ar"/>
              </w:rPr>
              <w:t>12、输入接口：每通道1个平衡式×LR,一个平衡式×LR LINK连接口；</w:t>
            </w:r>
            <w:r>
              <w:rPr>
                <w:rStyle w:val="31"/>
                <w:b w:val="0"/>
                <w:bCs w:val="0"/>
                <w:highlight w:val="none"/>
                <w:lang w:val="en-US" w:eastAsia="zh-CN" w:bidi="ar"/>
              </w:rPr>
              <w:br w:type="textWrapping"/>
            </w:r>
            <w:r>
              <w:rPr>
                <w:rStyle w:val="31"/>
                <w:b w:val="0"/>
                <w:bCs w:val="0"/>
                <w:highlight w:val="none"/>
                <w:lang w:val="en-US" w:eastAsia="zh-CN" w:bidi="ar"/>
              </w:rPr>
              <w:t>13、输出接口：每通道1个4极SPEAKON和1对接线柱连接口；</w:t>
            </w:r>
            <w:r>
              <w:rPr>
                <w:rStyle w:val="31"/>
                <w:b w:val="0"/>
                <w:bCs w:val="0"/>
                <w:highlight w:val="none"/>
                <w:lang w:val="en-US" w:eastAsia="zh-CN" w:bidi="ar"/>
              </w:rPr>
              <w:br w:type="textWrapping"/>
            </w:r>
            <w:r>
              <w:rPr>
                <w:rStyle w:val="31"/>
                <w:b w:val="0"/>
                <w:bCs w:val="0"/>
                <w:highlight w:val="none"/>
                <w:lang w:val="en-US" w:eastAsia="zh-CN" w:bidi="ar"/>
              </w:rPr>
              <w:t>14、保护：防短路、空载、开启/关闭静音，信号干扰或过载；</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78106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3679C2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7A5CDB4">
            <w:pPr>
              <w:jc w:val="center"/>
              <w:rPr>
                <w:rFonts w:hint="eastAsia" w:ascii="宋体" w:hAnsi="宋体" w:eastAsia="宋体" w:cs="宋体"/>
                <w:b w:val="0"/>
                <w:bCs w:val="0"/>
                <w:i w:val="0"/>
                <w:iCs w:val="0"/>
                <w:color w:val="000000"/>
                <w:sz w:val="20"/>
                <w:szCs w:val="20"/>
                <w:highlight w:val="none"/>
                <w:u w:val="none"/>
              </w:rPr>
            </w:pPr>
          </w:p>
        </w:tc>
      </w:tr>
      <w:tr w14:paraId="3FE6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0928F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3CCA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专业音频处理器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42D92C8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1、支持双核高速浮点DSP；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2、支持8路模拟输入通道，8路模拟输出通道；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3、输入每通道处理功能：前级放大、信号发生器、扩展器、压缩器、5段参量均衡、反相、自动增益、自动混音等；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4、输出每通道处理功能：31段图示均衡器、延时器、分频器、高低通滤波器、限幅器、反相等；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5、具备高精度输入灵敏度调节，17档，步长3dB，可支持各种话筒声音的拾取；</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6、支持AFC反馈消除、AEC回声消除、ANC噪声消除等算法；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7、支持USB接口，可实现多媒体录制/播放功能；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8、兼容多方平台控制管理，支持Windows系统、iOS系统以及Andriod系统,通过iPAD或iPhone或安卓手机APP软件进行操作控制。</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DE673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07D97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6E3E99B5">
            <w:pPr>
              <w:jc w:val="center"/>
              <w:rPr>
                <w:rFonts w:hint="eastAsia" w:ascii="宋体" w:hAnsi="宋体" w:eastAsia="宋体" w:cs="宋体"/>
                <w:b w:val="0"/>
                <w:bCs w:val="0"/>
                <w:i w:val="0"/>
                <w:iCs w:val="0"/>
                <w:color w:val="000000"/>
                <w:sz w:val="20"/>
                <w:szCs w:val="20"/>
                <w:highlight w:val="none"/>
                <w:u w:val="none"/>
              </w:rPr>
            </w:pPr>
          </w:p>
        </w:tc>
      </w:tr>
      <w:tr w14:paraId="3972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77DD7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9E73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专业自动反馈抑制器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71CB330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1、处理器：采用32位浮点DSP、24位AD/DA；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2、采样率：96K；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3、输入输出：2路平衡输入，2路平衡输出；输入输出提供压缩器、噪声门功能；每通道提供7段PEQ及高通设置；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4、陷波器：内置48个陷波器，每通道12个静态陷波器+12个动态陷波器；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5、频响范围：20Hz~20kHz；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6、系统延迟：&lt;1.9ms；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7、数模转换：24-bit；</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8、总谐波失真：&lt;0.014%THD+D；</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9、信噪比：108dB(A)；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10、动态范围：110dB；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11、输入接口：2路XLR/2路1/4“TRS(母)平衡输入；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12、输出接口：2路XLR/2路1/4“TRS(母)平衡输出；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13、功能：噪声门、移频、陷波、EQ、压缩限幅器；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14、反馈抑制方式：移频+自动限波；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15、通讯接口：RS-485接口，USB Type-B；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16、显示屏：3.3英寸分辨率16*16LCD屏。</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721EA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493F0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856461D">
            <w:pPr>
              <w:jc w:val="center"/>
              <w:rPr>
                <w:rFonts w:hint="eastAsia" w:ascii="宋体" w:hAnsi="宋体" w:eastAsia="宋体" w:cs="宋体"/>
                <w:b w:val="0"/>
                <w:bCs w:val="0"/>
                <w:i w:val="0"/>
                <w:iCs w:val="0"/>
                <w:color w:val="000000"/>
                <w:sz w:val="20"/>
                <w:szCs w:val="20"/>
                <w:highlight w:val="none"/>
                <w:u w:val="none"/>
              </w:rPr>
            </w:pPr>
          </w:p>
        </w:tc>
      </w:tr>
      <w:tr w14:paraId="46A6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FBE09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7AB9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模拟调音台</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00DE30B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1、8路XLR平衡单声通道输入、超低噪音线路设计，动态余量大；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2、每通道带3段均衡调节，MUTE静音开关，60MM平滑推子衰减器；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3、1组立体声母线，2组AUX母线输出（包括FX)；</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4、内置48V幻象电源供电；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5、自带16种DSP数字效果器,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6、USB音频播放MP3；</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7、内置蓝牙5.0播放；</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8、LED显示屏清淅显示播放状态；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9、十段三色电平灯显示。</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09557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86442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6CC80FB5">
            <w:pPr>
              <w:jc w:val="center"/>
              <w:rPr>
                <w:rFonts w:hint="eastAsia" w:ascii="宋体" w:hAnsi="宋体" w:eastAsia="宋体" w:cs="宋体"/>
                <w:b w:val="0"/>
                <w:bCs w:val="0"/>
                <w:i w:val="0"/>
                <w:iCs w:val="0"/>
                <w:color w:val="000000"/>
                <w:sz w:val="20"/>
                <w:szCs w:val="20"/>
                <w:highlight w:val="none"/>
                <w:u w:val="none"/>
              </w:rPr>
            </w:pPr>
          </w:p>
        </w:tc>
      </w:tr>
      <w:tr w14:paraId="5882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5C825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B1D5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真分集无线话筒</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FABA0B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1、真分集一拖二无线手持；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2、频率范围：612MHz-692MHz，每个间隔频率为250Hz；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3、扫频功能：可自动跳过正在使用的频率和其他杂波频率以避免串频干扰；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4、功率调节：内置三级功率调节，每级约20米距离；</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5、智能对频：红外线自动对频，ACT自动选频；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6、工作距离：无障碍直线100米以上；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7、可调信道数：200通道；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8、信噪比：&gt;100dB；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9、失真度THD：&lt;0.01%；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10、接收灵敏度： -95dBm；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11、音频输出电压：0.3V；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12、邻频干扰抑制：&gt;60dB；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13、灵敏度：&gt;20dBM（1V）；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14、频率响应：50Hz-20000Hz；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15、振荡方式：PLL相位锁定频率合成；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16、音频输出：平衡输出和混合输出。</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5755A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E6BB6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75D16D3">
            <w:pPr>
              <w:jc w:val="center"/>
              <w:rPr>
                <w:rFonts w:hint="eastAsia" w:ascii="宋体" w:hAnsi="宋体" w:eastAsia="宋体" w:cs="宋体"/>
                <w:b w:val="0"/>
                <w:bCs w:val="0"/>
                <w:i w:val="0"/>
                <w:iCs w:val="0"/>
                <w:color w:val="000000"/>
                <w:sz w:val="20"/>
                <w:szCs w:val="20"/>
                <w:highlight w:val="none"/>
                <w:u w:val="none"/>
              </w:rPr>
            </w:pPr>
          </w:p>
        </w:tc>
      </w:tr>
      <w:tr w14:paraId="45FC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FF50C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9EFE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电源时序器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57EE73A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1、设备支持220V±10%, 50/60Hz 的输入电压，最大功耗支持8.8KW;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2、支持8 路大电流时序电源输出，任意一路可根据使用需求修改为直通电源输出；设备前面板支持1路直通电源输出，不受时序控制；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3、前面板配备显示屏，可随时监视市电电压的稳定性；具备过流保护、过压保护、欠压保护等，保护供电设备的使用安全；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4、8路电源时序控制，每路输出闭合/断开的延时支持1~9999S自定义；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5、采用串口通用协议控制，可兼容主流品牌的智能中央控制系统或第三方设备的控制；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6、支持设备之间的级联控制，最大可支持255台设备；1 路 USB 供电，最大支持 5V/1A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7、支持通过上位机软件实时获取设备电源输出口的闭合/断开状态。</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7F7F4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09400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3626B27">
            <w:pPr>
              <w:jc w:val="center"/>
              <w:rPr>
                <w:rFonts w:hint="eastAsia" w:ascii="宋体" w:hAnsi="宋体" w:eastAsia="宋体" w:cs="宋体"/>
                <w:b w:val="0"/>
                <w:bCs w:val="0"/>
                <w:i w:val="0"/>
                <w:iCs w:val="0"/>
                <w:color w:val="000000"/>
                <w:sz w:val="20"/>
                <w:szCs w:val="20"/>
                <w:highlight w:val="none"/>
                <w:u w:val="none"/>
              </w:rPr>
            </w:pPr>
          </w:p>
        </w:tc>
      </w:tr>
      <w:tr w14:paraId="5718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861DE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55FC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扩声系统辅材</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2E9B05B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会议主机连接线缆/音频线400米/音箱线200米/卡农公50个/卡侬母50个/莲花头10个/小三芯5个</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CEB63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1822A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A2E1BE9">
            <w:pPr>
              <w:jc w:val="center"/>
              <w:rPr>
                <w:rFonts w:hint="eastAsia" w:ascii="宋体" w:hAnsi="宋体" w:eastAsia="宋体" w:cs="宋体"/>
                <w:b w:val="0"/>
                <w:bCs w:val="0"/>
                <w:i w:val="0"/>
                <w:iCs w:val="0"/>
                <w:color w:val="000000"/>
                <w:sz w:val="20"/>
                <w:szCs w:val="20"/>
                <w:highlight w:val="none"/>
                <w:u w:val="none"/>
              </w:rPr>
            </w:pPr>
          </w:p>
        </w:tc>
      </w:tr>
      <w:tr w14:paraId="655F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0E914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A204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机柜</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54C1A29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规格（W*D*H）：600mm*1000mm*1200mm； 配置2个理线架，2个侧板，1个底板，2个固定托盘，1个全高竖装32A PDU。采用黑色， PDU外壳选用优质型材；PDU电压：AC220V，输入容量：32A，分路空开配置12*A10。</w:t>
            </w:r>
          </w:p>
        </w:tc>
        <w:tc>
          <w:tcPr>
            <w:tcW w:w="300" w:type="dxa"/>
            <w:tcBorders>
              <w:top w:val="single" w:color="000000" w:sz="4" w:space="0"/>
              <w:left w:val="single" w:color="000000" w:sz="4" w:space="0"/>
              <w:bottom w:val="single" w:color="000000" w:sz="4" w:space="0"/>
              <w:right w:val="single" w:color="000000" w:sz="4" w:space="0"/>
            </w:tcBorders>
            <w:noWrap/>
            <w:vAlign w:val="center"/>
          </w:tcPr>
          <w:p w14:paraId="430746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4BC39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8918FE5">
            <w:pPr>
              <w:rPr>
                <w:rFonts w:hint="eastAsia" w:ascii="宋体" w:hAnsi="宋体" w:eastAsia="宋体" w:cs="宋体"/>
                <w:b w:val="0"/>
                <w:bCs w:val="0"/>
                <w:i w:val="0"/>
                <w:iCs w:val="0"/>
                <w:color w:val="000000"/>
                <w:sz w:val="20"/>
                <w:szCs w:val="20"/>
                <w:highlight w:val="none"/>
                <w:u w:val="none"/>
              </w:rPr>
            </w:pPr>
          </w:p>
        </w:tc>
      </w:tr>
      <w:tr w14:paraId="599A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4CB81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7F65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会议室</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7A22BD4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见6.2附表装修清单</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E0EBC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FE5FE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590C397">
            <w:pPr>
              <w:rPr>
                <w:rFonts w:hint="default" w:ascii="Times New Roman" w:hAnsi="Times New Roman" w:cs="Times New Roman"/>
                <w:b w:val="0"/>
                <w:bCs w:val="0"/>
                <w:i w:val="0"/>
                <w:iCs w:val="0"/>
                <w:color w:val="000000"/>
                <w:sz w:val="20"/>
                <w:szCs w:val="20"/>
                <w:highlight w:val="none"/>
                <w:u w:val="none"/>
              </w:rPr>
            </w:pPr>
          </w:p>
        </w:tc>
      </w:tr>
      <w:tr w14:paraId="71FA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73" w:type="dxa"/>
            <w:gridSpan w:val="5"/>
            <w:tcBorders>
              <w:top w:val="single" w:color="000000" w:sz="4" w:space="0"/>
              <w:left w:val="single" w:color="000000" w:sz="4" w:space="0"/>
              <w:bottom w:val="single" w:color="000000" w:sz="4" w:space="0"/>
              <w:right w:val="single" w:color="000000" w:sz="4" w:space="0"/>
            </w:tcBorders>
            <w:noWrap/>
            <w:vAlign w:val="center"/>
          </w:tcPr>
          <w:p w14:paraId="4B96C9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1FCCC09">
            <w:pPr>
              <w:rPr>
                <w:rFonts w:hint="default" w:ascii="Times New Roman" w:hAnsi="Times New Roman" w:cs="Times New Roman"/>
                <w:b w:val="0"/>
                <w:bCs w:val="0"/>
                <w:i w:val="0"/>
                <w:iCs w:val="0"/>
                <w:color w:val="000000"/>
                <w:sz w:val="20"/>
                <w:szCs w:val="20"/>
                <w:highlight w:val="none"/>
                <w:u w:val="none"/>
              </w:rPr>
            </w:pPr>
          </w:p>
        </w:tc>
      </w:tr>
      <w:tr w14:paraId="0511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4" w:type="dxa"/>
            <w:gridSpan w:val="6"/>
            <w:tcBorders>
              <w:top w:val="single" w:color="000000" w:sz="4" w:space="0"/>
              <w:left w:val="single" w:color="000000" w:sz="4" w:space="0"/>
              <w:bottom w:val="single" w:color="000000" w:sz="4" w:space="0"/>
              <w:right w:val="single" w:color="000000" w:sz="4" w:space="0"/>
            </w:tcBorders>
            <w:noWrap/>
            <w:vAlign w:val="center"/>
          </w:tcPr>
          <w:p w14:paraId="39891FB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4.3体育场扩音系统 </w:t>
            </w:r>
          </w:p>
        </w:tc>
      </w:tr>
      <w:tr w14:paraId="1793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F7E71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C65F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防水型无源线阵列全频音箱(内置分频)</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6FEFDD0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Style w:val="37"/>
                <w:b w:val="0"/>
                <w:bCs w:val="0"/>
                <w:highlight w:val="none"/>
                <w:lang w:val="en-US" w:eastAsia="zh-CN" w:bidi="ar"/>
              </w:rPr>
              <w:t>1.线性阵列音箱是由两只8寸、50mm音圈的专业低音单元与一只1.75寸高音加载高效能波阵面转换器组成的两分频系统；</w:t>
            </w:r>
            <w:r>
              <w:rPr>
                <w:rStyle w:val="37"/>
                <w:b w:val="0"/>
                <w:bCs w:val="0"/>
                <w:highlight w:val="none"/>
                <w:lang w:val="en-US" w:eastAsia="zh-CN" w:bidi="ar"/>
              </w:rPr>
              <w:br w:type="textWrapping"/>
            </w:r>
            <w:r>
              <w:rPr>
                <w:rStyle w:val="37"/>
                <w:b w:val="0"/>
                <w:bCs w:val="0"/>
                <w:highlight w:val="none"/>
                <w:lang w:val="en-US" w:eastAsia="zh-CN" w:bidi="ar"/>
              </w:rPr>
              <w:t>2.音质清晰，声音层次丰富，中低频饱满，高音细腻，大功率下不失真；</w:t>
            </w:r>
            <w:r>
              <w:rPr>
                <w:rStyle w:val="37"/>
                <w:b w:val="0"/>
                <w:bCs w:val="0"/>
                <w:highlight w:val="none"/>
                <w:lang w:val="en-US" w:eastAsia="zh-CN" w:bidi="ar"/>
              </w:rPr>
              <w:br w:type="textWrapping"/>
            </w:r>
            <w:r>
              <w:rPr>
                <w:rStyle w:val="37"/>
                <w:b w:val="0"/>
                <w:bCs w:val="0"/>
                <w:highlight w:val="none"/>
                <w:lang w:val="en-US" w:eastAsia="zh-CN" w:bidi="ar"/>
              </w:rPr>
              <w:t>3.优质全铝悬挂系统，音箱之间0°～20°夹角可调。音箱即可在地面叠放，也可在空中吊装使用；</w:t>
            </w:r>
            <w:r>
              <w:rPr>
                <w:rStyle w:val="37"/>
                <w:b w:val="0"/>
                <w:bCs w:val="0"/>
                <w:highlight w:val="none"/>
                <w:lang w:val="en-US" w:eastAsia="zh-CN" w:bidi="ar"/>
              </w:rPr>
              <w:br w:type="textWrapping"/>
            </w:r>
            <w:r>
              <w:rPr>
                <w:rStyle w:val="37"/>
                <w:b w:val="0"/>
                <w:bCs w:val="0"/>
                <w:highlight w:val="none"/>
                <w:lang w:val="en-US" w:eastAsia="zh-CN" w:bidi="ar"/>
              </w:rPr>
              <w:t>4.防潮、防腐蚀、防水工艺，对箱体内外做全方位的防水处理，以便适用于相对恶劣的潮湿、高温、多雨、暴晒的环境并能够达到令人满意的音乐效果。</w:t>
            </w:r>
            <w:r>
              <w:rPr>
                <w:rStyle w:val="37"/>
                <w:b w:val="0"/>
                <w:bCs w:val="0"/>
                <w:highlight w:val="none"/>
                <w:lang w:val="en-US" w:eastAsia="zh-CN" w:bidi="ar"/>
              </w:rPr>
              <w:br w:type="textWrapping"/>
            </w:r>
            <w:r>
              <w:rPr>
                <w:rStyle w:val="37"/>
                <w:b w:val="0"/>
                <w:bCs w:val="0"/>
                <w:highlight w:val="none"/>
                <w:lang w:val="en-US" w:eastAsia="zh-CN" w:bidi="ar"/>
              </w:rPr>
              <w:t>性能规格：</w:t>
            </w:r>
            <w:r>
              <w:rPr>
                <w:rStyle w:val="37"/>
                <w:b w:val="0"/>
                <w:bCs w:val="0"/>
                <w:highlight w:val="none"/>
                <w:lang w:val="en-US" w:eastAsia="zh-CN" w:bidi="ar"/>
              </w:rPr>
              <w:br w:type="textWrapping"/>
            </w:r>
            <w:r>
              <w:rPr>
                <w:rStyle w:val="37"/>
                <w:b w:val="0"/>
                <w:bCs w:val="0"/>
                <w:highlight w:val="none"/>
                <w:lang w:val="en-US" w:eastAsia="zh-CN" w:bidi="ar"/>
              </w:rPr>
              <w:t>1.单元结构 8”低音×2，1.75”高音×1</w:t>
            </w:r>
            <w:r>
              <w:rPr>
                <w:rStyle w:val="37"/>
                <w:b w:val="0"/>
                <w:bCs w:val="0"/>
                <w:highlight w:val="none"/>
                <w:lang w:val="en-US" w:eastAsia="zh-CN" w:bidi="ar"/>
              </w:rPr>
              <w:br w:type="textWrapping"/>
            </w:r>
            <w:r>
              <w:rPr>
                <w:rStyle w:val="37"/>
                <w:b w:val="0"/>
                <w:bCs w:val="0"/>
                <w:highlight w:val="none"/>
                <w:lang w:val="en-US" w:eastAsia="zh-CN" w:bidi="ar"/>
              </w:rPr>
              <w:t>2.频率响应 70 Hz – 20 kHz</w:t>
            </w:r>
            <w:r>
              <w:rPr>
                <w:rStyle w:val="37"/>
                <w:b w:val="0"/>
                <w:bCs w:val="0"/>
                <w:highlight w:val="none"/>
                <w:lang w:val="en-US" w:eastAsia="zh-CN" w:bidi="ar"/>
              </w:rPr>
              <w:br w:type="textWrapping"/>
            </w:r>
            <w:r>
              <w:rPr>
                <w:rStyle w:val="37"/>
                <w:b w:val="0"/>
                <w:bCs w:val="0"/>
                <w:highlight w:val="none"/>
                <w:lang w:val="en-US" w:eastAsia="zh-CN" w:bidi="ar"/>
              </w:rPr>
              <w:t>3.灵敏度（1m/1W） 98±2dB</w:t>
            </w:r>
            <w:r>
              <w:rPr>
                <w:rStyle w:val="37"/>
                <w:b w:val="0"/>
                <w:bCs w:val="0"/>
                <w:highlight w:val="none"/>
                <w:lang w:val="en-US" w:eastAsia="zh-CN" w:bidi="ar"/>
              </w:rPr>
              <w:br w:type="textWrapping"/>
            </w:r>
            <w:r>
              <w:rPr>
                <w:rStyle w:val="37"/>
                <w:b w:val="0"/>
                <w:bCs w:val="0"/>
                <w:highlight w:val="none"/>
                <w:lang w:val="en-US" w:eastAsia="zh-CN" w:bidi="ar"/>
              </w:rPr>
              <w:t>4.最大声压级 124±2dB</w:t>
            </w:r>
            <w:r>
              <w:rPr>
                <w:rStyle w:val="37"/>
                <w:b w:val="0"/>
                <w:bCs w:val="0"/>
                <w:highlight w:val="none"/>
                <w:lang w:val="en-US" w:eastAsia="zh-CN" w:bidi="ar"/>
              </w:rPr>
              <w:br w:type="textWrapping"/>
            </w:r>
            <w:r>
              <w:rPr>
                <w:rStyle w:val="37"/>
                <w:b w:val="0"/>
                <w:bCs w:val="0"/>
                <w:highlight w:val="none"/>
                <w:lang w:val="en-US" w:eastAsia="zh-CN" w:bidi="ar"/>
              </w:rPr>
              <w:t>5.持续功率 400W（AES）</w:t>
            </w:r>
            <w:r>
              <w:rPr>
                <w:rStyle w:val="37"/>
                <w:b w:val="0"/>
                <w:bCs w:val="0"/>
                <w:highlight w:val="none"/>
                <w:lang w:val="en-US" w:eastAsia="zh-CN" w:bidi="ar"/>
              </w:rPr>
              <w:br w:type="textWrapping"/>
            </w:r>
            <w:r>
              <w:rPr>
                <w:rStyle w:val="37"/>
                <w:b w:val="0"/>
                <w:bCs w:val="0"/>
                <w:highlight w:val="none"/>
                <w:lang w:val="en-US" w:eastAsia="zh-CN" w:bidi="ar"/>
              </w:rPr>
              <w:t>6.额定阻抗 16</w:t>
            </w:r>
            <w:r>
              <w:rPr>
                <w:rStyle w:val="38"/>
                <w:rFonts w:eastAsia="宋体"/>
                <w:b w:val="0"/>
                <w:bCs w:val="0"/>
                <w:highlight w:val="none"/>
                <w:lang w:val="en-US" w:eastAsia="zh-CN" w:bidi="ar"/>
              </w:rPr>
              <w:t>Ω</w:t>
            </w:r>
            <w:r>
              <w:rPr>
                <w:rStyle w:val="37"/>
                <w:b w:val="0"/>
                <w:bCs w:val="0"/>
                <w:highlight w:val="none"/>
                <w:lang w:val="en-US" w:eastAsia="zh-CN" w:bidi="ar"/>
              </w:rPr>
              <w:br w:type="textWrapping"/>
            </w:r>
            <w:r>
              <w:rPr>
                <w:rStyle w:val="37"/>
                <w:b w:val="0"/>
                <w:bCs w:val="0"/>
                <w:highlight w:val="none"/>
                <w:lang w:val="en-US" w:eastAsia="zh-CN" w:bidi="ar"/>
              </w:rPr>
              <w:t>7.指向性（H×V） 120°×20°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A4D9B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3D714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16</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BA6C9E8">
            <w:pPr>
              <w:rPr>
                <w:rFonts w:hint="default" w:ascii="Times New Roman" w:hAnsi="Times New Roman" w:cs="Times New Roman"/>
                <w:b w:val="0"/>
                <w:bCs w:val="0"/>
                <w:i w:val="0"/>
                <w:iCs w:val="0"/>
                <w:color w:val="000000"/>
                <w:sz w:val="20"/>
                <w:szCs w:val="20"/>
                <w:highlight w:val="none"/>
                <w:u w:val="none"/>
              </w:rPr>
            </w:pPr>
          </w:p>
        </w:tc>
      </w:tr>
      <w:tr w14:paraId="0630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F4354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5C07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防水型无源全频音箱</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0435692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Style w:val="37"/>
                <w:b w:val="0"/>
                <w:bCs w:val="0"/>
                <w:highlight w:val="none"/>
                <w:lang w:val="en-US" w:eastAsia="zh-CN" w:bidi="ar"/>
              </w:rPr>
              <w:t>1.倒相式低频辐射的二分频全频系统，高效，高质量单元配置，多个吊挂孔设置，可悬挂安装；</w:t>
            </w:r>
            <w:r>
              <w:rPr>
                <w:rStyle w:val="37"/>
                <w:b w:val="0"/>
                <w:bCs w:val="0"/>
                <w:highlight w:val="none"/>
                <w:lang w:val="en-US" w:eastAsia="zh-CN" w:bidi="ar"/>
              </w:rPr>
              <w:br w:type="textWrapping"/>
            </w:r>
            <w:r>
              <w:rPr>
                <w:rStyle w:val="37"/>
                <w:b w:val="0"/>
                <w:bCs w:val="0"/>
                <w:highlight w:val="none"/>
                <w:lang w:val="en-US" w:eastAsia="zh-CN" w:bidi="ar"/>
              </w:rPr>
              <w:t>2.表面大斑点水性油漆喷涂处理木箱，有孔金属网背贴声学透声棉；</w:t>
            </w:r>
            <w:r>
              <w:rPr>
                <w:rStyle w:val="37"/>
                <w:b w:val="0"/>
                <w:bCs w:val="0"/>
                <w:highlight w:val="none"/>
                <w:lang w:val="en-US" w:eastAsia="zh-CN" w:bidi="ar"/>
              </w:rPr>
              <w:br w:type="textWrapping"/>
            </w:r>
            <w:r>
              <w:rPr>
                <w:rStyle w:val="37"/>
                <w:b w:val="0"/>
                <w:bCs w:val="0"/>
                <w:highlight w:val="none"/>
                <w:lang w:val="en-US" w:eastAsia="zh-CN" w:bidi="ar"/>
              </w:rPr>
              <w:t>3.防潮、防腐蚀、防水工艺，对箱体内外做全方位的防水处理，以便适用于相对恶劣的潮湿、高温、多雨、暴晒的环境并能够达到令人满意的音乐效果的音箱。</w:t>
            </w:r>
            <w:r>
              <w:rPr>
                <w:rStyle w:val="37"/>
                <w:b w:val="0"/>
                <w:bCs w:val="0"/>
                <w:highlight w:val="none"/>
                <w:lang w:val="en-US" w:eastAsia="zh-CN" w:bidi="ar"/>
              </w:rPr>
              <w:br w:type="textWrapping"/>
            </w:r>
            <w:r>
              <w:rPr>
                <w:rStyle w:val="37"/>
                <w:b w:val="0"/>
                <w:bCs w:val="0"/>
                <w:highlight w:val="none"/>
                <w:lang w:val="en-US" w:eastAsia="zh-CN" w:bidi="ar"/>
              </w:rPr>
              <w:t>性能规格：</w:t>
            </w:r>
            <w:r>
              <w:rPr>
                <w:rStyle w:val="37"/>
                <w:b w:val="0"/>
                <w:bCs w:val="0"/>
                <w:highlight w:val="none"/>
                <w:lang w:val="en-US" w:eastAsia="zh-CN" w:bidi="ar"/>
              </w:rPr>
              <w:br w:type="textWrapping"/>
            </w:r>
            <w:r>
              <w:rPr>
                <w:rStyle w:val="37"/>
                <w:b w:val="0"/>
                <w:bCs w:val="0"/>
                <w:highlight w:val="none"/>
                <w:lang w:val="en-US" w:eastAsia="zh-CN" w:bidi="ar"/>
              </w:rPr>
              <w:t>1.驱动单元 LF12"×1 HF1.75"×1</w:t>
            </w:r>
            <w:r>
              <w:rPr>
                <w:rStyle w:val="37"/>
                <w:b w:val="0"/>
                <w:bCs w:val="0"/>
                <w:highlight w:val="none"/>
                <w:lang w:val="en-US" w:eastAsia="zh-CN" w:bidi="ar"/>
              </w:rPr>
              <w:br w:type="textWrapping"/>
            </w:r>
            <w:r>
              <w:rPr>
                <w:rStyle w:val="37"/>
                <w:b w:val="0"/>
                <w:bCs w:val="0"/>
                <w:highlight w:val="none"/>
                <w:lang w:val="en-US" w:eastAsia="zh-CN" w:bidi="ar"/>
              </w:rPr>
              <w:t>2.频率响应 55Hz-18kHz</w:t>
            </w:r>
            <w:r>
              <w:rPr>
                <w:rStyle w:val="37"/>
                <w:b w:val="0"/>
                <w:bCs w:val="0"/>
                <w:highlight w:val="none"/>
                <w:lang w:val="en-US" w:eastAsia="zh-CN" w:bidi="ar"/>
              </w:rPr>
              <w:br w:type="textWrapping"/>
            </w:r>
            <w:r>
              <w:rPr>
                <w:rStyle w:val="37"/>
                <w:b w:val="0"/>
                <w:bCs w:val="0"/>
                <w:highlight w:val="none"/>
                <w:lang w:val="en-US" w:eastAsia="zh-CN" w:bidi="ar"/>
              </w:rPr>
              <w:t>3.灵敏度 98±2dB</w:t>
            </w:r>
            <w:r>
              <w:rPr>
                <w:rStyle w:val="37"/>
                <w:b w:val="0"/>
                <w:bCs w:val="0"/>
                <w:highlight w:val="none"/>
                <w:lang w:val="en-US" w:eastAsia="zh-CN" w:bidi="ar"/>
              </w:rPr>
              <w:br w:type="textWrapping"/>
            </w:r>
            <w:r>
              <w:rPr>
                <w:rStyle w:val="37"/>
                <w:b w:val="0"/>
                <w:bCs w:val="0"/>
                <w:highlight w:val="none"/>
                <w:lang w:val="en-US" w:eastAsia="zh-CN" w:bidi="ar"/>
              </w:rPr>
              <w:t>4.最大声压级 123±2dB</w:t>
            </w:r>
            <w:r>
              <w:rPr>
                <w:rStyle w:val="37"/>
                <w:b w:val="0"/>
                <w:bCs w:val="0"/>
                <w:highlight w:val="none"/>
                <w:lang w:val="en-US" w:eastAsia="zh-CN" w:bidi="ar"/>
              </w:rPr>
              <w:br w:type="textWrapping"/>
            </w:r>
            <w:r>
              <w:rPr>
                <w:rStyle w:val="37"/>
                <w:b w:val="0"/>
                <w:bCs w:val="0"/>
                <w:highlight w:val="none"/>
                <w:lang w:val="en-US" w:eastAsia="zh-CN" w:bidi="ar"/>
              </w:rPr>
              <w:t>5.额定阻抗 8</w:t>
            </w:r>
            <w:r>
              <w:rPr>
                <w:rStyle w:val="38"/>
                <w:rFonts w:eastAsia="宋体"/>
                <w:b w:val="0"/>
                <w:bCs w:val="0"/>
                <w:highlight w:val="none"/>
                <w:lang w:val="en-US" w:eastAsia="zh-CN" w:bidi="ar"/>
              </w:rPr>
              <w:t>Ω</w:t>
            </w:r>
            <w:r>
              <w:rPr>
                <w:rStyle w:val="37"/>
                <w:b w:val="0"/>
                <w:bCs w:val="0"/>
                <w:highlight w:val="none"/>
                <w:lang w:val="en-US" w:eastAsia="zh-CN" w:bidi="ar"/>
              </w:rPr>
              <w:br w:type="textWrapping"/>
            </w:r>
            <w:r>
              <w:rPr>
                <w:rStyle w:val="37"/>
                <w:b w:val="0"/>
                <w:bCs w:val="0"/>
                <w:highlight w:val="none"/>
                <w:lang w:val="en-US" w:eastAsia="zh-CN" w:bidi="ar"/>
              </w:rPr>
              <w:t>6.额定功率 350W</w:t>
            </w:r>
            <w:r>
              <w:rPr>
                <w:rStyle w:val="37"/>
                <w:b w:val="0"/>
                <w:bCs w:val="0"/>
                <w:highlight w:val="none"/>
                <w:lang w:val="en-US" w:eastAsia="zh-CN" w:bidi="ar"/>
              </w:rPr>
              <w:br w:type="textWrapping"/>
            </w:r>
            <w:r>
              <w:rPr>
                <w:rStyle w:val="37"/>
                <w:b w:val="0"/>
                <w:bCs w:val="0"/>
                <w:highlight w:val="none"/>
                <w:lang w:val="en-US" w:eastAsia="zh-CN" w:bidi="ar"/>
              </w:rPr>
              <w:t>7.指向性（H×V） 90°×40°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59DD0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6450E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1C7DACF">
            <w:pPr>
              <w:jc w:val="center"/>
              <w:rPr>
                <w:rFonts w:hint="eastAsia" w:ascii="宋体" w:hAnsi="宋体" w:eastAsia="宋体" w:cs="宋体"/>
                <w:b w:val="0"/>
                <w:bCs w:val="0"/>
                <w:i w:val="0"/>
                <w:iCs w:val="0"/>
                <w:color w:val="000000"/>
                <w:sz w:val="20"/>
                <w:szCs w:val="20"/>
                <w:highlight w:val="none"/>
                <w:u w:val="none"/>
              </w:rPr>
            </w:pPr>
          </w:p>
        </w:tc>
      </w:tr>
      <w:tr w14:paraId="0355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CC106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7304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防水型无源超低频音箱</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6ADA126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Style w:val="37"/>
                <w:b w:val="0"/>
                <w:bCs w:val="0"/>
                <w:highlight w:val="none"/>
                <w:lang w:val="en-US" w:eastAsia="zh-CN" w:bidi="ar"/>
              </w:rPr>
              <w:t>1.双18寸大功率、长冲程低音单元，高声压级，低频速率高，具有丰富的弹性和力度；</w:t>
            </w:r>
            <w:r>
              <w:rPr>
                <w:rStyle w:val="37"/>
                <w:b w:val="0"/>
                <w:bCs w:val="0"/>
                <w:highlight w:val="none"/>
                <w:lang w:val="en-US" w:eastAsia="zh-CN" w:bidi="ar"/>
              </w:rPr>
              <w:br w:type="textWrapping"/>
            </w:r>
            <w:r>
              <w:rPr>
                <w:rStyle w:val="37"/>
                <w:b w:val="0"/>
                <w:bCs w:val="0"/>
                <w:highlight w:val="none"/>
                <w:lang w:val="en-US" w:eastAsia="zh-CN" w:bidi="ar"/>
              </w:rPr>
              <w:t>2.两低音单元呈“V”字型排列后腔反射，能输出具有高灵敏的、深沉且有力的低频；</w:t>
            </w:r>
            <w:r>
              <w:rPr>
                <w:rStyle w:val="37"/>
                <w:b w:val="0"/>
                <w:bCs w:val="0"/>
                <w:highlight w:val="none"/>
                <w:lang w:val="en-US" w:eastAsia="zh-CN" w:bidi="ar"/>
              </w:rPr>
              <w:br w:type="textWrapping"/>
            </w:r>
            <w:r>
              <w:rPr>
                <w:rStyle w:val="37"/>
                <w:b w:val="0"/>
                <w:bCs w:val="0"/>
                <w:highlight w:val="none"/>
                <w:lang w:val="en-US" w:eastAsia="zh-CN" w:bidi="ar"/>
              </w:rPr>
              <w:t>3.防潮、防腐蚀、防水工艺，对箱体内外做全方位的防水处理，以便适用于相对恶劣的潮湿、高温、多雨、暴晒的环境并能够达到令人满意的音乐效果的音箱。</w:t>
            </w:r>
            <w:r>
              <w:rPr>
                <w:rStyle w:val="37"/>
                <w:b w:val="0"/>
                <w:bCs w:val="0"/>
                <w:highlight w:val="none"/>
                <w:lang w:val="en-US" w:eastAsia="zh-CN" w:bidi="ar"/>
              </w:rPr>
              <w:br w:type="textWrapping"/>
            </w:r>
            <w:r>
              <w:rPr>
                <w:rStyle w:val="37"/>
                <w:b w:val="0"/>
                <w:bCs w:val="0"/>
                <w:highlight w:val="none"/>
                <w:lang w:val="en-US" w:eastAsia="zh-CN" w:bidi="ar"/>
              </w:rPr>
              <w:br w:type="textWrapping"/>
            </w:r>
            <w:r>
              <w:rPr>
                <w:rStyle w:val="37"/>
                <w:b w:val="0"/>
                <w:bCs w:val="0"/>
                <w:highlight w:val="none"/>
                <w:lang w:val="en-US" w:eastAsia="zh-CN" w:bidi="ar"/>
              </w:rPr>
              <w:t>性能规格：</w:t>
            </w:r>
            <w:r>
              <w:rPr>
                <w:rStyle w:val="37"/>
                <w:b w:val="0"/>
                <w:bCs w:val="0"/>
                <w:highlight w:val="none"/>
                <w:lang w:val="en-US" w:eastAsia="zh-CN" w:bidi="ar"/>
              </w:rPr>
              <w:br w:type="textWrapping"/>
            </w:r>
            <w:r>
              <w:rPr>
                <w:rStyle w:val="37"/>
                <w:b w:val="0"/>
                <w:bCs w:val="0"/>
                <w:highlight w:val="none"/>
                <w:lang w:val="en-US" w:eastAsia="zh-CN" w:bidi="ar"/>
              </w:rPr>
              <w:t>1.驱动单元 LF18"×2</w:t>
            </w:r>
            <w:r>
              <w:rPr>
                <w:rStyle w:val="37"/>
                <w:b w:val="0"/>
                <w:bCs w:val="0"/>
                <w:highlight w:val="none"/>
                <w:lang w:val="en-US" w:eastAsia="zh-CN" w:bidi="ar"/>
              </w:rPr>
              <w:br w:type="textWrapping"/>
            </w:r>
            <w:r>
              <w:rPr>
                <w:rStyle w:val="37"/>
                <w:b w:val="0"/>
                <w:bCs w:val="0"/>
                <w:highlight w:val="none"/>
                <w:lang w:val="en-US" w:eastAsia="zh-CN" w:bidi="ar"/>
              </w:rPr>
              <w:t>2.频率响应 35Hz-300Hz</w:t>
            </w:r>
            <w:r>
              <w:rPr>
                <w:rStyle w:val="37"/>
                <w:b w:val="0"/>
                <w:bCs w:val="0"/>
                <w:highlight w:val="none"/>
                <w:lang w:val="en-US" w:eastAsia="zh-CN" w:bidi="ar"/>
              </w:rPr>
              <w:br w:type="textWrapping"/>
            </w:r>
            <w:r>
              <w:rPr>
                <w:rStyle w:val="37"/>
                <w:b w:val="0"/>
                <w:bCs w:val="0"/>
                <w:highlight w:val="none"/>
                <w:lang w:val="en-US" w:eastAsia="zh-CN" w:bidi="ar"/>
              </w:rPr>
              <w:t>3.灵敏度 106±2dB</w:t>
            </w:r>
            <w:r>
              <w:rPr>
                <w:rStyle w:val="37"/>
                <w:b w:val="0"/>
                <w:bCs w:val="0"/>
                <w:highlight w:val="none"/>
                <w:lang w:val="en-US" w:eastAsia="zh-CN" w:bidi="ar"/>
              </w:rPr>
              <w:br w:type="textWrapping"/>
            </w:r>
            <w:r>
              <w:rPr>
                <w:rStyle w:val="37"/>
                <w:b w:val="0"/>
                <w:bCs w:val="0"/>
                <w:highlight w:val="none"/>
                <w:lang w:val="en-US" w:eastAsia="zh-CN" w:bidi="ar"/>
              </w:rPr>
              <w:t>4.最大声压级 137±2dB</w:t>
            </w:r>
            <w:r>
              <w:rPr>
                <w:rStyle w:val="37"/>
                <w:b w:val="0"/>
                <w:bCs w:val="0"/>
                <w:highlight w:val="none"/>
                <w:lang w:val="en-US" w:eastAsia="zh-CN" w:bidi="ar"/>
              </w:rPr>
              <w:br w:type="textWrapping"/>
            </w:r>
            <w:r>
              <w:rPr>
                <w:rStyle w:val="37"/>
                <w:b w:val="0"/>
                <w:bCs w:val="0"/>
                <w:highlight w:val="none"/>
                <w:lang w:val="en-US" w:eastAsia="zh-CN" w:bidi="ar"/>
              </w:rPr>
              <w:t>5.额定阻抗 4</w:t>
            </w:r>
            <w:r>
              <w:rPr>
                <w:rStyle w:val="38"/>
                <w:rFonts w:eastAsia="宋体"/>
                <w:b w:val="0"/>
                <w:bCs w:val="0"/>
                <w:highlight w:val="none"/>
                <w:lang w:val="en-US" w:eastAsia="zh-CN" w:bidi="ar"/>
              </w:rPr>
              <w:t>Ω</w:t>
            </w:r>
            <w:r>
              <w:rPr>
                <w:rStyle w:val="37"/>
                <w:b w:val="0"/>
                <w:bCs w:val="0"/>
                <w:highlight w:val="none"/>
                <w:lang w:val="en-US" w:eastAsia="zh-CN" w:bidi="ar"/>
              </w:rPr>
              <w:br w:type="textWrapping"/>
            </w:r>
            <w:r>
              <w:rPr>
                <w:rStyle w:val="37"/>
                <w:b w:val="0"/>
                <w:bCs w:val="0"/>
                <w:highlight w:val="none"/>
                <w:lang w:val="en-US" w:eastAsia="zh-CN" w:bidi="ar"/>
              </w:rPr>
              <w:t>6.额定功率 1200W</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7EB11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B3A2E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C8EC098">
            <w:pPr>
              <w:jc w:val="center"/>
              <w:rPr>
                <w:rFonts w:hint="eastAsia" w:ascii="宋体" w:hAnsi="宋体" w:eastAsia="宋体" w:cs="宋体"/>
                <w:b w:val="0"/>
                <w:bCs w:val="0"/>
                <w:i w:val="0"/>
                <w:iCs w:val="0"/>
                <w:color w:val="000000"/>
                <w:sz w:val="20"/>
                <w:szCs w:val="20"/>
                <w:highlight w:val="none"/>
                <w:u w:val="none"/>
              </w:rPr>
            </w:pPr>
          </w:p>
        </w:tc>
      </w:tr>
      <w:tr w14:paraId="381F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65F47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A2F72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双通道专业数字功放</w:t>
            </w:r>
          </w:p>
        </w:tc>
        <w:tc>
          <w:tcPr>
            <w:tcW w:w="8345" w:type="dxa"/>
            <w:tcBorders>
              <w:top w:val="single" w:color="000000" w:sz="4" w:space="0"/>
              <w:left w:val="single" w:color="000000" w:sz="4" w:space="0"/>
              <w:bottom w:val="single" w:color="000000" w:sz="4" w:space="0"/>
              <w:right w:val="single" w:color="000000" w:sz="4" w:space="0"/>
            </w:tcBorders>
            <w:noWrap w:val="0"/>
            <w:vAlign w:val="top"/>
          </w:tcPr>
          <w:p w14:paraId="175BFC99">
            <w:pPr>
              <w:keepNext w:val="0"/>
              <w:keepLines w:val="0"/>
              <w:widowControl/>
              <w:suppressLineNumbers w:val="0"/>
              <w:jc w:val="left"/>
              <w:textAlignment w:val="top"/>
              <w:rPr>
                <w:rFonts w:hint="eastAsia" w:ascii="宋体" w:hAnsi="宋体" w:eastAsia="宋体" w:cs="宋体"/>
                <w:b w:val="0"/>
                <w:bCs w:val="0"/>
                <w:i w:val="0"/>
                <w:iCs w:val="0"/>
                <w:color w:val="000000"/>
                <w:sz w:val="21"/>
                <w:szCs w:val="21"/>
                <w:highlight w:val="none"/>
                <w:u w:val="none"/>
              </w:rPr>
            </w:pPr>
            <w:r>
              <w:rPr>
                <w:rStyle w:val="37"/>
                <w:b w:val="0"/>
                <w:bCs w:val="0"/>
                <w:highlight w:val="none"/>
                <w:lang w:val="en-US" w:eastAsia="zh-CN" w:bidi="ar"/>
              </w:rPr>
              <w:t>1.双声道立体声专业数字功率放大器,全系列统铝合金面板；</w:t>
            </w:r>
            <w:r>
              <w:rPr>
                <w:rStyle w:val="37"/>
                <w:b w:val="0"/>
                <w:bCs w:val="0"/>
                <w:highlight w:val="none"/>
                <w:lang w:val="en-US" w:eastAsia="zh-CN" w:bidi="ar"/>
              </w:rPr>
              <w:br w:type="textWrapping"/>
            </w:r>
            <w:r>
              <w:rPr>
                <w:rStyle w:val="37"/>
                <w:b w:val="0"/>
                <w:bCs w:val="0"/>
                <w:highlight w:val="none"/>
                <w:lang w:val="en-US" w:eastAsia="zh-CN" w:bidi="ar"/>
              </w:rPr>
              <w:t xml:space="preserve">2. 有双声道、单声道和BTL桥接三种输出方式供选择，输出方式开关选择； </w:t>
            </w:r>
            <w:r>
              <w:rPr>
                <w:rStyle w:val="37"/>
                <w:b w:val="0"/>
                <w:bCs w:val="0"/>
                <w:highlight w:val="none"/>
                <w:lang w:val="en-US" w:eastAsia="zh-CN" w:bidi="ar"/>
              </w:rPr>
              <w:br w:type="textWrapping"/>
            </w:r>
            <w:r>
              <w:rPr>
                <w:rStyle w:val="37"/>
                <w:b w:val="0"/>
                <w:bCs w:val="0"/>
                <w:highlight w:val="none"/>
                <w:lang w:val="en-US" w:eastAsia="zh-CN" w:bidi="ar"/>
              </w:rPr>
              <w:t>3.每声道音量可调；</w:t>
            </w:r>
            <w:r>
              <w:rPr>
                <w:rStyle w:val="37"/>
                <w:b w:val="0"/>
                <w:bCs w:val="0"/>
                <w:highlight w:val="none"/>
                <w:lang w:val="en-US" w:eastAsia="zh-CN" w:bidi="ar"/>
              </w:rPr>
              <w:br w:type="textWrapping"/>
            </w:r>
            <w:r>
              <w:rPr>
                <w:rStyle w:val="37"/>
                <w:b w:val="0"/>
                <w:bCs w:val="0"/>
                <w:highlight w:val="none"/>
                <w:lang w:val="en-US" w:eastAsia="zh-CN" w:bidi="ar"/>
              </w:rPr>
              <w:t>4. 立体声工作最小负载阻抗为4</w:t>
            </w:r>
            <w:r>
              <w:rPr>
                <w:rStyle w:val="38"/>
                <w:rFonts w:eastAsia="宋体"/>
                <w:b w:val="0"/>
                <w:bCs w:val="0"/>
                <w:highlight w:val="none"/>
                <w:lang w:val="en-US" w:eastAsia="zh-CN" w:bidi="ar"/>
              </w:rPr>
              <w:t>Ω</w:t>
            </w:r>
            <w:r>
              <w:rPr>
                <w:rStyle w:val="37"/>
                <w:b w:val="0"/>
                <w:bCs w:val="0"/>
                <w:highlight w:val="none"/>
                <w:lang w:val="en-US" w:eastAsia="zh-CN" w:bidi="ar"/>
              </w:rPr>
              <w:t>，BTL工作最小负载阻抗为8</w:t>
            </w:r>
            <w:r>
              <w:rPr>
                <w:rStyle w:val="38"/>
                <w:rFonts w:eastAsia="宋体"/>
                <w:b w:val="0"/>
                <w:bCs w:val="0"/>
                <w:highlight w:val="none"/>
                <w:lang w:val="en-US" w:eastAsia="zh-CN" w:bidi="ar"/>
              </w:rPr>
              <w:t>Ω</w:t>
            </w:r>
            <w:r>
              <w:rPr>
                <w:rStyle w:val="37"/>
                <w:b w:val="0"/>
                <w:bCs w:val="0"/>
                <w:highlight w:val="none"/>
                <w:lang w:val="en-US" w:eastAsia="zh-CN" w:bidi="ar"/>
              </w:rPr>
              <w:t>；动态功率强劲，可实现低阻抗驱动。</w:t>
            </w:r>
            <w:r>
              <w:rPr>
                <w:rStyle w:val="37"/>
                <w:b w:val="0"/>
                <w:bCs w:val="0"/>
                <w:highlight w:val="none"/>
                <w:lang w:val="en-US" w:eastAsia="zh-CN" w:bidi="ar"/>
              </w:rPr>
              <w:br w:type="textWrapping"/>
            </w:r>
            <w:r>
              <w:rPr>
                <w:rStyle w:val="37"/>
                <w:b w:val="0"/>
                <w:bCs w:val="0"/>
                <w:highlight w:val="none"/>
                <w:lang w:val="en-US" w:eastAsia="zh-CN" w:bidi="ar"/>
              </w:rPr>
              <w:t>5. 全系列配置XLR平行输入输出接口，更适合专业设备的应用习惯；</w:t>
            </w:r>
            <w:r>
              <w:rPr>
                <w:rStyle w:val="37"/>
                <w:b w:val="0"/>
                <w:bCs w:val="0"/>
                <w:highlight w:val="none"/>
                <w:lang w:val="en-US" w:eastAsia="zh-CN" w:bidi="ar"/>
              </w:rPr>
              <w:br w:type="textWrapping"/>
            </w:r>
            <w:r>
              <w:rPr>
                <w:rStyle w:val="37"/>
                <w:b w:val="0"/>
                <w:bCs w:val="0"/>
                <w:highlight w:val="none"/>
                <w:lang w:val="en-US" w:eastAsia="zh-CN" w:bidi="ar"/>
              </w:rPr>
              <w:t>5. 标配APFC主动式功率因数校正电路，可以在电网波动较大的供电条件下也能稳定满功率工作，</w:t>
            </w:r>
            <w:r>
              <w:rPr>
                <w:rStyle w:val="37"/>
                <w:b w:val="0"/>
                <w:bCs w:val="0"/>
                <w:highlight w:val="none"/>
                <w:lang w:val="en-US" w:eastAsia="zh-CN" w:bidi="ar"/>
              </w:rPr>
              <w:br w:type="textWrapping"/>
            </w:r>
            <w:r>
              <w:rPr>
                <w:rStyle w:val="37"/>
                <w:b w:val="0"/>
                <w:bCs w:val="0"/>
                <w:highlight w:val="none"/>
                <w:lang w:val="en-US" w:eastAsia="zh-CN" w:bidi="ar"/>
              </w:rPr>
              <w:t>6. 小信号的时候不会出现交越失真；</w:t>
            </w:r>
            <w:r>
              <w:rPr>
                <w:rStyle w:val="37"/>
                <w:b w:val="0"/>
                <w:bCs w:val="0"/>
                <w:highlight w:val="none"/>
                <w:lang w:val="en-US" w:eastAsia="zh-CN" w:bidi="ar"/>
              </w:rPr>
              <w:br w:type="textWrapping"/>
            </w:r>
            <w:r>
              <w:rPr>
                <w:rStyle w:val="37"/>
                <w:b w:val="0"/>
                <w:bCs w:val="0"/>
                <w:highlight w:val="none"/>
                <w:lang w:val="en-US" w:eastAsia="zh-CN" w:bidi="ar"/>
              </w:rPr>
              <w:t>7. 内置先进的电压压限，可以避免输入电压出现异常或过大导致功率输出异常，出现削波失真影响听音体验以及危害音箱的高音单元。</w:t>
            </w:r>
            <w:r>
              <w:rPr>
                <w:rStyle w:val="37"/>
                <w:b w:val="0"/>
                <w:bCs w:val="0"/>
                <w:highlight w:val="none"/>
                <w:lang w:val="en-US" w:eastAsia="zh-CN" w:bidi="ar"/>
              </w:rPr>
              <w:br w:type="textWrapping"/>
            </w:r>
            <w:r>
              <w:rPr>
                <w:rStyle w:val="37"/>
                <w:b w:val="0"/>
                <w:bCs w:val="0"/>
                <w:highlight w:val="none"/>
                <w:lang w:val="en-US" w:eastAsia="zh-CN" w:bidi="ar"/>
              </w:rPr>
              <w:t>8. 中高频比模拟功放更清晰，非常适合用于会议等多种不同场合的语言传输和扩声；</w:t>
            </w:r>
            <w:r>
              <w:rPr>
                <w:rStyle w:val="37"/>
                <w:b w:val="0"/>
                <w:bCs w:val="0"/>
                <w:highlight w:val="none"/>
                <w:lang w:val="en-US" w:eastAsia="zh-CN" w:bidi="ar"/>
              </w:rPr>
              <w:br w:type="textWrapping"/>
            </w:r>
            <w:r>
              <w:rPr>
                <w:rStyle w:val="37"/>
                <w:b w:val="0"/>
                <w:bCs w:val="0"/>
                <w:highlight w:val="none"/>
                <w:lang w:val="en-US" w:eastAsia="zh-CN" w:bidi="ar"/>
              </w:rPr>
              <w:t>9. 效率要高，发热量更少，工作温度范围更宽；10.各通道均配备LED工作状态指示；11.输入灵敏度：≤1000mV；信噪比：≥95dB；频响：20Hz-20kHz（±2dB）；通道串扰：≤70dB；转换速率：≥15V/uS；阻尼系数/8</w:t>
            </w:r>
            <w:r>
              <w:rPr>
                <w:rStyle w:val="38"/>
                <w:rFonts w:eastAsia="宋体"/>
                <w:b w:val="0"/>
                <w:bCs w:val="0"/>
                <w:highlight w:val="none"/>
                <w:lang w:val="en-US" w:eastAsia="zh-CN" w:bidi="ar"/>
              </w:rPr>
              <w:t>Ω</w:t>
            </w:r>
            <w:r>
              <w:rPr>
                <w:rStyle w:val="37"/>
                <w:b w:val="0"/>
                <w:bCs w:val="0"/>
                <w:highlight w:val="none"/>
                <w:lang w:val="en-US" w:eastAsia="zh-CN" w:bidi="ar"/>
              </w:rPr>
              <w:t>@1Khz： ≥230；总谐波失真：≤0.3% （1kHz，正常工作条件）；额定功率：2X1000W@8</w:t>
            </w:r>
            <w:r>
              <w:rPr>
                <w:rStyle w:val="38"/>
                <w:rFonts w:eastAsia="宋体"/>
                <w:b w:val="0"/>
                <w:bCs w:val="0"/>
                <w:highlight w:val="none"/>
                <w:lang w:val="en-US" w:eastAsia="zh-CN" w:bidi="ar"/>
              </w:rPr>
              <w:t>Ω</w:t>
            </w:r>
            <w:r>
              <w:rPr>
                <w:rStyle w:val="37"/>
                <w:b w:val="0"/>
                <w:bCs w:val="0"/>
                <w:highlight w:val="none"/>
                <w:lang w:val="en-US" w:eastAsia="zh-CN" w:bidi="ar"/>
              </w:rPr>
              <w:t xml:space="preserve"> 2X1500W@4</w:t>
            </w:r>
            <w:r>
              <w:rPr>
                <w:rStyle w:val="38"/>
                <w:rFonts w:eastAsia="宋体"/>
                <w:b w:val="0"/>
                <w:bCs w:val="0"/>
                <w:highlight w:val="none"/>
                <w:lang w:val="en-US" w:eastAsia="zh-CN" w:bidi="ar"/>
              </w:rPr>
              <w:t>Ω</w:t>
            </w:r>
            <w:r>
              <w:rPr>
                <w:rStyle w:val="37"/>
                <w:b w:val="0"/>
                <w:bCs w:val="0"/>
                <w:highlight w:val="none"/>
                <w:lang w:val="en-US" w:eastAsia="zh-CN" w:bidi="ar"/>
              </w:rPr>
              <w:t xml:space="preserve"> 3000W@桥接8</w:t>
            </w:r>
            <w:r>
              <w:rPr>
                <w:rStyle w:val="38"/>
                <w:rFonts w:eastAsia="宋体"/>
                <w:b w:val="0"/>
                <w:bCs w:val="0"/>
                <w:highlight w:val="none"/>
                <w:lang w:val="en-US" w:eastAsia="zh-CN" w:bidi="ar"/>
              </w:rPr>
              <w:t>Ω</w:t>
            </w:r>
            <w:r>
              <w:rPr>
                <w:rStyle w:val="37"/>
                <w:b w:val="0"/>
                <w:bCs w:val="0"/>
                <w:highlight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41F713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33D7A6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89D5D9D">
            <w:pPr>
              <w:jc w:val="center"/>
              <w:rPr>
                <w:rFonts w:hint="eastAsia" w:ascii="宋体" w:hAnsi="宋体" w:eastAsia="宋体" w:cs="宋体"/>
                <w:b w:val="0"/>
                <w:bCs w:val="0"/>
                <w:i w:val="0"/>
                <w:iCs w:val="0"/>
                <w:color w:val="000000"/>
                <w:sz w:val="20"/>
                <w:szCs w:val="20"/>
                <w:highlight w:val="none"/>
                <w:u w:val="none"/>
              </w:rPr>
            </w:pPr>
          </w:p>
        </w:tc>
      </w:tr>
      <w:tr w14:paraId="553B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5"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07343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7F80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双通道专业数字功放</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65C984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Style w:val="37"/>
                <w:b w:val="0"/>
                <w:bCs w:val="0"/>
                <w:highlight w:val="none"/>
                <w:lang w:val="en-US" w:eastAsia="zh-CN" w:bidi="ar"/>
              </w:rPr>
              <w:t>1.双声道立体声专业数字功率放大器,全系列统铝合金面板；</w:t>
            </w:r>
            <w:r>
              <w:rPr>
                <w:rStyle w:val="37"/>
                <w:b w:val="0"/>
                <w:bCs w:val="0"/>
                <w:highlight w:val="none"/>
                <w:lang w:val="en-US" w:eastAsia="zh-CN" w:bidi="ar"/>
              </w:rPr>
              <w:br w:type="textWrapping"/>
            </w:r>
            <w:r>
              <w:rPr>
                <w:rStyle w:val="37"/>
                <w:b w:val="0"/>
                <w:bCs w:val="0"/>
                <w:highlight w:val="none"/>
                <w:lang w:val="en-US" w:eastAsia="zh-CN" w:bidi="ar"/>
              </w:rPr>
              <w:t>2. 有双声道、单声道和BTL桥接三种输出方式供选择，输出方式开关选择；</w:t>
            </w:r>
            <w:r>
              <w:rPr>
                <w:rStyle w:val="37"/>
                <w:b w:val="0"/>
                <w:bCs w:val="0"/>
                <w:highlight w:val="none"/>
                <w:lang w:val="en-US" w:eastAsia="zh-CN" w:bidi="ar"/>
              </w:rPr>
              <w:br w:type="textWrapping"/>
            </w:r>
            <w:r>
              <w:rPr>
                <w:rStyle w:val="37"/>
                <w:b w:val="0"/>
                <w:bCs w:val="0"/>
                <w:highlight w:val="none"/>
                <w:lang w:val="en-US" w:eastAsia="zh-CN" w:bidi="ar"/>
              </w:rPr>
              <w:t>3.每声道音量可调；</w:t>
            </w:r>
            <w:r>
              <w:rPr>
                <w:rStyle w:val="37"/>
                <w:b w:val="0"/>
                <w:bCs w:val="0"/>
                <w:highlight w:val="none"/>
                <w:lang w:val="en-US" w:eastAsia="zh-CN" w:bidi="ar"/>
              </w:rPr>
              <w:br w:type="textWrapping"/>
            </w:r>
            <w:r>
              <w:rPr>
                <w:rStyle w:val="37"/>
                <w:b w:val="0"/>
                <w:bCs w:val="0"/>
                <w:highlight w:val="none"/>
                <w:lang w:val="en-US" w:eastAsia="zh-CN" w:bidi="ar"/>
              </w:rPr>
              <w:t>4. 立体声工作最小负载阻抗为4</w:t>
            </w:r>
            <w:r>
              <w:rPr>
                <w:rStyle w:val="38"/>
                <w:rFonts w:eastAsia="宋体"/>
                <w:b w:val="0"/>
                <w:bCs w:val="0"/>
                <w:highlight w:val="none"/>
                <w:lang w:val="en-US" w:eastAsia="zh-CN" w:bidi="ar"/>
              </w:rPr>
              <w:t>Ω</w:t>
            </w:r>
            <w:r>
              <w:rPr>
                <w:rStyle w:val="37"/>
                <w:b w:val="0"/>
                <w:bCs w:val="0"/>
                <w:highlight w:val="none"/>
                <w:lang w:val="en-US" w:eastAsia="zh-CN" w:bidi="ar"/>
              </w:rPr>
              <w:t>，BTL工作最小负载阻抗为8</w:t>
            </w:r>
            <w:r>
              <w:rPr>
                <w:rStyle w:val="38"/>
                <w:rFonts w:eastAsia="宋体"/>
                <w:b w:val="0"/>
                <w:bCs w:val="0"/>
                <w:highlight w:val="none"/>
                <w:lang w:val="en-US" w:eastAsia="zh-CN" w:bidi="ar"/>
              </w:rPr>
              <w:t>Ω</w:t>
            </w:r>
            <w:r>
              <w:rPr>
                <w:rStyle w:val="37"/>
                <w:b w:val="0"/>
                <w:bCs w:val="0"/>
                <w:highlight w:val="none"/>
                <w:lang w:val="en-US" w:eastAsia="zh-CN" w:bidi="ar"/>
              </w:rPr>
              <w:t>；动态功率强劲，可实现低阻抗驱动。</w:t>
            </w:r>
            <w:r>
              <w:rPr>
                <w:rStyle w:val="37"/>
                <w:b w:val="0"/>
                <w:bCs w:val="0"/>
                <w:highlight w:val="none"/>
                <w:lang w:val="en-US" w:eastAsia="zh-CN" w:bidi="ar"/>
              </w:rPr>
              <w:br w:type="textWrapping"/>
            </w:r>
            <w:r>
              <w:rPr>
                <w:rStyle w:val="37"/>
                <w:b w:val="0"/>
                <w:bCs w:val="0"/>
                <w:highlight w:val="none"/>
                <w:lang w:val="en-US" w:eastAsia="zh-CN" w:bidi="ar"/>
              </w:rPr>
              <w:t>5. 全系列配置XLR平行输入输出接口，更适合专业设备的应用习惯；</w:t>
            </w:r>
            <w:r>
              <w:rPr>
                <w:rStyle w:val="37"/>
                <w:b w:val="0"/>
                <w:bCs w:val="0"/>
                <w:highlight w:val="none"/>
                <w:lang w:val="en-US" w:eastAsia="zh-CN" w:bidi="ar"/>
              </w:rPr>
              <w:br w:type="textWrapping"/>
            </w:r>
            <w:r>
              <w:rPr>
                <w:rStyle w:val="37"/>
                <w:b w:val="0"/>
                <w:bCs w:val="0"/>
                <w:highlight w:val="none"/>
                <w:lang w:val="en-US" w:eastAsia="zh-CN" w:bidi="ar"/>
              </w:rPr>
              <w:t>5. 标配APFC主动式功率因数校正电路，可以在电网波动较大的供电条件下也能稳定满功率工作，</w:t>
            </w:r>
            <w:r>
              <w:rPr>
                <w:rStyle w:val="37"/>
                <w:b w:val="0"/>
                <w:bCs w:val="0"/>
                <w:highlight w:val="none"/>
                <w:lang w:val="en-US" w:eastAsia="zh-CN" w:bidi="ar"/>
              </w:rPr>
              <w:br w:type="textWrapping"/>
            </w:r>
            <w:r>
              <w:rPr>
                <w:rStyle w:val="37"/>
                <w:b w:val="0"/>
                <w:bCs w:val="0"/>
                <w:highlight w:val="none"/>
                <w:lang w:val="en-US" w:eastAsia="zh-CN" w:bidi="ar"/>
              </w:rPr>
              <w:t>6. 小信号的时候不会出现交越失真；</w:t>
            </w:r>
            <w:r>
              <w:rPr>
                <w:rStyle w:val="37"/>
                <w:b w:val="0"/>
                <w:bCs w:val="0"/>
                <w:highlight w:val="none"/>
                <w:lang w:val="en-US" w:eastAsia="zh-CN" w:bidi="ar"/>
              </w:rPr>
              <w:br w:type="textWrapping"/>
            </w:r>
            <w:r>
              <w:rPr>
                <w:rStyle w:val="37"/>
                <w:b w:val="0"/>
                <w:bCs w:val="0"/>
                <w:highlight w:val="none"/>
                <w:lang w:val="en-US" w:eastAsia="zh-CN" w:bidi="ar"/>
              </w:rPr>
              <w:t>7. 内置先进的电压压限，可以避免输入电压出现异常或过大导致功率输出异常，出现削波失真影响听音体验以及危害音箱的高音单元。</w:t>
            </w:r>
            <w:r>
              <w:rPr>
                <w:rStyle w:val="37"/>
                <w:b w:val="0"/>
                <w:bCs w:val="0"/>
                <w:highlight w:val="none"/>
                <w:lang w:val="en-US" w:eastAsia="zh-CN" w:bidi="ar"/>
              </w:rPr>
              <w:br w:type="textWrapping"/>
            </w:r>
            <w:r>
              <w:rPr>
                <w:rStyle w:val="37"/>
                <w:b w:val="0"/>
                <w:bCs w:val="0"/>
                <w:highlight w:val="none"/>
                <w:lang w:val="en-US" w:eastAsia="zh-CN" w:bidi="ar"/>
              </w:rPr>
              <w:t>8. 中高频比模拟功放更清晰，非常适合用于会议等多种不同场合的语言传输和扩声；</w:t>
            </w:r>
            <w:r>
              <w:rPr>
                <w:rStyle w:val="37"/>
                <w:b w:val="0"/>
                <w:bCs w:val="0"/>
                <w:highlight w:val="none"/>
                <w:lang w:val="en-US" w:eastAsia="zh-CN" w:bidi="ar"/>
              </w:rPr>
              <w:br w:type="textWrapping"/>
            </w:r>
            <w:r>
              <w:rPr>
                <w:rStyle w:val="37"/>
                <w:b w:val="0"/>
                <w:bCs w:val="0"/>
                <w:highlight w:val="none"/>
                <w:lang w:val="en-US" w:eastAsia="zh-CN" w:bidi="ar"/>
              </w:rPr>
              <w:t>9. 效率要高，发热量更少，工作温度范围更宽；10.各通道均配备LED工作状态指示；11.输入灵敏度：≤1000mV；信噪比：≥95dB；频响：20Hz-20kHz（±2dB）；通道串扰：≤70dB；转换速率：≥15V/uS；阻尼系数/8</w:t>
            </w:r>
            <w:r>
              <w:rPr>
                <w:rStyle w:val="38"/>
                <w:rFonts w:eastAsia="宋体"/>
                <w:b w:val="0"/>
                <w:bCs w:val="0"/>
                <w:highlight w:val="none"/>
                <w:lang w:val="en-US" w:eastAsia="zh-CN" w:bidi="ar"/>
              </w:rPr>
              <w:t>Ω</w:t>
            </w:r>
            <w:r>
              <w:rPr>
                <w:rStyle w:val="37"/>
                <w:b w:val="0"/>
                <w:bCs w:val="0"/>
                <w:highlight w:val="none"/>
                <w:lang w:val="en-US" w:eastAsia="zh-CN" w:bidi="ar"/>
              </w:rPr>
              <w:t>@1Khz： ≥230；总谐波失真：≤0.3% （1kHz，正常工作条件）；额定功率：2X650W@8</w:t>
            </w:r>
            <w:r>
              <w:rPr>
                <w:rStyle w:val="38"/>
                <w:rFonts w:eastAsia="宋体"/>
                <w:b w:val="0"/>
                <w:bCs w:val="0"/>
                <w:highlight w:val="none"/>
                <w:lang w:val="en-US" w:eastAsia="zh-CN" w:bidi="ar"/>
              </w:rPr>
              <w:t>Ω</w:t>
            </w:r>
            <w:r>
              <w:rPr>
                <w:rStyle w:val="37"/>
                <w:b w:val="0"/>
                <w:bCs w:val="0"/>
                <w:highlight w:val="none"/>
                <w:lang w:val="en-US" w:eastAsia="zh-CN" w:bidi="ar"/>
              </w:rPr>
              <w:t xml:space="preserve"> 2X950W@4</w:t>
            </w:r>
            <w:r>
              <w:rPr>
                <w:rStyle w:val="38"/>
                <w:rFonts w:eastAsia="宋体"/>
                <w:b w:val="0"/>
                <w:bCs w:val="0"/>
                <w:highlight w:val="none"/>
                <w:lang w:val="en-US" w:eastAsia="zh-CN" w:bidi="ar"/>
              </w:rPr>
              <w:t>Ω</w:t>
            </w:r>
            <w:r>
              <w:rPr>
                <w:rStyle w:val="37"/>
                <w:b w:val="0"/>
                <w:bCs w:val="0"/>
                <w:highlight w:val="none"/>
                <w:lang w:val="en-US" w:eastAsia="zh-CN" w:bidi="ar"/>
              </w:rPr>
              <w:t xml:space="preserve"> 1900W@桥接8</w:t>
            </w:r>
            <w:r>
              <w:rPr>
                <w:rStyle w:val="38"/>
                <w:rFonts w:eastAsia="宋体"/>
                <w:b w:val="0"/>
                <w:bCs w:val="0"/>
                <w:highlight w:val="none"/>
                <w:lang w:val="en-US" w:eastAsia="zh-CN" w:bidi="ar"/>
              </w:rPr>
              <w:t>Ω</w:t>
            </w:r>
            <w:r>
              <w:rPr>
                <w:rStyle w:val="37"/>
                <w:b w:val="0"/>
                <w:bCs w:val="0"/>
                <w:highlight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CAF9E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61715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1189EB7">
            <w:pPr>
              <w:jc w:val="center"/>
              <w:rPr>
                <w:rFonts w:hint="eastAsia" w:ascii="宋体" w:hAnsi="宋体" w:eastAsia="宋体" w:cs="宋体"/>
                <w:b w:val="0"/>
                <w:bCs w:val="0"/>
                <w:i w:val="0"/>
                <w:iCs w:val="0"/>
                <w:color w:val="000000"/>
                <w:sz w:val="20"/>
                <w:szCs w:val="20"/>
                <w:highlight w:val="none"/>
                <w:u w:val="none"/>
              </w:rPr>
            </w:pPr>
          </w:p>
        </w:tc>
      </w:tr>
      <w:tr w14:paraId="0DA7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9865B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A5E4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线阵吊架</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7DC2F9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配套线阵音箱组使用</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3D1B3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16C58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0196548">
            <w:pPr>
              <w:jc w:val="center"/>
              <w:rPr>
                <w:rFonts w:hint="eastAsia" w:ascii="宋体" w:hAnsi="宋体" w:eastAsia="宋体" w:cs="宋体"/>
                <w:b w:val="0"/>
                <w:bCs w:val="0"/>
                <w:i w:val="0"/>
                <w:iCs w:val="0"/>
                <w:color w:val="000000"/>
                <w:sz w:val="20"/>
                <w:szCs w:val="20"/>
                <w:highlight w:val="none"/>
                <w:u w:val="none"/>
              </w:rPr>
            </w:pPr>
          </w:p>
        </w:tc>
      </w:tr>
      <w:tr w14:paraId="3E81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7C72C1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5627B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卸扣</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3F8230A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2吨型22号卸扣</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F3330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4F3EA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2177999">
            <w:pPr>
              <w:jc w:val="center"/>
              <w:rPr>
                <w:rFonts w:hint="eastAsia" w:ascii="宋体" w:hAnsi="宋体" w:eastAsia="宋体" w:cs="宋体"/>
                <w:b w:val="0"/>
                <w:bCs w:val="0"/>
                <w:i w:val="0"/>
                <w:iCs w:val="0"/>
                <w:color w:val="000000"/>
                <w:sz w:val="20"/>
                <w:szCs w:val="20"/>
                <w:highlight w:val="none"/>
                <w:u w:val="none"/>
              </w:rPr>
            </w:pPr>
          </w:p>
        </w:tc>
      </w:tr>
      <w:tr w14:paraId="6127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8E39F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17DD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尼龙扁带</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756CA1F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2吨1米尼龙扁带</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7D579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2967A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5B1D21F">
            <w:pPr>
              <w:jc w:val="center"/>
              <w:rPr>
                <w:rFonts w:hint="eastAsia" w:ascii="宋体" w:hAnsi="宋体" w:eastAsia="宋体" w:cs="宋体"/>
                <w:b w:val="0"/>
                <w:bCs w:val="0"/>
                <w:i w:val="0"/>
                <w:iCs w:val="0"/>
                <w:color w:val="000000"/>
                <w:sz w:val="20"/>
                <w:szCs w:val="20"/>
                <w:highlight w:val="none"/>
                <w:u w:val="none"/>
              </w:rPr>
            </w:pPr>
          </w:p>
        </w:tc>
      </w:tr>
      <w:tr w14:paraId="3127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48EE2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348C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葫芦</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68F684F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2吨6米葫芦</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AEA64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161D9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6B4D155C">
            <w:pPr>
              <w:jc w:val="center"/>
              <w:rPr>
                <w:rFonts w:hint="eastAsia" w:ascii="宋体" w:hAnsi="宋体" w:eastAsia="宋体" w:cs="宋体"/>
                <w:b w:val="0"/>
                <w:bCs w:val="0"/>
                <w:i w:val="0"/>
                <w:iCs w:val="0"/>
                <w:color w:val="000000"/>
                <w:sz w:val="20"/>
                <w:szCs w:val="20"/>
                <w:highlight w:val="none"/>
                <w:u w:val="none"/>
              </w:rPr>
            </w:pPr>
          </w:p>
        </w:tc>
      </w:tr>
      <w:tr w14:paraId="0BB4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DAEF1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BD00E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数字音频处理器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21D5A75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1.16路平衡式话筒／线路输入，采用裸线接口端子。</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2.16路平衡式输出，采用裸线接口端子。</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3.120db的A/D与D/A转换，最高可达96kHz/48K采样率；</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4.高速DSP处理芯片Ti450MHzFLOPSDSP处理内核；</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5.通道拷贝、粘贴、联控功能；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6.DSP音频处理，输入每通道：前级放大、信号发生器、扩展器、压缩器、5段参量均衡、自动混音台、AFC、AEC、ANC；每输出通道：音箱管理器（8段参量均衡器、延时器、分频器、高低通滤波器、限幅器）。</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7.全功能矩阵混音功能。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8.内置自动混音台功能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9.AEC自适应回声消除功能，可以处理超宽带的语音和音频信号，提供完美的听觉效果；</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10.采用子带算法，具有很少的MIPS消耗；</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11.可支持的最大回声脱尾高达512ms，适合在各种大、中、小型视频会议室使用；</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12.使用稳定的双方同时讲话（DoubleTalk）检测方法，即使在强背景噪声和非线性失真环境下也有效，并且在双方同时讲话期间残余回声不会增加；</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13.收敛速度和终端扬声器非线性失真时的回声抑制比（ERLE）高；</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14.ANC自动适应噪音消除功能，可以消除噪声环境下的附加噪声；</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15.Enternet多用途数据传输及控制端口；</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16.内置自动摄像跟踪功能；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17.RS-232双向串行控制接口用于控制外部其它设备如：视频矩阵等RS-232设备，或接收第三方RS－232控制，如AMX、Crestron，</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18.RS-485摄像机控制端口；</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19.GPIO可编程控制接口（8组，可自定义输入输出）；</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20.支持平板界面操作控制。</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21.支持最少8~100组场景预设功能；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22.直观、图形化软件控制界面，可工作在WindowsNT4.0／2000／XP/Windows7系统环境下</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2A155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304B3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5F83F03">
            <w:pPr>
              <w:jc w:val="center"/>
              <w:rPr>
                <w:rFonts w:hint="eastAsia" w:ascii="宋体" w:hAnsi="宋体" w:eastAsia="宋体" w:cs="宋体"/>
                <w:b w:val="0"/>
                <w:bCs w:val="0"/>
                <w:i w:val="0"/>
                <w:iCs w:val="0"/>
                <w:color w:val="000000"/>
                <w:sz w:val="20"/>
                <w:szCs w:val="20"/>
                <w:highlight w:val="none"/>
                <w:u w:val="none"/>
              </w:rPr>
            </w:pPr>
          </w:p>
        </w:tc>
      </w:tr>
      <w:tr w14:paraId="2807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3DDAC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82EB9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专业自动反馈抑制器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4CFC7BDA">
            <w:pPr>
              <w:keepNext w:val="0"/>
              <w:keepLines w:val="0"/>
              <w:widowControl/>
              <w:suppressLineNumbers w:val="0"/>
              <w:spacing w:after="210" w:afterAutospacing="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1.支持卡侬(XLR)平衡输入输出，单端(RCA)非平衡输入输出，2路线路/话筒输入，2路线路/话筒输出；</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2.内置高端高速浮点数字信号处理器和自适应反馈陷波处理算法技术；</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3.面板带有4*8段实时电平显示指示灯，精准显示输入/输出信号电平的大小；</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4.面板带有通道静音，旁路和滤波器重置的快速按钮；</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5.每路输入带15个自适应陷波滤波器，可按需配置动态/固定滤波器数量；</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6.TCP/IP控制协议，连接PC电脑进行网页端进行各种详细参数的控制调节；</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7.支持多档位模拟音量调节(-18dBV ~ 12dBV)，最大输入电平(1%失真)10V，信噪比(0dBv)≥93dB；</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8.设备供电范围：AC100V--240V 50/60 Hz，功耗≤10W；</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9.尺寸：432.5mm X 186mm X 44mm，2.35kg1.支持卡侬(XLR)平衡输入输出，单端(RCA)非平衡输入输出，2路线路/话筒输入，2路线路/话筒输出；</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656AA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BB3CEA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31F6E74">
            <w:pPr>
              <w:jc w:val="center"/>
              <w:rPr>
                <w:rFonts w:hint="eastAsia" w:ascii="宋体" w:hAnsi="宋体" w:eastAsia="宋体" w:cs="宋体"/>
                <w:b w:val="0"/>
                <w:bCs w:val="0"/>
                <w:i w:val="0"/>
                <w:iCs w:val="0"/>
                <w:color w:val="000000"/>
                <w:sz w:val="20"/>
                <w:szCs w:val="20"/>
                <w:highlight w:val="none"/>
                <w:u w:val="none"/>
              </w:rPr>
            </w:pPr>
          </w:p>
        </w:tc>
      </w:tr>
      <w:tr w14:paraId="0B1F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05AB8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4D9D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数字调音台</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75A612D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 通道有TFT液晶引导显示，通道名与背景颜色可自定义编辑（含中文）。</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 MIC输入有增益调节，数字增益平滑且参与场景保存。</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 可进行Mic输入通道奇偶立体声联调。</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 +48V幻象电源，Mic通道独立开关且参与场景保存。</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5. Mic输入通道有独立反馈抑制器抑制啸叫。</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6. 输入处理含多种功能（压限器、噪声门等）。</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7. 通道参数可快速拷贝。</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8. 各通道有多功能菜单，含哑音和监听。</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9. 各通道设有100MM电动推杆（17个ALPS电动推子）。</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10. 输入输出及效果通道由物理推子控制，推子功能可自定义。</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11. 有两个推子层翻页按键，操作方便快捷。</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12. 8个可自定义的物理按键、8个DCA编组和8个静音编组。</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13. 自带信号发生器，输出通道自定义，有实时频谱RTA功能且颜色可编辑。</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14. 通道与场景编辑支持中文输入法，集成自动混音功能。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15. 有多种输出处理功能、多种特殊功能（USB立体声数字录音、内置声卡等），支持多系统操控、多种调节方式和10.1寸高清电容触摸显示屏。</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097E0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C7B3D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9E25B2E">
            <w:pPr>
              <w:jc w:val="center"/>
              <w:rPr>
                <w:rFonts w:hint="eastAsia" w:ascii="宋体" w:hAnsi="宋体" w:eastAsia="宋体" w:cs="宋体"/>
                <w:b w:val="0"/>
                <w:bCs w:val="0"/>
                <w:i w:val="0"/>
                <w:iCs w:val="0"/>
                <w:color w:val="000000"/>
                <w:sz w:val="20"/>
                <w:szCs w:val="20"/>
                <w:highlight w:val="none"/>
                <w:u w:val="none"/>
              </w:rPr>
            </w:pPr>
          </w:p>
        </w:tc>
      </w:tr>
      <w:tr w14:paraId="0108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5B47E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2E82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真分集无线话筒</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79D07E8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1：波段范围（UHF）：632MHz～695MHz；</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2：PLL双频道锁相环回路设计；</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3：UHF200频道PLL数字锁定自动通讯功能；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4：显示屏显示功能(显示频率、频道、静噪、电平等)；</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5：每通道有音量调节功能；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6：AF输出（采用“XLR”型插座分别输出，混合输出）；</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7:发射功率调节，高功率14dBm; 低功率6dBm；</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8:发射机采用2节5号1.5V碱性电池；</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9：动态范围：88dB;</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10:最大频偏：±45KHz；</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11：频率响应：120Hz-16KHz(±3dB)；</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12：综合信噪比：&gt;73dB；</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13：综合失真度：≤1%；</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14:发射机工作时间8小时以上；</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15.含1台一拖二接收机及2只手持式话筒.</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95E74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1B20E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4FFCC28">
            <w:pPr>
              <w:jc w:val="center"/>
              <w:rPr>
                <w:rFonts w:hint="eastAsia" w:ascii="宋体" w:hAnsi="宋体" w:eastAsia="宋体" w:cs="宋体"/>
                <w:b w:val="0"/>
                <w:bCs w:val="0"/>
                <w:i w:val="0"/>
                <w:iCs w:val="0"/>
                <w:color w:val="000000"/>
                <w:sz w:val="20"/>
                <w:szCs w:val="20"/>
                <w:highlight w:val="none"/>
                <w:u w:val="none"/>
              </w:rPr>
            </w:pPr>
          </w:p>
        </w:tc>
      </w:tr>
      <w:tr w14:paraId="03AD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D302A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1C38B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真分集无线话筒</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1A8F6D2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1.波段范围（UHF）：632MHz～695MHz；</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2.PLL双频道锁相环回路设计；</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3.UHF200频道PLL数字锁定自动通讯功能；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4.显示屏显示功能(显示频率、频道、静噪、电平等)；</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5.每通道有音量调节功能；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6.AF输出（采用“XLR”型插座分别输出，混合输出）；</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7.发射功率调节，高功率14dBm; 低功率6dBm；</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8.发射机采用2节5号1.5V碱性电池；</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9.动态范围：88dB;</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10.最大频偏：±45KHz；</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11.频率响应：120Hz-16KHz(±3dB)；</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12.综合信噪比：&gt;73dB；</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13.综合失真度：≤1%；</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14.发射机工作时间8小时以上；</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15.含1台一拖二接收机及2只头戴式话筒</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41294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D1B38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0E9DFD4">
            <w:pPr>
              <w:jc w:val="center"/>
              <w:rPr>
                <w:rFonts w:hint="eastAsia" w:ascii="宋体" w:hAnsi="宋体" w:eastAsia="宋体" w:cs="宋体"/>
                <w:b w:val="0"/>
                <w:bCs w:val="0"/>
                <w:i w:val="0"/>
                <w:iCs w:val="0"/>
                <w:color w:val="000000"/>
                <w:sz w:val="20"/>
                <w:szCs w:val="20"/>
                <w:highlight w:val="none"/>
                <w:u w:val="none"/>
              </w:rPr>
            </w:pPr>
          </w:p>
        </w:tc>
      </w:tr>
      <w:tr w14:paraId="280C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5"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9E23A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EFB8D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十六路天线放大器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486E642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Style w:val="37"/>
                <w:b w:val="0"/>
                <w:bCs w:val="0"/>
                <w:highlight w:val="none"/>
                <w:lang w:val="en-US" w:eastAsia="zh-CN" w:bidi="ar"/>
              </w:rPr>
              <w:t>1、天线翼板与强波器参数：</w:t>
            </w:r>
            <w:r>
              <w:rPr>
                <w:rStyle w:val="37"/>
                <w:b w:val="0"/>
                <w:bCs w:val="0"/>
                <w:highlight w:val="none"/>
                <w:lang w:val="en-US" w:eastAsia="zh-CN" w:bidi="ar"/>
              </w:rPr>
              <w:br w:type="textWrapping"/>
            </w:r>
            <w:r>
              <w:rPr>
                <w:rStyle w:val="37"/>
                <w:b w:val="0"/>
                <w:bCs w:val="0"/>
                <w:highlight w:val="none"/>
                <w:lang w:val="en-US" w:eastAsia="zh-CN" w:bidi="ar"/>
              </w:rPr>
              <w:t>天线类型：对数周期指向（LPDA），频率范围400 - 950MHz。输出接口：卡口母座（BNC)，阻抗50</w:t>
            </w:r>
            <w:r>
              <w:rPr>
                <w:rStyle w:val="38"/>
                <w:rFonts w:eastAsia="宋体"/>
                <w:b w:val="0"/>
                <w:bCs w:val="0"/>
                <w:highlight w:val="none"/>
                <w:lang w:val="en-US" w:eastAsia="zh-CN" w:bidi="ar"/>
              </w:rPr>
              <w:t>Ω</w:t>
            </w:r>
            <w:r>
              <w:rPr>
                <w:rStyle w:val="37"/>
                <w:b w:val="0"/>
                <w:bCs w:val="0"/>
                <w:highlight w:val="none"/>
                <w:lang w:val="en-US" w:eastAsia="zh-CN" w:bidi="ar"/>
              </w:rPr>
              <w:t>。强波器：+2db、+6db、+8db、+12db四档可调。指示：电源与增益量LED指示。指向：水平90°垂直60°，垂直极化。工作电压：8 - 15V DC，尺寸320×275×22mm。</w:t>
            </w:r>
            <w:r>
              <w:rPr>
                <w:rStyle w:val="37"/>
                <w:b w:val="0"/>
                <w:bCs w:val="0"/>
                <w:highlight w:val="none"/>
                <w:lang w:val="en-US" w:eastAsia="zh-CN" w:bidi="ar"/>
              </w:rPr>
              <w:br w:type="textWrapping"/>
            </w:r>
            <w:r>
              <w:rPr>
                <w:rStyle w:val="37"/>
                <w:b w:val="0"/>
                <w:bCs w:val="0"/>
                <w:highlight w:val="none"/>
                <w:lang w:val="en-US" w:eastAsia="zh-CN" w:bidi="ar"/>
              </w:rPr>
              <w:t>2、分配主机参数：</w:t>
            </w:r>
            <w:r>
              <w:rPr>
                <w:rStyle w:val="37"/>
                <w:b w:val="0"/>
                <w:bCs w:val="0"/>
                <w:highlight w:val="none"/>
                <w:lang w:val="en-US" w:eastAsia="zh-CN" w:bidi="ar"/>
              </w:rPr>
              <w:br w:type="textWrapping"/>
            </w:r>
            <w:r>
              <w:rPr>
                <w:rStyle w:val="37"/>
                <w:b w:val="0"/>
                <w:bCs w:val="0"/>
                <w:highlight w:val="none"/>
                <w:lang w:val="en-US" w:eastAsia="zh-CN" w:bidi="ar"/>
              </w:rPr>
              <w:t>输入：2路BNC，最大灵敏度+32dBm。电源：12V3A。输出：16路BNC，4路DC 12V/1A。阻抗：50</w:t>
            </w:r>
            <w:r>
              <w:rPr>
                <w:rStyle w:val="38"/>
                <w:rFonts w:eastAsia="宋体"/>
                <w:b w:val="0"/>
                <w:bCs w:val="0"/>
                <w:highlight w:val="none"/>
                <w:lang w:val="en-US" w:eastAsia="zh-CN" w:bidi="ar"/>
              </w:rPr>
              <w:t>Ω</w:t>
            </w:r>
            <w:r>
              <w:rPr>
                <w:rStyle w:val="37"/>
                <w:b w:val="0"/>
                <w:bCs w:val="0"/>
                <w:highlight w:val="none"/>
                <w:lang w:val="en-US" w:eastAsia="zh-CN" w:bidi="ar"/>
              </w:rPr>
              <w:t>，尺寸482×66×200mm。</w:t>
            </w:r>
            <w:r>
              <w:rPr>
                <w:rStyle w:val="37"/>
                <w:b w:val="0"/>
                <w:bCs w:val="0"/>
                <w:highlight w:val="none"/>
                <w:lang w:val="en-US" w:eastAsia="zh-CN" w:bidi="ar"/>
              </w:rPr>
              <w:br w:type="textWrapping"/>
            </w:r>
            <w:r>
              <w:rPr>
                <w:rStyle w:val="37"/>
                <w:b w:val="0"/>
                <w:bCs w:val="0"/>
                <w:highlight w:val="none"/>
                <w:lang w:val="en-US" w:eastAsia="zh-CN" w:bidi="ar"/>
              </w:rPr>
              <w:t>3、同轴电缆参数：</w:t>
            </w:r>
            <w:r>
              <w:rPr>
                <w:rStyle w:val="37"/>
                <w:b w:val="0"/>
                <w:bCs w:val="0"/>
                <w:highlight w:val="none"/>
                <w:lang w:val="en-US" w:eastAsia="zh-CN" w:bidi="ar"/>
              </w:rPr>
              <w:br w:type="textWrapping"/>
            </w:r>
            <w:r>
              <w:rPr>
                <w:rStyle w:val="37"/>
                <w:b w:val="0"/>
                <w:bCs w:val="0"/>
                <w:highlight w:val="none"/>
                <w:lang w:val="en-US" w:eastAsia="zh-CN" w:bidi="ar"/>
              </w:rPr>
              <w:t>线材：发泡聚乙烯绝缘同轴电缆LMR195，阻抗50</w:t>
            </w:r>
            <w:r>
              <w:rPr>
                <w:rStyle w:val="38"/>
                <w:rFonts w:eastAsia="宋体"/>
                <w:b w:val="0"/>
                <w:bCs w:val="0"/>
                <w:highlight w:val="none"/>
                <w:lang w:val="en-US" w:eastAsia="zh-CN" w:bidi="ar"/>
              </w:rPr>
              <w:t>Ω</w:t>
            </w:r>
            <w:r>
              <w:rPr>
                <w:rStyle w:val="37"/>
                <w:b w:val="0"/>
                <w:bCs w:val="0"/>
                <w:highlight w:val="none"/>
                <w:lang w:val="en-US" w:eastAsia="zh-CN" w:bidi="ar"/>
              </w:rPr>
              <w:t>。弯曲半径25mm，线损≤0.24db/m(20度)，线径6mm。5层结构铜芯线，不同线长信号衰减不同。</w:t>
            </w:r>
            <w:r>
              <w:rPr>
                <w:rStyle w:val="37"/>
                <w:b w:val="0"/>
                <w:bCs w:val="0"/>
                <w:highlight w:val="none"/>
                <w:lang w:val="en-US" w:eastAsia="zh-CN" w:bidi="ar"/>
              </w:rPr>
              <w:br w:type="textWrapping"/>
            </w:r>
            <w:r>
              <w:rPr>
                <w:rStyle w:val="37"/>
                <w:b w:val="0"/>
                <w:bCs w:val="0"/>
                <w:highlight w:val="none"/>
                <w:lang w:val="en-US" w:eastAsia="zh-CN" w:bidi="ar"/>
              </w:rPr>
              <w:t>4、主要功能点：</w:t>
            </w:r>
            <w:r>
              <w:rPr>
                <w:rStyle w:val="37"/>
                <w:b w:val="0"/>
                <w:bCs w:val="0"/>
                <w:highlight w:val="none"/>
                <w:lang w:val="en-US" w:eastAsia="zh-CN" w:bidi="ar"/>
              </w:rPr>
              <w:br w:type="textWrapping"/>
            </w:r>
            <w:r>
              <w:rPr>
                <w:rStyle w:val="37"/>
                <w:b w:val="0"/>
                <w:bCs w:val="0"/>
                <w:highlight w:val="none"/>
                <w:lang w:val="en-US" w:eastAsia="zh-CN" w:bidi="ar"/>
              </w:rPr>
              <w:t>400MHZ - 950MHZ频率工作，信号增益+2DBM到+12DBM可调。兼容多数UHF频段无线麦克风接收机。天线板滤波、高频增益等功能。分配主机提供多路输出。同轴电缆为特殊结构的专用线。有可调节的天线板金属安装支架。天线翼板与增益强波器设计一体化且外壳密封。主机与天线翼板有连接状态指示灯。</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2F2B3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F222E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40C92AF">
            <w:pPr>
              <w:jc w:val="center"/>
              <w:rPr>
                <w:rFonts w:hint="eastAsia" w:ascii="宋体" w:hAnsi="宋体" w:eastAsia="宋体" w:cs="宋体"/>
                <w:b w:val="0"/>
                <w:bCs w:val="0"/>
                <w:i w:val="0"/>
                <w:iCs w:val="0"/>
                <w:color w:val="000000"/>
                <w:sz w:val="20"/>
                <w:szCs w:val="20"/>
                <w:highlight w:val="none"/>
                <w:u w:val="none"/>
              </w:rPr>
            </w:pPr>
          </w:p>
        </w:tc>
      </w:tr>
      <w:tr w14:paraId="3232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728189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6C39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八路智能电源控制器</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24E346D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 工业级液晶显示屏，可显示电能指标、日期等多类信息，每通道能设延时开/关机。</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 每路通道可设多个定时方案，单次/循环/周期开关，内置时钟芯片，有自动联网校时功能。</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 多种设备（电脑、手机等）可通过网口Web页面或串口协议控制操作。</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 单机8路时序电源，10A万能插座兼容多电源接口，2U高度且带空气开关，可选滤波器。</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5. 设有欠压、超压检测报警功能，最大输入60A，单路输出10A。</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6. 实现远程集中控制，每台设备可修改编码ID、自定义名字。</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7. 多机级联后可软件控制单个开关机，支持多机485远距离级联达254台。</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8. 设备电源输入接线柱接线，配63A空气开关，有多种数字接口。</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9. 软件支持密码登录且可修改，便于权限管理。</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10. 采用专业工业级电源检测方案，校准电能算法，能显示多种实时参数方便远程监控。</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3C8FF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29F76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6D33044D">
            <w:pPr>
              <w:jc w:val="center"/>
              <w:rPr>
                <w:rFonts w:hint="eastAsia" w:ascii="宋体" w:hAnsi="宋体" w:eastAsia="宋体" w:cs="宋体"/>
                <w:b w:val="0"/>
                <w:bCs w:val="0"/>
                <w:i w:val="0"/>
                <w:iCs w:val="0"/>
                <w:color w:val="000000"/>
                <w:sz w:val="20"/>
                <w:szCs w:val="20"/>
                <w:highlight w:val="none"/>
                <w:u w:val="none"/>
              </w:rPr>
            </w:pPr>
          </w:p>
        </w:tc>
      </w:tr>
      <w:tr w14:paraId="1A99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63690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072B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机柜</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7E43974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规格（W*D*H）：600mm*1000mm*2000mm； 配置6个束线圈，2个理线架，2个侧板，1个底板，4个固定托盘，2个全高竖装32A PDU。采用黑色， PDU外壳选用优质型材；PDU电压：AC220V，输入容量：32A，分路空开配置20*A10+4*A16。</w:t>
            </w:r>
          </w:p>
        </w:tc>
        <w:tc>
          <w:tcPr>
            <w:tcW w:w="300" w:type="dxa"/>
            <w:tcBorders>
              <w:top w:val="single" w:color="000000" w:sz="4" w:space="0"/>
              <w:left w:val="single" w:color="000000" w:sz="4" w:space="0"/>
              <w:bottom w:val="single" w:color="000000" w:sz="4" w:space="0"/>
              <w:right w:val="single" w:color="000000" w:sz="4" w:space="0"/>
            </w:tcBorders>
            <w:noWrap/>
            <w:vAlign w:val="center"/>
          </w:tcPr>
          <w:p w14:paraId="590876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23EB6C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1024794">
            <w:pPr>
              <w:rPr>
                <w:rFonts w:hint="eastAsia" w:ascii="宋体" w:hAnsi="宋体" w:eastAsia="宋体" w:cs="宋体"/>
                <w:b w:val="0"/>
                <w:bCs w:val="0"/>
                <w:i w:val="0"/>
                <w:iCs w:val="0"/>
                <w:color w:val="000000"/>
                <w:sz w:val="20"/>
                <w:szCs w:val="20"/>
                <w:highlight w:val="none"/>
                <w:u w:val="none"/>
              </w:rPr>
            </w:pPr>
          </w:p>
        </w:tc>
      </w:tr>
      <w:tr w14:paraId="0A85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29DCA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ABACD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52AF2F3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E69F9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8F95E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20B3913">
            <w:pPr>
              <w:jc w:val="center"/>
              <w:rPr>
                <w:rFonts w:hint="eastAsia" w:ascii="宋体" w:hAnsi="宋体" w:eastAsia="宋体" w:cs="宋体"/>
                <w:b w:val="0"/>
                <w:bCs w:val="0"/>
                <w:i w:val="0"/>
                <w:iCs w:val="0"/>
                <w:color w:val="000000"/>
                <w:sz w:val="20"/>
                <w:szCs w:val="20"/>
                <w:highlight w:val="none"/>
                <w:u w:val="none"/>
              </w:rPr>
            </w:pPr>
          </w:p>
        </w:tc>
      </w:tr>
      <w:tr w14:paraId="3309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C5E91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AAEB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线材</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6130BC9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铜芯护套线RVV2*1.5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998BB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7A5B3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73BFBAE">
            <w:pPr>
              <w:rPr>
                <w:rFonts w:hint="eastAsia" w:ascii="宋体" w:hAnsi="宋体" w:eastAsia="宋体" w:cs="宋体"/>
                <w:b w:val="0"/>
                <w:bCs w:val="0"/>
                <w:i w:val="0"/>
                <w:iCs w:val="0"/>
                <w:color w:val="000000"/>
                <w:sz w:val="24"/>
                <w:szCs w:val="24"/>
                <w:highlight w:val="none"/>
                <w:u w:val="none"/>
              </w:rPr>
            </w:pPr>
          </w:p>
        </w:tc>
      </w:tr>
      <w:tr w14:paraId="3088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DC87D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1445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线材</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51C4194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铜芯护套线RVV2*2.5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13DD5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65BF8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182B2ED">
            <w:pPr>
              <w:jc w:val="center"/>
              <w:rPr>
                <w:rFonts w:hint="eastAsia" w:ascii="宋体" w:hAnsi="宋体" w:eastAsia="宋体" w:cs="宋体"/>
                <w:b w:val="0"/>
                <w:bCs w:val="0"/>
                <w:i w:val="0"/>
                <w:iCs w:val="0"/>
                <w:color w:val="000000"/>
                <w:sz w:val="20"/>
                <w:szCs w:val="20"/>
                <w:highlight w:val="none"/>
                <w:u w:val="none"/>
              </w:rPr>
            </w:pPr>
          </w:p>
        </w:tc>
      </w:tr>
      <w:tr w14:paraId="7796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74EFAA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BC44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辅材</w:t>
            </w:r>
          </w:p>
        </w:tc>
        <w:tc>
          <w:tcPr>
            <w:tcW w:w="8345" w:type="dxa"/>
            <w:tcBorders>
              <w:top w:val="single" w:color="000000" w:sz="4" w:space="0"/>
              <w:left w:val="single" w:color="000000" w:sz="4" w:space="0"/>
              <w:bottom w:val="single" w:color="000000" w:sz="4" w:space="0"/>
              <w:right w:val="single" w:color="000000" w:sz="4" w:space="0"/>
            </w:tcBorders>
            <w:noWrap w:val="0"/>
            <w:vAlign w:val="center"/>
          </w:tcPr>
          <w:p w14:paraId="61693DF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高清线、线槽、水晶头、电源接头，胶带等</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B734E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8BE27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36BF0A2">
            <w:pPr>
              <w:jc w:val="center"/>
              <w:rPr>
                <w:rFonts w:hint="eastAsia" w:ascii="宋体" w:hAnsi="宋体" w:eastAsia="宋体" w:cs="宋体"/>
                <w:b w:val="0"/>
                <w:bCs w:val="0"/>
                <w:i w:val="0"/>
                <w:iCs w:val="0"/>
                <w:color w:val="000000"/>
                <w:sz w:val="20"/>
                <w:szCs w:val="20"/>
                <w:highlight w:val="none"/>
                <w:u w:val="none"/>
              </w:rPr>
            </w:pPr>
          </w:p>
        </w:tc>
      </w:tr>
    </w:tbl>
    <w:p w14:paraId="057CA91C">
      <w:pPr>
        <w:rPr>
          <w:rFonts w:hint="eastAsia" w:ascii="宋体" w:hAnsi="宋体" w:eastAsia="宋体" w:cs="宋体"/>
          <w:highlight w:val="none"/>
        </w:rPr>
      </w:pPr>
      <w:r>
        <w:rPr>
          <w:rFonts w:hint="eastAsia" w:ascii="宋体" w:hAnsi="宋体" w:eastAsia="宋体" w:cs="宋体"/>
          <w:highlight w:val="none"/>
        </w:rPr>
        <w:br w:type="page"/>
      </w:r>
    </w:p>
    <w:tbl>
      <w:tblPr>
        <w:tblStyle w:val="17"/>
        <w:tblW w:w="10800" w:type="dxa"/>
        <w:tblInd w:w="-10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
        <w:gridCol w:w="873"/>
        <w:gridCol w:w="8318"/>
        <w:gridCol w:w="327"/>
        <w:gridCol w:w="532"/>
        <w:gridCol w:w="341"/>
      </w:tblGrid>
      <w:tr w14:paraId="1EAC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0" w:type="dxa"/>
            <w:gridSpan w:val="6"/>
            <w:tcBorders>
              <w:top w:val="single" w:color="000000" w:sz="4" w:space="0"/>
              <w:left w:val="single" w:color="000000" w:sz="4" w:space="0"/>
              <w:bottom w:val="single" w:color="000000" w:sz="4" w:space="0"/>
              <w:right w:val="single" w:color="000000" w:sz="4" w:space="0"/>
            </w:tcBorders>
            <w:noWrap/>
            <w:vAlign w:val="center"/>
          </w:tcPr>
          <w:p w14:paraId="2D89F98F">
            <w:pPr>
              <w:keepNext w:val="0"/>
              <w:keepLines w:val="0"/>
              <w:widowControl/>
              <w:suppressLineNumbers w:val="0"/>
              <w:jc w:val="both"/>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五、智慧教学环境建设概算</w:t>
            </w:r>
          </w:p>
        </w:tc>
      </w:tr>
      <w:tr w14:paraId="4A53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2FBA68E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A7A728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8318" w:type="dxa"/>
            <w:tcBorders>
              <w:top w:val="single" w:color="000000" w:sz="4" w:space="0"/>
              <w:left w:val="single" w:color="000000" w:sz="4" w:space="0"/>
              <w:bottom w:val="single" w:color="000000" w:sz="4" w:space="0"/>
              <w:right w:val="single" w:color="000000" w:sz="4" w:space="0"/>
            </w:tcBorders>
            <w:noWrap/>
            <w:vAlign w:val="center"/>
          </w:tcPr>
          <w:p w14:paraId="274B718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功能参数</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524F0DD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486C2AA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C4C2C6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308C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0" w:type="dxa"/>
            <w:gridSpan w:val="6"/>
            <w:tcBorders>
              <w:top w:val="single" w:color="000000" w:sz="4" w:space="0"/>
              <w:left w:val="single" w:color="000000" w:sz="4" w:space="0"/>
              <w:bottom w:val="nil"/>
              <w:right w:val="single" w:color="000000" w:sz="4" w:space="0"/>
            </w:tcBorders>
            <w:noWrap/>
            <w:vAlign w:val="center"/>
          </w:tcPr>
          <w:p w14:paraId="56853A8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5.1 电子督学系统</w:t>
            </w:r>
          </w:p>
        </w:tc>
      </w:tr>
      <w:tr w14:paraId="71C8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22DD6F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747FB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室内球机</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699041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★1、红外PTZ球机， ≥200万像素CMOS传感器分辨率≥1920×1080@30fps，靶面尺寸≥1/2.8＂CMOS，最低照度彩色≤0.005 Lux ；信噪比≥61dB，网络延时不大于125ms；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2、设备支持水平手控速度不小于100°/S，支持水平0-330°旋转，垂直0-90°旋转；支持≥300个预置位，支持≥30条巡航扫描，支持预置位冻结功能；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3、设备焦距范围≥3~12 mm，支持≥4倍光学变倍，≥16倍数字变倍；支持宽动态、数字降噪、强光抑制功能；内置1个麦克风；可将视频图像存储至 SD 卡或客户端，支持SD卡热插拔；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4、支持区域遮盖功能，支持设置不少于24个不规则四边形区域，可设置不同颜色；支持自动定位、断电记忆功能；支持定时抓拍或报警联动抓图上传ftp功能；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5、设备≥1路音频输入，≥1路音频输出；支持三码流同时输出,可通过 IE浏览器设置码流平滑功能；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7、设备支持PoE功能，工作温湿度-20℃-60℃；湿度小于90%，防护≥IP54。</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含电源、支架</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D567F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964F7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360</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C98A9CE">
            <w:pPr>
              <w:jc w:val="center"/>
              <w:rPr>
                <w:rFonts w:hint="eastAsia" w:ascii="宋体" w:hAnsi="宋体" w:eastAsia="宋体" w:cs="宋体"/>
                <w:b w:val="0"/>
                <w:bCs w:val="0"/>
                <w:i w:val="0"/>
                <w:iCs w:val="0"/>
                <w:color w:val="000000"/>
                <w:sz w:val="20"/>
                <w:szCs w:val="20"/>
                <w:highlight w:val="none"/>
                <w:u w:val="none"/>
              </w:rPr>
            </w:pPr>
          </w:p>
        </w:tc>
      </w:tr>
      <w:tr w14:paraId="23FA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6E483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59239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室内半球</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58D16F8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高清半球摄像机，视频压缩标准需支持H.265和H.264，支持水平、垂直、旋转三轴调节，支持POE供电，红外补光距离≥25米，防护等级不低于IP66；</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★2.  ≥400万像素CMOS传感器，摄像机靶面尺寸≥1/2.4英寸，内置麦克风，分辨率和帧率≥2550*1440、20帧/秒，水平分辨力不低于1800线；支持POE供电。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3. 宽动态能力综合评价得分应≥140，最低照度：彩色≤0.005 lx、黑白≤0.0005 lx。</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含电源、支架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4.支持外接拾音器。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含电源、支架 </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247FE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0B4CA8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360</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C93CFE1">
            <w:pPr>
              <w:jc w:val="center"/>
              <w:rPr>
                <w:rFonts w:hint="eastAsia" w:ascii="宋体" w:hAnsi="宋体" w:eastAsia="宋体" w:cs="宋体"/>
                <w:b w:val="0"/>
                <w:bCs w:val="0"/>
                <w:i w:val="0"/>
                <w:iCs w:val="0"/>
                <w:color w:val="000000"/>
                <w:sz w:val="20"/>
                <w:szCs w:val="20"/>
                <w:highlight w:val="none"/>
                <w:u w:val="none"/>
              </w:rPr>
            </w:pPr>
          </w:p>
        </w:tc>
      </w:tr>
      <w:tr w14:paraId="62FC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FC506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C19F0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EFAC13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超五类非屏蔽网线 无氧铜千兆网线</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4CB533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0200FC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10800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0121ABA">
            <w:pPr>
              <w:jc w:val="center"/>
              <w:rPr>
                <w:rFonts w:hint="eastAsia" w:ascii="宋体" w:hAnsi="宋体" w:eastAsia="宋体" w:cs="宋体"/>
                <w:b w:val="0"/>
                <w:bCs w:val="0"/>
                <w:i w:val="0"/>
                <w:iCs w:val="0"/>
                <w:color w:val="000000"/>
                <w:sz w:val="20"/>
                <w:szCs w:val="20"/>
                <w:highlight w:val="none"/>
                <w:u w:val="none"/>
              </w:rPr>
            </w:pPr>
          </w:p>
        </w:tc>
      </w:tr>
      <w:tr w14:paraId="049B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1054E4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DF54C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电源线</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4D07A63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RVV2*1.5mm</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0E46BF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4FBA0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8640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A51041E">
            <w:pPr>
              <w:jc w:val="center"/>
              <w:rPr>
                <w:rFonts w:hint="eastAsia" w:ascii="宋体" w:hAnsi="宋体" w:eastAsia="宋体" w:cs="宋体"/>
                <w:b w:val="0"/>
                <w:bCs w:val="0"/>
                <w:i w:val="0"/>
                <w:iCs w:val="0"/>
                <w:color w:val="000000"/>
                <w:sz w:val="20"/>
                <w:szCs w:val="20"/>
                <w:highlight w:val="none"/>
                <w:u w:val="none"/>
              </w:rPr>
            </w:pPr>
          </w:p>
        </w:tc>
      </w:tr>
      <w:tr w14:paraId="08B1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3F0B4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8A921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电子督学管理系统</w:t>
            </w:r>
          </w:p>
        </w:tc>
        <w:tc>
          <w:tcPr>
            <w:tcW w:w="83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0ADA0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一、平台基础能力要求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支持系统部署在国产操作系统环境中，支持部署组件（服务）到服务器集群，并进行集群管理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支持系统分布式、负载均衡等技术，支持多级架构进行系统平台规模扩展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支持业务应用组件化，各组件独立运行、维护，支持独立安装或卸载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支持知识库搜索查询、导入、导出，支持经验分享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支持纯表单页面可视化配置；支持自定义控件拖拽，支持设置自定义控件标题、描述文字数据类型、默认内容、是否必填、校验规则等支持自定义网页端和手机端数据列表， 包括列表字段、筛选条件、表单操作按钮等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支持在Web端通过拖、拉、拽的方式自定义编排各类工作台、web应用、数据看板；</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支持组织信息管理，组织信息包括学校、院系、专业、班级等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支持教室管理，信息包括学校、教学楼、楼层、教室、其他，可设置教室容量以及是否支持预约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支持自定义角色，可设置菜单权限、资源权限、组织权限、区域权限；支持单独或批量添加账号关联到角色上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支持以学校维度、楼栋维度、楼层维度、教室维度批量下发课表权限或单独下发课表权限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★二、督导巡课（含600间教室，每间教室摄像机、课件等10个端的接入授权）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2.1  实时巡课</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支持按课程实时巡课，可按教师、班级、课程标签、巡课状态、巡课组、我关注的等维度筛选课程；支持按课程名称、教师名称、教室名称查询课程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支持按出勤率、应勤人数、抬头率、趴桌子次数、前排空座率正倒序排列；支持关注教师或教室，可管理我的关注，可批量取消关注（提供权威机构检测报告证明）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支持切换不同教室画面，可全屏预览、电子放大、云台控制、音量控制、切换主码流或子码流；支持开启或关闭语音对讲；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支持巡课评价，可基于评价表评价和输入文字点评；</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2.2  录像巡课</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支持按课程录像巡课，可按教师、班级、课程标签、巡课状态、巡课组、我关注的、课程时间等维度筛选课程进行巡课；支持按课程名称、教师名称、教室名称查询课程；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支持按教室录像巡课，可按教室场地区域、课程时间维度筛选；支持按课程名称、班级名称、教师名称查询课程；.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支持倍速观看，包括1/2、1/4倍速、1倍速、2倍速、4倍速；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支持巡课评价，可基于评价表评价和输入文字点评；</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支持切换画面布局，可选择一画面、双画面、三画面、四画面等不同画面布局；</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支持抓拍画面、录像截取，可在抓拍课堂画面和截取录像时添加评价；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2.3  巡课工作统计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统计巡课任务进度，可统计巡课组、巡课组成员的计划任务数、完成任务数、任务进度；支持切换次数统计维度和占比统计维度；支持切换图形视图和列表视图，可展示巡课组或巡课员的计划任务数、完成任务数、任务进度且支持正倒序排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统计巡课次数趋势，可统计巡课组、巡课组成员维度的评价次数，展示在某段时间范围中的数量趋势；支持切换图形视图和列表视图，可展示具体日期的计划任务数、完成任务数、任务进度且支持正倒序排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2.4 巡课分析报告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支持生成巡课分析报告，可按日期、课程、班级、教师、教室查询；可点击课程跳转到巡课详情查看画面；支持导出课堂巡课分析报告PDF格式文件；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课程结束后自动生成巡课分析报告，包括课程详情、巡课组信息、教师出勤情况、学生出勤情况、前排空座率趋势、学生抬头率趋势、学生课堂异常行为、行为占比统计、课堂参与度统计、S-T图、教学互动模式分析、评价记录、全部评价；（提供权威机构检测报告证明）</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2.5 巡课组管理、巡课评价表配置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支持创建、编辑、复制、查询、导出、删除巡课组，可预览巡课组的巡课范围、评价表内容；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支持统计和展示组员人数、计划任务次数、完成任务次数、任务进度、任务周期，可正倒序排列；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支持设置任务周期的日期范围；支持设置巡课组员的计划任务量，可批量分配任务；支持设置评价内容，可允许被评价的教师查看评价结果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支持评价表配置，可创建打分式评价表，可创建评分题、选择题、填空题，可复制生成新评价表；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三、专家巡课</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支持专家评课配置，可设置课程、评课专家、评课有效期，自动生成邀请链接、账号、密码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支持专家按照课程直播、课程点播进行巡课，可通过课程、教室、教室、日期、是否上课中进行筛选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四、考试巡查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支持在线巡考，可查看考试中、已结束的考试画面，可按考试计划、考场教室维度筛选；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支持选择教室画面，可开启云台控制、全屏预览画面、控制音量、抓拍画面、录制视频；支持对教室画面进行抓拍或录像添加评价；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支持管理考试计划，可查询、创建、编辑、发布考试计划，可选择考试类型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支持在考试计划中添加和导入具体考试，可设置考试科目、考试名称、考试时间、考试教室、监考教师；支持添加考生，可按班级选择、按表格导入、按座位表导入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五、课表对接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系统根据字段值、正则、fel函数等条件进行数据过滤，可按多个条件组合过滤。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系统将不同数据源数据，通过各个数据流中的主键字段，进行等值关联合并，输出到同一个目标源中。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系统支持接入多类数据源的数据。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系统接入国产数据库的数据。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系统支持将数据分发到非关系型数据库。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系统通过Flink-CDC（数据变更捕获）模式读取多类关系型数据库的存量历史数据和增量变更数据。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系统按数字、日期等业务字段进行数据增量字段的配置，可实现断点续传，指定偏移量进行数据增量抽取</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支持对接学校现有两套排课系统，并针对不同区域实现课表、基础人员信息、组织楼栋信息等数据的对接，后续不再产生二次对接费用</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548023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5B5D3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8EB7873">
            <w:pPr>
              <w:jc w:val="center"/>
              <w:rPr>
                <w:rFonts w:hint="eastAsia" w:ascii="宋体" w:hAnsi="宋体" w:eastAsia="宋体" w:cs="宋体"/>
                <w:b w:val="0"/>
                <w:bCs w:val="0"/>
                <w:i w:val="0"/>
                <w:iCs w:val="0"/>
                <w:color w:val="000000"/>
                <w:sz w:val="20"/>
                <w:szCs w:val="20"/>
                <w:highlight w:val="none"/>
                <w:u w:val="none"/>
              </w:rPr>
            </w:pPr>
          </w:p>
        </w:tc>
      </w:tr>
      <w:tr w14:paraId="1F15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3"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26974F6D">
            <w:pPr>
              <w:jc w:val="center"/>
              <w:rPr>
                <w:rFonts w:hint="eastAsia" w:ascii="宋体" w:hAnsi="宋体" w:eastAsia="宋体" w:cs="宋体"/>
                <w:b w:val="0"/>
                <w:bCs w:val="0"/>
                <w:i w:val="0"/>
                <w:iCs w:val="0"/>
                <w:color w:val="000000"/>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117E8EC">
            <w:pPr>
              <w:jc w:val="center"/>
              <w:rPr>
                <w:rFonts w:hint="eastAsia" w:ascii="宋体" w:hAnsi="宋体" w:eastAsia="宋体" w:cs="宋体"/>
                <w:b w:val="0"/>
                <w:bCs w:val="0"/>
                <w:i w:val="0"/>
                <w:iCs w:val="0"/>
                <w:color w:val="000000"/>
                <w:sz w:val="20"/>
                <w:szCs w:val="20"/>
                <w:highlight w:val="none"/>
                <w:u w:val="none"/>
              </w:rPr>
            </w:pPr>
          </w:p>
        </w:tc>
        <w:tc>
          <w:tcPr>
            <w:tcW w:w="83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AD070">
            <w:pPr>
              <w:jc w:val="left"/>
              <w:rPr>
                <w:rFonts w:hint="eastAsia" w:ascii="宋体" w:hAnsi="宋体" w:eastAsia="宋体" w:cs="宋体"/>
                <w:b w:val="0"/>
                <w:bCs w:val="0"/>
                <w:i w:val="0"/>
                <w:iCs w:val="0"/>
                <w:color w:val="000000"/>
                <w:sz w:val="20"/>
                <w:szCs w:val="20"/>
                <w:highlight w:val="none"/>
                <w:u w:val="none"/>
              </w:rPr>
            </w:pP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0B2643A7">
            <w:pPr>
              <w:jc w:val="center"/>
              <w:rPr>
                <w:rFonts w:hint="eastAsia" w:ascii="宋体" w:hAnsi="宋体" w:eastAsia="宋体" w:cs="宋体"/>
                <w:b w:val="0"/>
                <w:bCs w:val="0"/>
                <w:i w:val="0"/>
                <w:iCs w:val="0"/>
                <w:color w:val="000000"/>
                <w:sz w:val="20"/>
                <w:szCs w:val="20"/>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2611A78">
            <w:pPr>
              <w:jc w:val="center"/>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AB7D7D4">
            <w:pPr>
              <w:jc w:val="center"/>
              <w:rPr>
                <w:rFonts w:hint="eastAsia" w:ascii="宋体" w:hAnsi="宋体" w:eastAsia="宋体" w:cs="宋体"/>
                <w:b w:val="0"/>
                <w:bCs w:val="0"/>
                <w:i w:val="0"/>
                <w:iCs w:val="0"/>
                <w:color w:val="000000"/>
                <w:sz w:val="20"/>
                <w:szCs w:val="20"/>
                <w:highlight w:val="none"/>
                <w:u w:val="none"/>
              </w:rPr>
            </w:pPr>
          </w:p>
        </w:tc>
      </w:tr>
      <w:tr w14:paraId="16EB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3D58A6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4332E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电子督学液晶拼接屏</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B20568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★1、LCD显示单元为：55“超窄边液晶屏；单元物理拼缝≤1.7mm，物理分辨率达到1920×1080，响应时间≤8.5ms。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2、LCD显示单元亮度达到500cd/㎡，静态对比度达到1200：1，图像显示清晰度≥950TVL，亮度鉴别等级为11级。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3、用户通过客户端设置开机延时时间，设备开机时根据延时时间执行开机动作。延时时间以ms为单位，范围0-3000ms。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4、内置MPEG、JPEG和 Real media解码器，支持点播U盘、移动硬盘中的视频、图片、音频或文本资源。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5、具有LED工作及故障状态指示灯，红色待机，绿色正常工作。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6、支持4比3、16比9、点对点等比例显示。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7、液晶显示单元支持U盘自动播放功能，开启状态下，自动读取U盘中的视频、图片或文本资源并播放。</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65C1F5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5B738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197E70F">
            <w:pPr>
              <w:jc w:val="center"/>
              <w:rPr>
                <w:rFonts w:hint="eastAsia" w:ascii="宋体" w:hAnsi="宋体" w:eastAsia="宋体" w:cs="宋体"/>
                <w:b w:val="0"/>
                <w:bCs w:val="0"/>
                <w:i w:val="0"/>
                <w:iCs w:val="0"/>
                <w:color w:val="000000"/>
                <w:sz w:val="20"/>
                <w:szCs w:val="20"/>
                <w:highlight w:val="none"/>
                <w:u w:val="none"/>
              </w:rPr>
            </w:pPr>
          </w:p>
        </w:tc>
      </w:tr>
      <w:tr w14:paraId="0682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7F67F5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61606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显示器支架</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6E15F78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55英寸-模块化支架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1、材质：优质冷轧钢板(SPCC)，材料厚度从T1.0-T5不等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2、颜色：黑色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3、厚度：主体330mm；底盘趴角830mm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4、表面处理：静电喷塑，涂层厚度&gt;60微米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5、底座高度：600mm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6、弧度：0°</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6B6876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417D0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8F2544F">
            <w:pPr>
              <w:jc w:val="center"/>
              <w:rPr>
                <w:rFonts w:hint="eastAsia" w:ascii="宋体" w:hAnsi="宋体" w:eastAsia="宋体" w:cs="宋体"/>
                <w:b w:val="0"/>
                <w:bCs w:val="0"/>
                <w:i w:val="0"/>
                <w:iCs w:val="0"/>
                <w:color w:val="000000"/>
                <w:sz w:val="20"/>
                <w:szCs w:val="20"/>
                <w:highlight w:val="none"/>
                <w:u w:val="none"/>
              </w:rPr>
            </w:pPr>
          </w:p>
        </w:tc>
      </w:tr>
      <w:tr w14:paraId="7058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47A21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C1217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解码器</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3911ECA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框架式结构，机箱高度≤3U，≥2个10M/100M/1000M自适应以太网口，≥2个RS485/232复用口，≥4路HDMI输入接口、≥24路HDMI输出接口，输出分辨率支持≥3840×2160@30 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支持对HDMI输入视频源进行编码，编码分辨率不低于1080P，支持≥192路1080P视频同时解码输出，支持≥192个窗口；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支持网络、数字视频信号的接入和切换输出，支持解码H.265、H.264、MPEG4、MJPEG等主流的编码格式，支持PS、TS、ES、RTP等主流封装格式，支持ONVIF协议接入设备解码；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具有开窗、漫游、漂移、改变形状等功能，同时支持在底图上开窗漫游，支持窗口置底、置顶操作，支持断电保护功能，支持自动保存断电前的运行参数，重新加电后可恢复到断电前的状态；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支持将窗口、底图、字符叠加信息保存成场景，支持一键调用，场景保存方式支持以布局缩略图方式显示，输入信号切换时无花屏、无蓝屏、无肉眼可见的黑场现象；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支持用户添加、删除、修改、密码设置等操作，支持为不同用户设置不同管理权限（资源权限、配置权限、操作权限），支持设置≥64个用户；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支持通过抓屏软可将远程桌面实时解码上墙显示，实时画面帧率≥30fps，同时抓取≥8个4K信号上墙显示，且上墙前后CPU占用率无明显变化，支持在电视墙进行≥8画面分割显示，支持对远程桌面进行整屏、单窗口、自定义区域抓屏上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支持将一路输入视频图像发送至多个输出接口进行拼接显示，支持将多路输入视频图像发送至多个输出接口拼接显示；支持拼接不少于32路分辨率为1920×1080的视频图像；拼接时不同输出之间画面应同步、无撕裂感、无错位；支持多块屏幕图像的拼接，可将显示单元拼接成一个高分辨率的单一逻辑屏；全屏刷新时间≤20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单输出接口支持不少于16个分辨率≥4096×2160图层或16个分辨率≥1920×1080图层；单张输出板卡支持不少于30个分辨率≥4096×2160图层；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输出分辨率支持支持自定义，设置范围宽不低于1280～3840、高不低于720～2160可设；支持根据屏的点数及显示面积制定输出分辨率，通过软件内部界面设置及相应的点数划分制定功能实现自适应，支持将自定义分辨率添加到系统默认列表中；</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0720A0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60AEB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C03DF11">
            <w:pPr>
              <w:jc w:val="center"/>
              <w:rPr>
                <w:rFonts w:hint="eastAsia" w:ascii="宋体" w:hAnsi="宋体" w:eastAsia="宋体" w:cs="宋体"/>
                <w:b w:val="0"/>
                <w:bCs w:val="0"/>
                <w:i w:val="0"/>
                <w:iCs w:val="0"/>
                <w:color w:val="000000"/>
                <w:sz w:val="20"/>
                <w:szCs w:val="20"/>
                <w:highlight w:val="none"/>
                <w:u w:val="none"/>
              </w:rPr>
            </w:pPr>
          </w:p>
        </w:tc>
      </w:tr>
      <w:tr w14:paraId="0D8C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6D373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928F6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操作终端</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49696F2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CPU：≥8核/2.3GHz/内存：16GB/硬盘：512G SSD/显示器：23.8英寸、鼠标键盘/显卡：2G独显/DVD刻录/操作系统：（激活）</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178A6C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AFA21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54256A61">
            <w:pPr>
              <w:jc w:val="center"/>
              <w:rPr>
                <w:rFonts w:hint="eastAsia" w:ascii="宋体" w:hAnsi="宋体" w:eastAsia="宋体" w:cs="宋体"/>
                <w:b w:val="0"/>
                <w:bCs w:val="0"/>
                <w:i w:val="0"/>
                <w:iCs w:val="0"/>
                <w:color w:val="000000"/>
                <w:sz w:val="20"/>
                <w:szCs w:val="20"/>
                <w:highlight w:val="none"/>
                <w:u w:val="none"/>
              </w:rPr>
            </w:pPr>
          </w:p>
        </w:tc>
      </w:tr>
      <w:tr w14:paraId="17EB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1B4E85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A7B31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全频音箱</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3A9988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1、系统类型：15"二分频无源倒相式音箱；</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2、功率：450W（额定）/1800W（峰值）；</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3、低音单元：1× 15"低频单元,3"音圈；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4、高音单元：1×1"高频单元,1.75"音圈；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5、最大声压级(1M)：122dB（额定）/128dB（峰值）；</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6、阻抗： 8Ω；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7、灵敏度（1W/1M）: 95dB；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8、频率响应：50Hz-20KHz(-6dB)；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9、指向性：水平 80°，垂直50°；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10、连接器：2×SPEAKON插座；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11、箱体：夹板板材，防刮黑色喷漆，1.2 mm厚度黑色粉体喷漆, 内部贴声学泡棉；</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543A0A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只</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4AAE7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2E2268C9">
            <w:pPr>
              <w:jc w:val="center"/>
              <w:rPr>
                <w:rFonts w:hint="eastAsia" w:ascii="宋体" w:hAnsi="宋体" w:eastAsia="宋体" w:cs="宋体"/>
                <w:b w:val="0"/>
                <w:bCs w:val="0"/>
                <w:i w:val="0"/>
                <w:iCs w:val="0"/>
                <w:color w:val="000000"/>
                <w:sz w:val="20"/>
                <w:szCs w:val="20"/>
                <w:highlight w:val="none"/>
                <w:u w:val="none"/>
              </w:rPr>
            </w:pPr>
          </w:p>
        </w:tc>
      </w:tr>
      <w:tr w14:paraId="7D87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5659FA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47B48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纯功放</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56C8777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1、额定功率：2×850W/8</w:t>
            </w:r>
            <w:r>
              <w:rPr>
                <w:rStyle w:val="39"/>
                <w:rFonts w:eastAsia="宋体"/>
                <w:b w:val="0"/>
                <w:bCs w:val="0"/>
                <w:highlight w:val="none"/>
                <w:lang w:val="en-US" w:eastAsia="zh-CN" w:bidi="ar"/>
              </w:rPr>
              <w:t>Ω</w:t>
            </w:r>
            <w:r>
              <w:rPr>
                <w:rFonts w:hint="eastAsia" w:ascii="宋体" w:hAnsi="宋体" w:eastAsia="宋体" w:cs="宋体"/>
                <w:b w:val="0"/>
                <w:bCs w:val="0"/>
                <w:i w:val="0"/>
                <w:iCs w:val="0"/>
                <w:color w:val="000000"/>
                <w:kern w:val="0"/>
                <w:sz w:val="20"/>
                <w:szCs w:val="20"/>
                <w:highlight w:val="none"/>
                <w:u w:val="none"/>
                <w:lang w:val="en-US" w:eastAsia="zh-CN" w:bidi="ar"/>
              </w:rPr>
              <w:t>，2×1100W/4</w:t>
            </w:r>
            <w:r>
              <w:rPr>
                <w:rStyle w:val="39"/>
                <w:rFonts w:eastAsia="宋体"/>
                <w:b w:val="0"/>
                <w:bCs w:val="0"/>
                <w:highlight w:val="none"/>
                <w:lang w:val="en-US" w:eastAsia="zh-CN" w:bidi="ar"/>
              </w:rPr>
              <w:t>Ω</w:t>
            </w:r>
            <w:r>
              <w:rPr>
                <w:rFonts w:hint="eastAsia" w:ascii="宋体" w:hAnsi="宋体" w:eastAsia="宋体" w:cs="宋体"/>
                <w:b w:val="0"/>
                <w:bCs w:val="0"/>
                <w:i w:val="0"/>
                <w:iCs w:val="0"/>
                <w:color w:val="000000"/>
                <w:kern w:val="0"/>
                <w:sz w:val="20"/>
                <w:szCs w:val="20"/>
                <w:highlight w:val="none"/>
                <w:u w:val="none"/>
                <w:lang w:val="en-US" w:eastAsia="zh-CN" w:bidi="ar"/>
              </w:rPr>
              <w:t>,桥接1×2200W/8</w:t>
            </w:r>
            <w:r>
              <w:rPr>
                <w:rStyle w:val="39"/>
                <w:rFonts w:eastAsia="宋体"/>
                <w:b w:val="0"/>
                <w:bCs w:val="0"/>
                <w:highlight w:val="none"/>
                <w:lang w:val="en-US" w:eastAsia="zh-CN" w:bidi="ar"/>
              </w:rPr>
              <w:t>Ω</w:t>
            </w:r>
            <w:r>
              <w:rPr>
                <w:rFonts w:hint="eastAsia" w:ascii="宋体" w:hAnsi="宋体" w:eastAsia="宋体" w:cs="宋体"/>
                <w:b w:val="0"/>
                <w:bCs w:val="0"/>
                <w:i w:val="0"/>
                <w:iCs w:val="0"/>
                <w:color w:val="000000"/>
                <w:kern w:val="0"/>
                <w:sz w:val="20"/>
                <w:szCs w:val="20"/>
                <w:highlight w:val="none"/>
                <w:u w:val="none"/>
                <w:lang w:val="en-US" w:eastAsia="zh-CN" w:bidi="ar"/>
              </w:rPr>
              <w:t>；</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2、频率响应：20Hz-20KHz；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3、总谐波失真：&lt;0.5%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4、互调失真：≤0.35%；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5、阻尼系数：&gt;200；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6、电压增益：35dB；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7、灵敏度：0.775V或1.4V或26dB；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8、输入阻抗：20k</w:t>
            </w:r>
            <w:r>
              <w:rPr>
                <w:rStyle w:val="39"/>
                <w:rFonts w:eastAsia="宋体"/>
                <w:b w:val="0"/>
                <w:bCs w:val="0"/>
                <w:highlight w:val="none"/>
                <w:lang w:val="en-US" w:eastAsia="zh-CN" w:bidi="ar"/>
              </w:rPr>
              <w:t>Ω</w:t>
            </w:r>
            <w:r>
              <w:rPr>
                <w:rFonts w:hint="eastAsia" w:ascii="宋体" w:hAnsi="宋体" w:eastAsia="宋体" w:cs="宋体"/>
                <w:b w:val="0"/>
                <w:bCs w:val="0"/>
                <w:i w:val="0"/>
                <w:iCs w:val="0"/>
                <w:color w:val="000000"/>
                <w:kern w:val="0"/>
                <w:sz w:val="20"/>
                <w:szCs w:val="20"/>
                <w:highlight w:val="none"/>
                <w:u w:val="none"/>
                <w:lang w:val="en-US" w:eastAsia="zh-CN" w:bidi="ar"/>
              </w:rPr>
              <w:t>平衡输入， 10k</w:t>
            </w:r>
            <w:r>
              <w:rPr>
                <w:rStyle w:val="39"/>
                <w:rFonts w:eastAsia="宋体"/>
                <w:b w:val="0"/>
                <w:bCs w:val="0"/>
                <w:highlight w:val="none"/>
                <w:lang w:val="en-US" w:eastAsia="zh-CN" w:bidi="ar"/>
              </w:rPr>
              <w:t>Ω</w:t>
            </w:r>
            <w:r>
              <w:rPr>
                <w:rFonts w:hint="eastAsia" w:ascii="宋体" w:hAnsi="宋体" w:eastAsia="宋体" w:cs="宋体"/>
                <w:b w:val="0"/>
                <w:bCs w:val="0"/>
                <w:i w:val="0"/>
                <w:iCs w:val="0"/>
                <w:color w:val="000000"/>
                <w:kern w:val="0"/>
                <w:sz w:val="20"/>
                <w:szCs w:val="20"/>
                <w:highlight w:val="none"/>
                <w:u w:val="none"/>
                <w:lang w:val="en-US" w:eastAsia="zh-CN" w:bidi="ar"/>
              </w:rPr>
              <w:t>非平衡输入；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9、信噪比：＞100dB；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10、串扰：75dB；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11、转换率：&gt;10V/us；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12、输入接口：每通道1个平衡式×LR,一个平衡式×LR LINK连接口；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13、输出接口：每通道1个4极SPEAKON和1对接线柱连接口；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14、保护：防短路、空载、开启/关闭静音，信号干扰或过载；</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A6DA0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ADFE1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0BCF99D4">
            <w:pPr>
              <w:jc w:val="center"/>
              <w:rPr>
                <w:rFonts w:hint="eastAsia" w:ascii="宋体" w:hAnsi="宋体" w:eastAsia="宋体" w:cs="宋体"/>
                <w:b w:val="0"/>
                <w:bCs w:val="0"/>
                <w:i w:val="0"/>
                <w:iCs w:val="0"/>
                <w:color w:val="000000"/>
                <w:sz w:val="20"/>
                <w:szCs w:val="20"/>
                <w:highlight w:val="none"/>
                <w:u w:val="none"/>
              </w:rPr>
            </w:pPr>
          </w:p>
        </w:tc>
      </w:tr>
      <w:tr w14:paraId="0484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536D8D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327E0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数字前级音频处理器</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2A4EE27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1、支持双核高速浮点DSP；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2、支持8路模拟输入通道，8路模拟输出通道；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3、输入每通道处理功能：前级放大、信号发生器、扩展器、压缩器、5段参量均衡、反相、自动增益、自动混音等；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4、输出每通道处理功能：31段图示均衡器、延时器、分频器、高低通滤波器、限幅器、反相等；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5、具备高精度输入灵敏度调节，17档，步长3dB，可支持各种话筒声音的拾取；</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6、支持AFC反馈消除、AEC回声消除、ANC噪声消除等算法；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7、支持USB接口，可实现多媒体录制/播放功能；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8、兼容多方平台控制管理，支持Windows系统、iOS系统以及Andriod系统,通过iPAD或iPhone或安卓手机APP软件进行操作控制。</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D8714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45E03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45B16087">
            <w:pPr>
              <w:jc w:val="center"/>
              <w:rPr>
                <w:rFonts w:hint="eastAsia" w:ascii="宋体" w:hAnsi="宋体" w:eastAsia="宋体" w:cs="宋体"/>
                <w:b w:val="0"/>
                <w:bCs w:val="0"/>
                <w:i w:val="0"/>
                <w:iCs w:val="0"/>
                <w:color w:val="000000"/>
                <w:sz w:val="20"/>
                <w:szCs w:val="20"/>
                <w:highlight w:val="none"/>
                <w:u w:val="none"/>
              </w:rPr>
            </w:pPr>
          </w:p>
        </w:tc>
      </w:tr>
      <w:tr w14:paraId="7C05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16E277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E5813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一拖二无线话筒</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75D1B1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1、一拖二无线手持；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2、接收方式：CPU控制自动选讯+导频识别接收；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3、频道设置：自动搜频、红外对频；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4、音量调节：电子音量调节；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5、智能静音：自动人手感应技术，话筒离开人手静止3-5秒自动静音（任意方向，任意角度均可），5分钟后自动关机并且彻底切断电源；话筒意外跌落自动静音；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6、调制方式：FM调频；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7、接收方式：超外差二次变频，具备极高的接收灵敏度；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8、频率范围：645-693MHz；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9、工作距离：无障碍直线100米以上：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10、可调信道数：200通道；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11、导频方式：数字导频；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12、发射功率：3-30mW：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13、接收灵敏度： -95~-60dBm；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14、频率响应：80Hz～20,000Hz；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15、谐波失真：≤0.5%；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16、信噪比：&gt;110dB；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17、振荡方式：PLL相位锁定频率合成；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18、音频输出：平衡输出和混合输出。</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16FCA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249E7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3E3808F1">
            <w:pPr>
              <w:jc w:val="center"/>
              <w:rPr>
                <w:rFonts w:hint="eastAsia" w:ascii="宋体" w:hAnsi="宋体" w:eastAsia="宋体" w:cs="宋体"/>
                <w:b w:val="0"/>
                <w:bCs w:val="0"/>
                <w:i w:val="0"/>
                <w:iCs w:val="0"/>
                <w:color w:val="000000"/>
                <w:sz w:val="20"/>
                <w:szCs w:val="20"/>
                <w:highlight w:val="none"/>
                <w:u w:val="none"/>
              </w:rPr>
            </w:pPr>
          </w:p>
        </w:tc>
      </w:tr>
      <w:tr w14:paraId="2513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417F90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5A0B8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有线麦克</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3D1B009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1、静音开关设计，一体成型锌合金底座；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2、220mm全金属短咪杆设计；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3、高灵敏度咪芯设计,拾音距离可达80cm以上；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4、红色雾面指示灯设计，指示发言状态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5、超强抗手机射频(RF)干扰屏蔽设计,全金属外壳可提供防射频干扰能力；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6、咪头特性：14mm直径镀金电容式；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7、指向特性：超心型；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8、频率响应：60-20,000Hz；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9、灵敏度：-33 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10、信噪比：85 dB（A计权）, 1 kHz at 1 Pa；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11、最大承受声压 136 dB (1% T.H.D. @ 1kHz，0dB SPL=2x10Pa）；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12、输出连接头：卡侬三针接头，话筒出线1.5米；</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062C0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0D2196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268FA066">
            <w:pPr>
              <w:jc w:val="center"/>
              <w:rPr>
                <w:rFonts w:hint="eastAsia" w:ascii="宋体" w:hAnsi="宋体" w:eastAsia="宋体" w:cs="宋体"/>
                <w:b w:val="0"/>
                <w:bCs w:val="0"/>
                <w:i w:val="0"/>
                <w:iCs w:val="0"/>
                <w:color w:val="000000"/>
                <w:sz w:val="20"/>
                <w:szCs w:val="20"/>
                <w:highlight w:val="none"/>
                <w:u w:val="none"/>
              </w:rPr>
            </w:pPr>
          </w:p>
        </w:tc>
      </w:tr>
      <w:tr w14:paraId="2B47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035C4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06379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电源时序器</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6DB583F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1、设备支持220V±10%, 50/60Hz 的输入电压，最大功耗支持8.8KW;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2、支持8 路大电流时序电源输出，任意一路可根据使用需求修改为直通电源输出；设备前面板支持1路直通电源输出，不受时序控制；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3、前面板配备显示屏，可随时监视市电电压的稳定性；具备过流保护、过压保护、欠压保护等，保护供电设备的使用安全；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4、8路电源时序控制，每路输出闭合/断开的延时支持1~9999S自定义；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5、采用串口通用协议控制，可兼容主流品牌的智能中央控制系统或第三方设备的控制；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6、支持设备之间的级联控制，最大可支持255台设备；1 路 USB 供电，最大支持 5V/1A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7、支持通过上位机软件实时获取设备电源输出口的闭合/断开状态。</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5424AC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45E87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12097E9D">
            <w:pPr>
              <w:jc w:val="center"/>
              <w:rPr>
                <w:rFonts w:hint="eastAsia" w:ascii="宋体" w:hAnsi="宋体" w:eastAsia="宋体" w:cs="宋体"/>
                <w:b w:val="0"/>
                <w:bCs w:val="0"/>
                <w:i w:val="0"/>
                <w:iCs w:val="0"/>
                <w:color w:val="000000"/>
                <w:sz w:val="20"/>
                <w:szCs w:val="20"/>
                <w:highlight w:val="none"/>
                <w:u w:val="none"/>
              </w:rPr>
            </w:pPr>
          </w:p>
        </w:tc>
      </w:tr>
      <w:tr w14:paraId="137D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73CE03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7E139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坐席</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F7BFEF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1.内部主框架为2.0mm热镀锌钢板；2.台面：采用优质高压耐磨防火板整体厚度≥27mm；3.台面边缘：前端使用≥38mm，后端面使用≥2mm的软聚氨酯封边条；4.前后门板为木质材料，厚度≥18mm； 5.强弱电分离，保障线路安全。</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271310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位</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26258E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BFD27F6">
            <w:pPr>
              <w:jc w:val="center"/>
              <w:rPr>
                <w:rFonts w:hint="eastAsia" w:ascii="宋体" w:hAnsi="宋体" w:eastAsia="宋体" w:cs="宋体"/>
                <w:b w:val="0"/>
                <w:bCs w:val="0"/>
                <w:i w:val="0"/>
                <w:iCs w:val="0"/>
                <w:color w:val="000000"/>
                <w:sz w:val="20"/>
                <w:szCs w:val="20"/>
                <w:highlight w:val="none"/>
                <w:u w:val="none"/>
              </w:rPr>
            </w:pPr>
          </w:p>
        </w:tc>
      </w:tr>
      <w:tr w14:paraId="587E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25AC33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74679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值班座椅</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63E4F2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优质西皮，高弹力海绵，实木扶手</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161549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把</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28D42F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49288F7">
            <w:pPr>
              <w:jc w:val="center"/>
              <w:rPr>
                <w:rFonts w:hint="eastAsia" w:ascii="宋体" w:hAnsi="宋体" w:eastAsia="宋体" w:cs="宋体"/>
                <w:b w:val="0"/>
                <w:bCs w:val="0"/>
                <w:i w:val="0"/>
                <w:iCs w:val="0"/>
                <w:color w:val="000000"/>
                <w:sz w:val="20"/>
                <w:szCs w:val="20"/>
                <w:highlight w:val="none"/>
                <w:u w:val="none"/>
              </w:rPr>
            </w:pPr>
          </w:p>
        </w:tc>
      </w:tr>
      <w:tr w14:paraId="2D16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3ECA0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81F08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输入电缆</w:t>
            </w:r>
          </w:p>
        </w:tc>
        <w:tc>
          <w:tcPr>
            <w:tcW w:w="8318" w:type="dxa"/>
            <w:tcBorders>
              <w:top w:val="single" w:color="000000" w:sz="4" w:space="0"/>
              <w:left w:val="single" w:color="000000" w:sz="4" w:space="0"/>
              <w:bottom w:val="single" w:color="000000" w:sz="4" w:space="0"/>
              <w:right w:val="single" w:color="000000" w:sz="4" w:space="0"/>
            </w:tcBorders>
            <w:noWrap/>
            <w:vAlign w:val="center"/>
          </w:tcPr>
          <w:p w14:paraId="42FC36C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RVV-3x6mm^2</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559F1B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015A43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C4845D5">
            <w:pPr>
              <w:jc w:val="center"/>
              <w:rPr>
                <w:rFonts w:hint="eastAsia" w:ascii="宋体" w:hAnsi="宋体" w:eastAsia="宋体" w:cs="宋体"/>
                <w:b w:val="0"/>
                <w:bCs w:val="0"/>
                <w:i w:val="0"/>
                <w:iCs w:val="0"/>
                <w:color w:val="000000"/>
                <w:sz w:val="20"/>
                <w:szCs w:val="20"/>
                <w:highlight w:val="none"/>
                <w:u w:val="none"/>
              </w:rPr>
            </w:pPr>
          </w:p>
        </w:tc>
      </w:tr>
      <w:tr w14:paraId="6678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2607C0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37214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机柜</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4204AD1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★规格（W*D*H）：600mm*1000mm*1200mm； 配置2个理线架，2个侧板，1个底板，2个固定托盘，1个全高竖装32A PDU。采用黑色， PDU外壳选用优质型材；PDU电压：AC220V，输入容量：32A，分路空开配置12*A10。</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55C5FE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9CD9A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DBDF6FE">
            <w:pPr>
              <w:jc w:val="center"/>
              <w:rPr>
                <w:rFonts w:hint="eastAsia" w:ascii="宋体" w:hAnsi="宋体" w:eastAsia="宋体" w:cs="宋体"/>
                <w:b w:val="0"/>
                <w:bCs w:val="0"/>
                <w:i w:val="0"/>
                <w:iCs w:val="0"/>
                <w:color w:val="000000"/>
                <w:sz w:val="20"/>
                <w:szCs w:val="20"/>
                <w:highlight w:val="none"/>
                <w:u w:val="none"/>
              </w:rPr>
            </w:pPr>
          </w:p>
        </w:tc>
      </w:tr>
      <w:tr w14:paraId="7EF2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5B6EA7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4924E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高清线</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412241E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10米/根</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3A16B6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根</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03E21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618C8F2">
            <w:pPr>
              <w:jc w:val="center"/>
              <w:rPr>
                <w:rFonts w:hint="eastAsia" w:ascii="宋体" w:hAnsi="宋体" w:eastAsia="宋体" w:cs="宋体"/>
                <w:b w:val="0"/>
                <w:bCs w:val="0"/>
                <w:i w:val="0"/>
                <w:iCs w:val="0"/>
                <w:color w:val="000000"/>
                <w:sz w:val="20"/>
                <w:szCs w:val="20"/>
                <w:highlight w:val="none"/>
                <w:u w:val="none"/>
              </w:rPr>
            </w:pPr>
          </w:p>
        </w:tc>
      </w:tr>
      <w:tr w14:paraId="16B7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196C9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47BDC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附材</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6142D33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音频连接线、线槽、水晶头等</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29564A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E06AE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E1CCB64">
            <w:pPr>
              <w:jc w:val="center"/>
              <w:rPr>
                <w:rFonts w:hint="eastAsia" w:ascii="宋体" w:hAnsi="宋体" w:eastAsia="宋体" w:cs="宋体"/>
                <w:b w:val="0"/>
                <w:bCs w:val="0"/>
                <w:i w:val="0"/>
                <w:iCs w:val="0"/>
                <w:color w:val="000000"/>
                <w:sz w:val="20"/>
                <w:szCs w:val="20"/>
                <w:highlight w:val="none"/>
                <w:u w:val="none"/>
              </w:rPr>
            </w:pPr>
          </w:p>
        </w:tc>
      </w:tr>
      <w:tr w14:paraId="5E67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59" w:type="dxa"/>
            <w:gridSpan w:val="5"/>
            <w:tcBorders>
              <w:top w:val="single" w:color="000000" w:sz="4" w:space="0"/>
              <w:left w:val="single" w:color="000000" w:sz="4" w:space="0"/>
              <w:bottom w:val="single" w:color="000000" w:sz="4" w:space="0"/>
              <w:right w:val="nil"/>
            </w:tcBorders>
            <w:noWrap/>
            <w:vAlign w:val="center"/>
          </w:tcPr>
          <w:p w14:paraId="3F6DF7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ED0D1D8">
            <w:pPr>
              <w:jc w:val="center"/>
              <w:rPr>
                <w:rFonts w:hint="eastAsia" w:ascii="宋体" w:hAnsi="宋体" w:eastAsia="宋体" w:cs="宋体"/>
                <w:b w:val="0"/>
                <w:bCs w:val="0"/>
                <w:i w:val="0"/>
                <w:iCs w:val="0"/>
                <w:color w:val="000000"/>
                <w:sz w:val="20"/>
                <w:szCs w:val="20"/>
                <w:highlight w:val="none"/>
                <w:u w:val="none"/>
              </w:rPr>
            </w:pPr>
          </w:p>
        </w:tc>
      </w:tr>
      <w:tr w14:paraId="6F8A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0" w:type="dxa"/>
            <w:gridSpan w:val="6"/>
            <w:tcBorders>
              <w:top w:val="single" w:color="000000" w:sz="4" w:space="0"/>
              <w:left w:val="single" w:color="000000" w:sz="4" w:space="0"/>
              <w:bottom w:val="single" w:color="000000" w:sz="4" w:space="0"/>
              <w:right w:val="single" w:color="000000" w:sz="4" w:space="0"/>
            </w:tcBorders>
            <w:noWrap/>
            <w:vAlign w:val="center"/>
          </w:tcPr>
          <w:p w14:paraId="6990F10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5.2 研讨互动型教室（4间）</w:t>
            </w:r>
          </w:p>
        </w:tc>
      </w:tr>
      <w:tr w14:paraId="7EC4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2CF51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7EEC8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多媒体智能讲台</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BD4B38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讲台集成多种设备，集中处理管控多类信号，实现上课一键开关机，提升稳定性、兼容性及使用体验，减轻维护工作量。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讲台开放式钢木混合设计，外形美观，冷轧钢板厚≥1.0mm，经特殊处理后静电喷塑，漆面质感高端。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台面采用优质多层实木，稳定性好。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讲台尺寸为1650×490×1140mm（±50mm）。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柜体有带锁机柜，保障内部设备安全。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台面设有多种物品放置区域，便于使用笔记本电脑教学等。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侧面设电源插座，方便教学设备取电并保证安全。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有多处收纳空间，下方可存储物件，有2个抽屉用于收纳小配件。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配置2个15.6寸电磁电容书写屏，支持两种触控方式和多种教学动作，画面可同步到大屏显示设备。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书写屏可视角度不低于178°，分辨率1920×1080（16:9），支持10点触控。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 配备2支无源电磁书写笔，有多种功能及特性。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 5寸电容感应触控面板有多种操作功能，还支持设备控制和查看系统信息。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 支持对控制面进行权限设置，包括开放使用和非开放使用。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 支持讲台内置及周边设备一键联动控制，屏幕支持节能模式。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 讲台主机集成多项设备，提供多种接口连接讲台及周边设备。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 视频矩阵具备4进4出HDMI矩阵等功能。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 时序电源供电控电且支持设备自保护，过载会在面板提示。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 讲台配备6个阵列麦克，有多种拾音扩音特点，支持教师自由走动授课；讲台有设备管理平台维护数据与用户，支持调整使用权限，可采用IC卡或二维码开锁；支持对讲台运行情况监控并能远程操作；配套授课软件具备多种功能及特性，可满足各类教学需求。</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6D4469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197F41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CEC4970">
            <w:pPr>
              <w:jc w:val="center"/>
              <w:rPr>
                <w:rFonts w:hint="eastAsia" w:ascii="宋体" w:hAnsi="宋体" w:eastAsia="宋体" w:cs="宋体"/>
                <w:b w:val="0"/>
                <w:bCs w:val="0"/>
                <w:i w:val="0"/>
                <w:iCs w:val="0"/>
                <w:color w:val="000000"/>
                <w:sz w:val="20"/>
                <w:szCs w:val="20"/>
                <w:highlight w:val="none"/>
                <w:u w:val="none"/>
              </w:rPr>
            </w:pPr>
          </w:p>
        </w:tc>
      </w:tr>
      <w:tr w14:paraId="6F82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28DBF1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5CD1C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授课终端</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1F6F385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CPU：≥8核/2.3GHz/内存：16GB/硬盘：512G SSD/显示器：23.8英寸、鼠标键盘/显卡：2G独显/DVD刻录/操作系统：（激活）</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734BAC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717F26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16C4207">
            <w:pPr>
              <w:jc w:val="center"/>
              <w:rPr>
                <w:rFonts w:hint="eastAsia" w:ascii="宋体" w:hAnsi="宋体" w:eastAsia="宋体" w:cs="宋体"/>
                <w:b w:val="0"/>
                <w:bCs w:val="0"/>
                <w:i w:val="0"/>
                <w:iCs w:val="0"/>
                <w:color w:val="000000"/>
                <w:sz w:val="20"/>
                <w:szCs w:val="20"/>
                <w:highlight w:val="none"/>
                <w:u w:val="none"/>
              </w:rPr>
            </w:pPr>
          </w:p>
        </w:tc>
      </w:tr>
      <w:tr w14:paraId="3CFE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0DAFD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FE2D4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双屏纳米黑板</w:t>
            </w:r>
          </w:p>
        </w:tc>
        <w:tc>
          <w:tcPr>
            <w:tcW w:w="83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F6E4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整机需采用一体化拼接设计，外部无任何可见内部功能模块的连接线；采用阻燃材质外壳，边角采用弧形设计，表面无尖锐边缘或凸起。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2.副板需采用金属材质纳米镀膜，支持磁性材料吸附，需支持普通粉笔、液体粉笔、水溶性粉笔等直接书写。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3.设备需内置NFC 模块，支持刷卡控制开机，每台设备标配不少于3张IC卡。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4.要求产品由两块LED液晶屏组成，每一个屏幕尺寸不小于86英寸，屏幕显示分辨率最高可支持4K，屏幕刷新率可达60Hz画面无闪烁。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5.液晶屏幕对比度不小于4000:1，亮度不小于400cd/㎡；屏幕表面采用厚度≤4mm钢化玻璃，具有防眩光功能。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6.采用电容触控技术，在Android、Windows双系统下均支持≥20点触控，触控笔接触面积直径≤6mm，触摸响应时间≤10ms，书写精度≤2mm。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7.整机外观尺寸宽度不小于6200mm，高度不小于1200mm。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8.整机支持壁挂和支架安装方式，黑板挂墙结构具有容错机制，支持左右微调，微调距离±20cm，方便安装调节。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9.整机支持外接信号输入时自动唤醒功能，整机处于关机通电状态，外接电脑显示信号通过HDMI传输线连接至整机时，整机可智能识别并自动开机。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10.整机具备2.1声道音箱，前置2个≥15W中高音音箱，后置1个≥20W低音音箱,支持单独听功能。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设备在任意信号下，需支持通过多指按压屏幕实现对屏幕的开关，多指实现黑板背光的关闭与开启，触控功能与传统书写功能瞬间切换，切换响应速度≤2s。需支持物理按键、虚拟按键实现节能熄屏/唤醒，并可与多指熄屏功能互通互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12.触摸悬浮菜单支持快速开启与关闭，用户可自定义显示状态，在屏幕任意位置通过三根手指长按屏幕可召出悬浮菜单；支持三指罗盘跟随功能，可通过三指调用此触摸悬浮菜单到屏幕任意位置。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13.设备支持悬浮菜单功能，至少包含白板、截屏、下拉等功能，并可自定义功能菜单；支持任意通道下无需点击物理按键，可随时调用计算器、日历等小工具，并支持拖拽及关闭。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14.为方便老师教学操作及避免误操作，支持实体按键≥8个，至少包含开关、音量+、音量-、主页、设置、信号源、锁屏、护眼等，其中每个按键不少于两种功能。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15.设备具备三合一电源按键，同一电源物理按键可实现Android系统和Windows系统的开/关机、节能的操作；关机状态下轻按按键可开机；开机状态下轻按按键可熄屏/唤醒，长按按键可关机。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16.无需借助PC，设备需支持一键进行硬件自检，至少包括对系统内存、存储、屏温、触摸系统、光感系统、内置电脑等进行状态提示及故障提示。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17.整机可以兼容第三方中控系统，通过RS232控制接口实现远程开关机功能。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★18.产品需内置安卓教学辅助系统，采用CPU不少于四核，主频不低于1.9GHz，安卓系统版本不低于11.0，RAM不低于2G,ROM不低于8G。</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19.外接电脑设备连接整机且触摸信号连通时，外接电脑设备需支持直接读取整机前置USB接口的移动存储设备数据；连接前置USB接口的翻页笔、无线键鼠可直接使用于外接电脑。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20.左右两侧具有≥10个快捷键，可以双侧显示，至少具有白板、批注、主页、截图、放大镜、聚光灯、幕布、屏幕下拉、返回、自定义等常用教学按键，自定义至少包含：计时器、投票、日历、相机、签到、欢迎词、计算器、锁屏、多任务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21.设备需支持前置≥1路HDMI输入接口、≥1路TYPE-C输入接口、≥2路USB输入接口（支持双通道）。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22.其它接口：设备需支持≥2路USB接口，≥2路HDMI输入接口,≥1路VGA输入接口,≥1路AUDIO 输入接口，≥1路RS232输入接口，≥1路YPBPR IN接口，≥1路LAN IN接口，≥1路AV IN接口，≥1路3.5mm耳机输出接口，≥1路SPDIF OUT接口，≥1路TP-USB（触控）接口。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23.设备需支持屏幕下方通过手势滑动调出菜单栏，调出的菜单栏跟随使用者所处的位置，点击菜单应用，不需要使用者移动到屏幕中间操作。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24.设备支持一键还原功能，至少具备2种进入还原模式的方法。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25.产品需支持展板会议功能，可快速完成欢迎界面和主题设置，全屏显示，支持不少于12种模板，可对欢迎文字的字体、大小，颜色进行编辑，支持签名功能，并可扫码带走签名及模板。</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26.要求支持设置USB锁、屏幕锁、应用锁与触摸锁功能，其中USB锁、屏幕锁、应用锁可以设置对应解锁的密码。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27.要求整机屏幕至少支持类纸屏、滤蓝光、类纸屏+滤蓝光等护眼模式，在任意通道任意画面任意软件所在显示内容下可实时开启。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28.OPS插拔式电脑：采用插拔式电脑模块架构，针脚数≥80pin，屏体与插拔式电脑无单独接线；处理器配置Intel Core i5处理器，不低于8G内存，不低于256G-SSD固态硬盘；具有独立非外扩展接口：支持HDMI out≥1、Mic in≥1、LINE-out≥1、USB口≥6其中USB 3.0≥3，Rj45≥1；内置有线网卡和无线网卡。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摄像头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1.摄像头支持在Android和Windows系统下被调用，摄像头像素不小于1300W，摄像头视场角不小于120°。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2.摄像头可用于对教室场景音视频进行采集，摄像头支持在Android和Windows系统下被调用，支持教师进行微课录制，同时摄像头可用于远程巡课和远程互动教学。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3.具有不少于8阵列麦克风，支持在Android和Windows系统下被调用，可用于对教室环境音频进行采集，麦克风拾音距离≥12m。</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304C44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146EA9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A95769B">
            <w:pPr>
              <w:jc w:val="center"/>
              <w:rPr>
                <w:rFonts w:hint="eastAsia" w:ascii="宋体" w:hAnsi="宋体" w:eastAsia="宋体" w:cs="宋体"/>
                <w:b w:val="0"/>
                <w:bCs w:val="0"/>
                <w:i w:val="0"/>
                <w:iCs w:val="0"/>
                <w:color w:val="000000"/>
                <w:sz w:val="20"/>
                <w:szCs w:val="20"/>
                <w:highlight w:val="none"/>
                <w:u w:val="none"/>
              </w:rPr>
            </w:pPr>
          </w:p>
        </w:tc>
      </w:tr>
      <w:tr w14:paraId="02D5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7B0837C0">
            <w:pPr>
              <w:jc w:val="center"/>
              <w:rPr>
                <w:rFonts w:hint="eastAsia" w:ascii="宋体" w:hAnsi="宋体" w:eastAsia="宋体" w:cs="宋体"/>
                <w:b w:val="0"/>
                <w:bCs w:val="0"/>
                <w:i w:val="0"/>
                <w:iCs w:val="0"/>
                <w:color w:val="000000"/>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949320B">
            <w:pPr>
              <w:jc w:val="center"/>
              <w:rPr>
                <w:rFonts w:hint="eastAsia" w:ascii="宋体" w:hAnsi="宋体" w:eastAsia="宋体" w:cs="宋体"/>
                <w:b w:val="0"/>
                <w:bCs w:val="0"/>
                <w:i w:val="0"/>
                <w:iCs w:val="0"/>
                <w:color w:val="000000"/>
                <w:sz w:val="20"/>
                <w:szCs w:val="20"/>
                <w:highlight w:val="none"/>
                <w:u w:val="none"/>
              </w:rPr>
            </w:pPr>
          </w:p>
        </w:tc>
        <w:tc>
          <w:tcPr>
            <w:tcW w:w="83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E4FA7">
            <w:pPr>
              <w:jc w:val="left"/>
              <w:rPr>
                <w:rFonts w:hint="eastAsia" w:ascii="宋体" w:hAnsi="宋体" w:eastAsia="宋体" w:cs="宋体"/>
                <w:b w:val="0"/>
                <w:bCs w:val="0"/>
                <w:i w:val="0"/>
                <w:iCs w:val="0"/>
                <w:color w:val="000000"/>
                <w:sz w:val="20"/>
                <w:szCs w:val="20"/>
                <w:highlight w:val="none"/>
                <w:u w:val="none"/>
              </w:rPr>
            </w:pPr>
          </w:p>
        </w:tc>
        <w:tc>
          <w:tcPr>
            <w:tcW w:w="327" w:type="dxa"/>
            <w:tcBorders>
              <w:top w:val="single" w:color="000000" w:sz="4" w:space="0"/>
              <w:left w:val="single" w:color="000000" w:sz="4" w:space="0"/>
              <w:bottom w:val="single" w:color="000000" w:sz="4" w:space="0"/>
              <w:right w:val="nil"/>
            </w:tcBorders>
            <w:noWrap/>
            <w:vAlign w:val="center"/>
          </w:tcPr>
          <w:p w14:paraId="377430D3">
            <w:pPr>
              <w:jc w:val="center"/>
              <w:rPr>
                <w:rFonts w:hint="eastAsia" w:ascii="宋体" w:hAnsi="宋体" w:eastAsia="宋体" w:cs="宋体"/>
                <w:b w:val="0"/>
                <w:bCs w:val="0"/>
                <w:i w:val="0"/>
                <w:iCs w:val="0"/>
                <w:color w:val="000000"/>
                <w:sz w:val="20"/>
                <w:szCs w:val="20"/>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05BEB85E">
            <w:pPr>
              <w:jc w:val="center"/>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003E252">
            <w:pPr>
              <w:jc w:val="center"/>
              <w:rPr>
                <w:rFonts w:hint="eastAsia" w:ascii="宋体" w:hAnsi="宋体" w:eastAsia="宋体" w:cs="宋体"/>
                <w:b w:val="0"/>
                <w:bCs w:val="0"/>
                <w:i w:val="0"/>
                <w:iCs w:val="0"/>
                <w:color w:val="000000"/>
                <w:sz w:val="20"/>
                <w:szCs w:val="20"/>
                <w:highlight w:val="none"/>
                <w:u w:val="none"/>
              </w:rPr>
            </w:pPr>
          </w:p>
        </w:tc>
      </w:tr>
      <w:tr w14:paraId="6A55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50CAB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D7B64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高清录播主机</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722D53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一.整体设计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主机架构：为保障系统运行稳定、安全，要求录播主机采用嵌入式架构设计，非PC、服务器架构。主机为标准1U机架式设备，便于安装部署，并要求录播主机为非壁挂式架构，不存在机身显示屏等产生其他视频、强光源变化从而影响学生课堂专注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2.功能设计：要求主机功能高度集成化，需具备录制、导播、自动跟踪、存储、点播、互动等多功能功于一体，无需额外增加跟踪主机、互动主机等其他主机。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3.节能环保：应具有嵌入式低功耗环保特性，需采用不高于DC36V安全电压供电，整机正常工作状态下功耗不超过30W。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4.低噪声设计：要求所投录播主机工作产生噪声最大值≤40dB。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5.平台对接：要求支持无缝对接视频资源管理应用平台，实现主机录制生成的视频文件自动上传平台归档。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6.主机工作噪声≤40dB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★二.主机性能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1.视频输入输出：具备高清视频输入接口3G-SDI in≥2、HDMI in≥2；高清输出接口HDMI out≥2；且采集和输出分辨率均支持1080P@30fps。SDI接口支持对接入摄像机提供POC供电，减少工程部署量。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2.视频编解码：支持标准H.264视频编解码协议，要求支持1080P@30fps、720P@30fps分辨率格式编解码。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3.音频输入输出：具备音频输入接口mic≥2、线性音频输入接口Line in≥2；线性音频输出接口Line out≥2。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4.≥8路RJ45控制接口（兼容RS232、RS422控制协议，支持接入控制面板、硬件导播台、LED计时器等外部设备）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5.音频编解码：采用AAC音频编解码协议标准，并支持音频处理功能。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6.音频处理：内置音频处理功能。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7.网络接入：具备标准RJ45网络接口，支持10/100/1000M网络自适应。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8.存储容量：内置不少于1T存储空间，用于录制视频文件的本地存储。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9.主机控制：具备Console控制接口≥2，支持RS232/422协议。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10.外设连接：具备USB 2.0接口≥2，可用于连接U盘等外设。</w:t>
            </w:r>
          </w:p>
        </w:tc>
        <w:tc>
          <w:tcPr>
            <w:tcW w:w="327" w:type="dxa"/>
            <w:tcBorders>
              <w:top w:val="single" w:color="000000" w:sz="4" w:space="0"/>
              <w:left w:val="single" w:color="000000" w:sz="4" w:space="0"/>
              <w:bottom w:val="single" w:color="000000" w:sz="4" w:space="0"/>
              <w:right w:val="nil"/>
            </w:tcBorders>
            <w:noWrap/>
            <w:vAlign w:val="center"/>
          </w:tcPr>
          <w:p w14:paraId="0F8987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209CFA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FFA3ADE">
            <w:pPr>
              <w:jc w:val="center"/>
              <w:rPr>
                <w:rFonts w:hint="eastAsia" w:ascii="宋体" w:hAnsi="宋体" w:eastAsia="宋体" w:cs="宋体"/>
                <w:b w:val="0"/>
                <w:bCs w:val="0"/>
                <w:i w:val="0"/>
                <w:iCs w:val="0"/>
                <w:color w:val="000000"/>
                <w:sz w:val="20"/>
                <w:szCs w:val="20"/>
                <w:highlight w:val="none"/>
                <w:u w:val="none"/>
              </w:rPr>
            </w:pPr>
          </w:p>
        </w:tc>
      </w:tr>
      <w:tr w14:paraId="6C89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2A56F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A721A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录播流媒体处理软件</w:t>
            </w:r>
          </w:p>
        </w:tc>
        <w:tc>
          <w:tcPr>
            <w:tcW w:w="83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20B1C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一.整体要求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1.要求配套的录播流媒体处理软件在出厂时内置于高清录播主机中。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2.软件架构：软件需采用B/S架构设计，使用主流浏览器通过网络即可访问软件后台进行管理应用。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二.录播模块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1.录制存储：要求在断网情况下也可以对本地教室进行视频录制，并将录制文件保存在录播主机的内置硬盘中。并要求支持1080P高清分辨率录制，采用MP4视频格式封装。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2.录制模式：支持电影模式、资源模式等录制模式。电影模式下实现多路信号的复合成一路画面进行录制；资源模式下要求摄像机画面、电脑画面均可独立录制封装。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3.高低码流录制：要求支持高低双码流同步录制，并要求支持自定义录制分辨率、码流。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4.分段录制：要求支持长视频分段录制的功能，可自定义视频文件分段时长，当录制课程时间较长时，可在不结束录制的条件下自动按分段时长将课程视频文件分割录制成多个视频文件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5.视频编码：要求支持H.264/H.265视频编码，录制视频格式支持MP4,支持自定义录制分辨率、帧率和码流，视频编码码流应支持32Kbps至16Mbps可设，视频编码码流支持≥19档调节。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6.电子云镜：支持电子云镜技术，搭配电子云镜摄像机，实现单镜头拍摄生成全景和特写两组镜头画面并均满足1080P高清视频效果。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云台控制：支持EPTZ电子云台控制技术，实现对电子云镜摄像机的特写画面进行电子云台控制，包括画面上下左右移动、放大缩小变焦等操作。EPTZ电子云台控制功能应具有鼠标快速定位功能，通过鼠标点击快速居中画面区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录制跟踪：要求内置录制画面跟踪功能，无需任何辅助装置，完成摄像机的画面拍摄和跟踪检测，实现课堂教师、学生行为的全自动跟踪。跟踪模式需包括教师走动全景、教师授课特写、教学课件跟踪、学生起立特写、学生听课全景等。为保障系统使用、管理便捷稳定，不接受使用额外配置跟踪主机的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跟踪屏蔽：支持设置跟踪屏蔽区域，如主动屏蔽掉教师观摩区、窗户窗帘、教室门口、大屏液晶电视等易干扰跟踪效果的地方，所屏蔽的地方系统将不对其进行图像分析跟踪运算，以避免这些地方干扰整体的跟踪效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10.录制控制：要求支持录制、暂停、结束等基本功能操作，并支持通过外接控制设备以及网页web登录控制等方式进行录制控制。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11.音频处理：要求内置音频处理模块。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三.导播模块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网络导播：为保障低配置电脑也能正常使用，要求支持通过浏览器访问录播主机进入导播界面，在导播界面实现对所有接入视频和录制效果画面的实时预览，并支持在手动导播模式下进行信号源实时切换录制。不接受安装客户端软件进行导播的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2.导播模式：支持全自动、半自动、手动三种导播模式，并支持录制过程中任意切换导播模式。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3.导播预览：要求导播界面可实现接入画面的导播预览，预览画面需包括教师特写、教师全景、学生全景、学生特写、电脑画面等。并支持点击预览画面可自由切换录制画面进行录制。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4.画面布局：提供双分屏、三分屏、画中画等录制布局，并支持自定义布局方式，支持多个视频图层自由叠加组合，自定义布局时可随意拖拉画面窗口。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5.导播跟踪：要求支持自动、半自动、手动三种导播模式。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6.摄像机预置位：要求支持8个摄像机电子云台预制位设置，导播过程中可便捷调取摄像机预设位置的画面。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7.字幕台标：要求录制模式下支持Logo台标、字幕设置，可自主上传Logo图标、编辑字幕内容。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8.音量控制：要求可通过导播界面进行音量控制，调整相关输入输出音量大小。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四.直播模块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1.多流直播：要求支持RTMP和RTSP视频传输协议。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2.直播码流：支持自定义直播分辨率和码率，最高支持1080P@30fps，以适应不同网络环境下保持直播的流畅性。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3.直播模式：要求支持RTMP直播、TS直播、集控推流直播等不少于3种不同直播模式，以适应不同场景直播需求。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五.互动模块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1.互动协议：支持H.323、SIP标准视音频互动协议，便捷进行远程互动教学应用。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2.互动要求：要求内置互动模块，无需额外部署MCU类设备即可支持“1+3”的互动授课模式，实现专递课堂教学应用。同时也需支持会议互动模式，创建或加入大规模视音频实时互动。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4.互动通讯录：支持对接获取互动云系统的通讯录数据。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5.发言权限控制：通过录播主机的网络导播界面，需支持主讲端在互动过程中对其余互动参与者的发言权限进行控制，支持单人禁言/开启以及全场禁言/开启的控制方式。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6.互动画质：要求录播主机在双向互动过程中，可实现1080P@30FPS画质，并支持网络自适应功能。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六.管理模块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1.录像管理：支持对录制视频按标题、主持人</w:t>
            </w:r>
          </w:p>
        </w:tc>
        <w:tc>
          <w:tcPr>
            <w:tcW w:w="327" w:type="dxa"/>
            <w:tcBorders>
              <w:top w:val="single" w:color="000000" w:sz="4" w:space="0"/>
              <w:left w:val="single" w:color="000000" w:sz="4" w:space="0"/>
              <w:bottom w:val="single" w:color="000000" w:sz="4" w:space="0"/>
              <w:right w:val="nil"/>
            </w:tcBorders>
            <w:noWrap/>
            <w:vAlign w:val="center"/>
          </w:tcPr>
          <w:p w14:paraId="32E3FF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33DE91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52F929EE">
            <w:pPr>
              <w:jc w:val="center"/>
              <w:rPr>
                <w:rFonts w:hint="eastAsia" w:ascii="宋体" w:hAnsi="宋体" w:eastAsia="宋体" w:cs="宋体"/>
                <w:b w:val="0"/>
                <w:bCs w:val="0"/>
                <w:i w:val="0"/>
                <w:iCs w:val="0"/>
                <w:color w:val="000000"/>
                <w:sz w:val="20"/>
                <w:szCs w:val="20"/>
                <w:highlight w:val="none"/>
                <w:u w:val="none"/>
              </w:rPr>
            </w:pPr>
          </w:p>
        </w:tc>
      </w:tr>
      <w:tr w14:paraId="184D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4B05FE22">
            <w:pPr>
              <w:jc w:val="center"/>
              <w:rPr>
                <w:rFonts w:hint="eastAsia" w:ascii="宋体" w:hAnsi="宋体" w:eastAsia="宋体" w:cs="宋体"/>
                <w:b w:val="0"/>
                <w:bCs w:val="0"/>
                <w:i w:val="0"/>
                <w:iCs w:val="0"/>
                <w:color w:val="000000"/>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3EEAE42">
            <w:pPr>
              <w:jc w:val="center"/>
              <w:rPr>
                <w:rFonts w:hint="eastAsia" w:ascii="宋体" w:hAnsi="宋体" w:eastAsia="宋体" w:cs="宋体"/>
                <w:b w:val="0"/>
                <w:bCs w:val="0"/>
                <w:i w:val="0"/>
                <w:iCs w:val="0"/>
                <w:color w:val="000000"/>
                <w:sz w:val="20"/>
                <w:szCs w:val="20"/>
                <w:highlight w:val="none"/>
                <w:u w:val="none"/>
              </w:rPr>
            </w:pPr>
          </w:p>
        </w:tc>
        <w:tc>
          <w:tcPr>
            <w:tcW w:w="83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3E993">
            <w:pPr>
              <w:jc w:val="left"/>
              <w:rPr>
                <w:rFonts w:hint="eastAsia" w:ascii="宋体" w:hAnsi="宋体" w:eastAsia="宋体" w:cs="宋体"/>
                <w:b w:val="0"/>
                <w:bCs w:val="0"/>
                <w:i w:val="0"/>
                <w:iCs w:val="0"/>
                <w:color w:val="000000"/>
                <w:sz w:val="20"/>
                <w:szCs w:val="20"/>
                <w:highlight w:val="none"/>
                <w:u w:val="none"/>
              </w:rPr>
            </w:pPr>
          </w:p>
        </w:tc>
        <w:tc>
          <w:tcPr>
            <w:tcW w:w="327" w:type="dxa"/>
            <w:tcBorders>
              <w:top w:val="single" w:color="000000" w:sz="4" w:space="0"/>
              <w:left w:val="single" w:color="000000" w:sz="4" w:space="0"/>
              <w:bottom w:val="single" w:color="000000" w:sz="4" w:space="0"/>
              <w:right w:val="nil"/>
            </w:tcBorders>
            <w:noWrap/>
            <w:vAlign w:val="center"/>
          </w:tcPr>
          <w:p w14:paraId="2C2483C5">
            <w:pPr>
              <w:jc w:val="center"/>
              <w:rPr>
                <w:rFonts w:hint="eastAsia" w:ascii="宋体" w:hAnsi="宋体" w:eastAsia="宋体" w:cs="宋体"/>
                <w:b w:val="0"/>
                <w:bCs w:val="0"/>
                <w:i w:val="0"/>
                <w:iCs w:val="0"/>
                <w:color w:val="000000"/>
                <w:sz w:val="20"/>
                <w:szCs w:val="20"/>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036A9906">
            <w:pPr>
              <w:jc w:val="center"/>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5A9EF7A">
            <w:pPr>
              <w:jc w:val="center"/>
              <w:rPr>
                <w:rFonts w:hint="eastAsia" w:ascii="宋体" w:hAnsi="宋体" w:eastAsia="宋体" w:cs="宋体"/>
                <w:b w:val="0"/>
                <w:bCs w:val="0"/>
                <w:i w:val="0"/>
                <w:iCs w:val="0"/>
                <w:color w:val="000000"/>
                <w:sz w:val="20"/>
                <w:szCs w:val="20"/>
                <w:highlight w:val="none"/>
                <w:u w:val="none"/>
              </w:rPr>
            </w:pPr>
          </w:p>
        </w:tc>
      </w:tr>
      <w:tr w14:paraId="7670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70452F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55C4D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高清摄像机（含跟踪软件）</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6EBA02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★一.硬件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1.传感器类型：CMOS、1/2.8英寸</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2.采用逐行扫描模式，有效像素不低于800万。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3.采用了2D和基于运动估计的3D降噪算法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4.最大水平视场角49°，最大垂直视场角28.2°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5.网络接口：RJ45接口≥1，10/100/1000M自适应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6.视频接口：3G-SDI≥1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7.编码技术：视频H.264/H.265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8.支持DC12V电源适配器供电与POC供电方式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9.内置跟踪分析功能，无需辅助跟踪摄像头即可完成对象跟踪捕捉，支持教师全景和特写切换跟踪模式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10.支持电子云镜技术，单镜头拍摄可输出“全景”、“特写”双信号画面至录播主机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 在监视或录像状态下，监视画面无明显缺损，物体移动时画面边缘无明显锯齿、拉毛现象。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 人脸检测功能检验：可对监视画面中出现的人脸进行检测。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 设备采用耐高低温技术处理，通过根据GB/T 2423.1-2008和GB/T 2423.2-2008标准条件和方法下，承受低温-10℃～高温40℃环境，试验时间不少于8小时，设备无异常，确保产品使用的持久性和耐高低温性能。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二.软件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1.摄像机传输处理软件采用B/S架构，支持通用浏览器直接访问进行管理。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2.支持网络参数设置与修改，支持一键恢复默认参数。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3.支持曝光模式设置功能，包括自动、手动。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4.支持抗闪烁频率、动态范围、光圈、快门参数设置。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5.支持自动白平衡设置功能，红、蓝增益可调。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6.支持噪声抑制设置功能，支持2D、3D降噪。</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7.支持摄像机图像质量调节功能，包括亮度、对比度、色调、饱和度。</w:t>
            </w:r>
          </w:p>
        </w:tc>
        <w:tc>
          <w:tcPr>
            <w:tcW w:w="327" w:type="dxa"/>
            <w:tcBorders>
              <w:top w:val="single" w:color="000000" w:sz="4" w:space="0"/>
              <w:left w:val="single" w:color="000000" w:sz="4" w:space="0"/>
              <w:bottom w:val="single" w:color="000000" w:sz="4" w:space="0"/>
              <w:right w:val="nil"/>
            </w:tcBorders>
            <w:noWrap/>
            <w:vAlign w:val="center"/>
          </w:tcPr>
          <w:p w14:paraId="6A1E78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5A3119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C2D8FD0">
            <w:pPr>
              <w:jc w:val="center"/>
              <w:rPr>
                <w:rFonts w:hint="eastAsia" w:ascii="宋体" w:hAnsi="宋体" w:eastAsia="宋体" w:cs="宋体"/>
                <w:b w:val="0"/>
                <w:bCs w:val="0"/>
                <w:i w:val="0"/>
                <w:iCs w:val="0"/>
                <w:color w:val="000000"/>
                <w:sz w:val="20"/>
                <w:szCs w:val="20"/>
                <w:highlight w:val="none"/>
                <w:u w:val="none"/>
              </w:rPr>
            </w:pPr>
          </w:p>
        </w:tc>
      </w:tr>
      <w:tr w14:paraId="5A32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536E08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84BC6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电源时序器</w:t>
            </w:r>
          </w:p>
        </w:tc>
        <w:tc>
          <w:tcPr>
            <w:tcW w:w="8318" w:type="dxa"/>
            <w:tcBorders>
              <w:top w:val="nil"/>
              <w:left w:val="nil"/>
              <w:bottom w:val="single" w:color="000000" w:sz="4" w:space="0"/>
              <w:right w:val="single" w:color="000000" w:sz="4" w:space="0"/>
            </w:tcBorders>
            <w:noWrap w:val="0"/>
            <w:vAlign w:val="center"/>
          </w:tcPr>
          <w:p w14:paraId="6D09B36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1.向录播视频系统、音频系统、显示系统提供统一的、至少八路电源管理；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2.支持对录播系统控制功能，实现通过录制面板一键启动录播系统相关设备的电源；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3.支持时序电源控制功能，每路延迟一秒，可编程控制；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4.具备内置光电隔离模块，保障负载运行安全；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5.支持提供1路最大电流不低于10A的电源输出接口；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6.支持RS-485/RS-422/RS-232 等控制协议。</w:t>
            </w:r>
          </w:p>
        </w:tc>
        <w:tc>
          <w:tcPr>
            <w:tcW w:w="327" w:type="dxa"/>
            <w:tcBorders>
              <w:top w:val="single" w:color="000000" w:sz="4" w:space="0"/>
              <w:left w:val="single" w:color="000000" w:sz="4" w:space="0"/>
              <w:bottom w:val="single" w:color="000000" w:sz="4" w:space="0"/>
              <w:right w:val="nil"/>
            </w:tcBorders>
            <w:noWrap/>
            <w:vAlign w:val="center"/>
          </w:tcPr>
          <w:p w14:paraId="42ECA9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32FD49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681723B">
            <w:pPr>
              <w:jc w:val="center"/>
              <w:rPr>
                <w:rFonts w:hint="eastAsia" w:ascii="宋体" w:hAnsi="宋体" w:eastAsia="宋体" w:cs="宋体"/>
                <w:b w:val="0"/>
                <w:bCs w:val="0"/>
                <w:i w:val="0"/>
                <w:iCs w:val="0"/>
                <w:color w:val="000000"/>
                <w:sz w:val="20"/>
                <w:szCs w:val="20"/>
                <w:highlight w:val="none"/>
                <w:u w:val="none"/>
              </w:rPr>
            </w:pPr>
          </w:p>
        </w:tc>
      </w:tr>
      <w:tr w14:paraId="1437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0DA15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9299A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录播音频处理器</w:t>
            </w:r>
          </w:p>
        </w:tc>
        <w:tc>
          <w:tcPr>
            <w:tcW w:w="8318" w:type="dxa"/>
            <w:tcBorders>
              <w:top w:val="nil"/>
              <w:left w:val="nil"/>
              <w:bottom w:val="single" w:color="000000" w:sz="4" w:space="0"/>
              <w:right w:val="single" w:color="000000" w:sz="4" w:space="0"/>
            </w:tcBorders>
            <w:noWrap w:val="0"/>
            <w:vAlign w:val="center"/>
          </w:tcPr>
          <w:p w14:paraId="4535776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1.48K采样率，高速DSP处理芯片。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2.配套同品牌功放音箱可实现扩音功能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3.至少支持4路模拟输入+1路立体声输入。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4.频率响应：20-20KHz。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5.THD+N：≤0.003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6.动态范围：≥100dB。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7.幻象供电：支持每路独立48V幻象供电。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8.音频处理：支持DSP音频处理功能，包含反馈消除、回声消除、噪声消除等。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9.支持全功能矩阵混音功能。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10.支持场景预设功能，可通过场景预设切换相应配置。</w:t>
            </w:r>
          </w:p>
        </w:tc>
        <w:tc>
          <w:tcPr>
            <w:tcW w:w="327" w:type="dxa"/>
            <w:tcBorders>
              <w:top w:val="single" w:color="000000" w:sz="4" w:space="0"/>
              <w:left w:val="single" w:color="000000" w:sz="4" w:space="0"/>
              <w:bottom w:val="single" w:color="000000" w:sz="4" w:space="0"/>
              <w:right w:val="nil"/>
            </w:tcBorders>
            <w:noWrap/>
            <w:vAlign w:val="center"/>
          </w:tcPr>
          <w:p w14:paraId="107D01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1FC7CF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15732F2">
            <w:pPr>
              <w:jc w:val="center"/>
              <w:rPr>
                <w:rFonts w:hint="eastAsia" w:ascii="宋体" w:hAnsi="宋体" w:eastAsia="宋体" w:cs="宋体"/>
                <w:b w:val="0"/>
                <w:bCs w:val="0"/>
                <w:i w:val="0"/>
                <w:iCs w:val="0"/>
                <w:color w:val="000000"/>
                <w:sz w:val="20"/>
                <w:szCs w:val="20"/>
                <w:highlight w:val="none"/>
                <w:u w:val="none"/>
              </w:rPr>
            </w:pPr>
          </w:p>
        </w:tc>
      </w:tr>
      <w:tr w14:paraId="111F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540D0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59FE5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录制面板</w:t>
            </w:r>
          </w:p>
        </w:tc>
        <w:tc>
          <w:tcPr>
            <w:tcW w:w="8318" w:type="dxa"/>
            <w:tcBorders>
              <w:top w:val="nil"/>
              <w:left w:val="nil"/>
              <w:bottom w:val="single" w:color="000000" w:sz="4" w:space="0"/>
              <w:right w:val="single" w:color="000000" w:sz="4" w:space="0"/>
            </w:tcBorders>
            <w:noWrap w:val="0"/>
            <w:vAlign w:val="center"/>
          </w:tcPr>
          <w:p w14:paraId="4F28EA3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1.安装方式：要求镶嵌式安装在讲台。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2.控制接口：要求支持RS232控制接口用以连接录播主机。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3.信号指示灯：要求具备信号指示灯。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4.支持一键式系统电源开关控制。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5.一键式录制、停止、锁定电脑信号。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6.支持本地录播全自动的开启、关闭控制。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7.支持通过面板一键发起与远端设备互动连接。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8.支持对各画面的自由布局控制，包括单画面全屏、双分屏、三分屏、四分屏、画中画。</w:t>
            </w:r>
          </w:p>
        </w:tc>
        <w:tc>
          <w:tcPr>
            <w:tcW w:w="327" w:type="dxa"/>
            <w:tcBorders>
              <w:top w:val="single" w:color="000000" w:sz="4" w:space="0"/>
              <w:left w:val="single" w:color="000000" w:sz="4" w:space="0"/>
              <w:bottom w:val="single" w:color="000000" w:sz="4" w:space="0"/>
              <w:right w:val="nil"/>
            </w:tcBorders>
            <w:noWrap/>
            <w:vAlign w:val="center"/>
          </w:tcPr>
          <w:p w14:paraId="0BDCD2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30ACD7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573DB435">
            <w:pPr>
              <w:jc w:val="center"/>
              <w:rPr>
                <w:rFonts w:hint="eastAsia" w:ascii="宋体" w:hAnsi="宋体" w:eastAsia="宋体" w:cs="宋体"/>
                <w:b w:val="0"/>
                <w:bCs w:val="0"/>
                <w:i w:val="0"/>
                <w:iCs w:val="0"/>
                <w:color w:val="000000"/>
                <w:sz w:val="20"/>
                <w:szCs w:val="20"/>
                <w:highlight w:val="none"/>
                <w:u w:val="none"/>
              </w:rPr>
            </w:pPr>
          </w:p>
        </w:tc>
      </w:tr>
      <w:tr w14:paraId="2781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AB00F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F299A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拾音话筒</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5C63120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1.指向性：超心型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2.频率响应：40Hz—16kHz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3.灵敏度≥-29dB±3dB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4.最大声压级≥130dB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5.信噪比≥70dB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6.动态范围≥106dB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7.使用电源：麦克风一线通供电</w:t>
            </w:r>
          </w:p>
        </w:tc>
        <w:tc>
          <w:tcPr>
            <w:tcW w:w="327" w:type="dxa"/>
            <w:tcBorders>
              <w:top w:val="single" w:color="000000" w:sz="4" w:space="0"/>
              <w:left w:val="single" w:color="000000" w:sz="4" w:space="0"/>
              <w:bottom w:val="single" w:color="000000" w:sz="4" w:space="0"/>
              <w:right w:val="nil"/>
            </w:tcBorders>
            <w:noWrap/>
            <w:vAlign w:val="center"/>
          </w:tcPr>
          <w:p w14:paraId="51840E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支</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5A6EA6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66B769A">
            <w:pPr>
              <w:jc w:val="center"/>
              <w:rPr>
                <w:rFonts w:hint="eastAsia" w:ascii="宋体" w:hAnsi="宋体" w:eastAsia="宋体" w:cs="宋体"/>
                <w:b w:val="0"/>
                <w:bCs w:val="0"/>
                <w:i w:val="0"/>
                <w:iCs w:val="0"/>
                <w:color w:val="000000"/>
                <w:sz w:val="20"/>
                <w:szCs w:val="20"/>
                <w:highlight w:val="none"/>
                <w:u w:val="none"/>
              </w:rPr>
            </w:pPr>
          </w:p>
        </w:tc>
      </w:tr>
      <w:tr w14:paraId="6688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1D4479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EA894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互动侧屏</w:t>
            </w:r>
          </w:p>
        </w:tc>
        <w:tc>
          <w:tcPr>
            <w:tcW w:w="8318" w:type="dxa"/>
            <w:vMerge w:val="restart"/>
            <w:tcBorders>
              <w:top w:val="single" w:color="000000" w:sz="4" w:space="0"/>
              <w:left w:val="single" w:color="000000" w:sz="4" w:space="0"/>
              <w:bottom w:val="nil"/>
              <w:right w:val="single" w:color="000000" w:sz="4" w:space="0"/>
            </w:tcBorders>
            <w:noWrap w:val="0"/>
            <w:vAlign w:val="center"/>
          </w:tcPr>
          <w:p w14:paraId="6878C46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一、外观与防护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包边设计，钢化玻璃在合金边框内，四角圆弧，双重保护抗冲击。</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底部两端有笔槽支持触控笔吸附，前置挡板保护前置接口及设备。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二、屏幕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屏幕≥65英寸，分辨率≥3840×2160，表面钢化玻璃耐磨、防眩光、防划伤、高安全系数。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三、音频相关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内置喇叭，防尘设计，功率≥2x15W。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四、按键设计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不少于8个前置物理按键，含电源、菜单等，电源键有三合一功能且供电保护，按键标识明显。</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五、触控功能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红外多点触控（不少于20点），免驱动，支持主流操作系统。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有触摸防遮挡功能，触控响应连续、精准度高。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六、网络与连接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内置无线网络模块，全向信号收发。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支持网络共享（双系统单网口上网）。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七、特色功能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五指熄屏，智能手势开关背光。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同一按键完成Android、Windows节能熄屏，互通互用；支持手势调板擦。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自动识别外接电脑信号开机并跳转通道。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可锁定屏幕触摸、USB等。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内置触摸中控菜单用于多种操作，通道名称可自定义。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支持环境感光及护眼模式。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安卓启动可自动启动ops，无信号自动熄屏，支持定时开关机。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有触摸悬浮菜单，三指罗盘跟随且功能可自定义、在任意通道下可调用小工具。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八、系统相关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内置安卓系统，版本≥11.0，内存≥2G，存储≥16G，能对内置电脑还原。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九、书写与互动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无PC时，内置互动白板支持单、多点书写及擦除。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十、会议等功能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支持展板、会议功能，多种欢迎界面和会议主题模板，可编辑。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支持会议签名，扫码带走。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十一、外观与界面定制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支持设置开机画面/动画，更换主题风格。</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支持侧边栏功能，自动隐藏，有多种功能调用，可设置批注内容分享等方式。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侧边栏含多种功能应用且支持自定义程序应用。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十二、摄像与音频采集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内置非独立高清摄像头，像素≥1300万，视角≥110°，支持数字音频MIC，实现音视频录制。</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6E557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07DBFE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082B7E3">
            <w:pPr>
              <w:jc w:val="center"/>
              <w:rPr>
                <w:rFonts w:hint="eastAsia" w:ascii="宋体" w:hAnsi="宋体" w:eastAsia="宋体" w:cs="宋体"/>
                <w:b w:val="0"/>
                <w:bCs w:val="0"/>
                <w:i w:val="0"/>
                <w:iCs w:val="0"/>
                <w:color w:val="000000"/>
                <w:sz w:val="20"/>
                <w:szCs w:val="20"/>
                <w:highlight w:val="none"/>
                <w:u w:val="none"/>
              </w:rPr>
            </w:pPr>
          </w:p>
        </w:tc>
      </w:tr>
      <w:tr w14:paraId="5D2C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7A7B8FCC">
            <w:pPr>
              <w:jc w:val="center"/>
              <w:rPr>
                <w:rFonts w:hint="eastAsia" w:ascii="宋体" w:hAnsi="宋体" w:eastAsia="宋体" w:cs="宋体"/>
                <w:b w:val="0"/>
                <w:bCs w:val="0"/>
                <w:i w:val="0"/>
                <w:iCs w:val="0"/>
                <w:color w:val="000000"/>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3D1D516">
            <w:pPr>
              <w:jc w:val="center"/>
              <w:rPr>
                <w:rFonts w:hint="eastAsia" w:ascii="宋体" w:hAnsi="宋体" w:eastAsia="宋体" w:cs="宋体"/>
                <w:b w:val="0"/>
                <w:bCs w:val="0"/>
                <w:i w:val="0"/>
                <w:iCs w:val="0"/>
                <w:color w:val="000000"/>
                <w:sz w:val="20"/>
                <w:szCs w:val="20"/>
                <w:highlight w:val="none"/>
                <w:u w:val="none"/>
              </w:rPr>
            </w:pPr>
          </w:p>
        </w:tc>
        <w:tc>
          <w:tcPr>
            <w:tcW w:w="8318" w:type="dxa"/>
            <w:vMerge w:val="continue"/>
            <w:tcBorders>
              <w:top w:val="single" w:color="000000" w:sz="4" w:space="0"/>
              <w:left w:val="single" w:color="000000" w:sz="4" w:space="0"/>
              <w:bottom w:val="nil"/>
              <w:right w:val="single" w:color="000000" w:sz="4" w:space="0"/>
            </w:tcBorders>
            <w:noWrap w:val="0"/>
            <w:vAlign w:val="center"/>
          </w:tcPr>
          <w:p w14:paraId="078CC7E4">
            <w:pPr>
              <w:jc w:val="left"/>
              <w:rPr>
                <w:rFonts w:hint="eastAsia" w:ascii="宋体" w:hAnsi="宋体" w:eastAsia="宋体" w:cs="宋体"/>
                <w:b w:val="0"/>
                <w:bCs w:val="0"/>
                <w:i w:val="0"/>
                <w:iCs w:val="0"/>
                <w:color w:val="000000"/>
                <w:sz w:val="20"/>
                <w:szCs w:val="20"/>
                <w:highlight w:val="none"/>
                <w:u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0EDD440">
            <w:pPr>
              <w:jc w:val="center"/>
              <w:rPr>
                <w:rFonts w:hint="eastAsia" w:ascii="宋体" w:hAnsi="宋体" w:eastAsia="宋体" w:cs="宋体"/>
                <w:b w:val="0"/>
                <w:bCs w:val="0"/>
                <w:i w:val="0"/>
                <w:iCs w:val="0"/>
                <w:color w:val="000000"/>
                <w:sz w:val="20"/>
                <w:szCs w:val="20"/>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D9D20F5">
            <w:pPr>
              <w:jc w:val="center"/>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D563731">
            <w:pPr>
              <w:jc w:val="center"/>
              <w:rPr>
                <w:rFonts w:hint="eastAsia" w:ascii="宋体" w:hAnsi="宋体" w:eastAsia="宋体" w:cs="宋体"/>
                <w:b w:val="0"/>
                <w:bCs w:val="0"/>
                <w:i w:val="0"/>
                <w:iCs w:val="0"/>
                <w:color w:val="000000"/>
                <w:sz w:val="20"/>
                <w:szCs w:val="20"/>
                <w:highlight w:val="none"/>
                <w:u w:val="none"/>
              </w:rPr>
            </w:pPr>
          </w:p>
        </w:tc>
      </w:tr>
      <w:tr w14:paraId="5B2D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1255A2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7A1D8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智慧课堂系统</w:t>
            </w:r>
          </w:p>
        </w:tc>
        <w:tc>
          <w:tcPr>
            <w:tcW w:w="83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14388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★一）教室端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1、智慧教学系统应包含教师端，学生端，支持PC端、移动端的应用，满足笔记本，平板电脑和手机各种终端设备使用。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考勤签到：进入课堂后，学生必须在同一无线局域网才能签到，其他网络范围无法签到。支持教师主屏实时显示已签到/未签到的学生名单及学生的在线/离线的连接状态。支持教师查看每个学生的出勤率，并导出考勤记录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3、学生展示：支持≥50个学生端画面投屏到教室主屏，教师可同时选择≥4个学生端画面进行对比展示，支持学生端在展示的同时进行批注操作。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4、小组展示：支持多个小组屏投屏到教室主屏进行对比展示，支持小组屏广播到教室主屏及其他小组屏，达到分组教学示范效果。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5、屏幕共享：支持教室主屏或教室副屏上的内容广播至小组屏，学生可通过小组屏清晰完整的看到教室主屏的讲解内容。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6、课堂互动：支持抽答、抢答、主观题、单选题、多选题，判断题、随堂测试等多种互动功能，提高学生课堂注意力，创造积极的课堂氛围。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7、支持教师轻松发起主观题，单选题，多选题，判断题等多种教学活动，答题数据实时显示，设置正确答案后，支持统计答题正确率。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8、分组研讨：可以实现各小组屏快速对教师下发的讨论主题进行讨论，讨论方法支持小组投屏、动态批注、摄像头调取、屏幕录制、思维导图总结等。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9、成果展示：支持教师通过教室主屏或教师移动端调取一个或多个小组屏到教室主屏上进行成果展示和批注，并支持将该小组屏广播到其他小组屏上进行同步展示。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10、远程控制：支持教师通过移动设备远程控制教室主屏，支持鼠标移动、单击、双击、右键等功能；支持打开文件并远端直接编辑文件。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11、动态批注：支持教师动态的在教学主屏和小组屏上对讨论内容（包含图片、视频、APP等）进行批注，并可以将批注的书写过程同步到所有学生端，使课堂讲解变得更有针对性。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PPT预览与跳转：教学主屏和小组屏打开PPT时，需提供PPT的跳转入口，执行后在当前放映幻灯片中可浮现所有幻灯片的预览图，上下滑动可以预览所有幻灯片，单击某一张幻灯片的预览图则跳转到对应幻灯片中播放。</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PPT连动与复制：播放PPT时，支持双屏同步显示，也支持一屏播放PPT，另一屏显示PPT上一页的内容，且保持PPT原有的版式、内容、动画效果一致，当PPT播放到下一页/切换到上一页后，另一屏屏幕内容会自动跟随切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14、思维导图：支持思维导图功能，思维导图中每个节点可以插入图片、视频、PPT等文件，方便教师整理教学素材。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15、与知课教学平台搭配可实现：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（1）进入课程：支持学生端通过课堂码或扫描二维码加入课堂，也支持课前在教学平台中批量导入学生账号信息。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（2）签到功能：智慧课堂系统支持在线签到，教师端实时查看签到情况，签到数据实时汇总到教学平台中。支持教师发起普通签到、课堂码签到、二维码签到等多种签到方式。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课程资源：支持与教学平台中课程资源对接，包含章节任务、作业模块、分组教学、班级管理等内容。支持教师在课堂中，可直接调用教学平台中章节任务或云盘中的教学内容进行直接授课，实现课程资源与教学平台互通共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（4）抽答：支持教师发起随机抽答，根据回答情况进行评价，获得的分值作为课堂互动成绩记录到平台的平时成绩中。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（5）抢答：支持教师发起抢答，抢到的学生进行回答问题，根据回答情况进行评价，获得的分值作为课堂互动成绩记录到平台的平时成绩中。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（6）随堂测验：支持与教学平台对接，教师从系统中选择已准备好试卷进行随堂测验，教师端可随时看到学生的提交情况，以及测验中学生每个题目的作答情况。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（7）随堂评价：支持教师发起随堂评价，评价结果可多维度在平台中呈现。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（8）课堂报告：教师在上课过程中，所有的教学活动都可在课堂中展示，并记录下来，生成每堂课的课堂报告，包括课堂表现得分、签到情况、课堂活动回顾等。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（二）教师移动端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1、支持移动设备远程控制电子白板、一体机、电脑等，支持鼠标移动、单击、双击、右键等功能；支持打开文件并远端直接编辑文件。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2、支持一键将课堂教学内容录制成标准的视频文件，包括白板板书、大屏图像、课堂实况、教师语音等，方便学生课后复习。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3、支持移动端直接批注教室主屏内容。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4、支持将教师移动端中的PPT文件直接在大屏上打开，无需拷贝文件至教室主屏，并全屏播放，也可在移动端关闭全屏播放及关闭PPT文件。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5、支持教师通过手势左右滑动控制PPT上下翻页或通过按键控制PPT上下翻页；且支持移动端显示PPT全部页面的缩略图，可快速通过定位略缩图将大屏PPT翻页至指定页面。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6、支持移动展台功能，教师可将课本、试卷等教学资料通过移动设备拍照上传至教室主屏讲解。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7、支持移动端设备摄像头随时分享和直播学生学习过程。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8、支持移动端设备的界面无线投屏至大屏，移动端设备所有操作都可在教师主屏上显示。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9、可将移动端设备的文件无线上传教室主屏指定文件夹内，也可将教室主屏文件下载至移动端设备端指定文件夹。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10、支持基本辅助工具，包括荧光笔、聚光灯、放大镜等，荧光笔颜色、聚光灯大小及放大镜通过移动设备端轻松可调。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（三）学生端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1、屏幕共享：支持接受教师发起的各种屏幕广播。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2、学生投屏：支持学生端飞屏到教师主屏，小组屏，以展示自己的学习成果。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3、文件共享：支持和教师主屏，小组屏，班级成员，小组成员之间共享文件。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4、课堂互动：支持参与抢答，抽答等课堂互动教学。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5、学生提问：支持学生在课堂中向教师主屏及时发送弹幕向老师提问。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6、与知课教学平台搭配可实现：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（1）进入课程：学生可以通过教师导入账号、扫描二维码、输入课堂码等多种方式加入课程。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（2）云盘：支持学生将学习资料、教师的课件保存到云盘中。</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0DFA19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D1FEB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6C24F48">
            <w:pPr>
              <w:jc w:val="center"/>
              <w:rPr>
                <w:rFonts w:hint="eastAsia" w:ascii="宋体" w:hAnsi="宋体" w:eastAsia="宋体" w:cs="宋体"/>
                <w:b w:val="0"/>
                <w:bCs w:val="0"/>
                <w:i w:val="0"/>
                <w:iCs w:val="0"/>
                <w:color w:val="000000"/>
                <w:sz w:val="20"/>
                <w:szCs w:val="20"/>
                <w:highlight w:val="none"/>
                <w:u w:val="none"/>
              </w:rPr>
            </w:pPr>
          </w:p>
        </w:tc>
      </w:tr>
      <w:tr w14:paraId="4CBE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3BED5278">
            <w:pPr>
              <w:jc w:val="center"/>
              <w:rPr>
                <w:rFonts w:hint="eastAsia" w:ascii="宋体" w:hAnsi="宋体" w:eastAsia="宋体" w:cs="宋体"/>
                <w:b w:val="0"/>
                <w:bCs w:val="0"/>
                <w:i w:val="0"/>
                <w:iCs w:val="0"/>
                <w:color w:val="000000"/>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D981054">
            <w:pPr>
              <w:jc w:val="center"/>
              <w:rPr>
                <w:rFonts w:hint="eastAsia" w:ascii="宋体" w:hAnsi="宋体" w:eastAsia="宋体" w:cs="宋体"/>
                <w:b w:val="0"/>
                <w:bCs w:val="0"/>
                <w:i w:val="0"/>
                <w:iCs w:val="0"/>
                <w:color w:val="000000"/>
                <w:sz w:val="20"/>
                <w:szCs w:val="20"/>
                <w:highlight w:val="none"/>
                <w:u w:val="none"/>
              </w:rPr>
            </w:pPr>
          </w:p>
        </w:tc>
        <w:tc>
          <w:tcPr>
            <w:tcW w:w="83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899BD">
            <w:pPr>
              <w:jc w:val="left"/>
              <w:rPr>
                <w:rFonts w:hint="eastAsia" w:ascii="宋体" w:hAnsi="宋体" w:eastAsia="宋体" w:cs="宋体"/>
                <w:b w:val="0"/>
                <w:bCs w:val="0"/>
                <w:i w:val="0"/>
                <w:iCs w:val="0"/>
                <w:color w:val="000000"/>
                <w:sz w:val="20"/>
                <w:szCs w:val="20"/>
                <w:highlight w:val="none"/>
                <w:u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52634BB">
            <w:pPr>
              <w:jc w:val="center"/>
              <w:rPr>
                <w:rFonts w:hint="eastAsia" w:ascii="宋体" w:hAnsi="宋体" w:eastAsia="宋体" w:cs="宋体"/>
                <w:b w:val="0"/>
                <w:bCs w:val="0"/>
                <w:i w:val="0"/>
                <w:iCs w:val="0"/>
                <w:color w:val="000000"/>
                <w:sz w:val="20"/>
                <w:szCs w:val="20"/>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0430461">
            <w:pPr>
              <w:jc w:val="center"/>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52B9A3A">
            <w:pPr>
              <w:jc w:val="center"/>
              <w:rPr>
                <w:rFonts w:hint="eastAsia" w:ascii="宋体" w:hAnsi="宋体" w:eastAsia="宋体" w:cs="宋体"/>
                <w:b w:val="0"/>
                <w:bCs w:val="0"/>
                <w:i w:val="0"/>
                <w:iCs w:val="0"/>
                <w:color w:val="000000"/>
                <w:sz w:val="20"/>
                <w:szCs w:val="20"/>
                <w:highlight w:val="none"/>
                <w:u w:val="none"/>
              </w:rPr>
            </w:pPr>
          </w:p>
        </w:tc>
      </w:tr>
      <w:tr w14:paraId="657B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1BBBDD4D">
            <w:pPr>
              <w:jc w:val="center"/>
              <w:rPr>
                <w:rFonts w:hint="eastAsia" w:ascii="宋体" w:hAnsi="宋体" w:eastAsia="宋体" w:cs="宋体"/>
                <w:b w:val="0"/>
                <w:bCs w:val="0"/>
                <w:i w:val="0"/>
                <w:iCs w:val="0"/>
                <w:color w:val="000000"/>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9F7482F">
            <w:pPr>
              <w:jc w:val="center"/>
              <w:rPr>
                <w:rFonts w:hint="eastAsia" w:ascii="宋体" w:hAnsi="宋体" w:eastAsia="宋体" w:cs="宋体"/>
                <w:b w:val="0"/>
                <w:bCs w:val="0"/>
                <w:i w:val="0"/>
                <w:iCs w:val="0"/>
                <w:color w:val="000000"/>
                <w:sz w:val="20"/>
                <w:szCs w:val="20"/>
                <w:highlight w:val="none"/>
                <w:u w:val="none"/>
              </w:rPr>
            </w:pPr>
          </w:p>
        </w:tc>
        <w:tc>
          <w:tcPr>
            <w:tcW w:w="83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93172">
            <w:pPr>
              <w:jc w:val="left"/>
              <w:rPr>
                <w:rFonts w:hint="eastAsia" w:ascii="宋体" w:hAnsi="宋体" w:eastAsia="宋体" w:cs="宋体"/>
                <w:b w:val="0"/>
                <w:bCs w:val="0"/>
                <w:i w:val="0"/>
                <w:iCs w:val="0"/>
                <w:color w:val="000000"/>
                <w:sz w:val="20"/>
                <w:szCs w:val="20"/>
                <w:highlight w:val="none"/>
                <w:u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536C447F">
            <w:pPr>
              <w:jc w:val="center"/>
              <w:rPr>
                <w:rFonts w:hint="eastAsia" w:ascii="宋体" w:hAnsi="宋体" w:eastAsia="宋体" w:cs="宋体"/>
                <w:b w:val="0"/>
                <w:bCs w:val="0"/>
                <w:i w:val="0"/>
                <w:iCs w:val="0"/>
                <w:color w:val="000000"/>
                <w:sz w:val="20"/>
                <w:szCs w:val="20"/>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63884A0">
            <w:pPr>
              <w:jc w:val="center"/>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33F4BF7">
            <w:pPr>
              <w:jc w:val="center"/>
              <w:rPr>
                <w:rFonts w:hint="eastAsia" w:ascii="宋体" w:hAnsi="宋体" w:eastAsia="宋体" w:cs="宋体"/>
                <w:b w:val="0"/>
                <w:bCs w:val="0"/>
                <w:i w:val="0"/>
                <w:iCs w:val="0"/>
                <w:color w:val="000000"/>
                <w:sz w:val="20"/>
                <w:szCs w:val="20"/>
                <w:highlight w:val="none"/>
                <w:u w:val="none"/>
              </w:rPr>
            </w:pPr>
          </w:p>
        </w:tc>
      </w:tr>
      <w:tr w14:paraId="254B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2092F9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4E6A6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分组研讨教学系统</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4C82818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1、支持画笔功能，可在屏幕或课件上进行批注。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2、支持截屏、屏幕录制功能。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3、支持小组成员之间共享文件功能。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4、支持多文档同时打开功能。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5、支持word、ppt、pdf、视频等多种文件格式。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6、支持≥4个学生端同时向小组屏飞屏，可对学生投屏内容进行批注，支持小组投屏内容在教师主屏上呈现。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7、学生端支持作业拍照上传到小组屏上讨论功能。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8、分组研讨系统需支持windows系统和安卓系统安装包。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9、≥10.3寸触摸屏，无线连接功能。</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E0354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E1FAB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32</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B95C5F4">
            <w:pPr>
              <w:jc w:val="center"/>
              <w:rPr>
                <w:rFonts w:hint="eastAsia" w:ascii="宋体" w:hAnsi="宋体" w:eastAsia="宋体" w:cs="宋体"/>
                <w:b w:val="0"/>
                <w:bCs w:val="0"/>
                <w:i w:val="0"/>
                <w:iCs w:val="0"/>
                <w:color w:val="000000"/>
                <w:sz w:val="20"/>
                <w:szCs w:val="20"/>
                <w:highlight w:val="none"/>
                <w:u w:val="none"/>
              </w:rPr>
            </w:pPr>
          </w:p>
        </w:tc>
      </w:tr>
      <w:tr w14:paraId="57B8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42A0A5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BA249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研讨式扇形桌</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64C9C12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1.单边≧800mm、高≧750mm，台面尺寸：≧800mm*500mm*25mm、PVC封边，具防火、耐磨、防污、牢固耐用，台面形状是扇形或梯形及长方形，面板采用E1级环保材料，6位拼接直径1.6圆，产品外形尺寸的极限偏差宽</w:t>
            </w:r>
            <w:r>
              <w:rPr>
                <w:rFonts w:ascii="宋体" w:hAnsi="宋体" w:eastAsia="宋体" w:cs="宋体"/>
                <w:b w:val="0"/>
                <w:bCs w:val="0"/>
                <w:i w:val="0"/>
                <w:iCs w:val="0"/>
                <w:color w:val="000000"/>
                <w:kern w:val="0"/>
                <w:sz w:val="20"/>
                <w:szCs w:val="20"/>
                <w:highlight w:val="none"/>
                <w:u w:val="none"/>
                <w:lang w:val="en-US" w:eastAsia="zh-CN" w:bidi="ar"/>
              </w:rPr>
              <w:t>≦</w:t>
            </w:r>
            <w:r>
              <w:rPr>
                <w:rFonts w:hint="eastAsia" w:ascii="宋体" w:hAnsi="宋体" w:eastAsia="宋体" w:cs="宋体"/>
                <w:b w:val="0"/>
                <w:bCs w:val="0"/>
                <w:i w:val="0"/>
                <w:iCs w:val="0"/>
                <w:color w:val="000000"/>
                <w:kern w:val="0"/>
                <w:sz w:val="20"/>
                <w:szCs w:val="20"/>
                <w:highlight w:val="none"/>
                <w:u w:val="none"/>
                <w:lang w:val="en-US" w:eastAsia="zh-CN" w:bidi="ar"/>
              </w:rPr>
              <w:t>2mm，深2mm，高1mm，桌面：采用25mm优质环保实木颗粒板，双贴面0.6mm防火板，表面贴环保防火饰面板，防潮、防酸碱、耐刮擦、整体美观大方实用，符合国家环保标准；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桌架：钢制整体框架结构,框架采用国标50*20*1.2锥形管，后脚采用50*20mm*25mm锥形钢管为立腿，后挡板为优质环保实木颗粒板，厚度16mm，采用防锈静电喷涂处理。可以分成6张小的扇形桌，可以拼接成一套六边圆桌、表面静电喷塑，钢管连接件为钢连接件。</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46CE9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38F58A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32</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3DFE90E">
            <w:pPr>
              <w:jc w:val="center"/>
              <w:rPr>
                <w:rFonts w:hint="eastAsia" w:ascii="宋体" w:hAnsi="宋体" w:eastAsia="宋体" w:cs="宋体"/>
                <w:b w:val="0"/>
                <w:bCs w:val="0"/>
                <w:i w:val="0"/>
                <w:iCs w:val="0"/>
                <w:color w:val="000000"/>
                <w:sz w:val="20"/>
                <w:szCs w:val="20"/>
                <w:highlight w:val="none"/>
                <w:u w:val="none"/>
              </w:rPr>
            </w:pPr>
          </w:p>
        </w:tc>
      </w:tr>
      <w:tr w14:paraId="5F05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1D00BD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136E9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研讨式椅子</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69CD22A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基材：靠背坐垫采用进口网布，高弹性海绵，内多层板，椅架采用1.2mm方管管，带滑轮，可以刹车，质地坚实，环保无污染。管壁经，除锈，抛光，打磨、磷化、喷涂而成，表面美观光滑，符合国家标准。</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2DE4DC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把</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5A4F5A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192</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F86A8E9">
            <w:pPr>
              <w:jc w:val="center"/>
              <w:rPr>
                <w:rFonts w:hint="eastAsia" w:ascii="宋体" w:hAnsi="宋体" w:eastAsia="宋体" w:cs="宋体"/>
                <w:b w:val="0"/>
                <w:bCs w:val="0"/>
                <w:i w:val="0"/>
                <w:iCs w:val="0"/>
                <w:color w:val="000000"/>
                <w:sz w:val="20"/>
                <w:szCs w:val="20"/>
                <w:highlight w:val="none"/>
                <w:u w:val="none"/>
              </w:rPr>
            </w:pPr>
          </w:p>
        </w:tc>
      </w:tr>
      <w:tr w14:paraId="6183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2C59EE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BB923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机柜</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0A7A66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规格（W*D*H）：600mm*1000mm*1200mm； 配置2个理线架，2个侧板，1个底板，2个固定托盘，1个全高竖装32A PDU。采用黑色， PDU外壳选用优质型材；PDU电压：AC220V，输入容量：32A，分路空开配置12*A10。</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5020B6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6D28C7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C8398F3">
            <w:pPr>
              <w:jc w:val="center"/>
              <w:rPr>
                <w:rFonts w:hint="eastAsia" w:ascii="宋体" w:hAnsi="宋体" w:eastAsia="宋体" w:cs="宋体"/>
                <w:b w:val="0"/>
                <w:bCs w:val="0"/>
                <w:i w:val="0"/>
                <w:iCs w:val="0"/>
                <w:color w:val="000000"/>
                <w:sz w:val="20"/>
                <w:szCs w:val="20"/>
                <w:highlight w:val="none"/>
                <w:u w:val="none"/>
              </w:rPr>
            </w:pPr>
          </w:p>
        </w:tc>
      </w:tr>
      <w:tr w14:paraId="27EB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5FFD73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D2F16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3BE1BA4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27EDE0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1CF3FC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EAA79AD">
            <w:pPr>
              <w:jc w:val="center"/>
              <w:rPr>
                <w:rFonts w:hint="eastAsia" w:ascii="宋体" w:hAnsi="宋体" w:eastAsia="宋体" w:cs="宋体"/>
                <w:b w:val="0"/>
                <w:bCs w:val="0"/>
                <w:i w:val="0"/>
                <w:iCs w:val="0"/>
                <w:color w:val="000000"/>
                <w:sz w:val="20"/>
                <w:szCs w:val="20"/>
                <w:highlight w:val="none"/>
                <w:u w:val="none"/>
              </w:rPr>
            </w:pPr>
          </w:p>
        </w:tc>
      </w:tr>
      <w:tr w14:paraId="5011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4529A6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BA261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3P空调</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3DEF878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冷暖型,制冷量≧7290W；制热量≧9200W;能效等级3级，循环风量≧1200m3/h，含铜管等辅材。</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641250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29BE34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DE3721B">
            <w:pPr>
              <w:jc w:val="center"/>
              <w:rPr>
                <w:rFonts w:hint="eastAsia" w:ascii="宋体" w:hAnsi="宋体" w:eastAsia="宋体" w:cs="宋体"/>
                <w:b w:val="0"/>
                <w:bCs w:val="0"/>
                <w:i w:val="0"/>
                <w:iCs w:val="0"/>
                <w:color w:val="000000"/>
                <w:sz w:val="20"/>
                <w:szCs w:val="20"/>
                <w:highlight w:val="none"/>
                <w:u w:val="none"/>
              </w:rPr>
            </w:pPr>
          </w:p>
        </w:tc>
      </w:tr>
      <w:tr w14:paraId="5BE5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0AF27F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34395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电源线</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355229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RVV2*1.5mm</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35A0CF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CBB08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195C9A7">
            <w:pPr>
              <w:jc w:val="center"/>
              <w:rPr>
                <w:rFonts w:hint="eastAsia" w:ascii="宋体" w:hAnsi="宋体" w:eastAsia="宋体" w:cs="宋体"/>
                <w:b w:val="0"/>
                <w:bCs w:val="0"/>
                <w:i w:val="0"/>
                <w:iCs w:val="0"/>
                <w:color w:val="000000"/>
                <w:sz w:val="20"/>
                <w:szCs w:val="20"/>
                <w:highlight w:val="none"/>
                <w:u w:val="none"/>
              </w:rPr>
            </w:pPr>
          </w:p>
        </w:tc>
      </w:tr>
      <w:tr w14:paraId="412F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537A03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3568E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辅材</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99E638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包括音频线、高清线、控制线、线槽、视频分配器等满足系统布线需求</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0578C9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批</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290AAA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5C58BDE">
            <w:pPr>
              <w:jc w:val="center"/>
              <w:rPr>
                <w:rFonts w:hint="eastAsia" w:ascii="宋体" w:hAnsi="宋体" w:eastAsia="宋体" w:cs="宋体"/>
                <w:b w:val="0"/>
                <w:bCs w:val="0"/>
                <w:i w:val="0"/>
                <w:iCs w:val="0"/>
                <w:color w:val="000000"/>
                <w:sz w:val="20"/>
                <w:szCs w:val="20"/>
                <w:highlight w:val="none"/>
                <w:u w:val="none"/>
              </w:rPr>
            </w:pPr>
          </w:p>
        </w:tc>
      </w:tr>
      <w:tr w14:paraId="1ABC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741DAF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873" w:type="dxa"/>
            <w:tcBorders>
              <w:top w:val="single" w:color="000000" w:sz="4" w:space="0"/>
              <w:left w:val="single" w:color="000000" w:sz="4" w:space="0"/>
              <w:bottom w:val="nil"/>
              <w:right w:val="single" w:color="000000" w:sz="4" w:space="0"/>
            </w:tcBorders>
            <w:noWrap w:val="0"/>
            <w:vAlign w:val="center"/>
          </w:tcPr>
          <w:p w14:paraId="2E9553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教室装修</w:t>
            </w:r>
          </w:p>
        </w:tc>
        <w:tc>
          <w:tcPr>
            <w:tcW w:w="8318" w:type="dxa"/>
            <w:tcBorders>
              <w:top w:val="single" w:color="000000" w:sz="4" w:space="0"/>
              <w:left w:val="single" w:color="000000" w:sz="4" w:space="0"/>
              <w:bottom w:val="nil"/>
              <w:right w:val="single" w:color="000000" w:sz="4" w:space="0"/>
            </w:tcBorders>
            <w:noWrap w:val="0"/>
            <w:vAlign w:val="center"/>
          </w:tcPr>
          <w:p w14:paraId="32524BB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见6.3附表装修清单</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511FF6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554FFC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73BD97F9">
            <w:pPr>
              <w:jc w:val="center"/>
              <w:rPr>
                <w:rFonts w:hint="eastAsia" w:ascii="宋体" w:hAnsi="宋体" w:eastAsia="宋体" w:cs="宋体"/>
                <w:b w:val="0"/>
                <w:bCs w:val="0"/>
                <w:i w:val="0"/>
                <w:iCs w:val="0"/>
                <w:color w:val="000000"/>
                <w:sz w:val="20"/>
                <w:szCs w:val="20"/>
                <w:highlight w:val="none"/>
                <w:u w:val="none"/>
              </w:rPr>
            </w:pPr>
          </w:p>
        </w:tc>
      </w:tr>
      <w:tr w14:paraId="6E5F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0FC90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C5465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校园教学视频资源管理平台</w:t>
            </w:r>
          </w:p>
        </w:tc>
        <w:tc>
          <w:tcPr>
            <w:tcW w:w="83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A8B8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一.信息管理功能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1.录播管理：支持把录播设备接入平台，实现自动转码、无缝直播点播，并具备直播和点播功能。支持对录播进行远程关机、休眠唤醒、启动录制等操作。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2.多级平台对接：支持校平台与上级区平台进行对接，校平台资源可像区平台提交数据资源。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录制预约：平台支持用户远程进行在线录课预约，可实现单个或批量预约；支持预约信息的申请。支持用户手机扫码预约录制，扫码后手机端填写录播预约信息即可快速完成预约，录制结束后也可扫码在平台回顾或下载已录制的视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4.资源颗粒度管理：支持视频资源多维度分类，如按年级、学科等分类管理，支持用户自定义分类类型。并支持根据发布时间、用户推荐度和点击热度的不同维度在平台呈现。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5.视频专辑：支持用户可灵活创建各种视频专辑，并自定义专辑类型，可将一同类型的视频进行归类，便于视频的归整和便捷查询。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6.公告发布：平台首页提供公告模块，支持通过平台发布校务公告、活动通知、时势新闻等多种类型公告。公告支持按定义的类型进行归类查询，支持用户自定义公告类型。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7.自动转码功能：支持视频下载、上传、编辑、管理。可实现所有主流视频文件格式自动转码，包括asf、mpg、rmvb、mov、rm、avi、3gp、wmv、flv、mp4等，可设置下载及观看权限，可设置高标清转码清晰度码流。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8.虚拟切片：支持视频自动划分知识点和教学环节片段，且不破坏视频原来的完整性。支持快速点击知识点、教学环节跳转到相应节点播放。支持对上传的视频添加和修改“知识点”和“教学环节”。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9.教学行为分析：支持弗兰德斯教学行为分析法（S-T），平台根据跟踪数据生成S-T曲线图，帮助用户进行教学技能提升和评估。S-T行为数据支持后期在线编辑修改，便于教师进行错误修正。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10.文件检索：支持关键字搜索功能，用户可直接在资源管理平台的页面搜索框输入关键字，对某个视频标题、知识点进行搜索。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11.一键置灰：支持平台肤色一键置灰功能，切合特殊纪念日氛围。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12.指定播放：支持设置指定播放源，用户点击任意视频均强制播放指定视频源，便于学校进行重要视频的统一播放和管理。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流量统计：支持平台对用户访问数、页面访问量进行数量统计，访问流量数据可按日、周、月、年、总浏览数进行分类统计。支持以曲线图形式展现10天内的访问流量变化趋势。支持对视频直播量、点播量统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二.直播点播功能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1.基于FLV、HLS主流协议直播技术，无需安装插件即可进行跨平台（Windows、Linux、IOS等）视频点播观看。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2.支持流媒体转发服务，平台支持不少于200点以上高清直播功能。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3.集群技术：支持直播集群技术，以支持系统的横向拓展，随系统应用规模的拓展逐渐增加转发服务器以支持更大规模直播。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4.多码率支持：点播视频时可根据网络情况在播放器窗口进行高标清切换观看。提供转发高标清设置功能界面截图并加盖厂家投标专用章或公章。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5.支持直播权限及密码设置，让直播信息更加安全。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6.支持上传教案、课件等视频附件，附件可与视频进行绑定。支持word、excel、ppt、PDF、jpeg等格式。用户在点播视频时下载附件。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7.提供视频转发分享功能，支持二维码分享和一键转发分享至新浪微博、QQ、微信等社交平台中。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三.微课管理功能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1.提供微课管理模块，支持自定义微课时长限制，在规定时长内的视频上传平台后自动归类到微课模块当中，并支持按学段、学科进行自动归类整理。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2.提供专业微课录制软件，支持直接从平台下载微课录制软件并安装于笔记本电脑中。微课视频录制完毕后支持一键上传到平台，或下载到本地电脑保存。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3.微课录制软件需满足包括教师头像、实物展台、课件PPT在内的三路视频源切换及组合布局录制，支持课件与老师画中画模式。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4.支持PPT课件导入、课件批注，在微课录制的同时支持PPT分页预览，并进行切换录制。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四.移动APP应用服务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1.提供自主研发的平台移动端APP，支持Android系统，可与视频资源管理平台对接。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2.移动端APP应提供视频在线直播、视频点播、专辑点播等功能。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3.移动端同步支持虚拟切片功能，实现知识点的快速跳转观看、学习，提高学生的学习效率。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4.支持移动端APP点播视频时查看视频信息、视频附件。</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1D2B4F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56BA65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68694E8">
            <w:pPr>
              <w:jc w:val="center"/>
              <w:rPr>
                <w:rFonts w:hint="eastAsia" w:ascii="宋体" w:hAnsi="宋体" w:eastAsia="宋体" w:cs="宋体"/>
                <w:b w:val="0"/>
                <w:bCs w:val="0"/>
                <w:i w:val="0"/>
                <w:iCs w:val="0"/>
                <w:color w:val="000000"/>
                <w:sz w:val="20"/>
                <w:szCs w:val="20"/>
                <w:highlight w:val="none"/>
                <w:u w:val="none"/>
              </w:rPr>
            </w:pPr>
          </w:p>
        </w:tc>
      </w:tr>
      <w:tr w14:paraId="6FEC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3D6B3E99">
            <w:pPr>
              <w:jc w:val="center"/>
              <w:rPr>
                <w:rFonts w:hint="default" w:ascii="Times New Roman" w:hAnsi="Times New Roman" w:cs="Times New Roman"/>
                <w:b w:val="0"/>
                <w:bCs w:val="0"/>
                <w:i w:val="0"/>
                <w:iCs w:val="0"/>
                <w:color w:val="000000"/>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8202AB1">
            <w:pPr>
              <w:jc w:val="center"/>
              <w:rPr>
                <w:rFonts w:hint="eastAsia" w:ascii="宋体" w:hAnsi="宋体" w:eastAsia="宋体" w:cs="宋体"/>
                <w:b w:val="0"/>
                <w:bCs w:val="0"/>
                <w:i w:val="0"/>
                <w:iCs w:val="0"/>
                <w:color w:val="000000"/>
                <w:sz w:val="20"/>
                <w:szCs w:val="20"/>
                <w:highlight w:val="none"/>
                <w:u w:val="none"/>
              </w:rPr>
            </w:pPr>
          </w:p>
        </w:tc>
        <w:tc>
          <w:tcPr>
            <w:tcW w:w="83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18409">
            <w:pPr>
              <w:jc w:val="left"/>
              <w:rPr>
                <w:rFonts w:hint="eastAsia" w:ascii="宋体" w:hAnsi="宋体" w:eastAsia="宋体" w:cs="宋体"/>
                <w:b w:val="0"/>
                <w:bCs w:val="0"/>
                <w:i w:val="0"/>
                <w:iCs w:val="0"/>
                <w:color w:val="000000"/>
                <w:sz w:val="20"/>
                <w:szCs w:val="20"/>
                <w:highlight w:val="none"/>
                <w:u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08A2833A">
            <w:pPr>
              <w:jc w:val="center"/>
              <w:rPr>
                <w:rFonts w:hint="eastAsia" w:ascii="宋体" w:hAnsi="宋体" w:eastAsia="宋体" w:cs="宋体"/>
                <w:b w:val="0"/>
                <w:bCs w:val="0"/>
                <w:i w:val="0"/>
                <w:iCs w:val="0"/>
                <w:color w:val="000000"/>
                <w:sz w:val="20"/>
                <w:szCs w:val="20"/>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099DDC45">
            <w:pPr>
              <w:jc w:val="center"/>
              <w:rPr>
                <w:rFonts w:hint="eastAsia" w:ascii="宋体" w:hAnsi="宋体" w:eastAsia="宋体" w:cs="宋体"/>
                <w:b w:val="0"/>
                <w:bCs w:val="0"/>
                <w:i w:val="0"/>
                <w:iCs w:val="0"/>
                <w:color w:val="000000"/>
                <w:sz w:val="20"/>
                <w:szCs w:val="20"/>
                <w:highlight w:val="none"/>
                <w:u w:val="none"/>
              </w:rPr>
            </w:pP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1F228D90">
            <w:pPr>
              <w:jc w:val="center"/>
              <w:rPr>
                <w:rFonts w:hint="default" w:ascii="Times New Roman" w:hAnsi="Times New Roman" w:cs="Times New Roman"/>
                <w:b w:val="0"/>
                <w:bCs w:val="0"/>
                <w:i w:val="0"/>
                <w:iCs w:val="0"/>
                <w:color w:val="000000"/>
                <w:sz w:val="20"/>
                <w:szCs w:val="20"/>
                <w:highlight w:val="none"/>
                <w:u w:val="none"/>
              </w:rPr>
            </w:pPr>
          </w:p>
        </w:tc>
      </w:tr>
      <w:tr w14:paraId="4E5A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ign w:val="center"/>
          </w:tcPr>
          <w:p w14:paraId="619E40EF">
            <w:pPr>
              <w:jc w:val="center"/>
              <w:rPr>
                <w:rFonts w:hint="default" w:ascii="Times New Roman" w:hAnsi="Times New Roman" w:cs="Times New Roman"/>
                <w:b w:val="0"/>
                <w:bCs w:val="0"/>
                <w:i w:val="0"/>
                <w:iCs w:val="0"/>
                <w:color w:val="000000"/>
                <w:sz w:val="20"/>
                <w:szCs w:val="20"/>
                <w:highlight w:val="none"/>
                <w:u w:val="none"/>
              </w:rPr>
            </w:pPr>
          </w:p>
        </w:tc>
        <w:tc>
          <w:tcPr>
            <w:tcW w:w="10050" w:type="dxa"/>
            <w:gridSpan w:val="4"/>
            <w:tcBorders>
              <w:top w:val="single" w:color="000000" w:sz="4" w:space="0"/>
              <w:left w:val="single" w:color="000000" w:sz="4" w:space="0"/>
              <w:bottom w:val="single" w:color="000000" w:sz="4" w:space="0"/>
              <w:right w:val="single" w:color="000000" w:sz="4" w:space="0"/>
            </w:tcBorders>
            <w:noWrap w:val="0"/>
            <w:vAlign w:val="center"/>
          </w:tcPr>
          <w:p w14:paraId="045228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36EC9CCE">
            <w:pPr>
              <w:jc w:val="center"/>
              <w:rPr>
                <w:rFonts w:hint="default" w:ascii="Times New Roman" w:hAnsi="Times New Roman" w:cs="Times New Roman"/>
                <w:b w:val="0"/>
                <w:bCs w:val="0"/>
                <w:i w:val="0"/>
                <w:iCs w:val="0"/>
                <w:color w:val="000000"/>
                <w:sz w:val="20"/>
                <w:szCs w:val="20"/>
                <w:highlight w:val="none"/>
                <w:u w:val="none"/>
              </w:rPr>
            </w:pPr>
          </w:p>
        </w:tc>
      </w:tr>
      <w:tr w14:paraId="46F5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0" w:type="dxa"/>
            <w:gridSpan w:val="6"/>
            <w:tcBorders>
              <w:top w:val="single" w:color="000000" w:sz="4" w:space="0"/>
              <w:left w:val="single" w:color="000000" w:sz="4" w:space="0"/>
              <w:bottom w:val="single" w:color="000000" w:sz="4" w:space="0"/>
              <w:right w:val="single" w:color="000000" w:sz="4" w:space="0"/>
            </w:tcBorders>
            <w:noWrap/>
            <w:vAlign w:val="center"/>
          </w:tcPr>
          <w:p w14:paraId="7049A3C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5.3 精品录播室建设方案（2间）</w:t>
            </w:r>
          </w:p>
        </w:tc>
      </w:tr>
      <w:tr w14:paraId="4A84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7003833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F4FF1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虚拟演播室主机</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3AFB56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系统可导入3DSMax、Maya三维软件生成的.3DS和.X三维场景模型，在软件中可实时编辑渲染，改变物件纹理、光效、空间位置、大小、透明度、朝向和物件动画等属性，添加三维物件、删除三维物件，设置场景整体环境光效，可实时查看编辑效果，并可导出新的场景文件。2、可支持多路画中画的效果，调入5路不同高清/标清信号源，1路作为衬底画面，4路作为同屏画中画，布局可自定义，可对5路信号进行实时调度、切换，支持调度特效，包括划像、栅格、粒子、淡入淡出、卷页等。3、可对每一路信号添加视频框，设置光效，可调整光效强弱、光效移动速度、环境光，信号切换、改变画面大小后，视频框和光效跟随画面。4、采用先进的光线追踪色键，能确保前景人物抠像色彩无偏移，还能保证头发丝、人物阴影等细节真实还原。做至头发丝根根分明，人物的实时阴影保留。5、具有控制演播室灯光模块，虚拟演播室软件具备智能化精准控制每一盏灯的亮度以及亮灯时间和延时，和机位控制、图文包装控制深度融合，实现按节目的需求控制灯光。6、虚拟演播室软件具备控制独立提词器的功能，可在虚拟软件内将提词文稿发送到提词器主机，并根据导播切换机位自动切换到该主持人的提词内容。7、支持步进时间线功能，可在控制端一键触发摄像机运动、视频播放、字幕播出和提词器文稿切换等。可多点联动。8、可调整画面大小，可对画面进行裁切，视频画面位置及角度可调整，可旋转视频画面，可更换视频画面边框，调整边框光效，支持视频画面满屏特技，画面飞出角度和时长可调整。9、可实现字幕随切随播，即切换到当前机位时设置好的字幕会播放、上键，也可在当前宏不改变的情况下，单独对宏内的字幕进行上键和下键；切换到另一机位时，当前字幕停止、下键。10、可以实现本地视频随切随播，即切换到当前机位时设置好的本地视频开始播放；切换到另一机位时，当前本地视频停止。</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13A44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404652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1D4815D7">
            <w:pPr>
              <w:jc w:val="center"/>
              <w:rPr>
                <w:rFonts w:hint="eastAsia" w:ascii="宋体" w:hAnsi="宋体" w:eastAsia="宋体" w:cs="宋体"/>
                <w:b w:val="0"/>
                <w:bCs w:val="0"/>
                <w:i w:val="0"/>
                <w:iCs w:val="0"/>
                <w:color w:val="000000"/>
                <w:sz w:val="22"/>
                <w:szCs w:val="22"/>
                <w:highlight w:val="none"/>
                <w:u w:val="none"/>
              </w:rPr>
            </w:pPr>
          </w:p>
        </w:tc>
      </w:tr>
      <w:tr w14:paraId="1F09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481874E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68886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虚拟演播管理系统</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37C13A3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1、系统配置：CPU八核/内存≥16GB  DDR4 /NVIDIA RTX 显卡/集成千兆网卡/配置不低于250G SSD系统盘+4TB企业版硬盘/标配不低于700W服务器电源/音视频接口板/24 寸显示器/键鼠套装/预装WINDOWS 10 64Bit专业版操作系统。2、信号输入：不少于3路12G SDI超高清输入,1路3G SDI高清信号输入，其中具有≥3路色键功能，4路可自由选择信号（可在IP信号、NDI信号、USB信号自由选择，IP字幕信号）；2路DDR本地视频；1路背景音乐；4路嵌入音频或模拟音频输入；3、信号输出：不少于2路4K  HDMI输出、1路IP输出、2路嵌入音频，4路模拟音频输出、1路监听音频输出、4路Tally信号输出。</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3478C5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250987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46E21AFD">
            <w:pPr>
              <w:jc w:val="center"/>
              <w:rPr>
                <w:rFonts w:hint="eastAsia" w:ascii="宋体" w:hAnsi="宋体" w:eastAsia="宋体" w:cs="宋体"/>
                <w:b w:val="0"/>
                <w:bCs w:val="0"/>
                <w:i w:val="0"/>
                <w:iCs w:val="0"/>
                <w:color w:val="000000"/>
                <w:sz w:val="22"/>
                <w:szCs w:val="22"/>
                <w:highlight w:val="none"/>
                <w:u w:val="none"/>
              </w:rPr>
            </w:pPr>
          </w:p>
        </w:tc>
      </w:tr>
      <w:tr w14:paraId="7470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626FF98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A5C6B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移动摄像机</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4AEA777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1、类型:4K 摄像机，高清摄像机，手持式摄照一体机、有效像素(万) </w:t>
            </w:r>
            <w:r>
              <w:rPr>
                <w:rStyle w:val="40"/>
                <w:b w:val="0"/>
                <w:bCs w:val="0"/>
                <w:highlight w:val="none"/>
                <w:lang w:val="en-US" w:eastAsia="zh-CN" w:bidi="ar"/>
              </w:rPr>
              <w:t>≧</w:t>
            </w:r>
            <w:r>
              <w:rPr>
                <w:rFonts w:hint="eastAsia" w:ascii="宋体" w:hAnsi="宋体" w:eastAsia="宋体" w:cs="宋体"/>
                <w:b w:val="0"/>
                <w:bCs w:val="0"/>
                <w:i w:val="0"/>
                <w:iCs w:val="0"/>
                <w:color w:val="000000"/>
                <w:kern w:val="0"/>
                <w:sz w:val="20"/>
                <w:szCs w:val="20"/>
                <w:highlight w:val="none"/>
                <w:u w:val="none"/>
                <w:lang w:val="en-US" w:eastAsia="zh-CN" w:bidi="ar"/>
              </w:rPr>
              <w:t>1420 最大像素(万)2000  传感器 Exmor RS CMOS、传感器尺寸 1 英寸(13.2×8.8mm)、光学变焦≧ 12 倍 、 显示屏尺寸 ≧3.5 英寸、液晶屏像素 156 万、取景器   0.39 英 寸 OLED ，  约 144 万 像 素 、 实 际 焦 距 f=9.3-111.6mm、等效 35mm 焦距 f=29.0-348.0mm、对焦范围 广角： 10mm-无穷远，长焦：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2、1000mm-无穷远、最大光圈 F2.8-4.5、滤镜口径 62mm、存储卡插槽  MS/SD，SD、电池供电时大约 ≧400 分钟 (录制时，带液晶屏，XAVC 1080/60i，50 Mbps) 耗电量 约 6.3W ，配套120Gsxs存储卡。</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38C6D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62E40B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24592863">
            <w:pPr>
              <w:jc w:val="center"/>
              <w:rPr>
                <w:rFonts w:hint="eastAsia" w:ascii="宋体" w:hAnsi="宋体" w:eastAsia="宋体" w:cs="宋体"/>
                <w:b w:val="0"/>
                <w:bCs w:val="0"/>
                <w:i w:val="0"/>
                <w:iCs w:val="0"/>
                <w:color w:val="000000"/>
                <w:sz w:val="22"/>
                <w:szCs w:val="22"/>
                <w:highlight w:val="none"/>
                <w:u w:val="none"/>
              </w:rPr>
            </w:pPr>
          </w:p>
        </w:tc>
      </w:tr>
      <w:tr w14:paraId="6B3D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7E33832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3EE4F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高清摄像机</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69B707D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1、视频输出接口： ≥1路3G-SDI接口，≥1路DVI-D接口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2、视输输出：1080P60、1080P50、1080I60、1080I50、1080P30、1080P25、720P60、720P50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3、音频接口：1pcs 3.5mm接口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4、编码方式：H.265编码/H.264，全高清1080p/60 fps。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5、TF卡，最大64G本地存储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6、1路RS-232 IN，1路RS-232 OUT，1路RS-485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7、水平范围：-170°~+170°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8、垂直范围：-30°~+90°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9、水平转动速度： ±0.1°~120°/秒。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10、垂直转动速度：0.1°~80°/秒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11、传感器类型 1/2.8 " CMOS, ≥214万像素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★12、镜头焦距：光学变焦12倍，数字变焦10倍。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13、光圈：F1.6 – F3.5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14、焦距：f=4.7–94.0mm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15、最低照度：0.5lux（彩色），0.1lux（黑白）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16、快门速度：1/1-1/10000秒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17、聚焦方式: 自动、手动、PTZ触发、一键触发；电源：DC12V、PoE、P</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777025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6B9B80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080221C4">
            <w:pPr>
              <w:jc w:val="center"/>
              <w:rPr>
                <w:rFonts w:hint="eastAsia" w:ascii="宋体" w:hAnsi="宋体" w:eastAsia="宋体" w:cs="宋体"/>
                <w:b w:val="0"/>
                <w:bCs w:val="0"/>
                <w:i w:val="0"/>
                <w:iCs w:val="0"/>
                <w:color w:val="000000"/>
                <w:sz w:val="22"/>
                <w:szCs w:val="22"/>
                <w:highlight w:val="none"/>
                <w:u w:val="none"/>
              </w:rPr>
            </w:pPr>
          </w:p>
        </w:tc>
      </w:tr>
      <w:tr w14:paraId="761B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2E0BDA5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D5FFB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摄像机三脚架</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42E3A9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脚管材质：铝合金；2、 三脚架自重≤1.65KG，含云台重量≤2.05KG；3、 工作高度：63cm≤三脚架高度≤206.5cm；4、 锁紧方式：旋钮式锁紧；5、 安全承重：≥11KG</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34DA3A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1B68EE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6A70EF9E">
            <w:pPr>
              <w:jc w:val="center"/>
              <w:rPr>
                <w:rFonts w:hint="eastAsia" w:ascii="宋体" w:hAnsi="宋体" w:eastAsia="宋体" w:cs="宋体"/>
                <w:b w:val="0"/>
                <w:bCs w:val="0"/>
                <w:i w:val="0"/>
                <w:iCs w:val="0"/>
                <w:color w:val="000000"/>
                <w:sz w:val="22"/>
                <w:szCs w:val="22"/>
                <w:highlight w:val="none"/>
                <w:u w:val="none"/>
              </w:rPr>
            </w:pPr>
          </w:p>
        </w:tc>
      </w:tr>
      <w:tr w14:paraId="76CF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42A8F1F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97BF6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无线话筒</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677F3E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这款是采用专用芯片设计的一拖四会议麦克风，可选会议、手持、腰包。成熟的ID技术杜绝窜频，高效收发技术防止断频。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一拖四机型；可调128信道；自动搜索空闲信道；红外同步；数字身份验证（ID）可调静噪（距离）；频率范围：2400~2483.5MHz；调制方式：DQPSK；频率稳定性 ：±10ppm；音频频响： 40~18000Hz；失真度： ≤1%；音头规格：动圈式  心型指向 ；电池规格： 2×1.5VAA Size；续用时间 ： 8~15小时</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79C04C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6602FD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232D76BA">
            <w:pPr>
              <w:jc w:val="center"/>
              <w:rPr>
                <w:rFonts w:hint="eastAsia" w:ascii="宋体" w:hAnsi="宋体" w:eastAsia="宋体" w:cs="宋体"/>
                <w:b w:val="0"/>
                <w:bCs w:val="0"/>
                <w:i w:val="0"/>
                <w:iCs w:val="0"/>
                <w:color w:val="000000"/>
                <w:sz w:val="22"/>
                <w:szCs w:val="22"/>
                <w:highlight w:val="none"/>
                <w:u w:val="none"/>
              </w:rPr>
            </w:pPr>
          </w:p>
        </w:tc>
      </w:tr>
      <w:tr w14:paraId="4A01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77A0C67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670EE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提词器（含支架）</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463771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嵌入式操作系统，可抵御各种病毒</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全部采用一级功能按键，操作界面友好，免培训即 可使用。所有功能按键的调整效果立即生效，无需 等待确认，实现修改效果所见即所得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任意设置字体、大小、颜色、间距、行距等，可以 通过颜色标明重要语句。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明透分光镜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玻璃透光率百分之九十七， 分光比2：8，高透光 率，不损伤摄像机拍 摄的原始画面质量。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22寸显示器，窄边框低蓝光广视角，HDMI高清 显示提词视角更广，更清晰明亮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附件：遮光罩、提词器单屏托板、三脚架、0.5米USB延长线、0.5米HDMI连接线、静音无线鼠标、无线遥控器</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187CB0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5EF1E7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17853A42">
            <w:pPr>
              <w:jc w:val="center"/>
              <w:rPr>
                <w:rFonts w:hint="eastAsia" w:ascii="宋体" w:hAnsi="宋体" w:eastAsia="宋体" w:cs="宋体"/>
                <w:b w:val="0"/>
                <w:bCs w:val="0"/>
                <w:i w:val="0"/>
                <w:iCs w:val="0"/>
                <w:color w:val="000000"/>
                <w:sz w:val="22"/>
                <w:szCs w:val="22"/>
                <w:highlight w:val="none"/>
                <w:u w:val="none"/>
              </w:rPr>
            </w:pPr>
          </w:p>
        </w:tc>
      </w:tr>
      <w:tr w14:paraId="6237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53AF3C5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8CEFA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视频编辑软件</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3BA929C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1.为保证操作的简便，必须可通过平台启动非编系统对资源进行非编，启动后非编资源可自动上传非编系统。便于教师能够对自己已经录制好的视频进行快速编辑处理；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2.教师能够同时导入多个视频，进行多轨道同步编辑，包括合并、剪辑等功能。支持添加视频轨道、音频轨道、图片轨道和文字轨道。实现了音频、视频、字幕的同步编辑与多格式同步输出。最少支持10个以上音视频、文字轨道；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3.提供“用户专辑”栏，展示用户添加的各种视音频文件、图片，可按“视频”、“图像”和“音频”进行分类展示，并支持按“名称”、“时长”和“类型”进行快速排列筛选。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4.文件持续时间”和“类型”进行排列。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5.提供输出效果实时预览窗口，支持对编辑效果的实时输出预览，可对预览视频进行进度条拖动、全屏播放、画面抓拍功能。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6.具有转场特技功能，支持16种以上转场特技效果可供选择。具有滤镜处理功能，支持28种以上滤镜效果可供选择。具有多种视频布局功能，包括2分屏、4分屏、6分屏等至少15种布局模式。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7.资源非编完成后，教师可根据需求设置编辑好的视频码流，并能够一键上传到应用云平台的个人空间当中，同时也能够保存到教师电脑端，以便教师通过移动存储设备拷贝和存档。</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0BD06D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738AD6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1FA41239">
            <w:pPr>
              <w:jc w:val="center"/>
              <w:rPr>
                <w:rFonts w:hint="eastAsia" w:ascii="宋体" w:hAnsi="宋体" w:eastAsia="宋体" w:cs="宋体"/>
                <w:b w:val="0"/>
                <w:bCs w:val="0"/>
                <w:i w:val="0"/>
                <w:iCs w:val="0"/>
                <w:color w:val="000000"/>
                <w:sz w:val="22"/>
                <w:szCs w:val="22"/>
                <w:highlight w:val="none"/>
                <w:u w:val="none"/>
              </w:rPr>
            </w:pPr>
          </w:p>
        </w:tc>
      </w:tr>
      <w:tr w14:paraId="210D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71DFDC7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51579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操作终端</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487E83F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CPU：≥8核/2.3GHz/内存：16GB/硬盘：512G SSD/显示器：23.8英寸、鼠标键盘/显卡：2G独显/DVD刻录/操作系统：（激活）</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5BFC49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7250CD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559EC774">
            <w:pPr>
              <w:jc w:val="center"/>
              <w:rPr>
                <w:rFonts w:hint="eastAsia" w:ascii="宋体" w:hAnsi="宋体" w:eastAsia="宋体" w:cs="宋体"/>
                <w:b w:val="0"/>
                <w:bCs w:val="0"/>
                <w:i w:val="0"/>
                <w:iCs w:val="0"/>
                <w:color w:val="000000"/>
                <w:sz w:val="22"/>
                <w:szCs w:val="22"/>
                <w:highlight w:val="none"/>
                <w:u w:val="none"/>
              </w:rPr>
            </w:pPr>
          </w:p>
        </w:tc>
      </w:tr>
      <w:tr w14:paraId="2833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4F237E4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381C8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导播显示器</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58D743A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22英寸高清LED液晶屏；分辨率支持1920*1080；输入接口：HDMI、VGA</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7124F7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20D901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015CF43B">
            <w:pPr>
              <w:jc w:val="center"/>
              <w:rPr>
                <w:rFonts w:hint="eastAsia" w:ascii="宋体" w:hAnsi="宋体" w:eastAsia="宋体" w:cs="宋体"/>
                <w:b w:val="0"/>
                <w:bCs w:val="0"/>
                <w:i w:val="0"/>
                <w:iCs w:val="0"/>
                <w:color w:val="000000"/>
                <w:sz w:val="22"/>
                <w:szCs w:val="22"/>
                <w:highlight w:val="none"/>
                <w:u w:val="none"/>
              </w:rPr>
            </w:pPr>
          </w:p>
        </w:tc>
      </w:tr>
      <w:tr w14:paraId="68A6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162A0AE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33BCA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LED三基色背景灯</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17650FE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额定功率：120W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外壳材质：大型铝型材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灯珠数量：1512颗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出光角度：120度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显色指数：Ra≥92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使用寿命：50000小时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色温：3200K/5600K (±150K.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额定电压：AC 100-240V    50/60Hz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通道数量：1个通道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工作温度：-20℃至50℃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存放温度：-20℃至60℃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调光功能：0%至100%无极调节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冷却系统：对流散热（自散热无风扇）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链接方式：电源线in，信号线in/out</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照度：2811LUX/1M、908LUX/2M、513LUX/3M、325LUX/4M、221LUX/5M、155LUX/6M、52LUX/10M</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E1166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5DEDF5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4BCBA496">
            <w:pPr>
              <w:jc w:val="center"/>
              <w:rPr>
                <w:rFonts w:hint="eastAsia" w:ascii="宋体" w:hAnsi="宋体" w:eastAsia="宋体" w:cs="宋体"/>
                <w:b w:val="0"/>
                <w:bCs w:val="0"/>
                <w:i w:val="0"/>
                <w:iCs w:val="0"/>
                <w:color w:val="000000"/>
                <w:sz w:val="22"/>
                <w:szCs w:val="22"/>
                <w:highlight w:val="none"/>
                <w:u w:val="none"/>
              </w:rPr>
            </w:pPr>
          </w:p>
        </w:tc>
      </w:tr>
      <w:tr w14:paraId="3A0F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2214B85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BD2AD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LED三基色面光/侧光灯</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ABC399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额定功率：120W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外壳材质：铝型材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灯珠数量：1620颗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出光角度：120度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显色指数：Ra≥92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使用寿命：50000小时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色温：3200K/5600K (±150K)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额定电压：AC 100-240V    50/60Hz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通道数量：1个通道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工作温度：-20℃至50℃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存放温度：-20℃至60℃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冷却系统：自然风冷散热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调光功能：0%至100%无极调节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链接方式：电源线in，信号线in/out</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照度：2623LUX/1M、894LUX/2M、490LUX/3M、305LUX/4M、211LUX/5M、150LUX/6M、52LUX/10M</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63CD4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73D5D5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5373A59A">
            <w:pPr>
              <w:jc w:val="center"/>
              <w:rPr>
                <w:rFonts w:hint="eastAsia" w:ascii="宋体" w:hAnsi="宋体" w:eastAsia="宋体" w:cs="宋体"/>
                <w:b w:val="0"/>
                <w:bCs w:val="0"/>
                <w:i w:val="0"/>
                <w:iCs w:val="0"/>
                <w:color w:val="000000"/>
                <w:sz w:val="22"/>
                <w:szCs w:val="22"/>
                <w:highlight w:val="none"/>
                <w:u w:val="none"/>
              </w:rPr>
            </w:pPr>
          </w:p>
        </w:tc>
      </w:tr>
      <w:tr w14:paraId="247E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0EFBEA3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09EA7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恒力铰链（标准 型）</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1DC078B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恒力弹簧选用进口高强弹不锈钢经特殊处理，厚度 0.75MM，宽度23MM经久耐用，抗腐蚀，抗疲 劳：5000次内不超过1%， 使用寿命：持续拉伸20年，材质：优质 铝合金材料制成，全喷塑处理，抗静电， 承重2- 13KG，具有重量轻，导向型好，定位精准，使用 操作简单，强度高的特点，终身免维修。</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597F04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499A96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6565108D">
            <w:pPr>
              <w:jc w:val="center"/>
              <w:rPr>
                <w:rFonts w:hint="eastAsia" w:ascii="宋体" w:hAnsi="宋体" w:eastAsia="宋体" w:cs="宋体"/>
                <w:b w:val="0"/>
                <w:bCs w:val="0"/>
                <w:i w:val="0"/>
                <w:iCs w:val="0"/>
                <w:color w:val="000000"/>
                <w:sz w:val="22"/>
                <w:szCs w:val="22"/>
                <w:highlight w:val="none"/>
                <w:u w:val="none"/>
              </w:rPr>
            </w:pPr>
          </w:p>
        </w:tc>
      </w:tr>
      <w:tr w14:paraId="7367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045C472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C58B5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固定轨方管支架</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631715B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名称：演播室固定轨带方管专用支架， 支架规格：150*150*5MM，突出方管规格： 46*46*65MM,材质：加厚钢板，链接更加方便，十字孔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规格：Φ8，使用8*60MM螺丝</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72E48B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38F4A6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6EB66EF6">
            <w:pPr>
              <w:jc w:val="center"/>
              <w:rPr>
                <w:rFonts w:hint="eastAsia" w:ascii="宋体" w:hAnsi="宋体" w:eastAsia="宋体" w:cs="宋体"/>
                <w:b w:val="0"/>
                <w:bCs w:val="0"/>
                <w:i w:val="0"/>
                <w:iCs w:val="0"/>
                <w:color w:val="000000"/>
                <w:sz w:val="22"/>
                <w:szCs w:val="22"/>
                <w:highlight w:val="none"/>
                <w:u w:val="none"/>
              </w:rPr>
            </w:pPr>
          </w:p>
        </w:tc>
      </w:tr>
      <w:tr w14:paraId="436D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3FCBC19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B8AAC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固定轨支架连接方管</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B6E9CC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名称：固定轨支架专用连接方管，规格：40*40*3MM，标准长度每根2米，十 字过孔，</w:t>
            </w:r>
            <w:r>
              <w:rPr>
                <w:rStyle w:val="41"/>
                <w:rFonts w:eastAsia="宋体"/>
                <w:b w:val="0"/>
                <w:bCs w:val="0"/>
                <w:highlight w:val="none"/>
                <w:lang w:val="en-US" w:eastAsia="zh-CN" w:bidi="ar"/>
              </w:rPr>
              <w:t>Φ</w:t>
            </w:r>
            <w:r>
              <w:rPr>
                <w:rFonts w:hint="eastAsia" w:ascii="宋体" w:hAnsi="宋体" w:eastAsia="宋体" w:cs="宋体"/>
                <w:b w:val="0"/>
                <w:bCs w:val="0"/>
                <w:i w:val="0"/>
                <w:iCs w:val="0"/>
                <w:color w:val="000000"/>
                <w:kern w:val="0"/>
                <w:sz w:val="20"/>
                <w:szCs w:val="20"/>
                <w:highlight w:val="none"/>
                <w:u w:val="none"/>
                <w:lang w:val="en-US" w:eastAsia="zh-CN" w:bidi="ar"/>
              </w:rPr>
              <w:t>8，国标加厚方管，承重300KG以上</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C36C2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22743F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130387E4">
            <w:pPr>
              <w:jc w:val="center"/>
              <w:rPr>
                <w:rFonts w:hint="eastAsia" w:ascii="宋体" w:hAnsi="宋体" w:eastAsia="宋体" w:cs="宋体"/>
                <w:b w:val="0"/>
                <w:bCs w:val="0"/>
                <w:i w:val="0"/>
                <w:iCs w:val="0"/>
                <w:color w:val="000000"/>
                <w:sz w:val="22"/>
                <w:szCs w:val="22"/>
                <w:highlight w:val="none"/>
                <w:u w:val="none"/>
              </w:rPr>
            </w:pPr>
          </w:p>
        </w:tc>
      </w:tr>
      <w:tr w14:paraId="2E3E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0348797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FAB42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监听耳机</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F7ABCF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频响范围：20-40000Hz 阻抗：32 最大承载功率：50mW 接口类型：3.5mm </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5DB9B5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0FF011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74D21B92">
            <w:pPr>
              <w:jc w:val="center"/>
              <w:rPr>
                <w:rFonts w:hint="eastAsia" w:ascii="宋体" w:hAnsi="宋体" w:eastAsia="宋体" w:cs="宋体"/>
                <w:b w:val="0"/>
                <w:bCs w:val="0"/>
                <w:i w:val="0"/>
                <w:iCs w:val="0"/>
                <w:color w:val="000000"/>
                <w:sz w:val="22"/>
                <w:szCs w:val="22"/>
                <w:highlight w:val="none"/>
                <w:u w:val="none"/>
              </w:rPr>
            </w:pPr>
          </w:p>
        </w:tc>
      </w:tr>
      <w:tr w14:paraId="26EB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2DB1199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A98E4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监视电视</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174ADBF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屏幕尺寸：65英寸；分辨率： 超高清4K（3840*2160）；刷频率：100HZ；HDMI接口：4*HDMI；</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1C6DDF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4FDCD2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617ADF51">
            <w:pPr>
              <w:jc w:val="center"/>
              <w:rPr>
                <w:rFonts w:hint="eastAsia" w:ascii="宋体" w:hAnsi="宋体" w:eastAsia="宋体" w:cs="宋体"/>
                <w:b w:val="0"/>
                <w:bCs w:val="0"/>
                <w:i w:val="0"/>
                <w:iCs w:val="0"/>
                <w:color w:val="000000"/>
                <w:sz w:val="22"/>
                <w:szCs w:val="22"/>
                <w:highlight w:val="none"/>
                <w:u w:val="none"/>
              </w:rPr>
            </w:pPr>
          </w:p>
        </w:tc>
      </w:tr>
      <w:tr w14:paraId="5B1E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6BAED3D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83999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机柜</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E19FF6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规格（W*D*H）：600mm*1000mm*1200mm； 配置2个理线架，2个侧板，1个底板，2个固定托盘，1个全高竖装32A PDU。采用黑色， PDU外壳选用优质型材；PDU电压：AC220V，输入容量：32A，分路空开配置12*A10。</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663955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7F16F0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41B0EA4E">
            <w:pPr>
              <w:jc w:val="center"/>
              <w:rPr>
                <w:rFonts w:hint="eastAsia" w:ascii="宋体" w:hAnsi="宋体" w:eastAsia="宋体" w:cs="宋体"/>
                <w:b w:val="0"/>
                <w:bCs w:val="0"/>
                <w:i w:val="0"/>
                <w:iCs w:val="0"/>
                <w:color w:val="000000"/>
                <w:sz w:val="22"/>
                <w:szCs w:val="22"/>
                <w:highlight w:val="none"/>
                <w:u w:val="none"/>
              </w:rPr>
            </w:pPr>
          </w:p>
        </w:tc>
      </w:tr>
      <w:tr w14:paraId="69C5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2615CE3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5F7C9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1982F7B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7D947D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135FF0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11DBF9D">
            <w:pPr>
              <w:jc w:val="center"/>
              <w:rPr>
                <w:rFonts w:hint="eastAsia" w:ascii="宋体" w:hAnsi="宋体" w:eastAsia="宋体" w:cs="宋体"/>
                <w:b w:val="0"/>
                <w:bCs w:val="0"/>
                <w:i w:val="0"/>
                <w:iCs w:val="0"/>
                <w:color w:val="000000"/>
                <w:sz w:val="20"/>
                <w:szCs w:val="20"/>
                <w:highlight w:val="none"/>
                <w:u w:val="none"/>
              </w:rPr>
            </w:pPr>
          </w:p>
        </w:tc>
      </w:tr>
      <w:tr w14:paraId="2908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5FB5BAB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4A8BD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3P空调</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E3933F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冷暖型,制冷量≧7290W；制热量≧9200W;能效等级3级，循环风量≧1200m3/h，含铜管等辅材。</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42F2F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1381A5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61B6ADB">
            <w:pPr>
              <w:jc w:val="center"/>
              <w:rPr>
                <w:rFonts w:hint="eastAsia" w:ascii="宋体" w:hAnsi="宋体" w:eastAsia="宋体" w:cs="宋体"/>
                <w:b w:val="0"/>
                <w:bCs w:val="0"/>
                <w:i w:val="0"/>
                <w:iCs w:val="0"/>
                <w:color w:val="000000"/>
                <w:sz w:val="20"/>
                <w:szCs w:val="20"/>
                <w:highlight w:val="none"/>
                <w:u w:val="none"/>
              </w:rPr>
            </w:pPr>
          </w:p>
        </w:tc>
      </w:tr>
      <w:tr w14:paraId="4087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1863C1A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44603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电源线</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2B54A55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 RVV2*1.5mm</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604EB4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9AC63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A9B7075">
            <w:pPr>
              <w:jc w:val="center"/>
              <w:rPr>
                <w:rFonts w:hint="eastAsia" w:ascii="宋体" w:hAnsi="宋体" w:eastAsia="宋体" w:cs="宋体"/>
                <w:b w:val="0"/>
                <w:bCs w:val="0"/>
                <w:i w:val="0"/>
                <w:iCs w:val="0"/>
                <w:color w:val="000000"/>
                <w:sz w:val="20"/>
                <w:szCs w:val="20"/>
                <w:highlight w:val="none"/>
                <w:u w:val="none"/>
              </w:rPr>
            </w:pPr>
          </w:p>
        </w:tc>
      </w:tr>
      <w:tr w14:paraId="6AF2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7CCA70A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558B2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教室蓝/绿箱装修</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4A41A70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见6.4附表装修清单</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358AE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C0DCE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61D64F92">
            <w:pPr>
              <w:jc w:val="center"/>
              <w:rPr>
                <w:rFonts w:hint="eastAsia" w:ascii="宋体" w:hAnsi="宋体" w:eastAsia="宋体" w:cs="宋体"/>
                <w:b w:val="0"/>
                <w:bCs w:val="0"/>
                <w:i w:val="0"/>
                <w:iCs w:val="0"/>
                <w:color w:val="000000"/>
                <w:sz w:val="22"/>
                <w:szCs w:val="22"/>
                <w:highlight w:val="none"/>
                <w:u w:val="none"/>
              </w:rPr>
            </w:pPr>
          </w:p>
        </w:tc>
      </w:tr>
      <w:tr w14:paraId="081E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0494D0F8">
            <w:pPr>
              <w:jc w:val="center"/>
              <w:rPr>
                <w:rFonts w:hint="eastAsia" w:ascii="宋体" w:hAnsi="宋体" w:eastAsia="宋体" w:cs="宋体"/>
                <w:b w:val="0"/>
                <w:bCs w:val="0"/>
                <w:i w:val="0"/>
                <w:iCs w:val="0"/>
                <w:color w:val="000000"/>
                <w:sz w:val="20"/>
                <w:szCs w:val="20"/>
                <w:highlight w:val="none"/>
                <w:u w:val="none"/>
              </w:rPr>
            </w:pPr>
          </w:p>
        </w:tc>
        <w:tc>
          <w:tcPr>
            <w:tcW w:w="10050" w:type="dxa"/>
            <w:gridSpan w:val="4"/>
            <w:tcBorders>
              <w:top w:val="single" w:color="000000" w:sz="4" w:space="0"/>
              <w:left w:val="single" w:color="000000" w:sz="4" w:space="0"/>
              <w:bottom w:val="single" w:color="000000" w:sz="4" w:space="0"/>
              <w:right w:val="single" w:color="000000" w:sz="4" w:space="0"/>
            </w:tcBorders>
            <w:noWrap w:val="0"/>
            <w:vAlign w:val="bottom"/>
          </w:tcPr>
          <w:p w14:paraId="4FF64750">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341" w:type="dxa"/>
            <w:tcBorders>
              <w:top w:val="single" w:color="000000" w:sz="4" w:space="0"/>
              <w:left w:val="single" w:color="000000" w:sz="4" w:space="0"/>
              <w:bottom w:val="single" w:color="000000" w:sz="4" w:space="0"/>
              <w:right w:val="single" w:color="000000" w:sz="4" w:space="0"/>
            </w:tcBorders>
            <w:noWrap w:val="0"/>
            <w:vAlign w:val="bottom"/>
          </w:tcPr>
          <w:p w14:paraId="3BD74921">
            <w:pPr>
              <w:jc w:val="center"/>
              <w:rPr>
                <w:rFonts w:hint="eastAsia" w:ascii="宋体" w:hAnsi="宋体" w:eastAsia="宋体" w:cs="宋体"/>
                <w:b w:val="0"/>
                <w:bCs w:val="0"/>
                <w:i w:val="0"/>
                <w:iCs w:val="0"/>
                <w:color w:val="000000"/>
                <w:sz w:val="20"/>
                <w:szCs w:val="20"/>
                <w:highlight w:val="none"/>
                <w:u w:val="none"/>
              </w:rPr>
            </w:pPr>
          </w:p>
        </w:tc>
      </w:tr>
      <w:tr w14:paraId="61FC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0" w:type="dxa"/>
            <w:gridSpan w:val="6"/>
            <w:tcBorders>
              <w:top w:val="single" w:color="000000" w:sz="4" w:space="0"/>
              <w:left w:val="single" w:color="000000" w:sz="4" w:space="0"/>
              <w:bottom w:val="single" w:color="000000" w:sz="4" w:space="0"/>
              <w:right w:val="single" w:color="000000" w:sz="4" w:space="0"/>
            </w:tcBorders>
            <w:noWrap/>
            <w:vAlign w:val="center"/>
          </w:tcPr>
          <w:p w14:paraId="59F7FB8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5.4 阶梯教室建设方案（8间）</w:t>
            </w:r>
          </w:p>
        </w:tc>
      </w:tr>
      <w:tr w14:paraId="2A3F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54312A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14643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室内全彩LED</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59D5569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1.像素间距≤1.54mm，采用SMD 1212黑灯封装；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★2.整屏尺寸：宽≥4.8 米，高≥2.4 米，面积允许向上偏差3%以内；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3.要求原厂整机出厂方式供货，不接受市场组装机，采用原厂整机出厂方式供货安装，要求提供厂家整机出厂承诺函，并附带有显示屏制造商箱体和模组的logo图片；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4.箱体自带测试按钮,可实现无连线快速测试；实现红、绿、蓝、白四种单色显示, 横扫、竖扫等方式扫描显示。信号指示灯快闪证明信号正常电源指示灯常亮表示供电正常；</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5.一体压铸成型结构，拉伸强度≥300Mpa,硬度≥80HB；整机采用压铸铝箱体，保证箱体拼接的平整度和密闭防尘、防火性能；全金属自然散热，无风扇，无孔，防尘、防咬、防霉静音设计；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6.支持模组、电源、接收卡完全前维护/后维护；模组、电源、控制系统、连屏网线支持热拔插；支持不关屏热插拔抢修维护功能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7.显示单元间隙（mm）≤0.05；显示单元平整度（mm）≤0.05；模组平整度（mm）≤0.05；模组间隙（mm）≤0.05；支持以模组为单位进行平整度调节；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8.防眩光黑色电喷工艺,表面墨色一致性和散热性能好，屏体正面为黑色亚光处理,反光率≤1.5%；样品在10Lux/5600K照度下,对屏幕表面进行光反射率试验,屏幕表面光反射率(单位面积反射亮度)＜2.22cd/m²；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9.亮度≥500nit（0-100%无级可调）；亮度均匀性≥99.2%,色度均匀性：显示屏最高对比度≥10000:1；灰度等级16bit；</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10.支持UI菜单显示，可调节屏幕参数、亮度、色温，信号、场景切换，开关机控制等，支持在屏幕上显示主要变化信息；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▲11.智能制造能力：制造厂家应具备自主生产基地，本项目不接受OEM厂家或非LED行业生产企业产品；制造厂商通过GB/T23001两化融合3A等级和智能制造能力成熟度三级认证。</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012E8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2D667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16425CD">
            <w:pPr>
              <w:jc w:val="center"/>
              <w:rPr>
                <w:rFonts w:hint="eastAsia" w:ascii="宋体" w:hAnsi="宋体" w:eastAsia="宋体" w:cs="宋体"/>
                <w:b w:val="0"/>
                <w:bCs w:val="0"/>
                <w:i w:val="0"/>
                <w:iCs w:val="0"/>
                <w:color w:val="000000"/>
                <w:sz w:val="20"/>
                <w:szCs w:val="20"/>
                <w:highlight w:val="none"/>
                <w:u w:val="none"/>
              </w:rPr>
            </w:pPr>
          </w:p>
        </w:tc>
      </w:tr>
      <w:tr w14:paraId="44E1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1114FF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B2A0B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视频处理器</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9B26E1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网络与显示输出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20路千兆网口输出，显示屏输出画面可缩放。</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2路10G光口输出且支持光电转换。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多种HDMI输入输出。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硬件配置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4核A73 + 4核A53的ARM处理器，主频2.2GHz，8G运行内存与128G内部存储空间。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音频输出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3路音频输出，含不同接口。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输入接口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   2路USB2.0、1路USB3.0，还有多种其他接口。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功能特性：集成继电器用于LED显示屏电源管理。支持多种播控方式（U盘、软件端、遥控器）。系统支持多种格式文件。支持遥控器多种操控与AI语音控制。支持多平台终端投屏及相关控制。基于Android13定制UI，可加第三方APP。低待机功耗，支持蓝牙5.1、双WIFI模式。手机端APP可远程进行多种控制、编辑、校正等操作。支持预设画面模式切换与手动调节显示效果。</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64B64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5CFC7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8 </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3EC884C4">
            <w:pPr>
              <w:jc w:val="center"/>
              <w:rPr>
                <w:rFonts w:hint="eastAsia" w:ascii="宋体" w:hAnsi="宋体" w:eastAsia="宋体" w:cs="宋体"/>
                <w:b w:val="0"/>
                <w:bCs w:val="0"/>
                <w:i w:val="0"/>
                <w:iCs w:val="0"/>
                <w:color w:val="000000"/>
                <w:sz w:val="20"/>
                <w:szCs w:val="20"/>
                <w:highlight w:val="none"/>
                <w:u w:val="none"/>
              </w:rPr>
            </w:pPr>
          </w:p>
        </w:tc>
      </w:tr>
      <w:tr w14:paraId="19AF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291718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B026A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LED屏配电柜</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4E946C9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满足过流、短路、断路、过压、欠压等保护措施，支持远程上电、分步上电的功能，具有状态自动检测与状态异常报警功能。</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8802A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CD0FE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78A34F80">
            <w:pPr>
              <w:jc w:val="center"/>
              <w:rPr>
                <w:rFonts w:hint="eastAsia" w:ascii="宋体" w:hAnsi="宋体" w:eastAsia="宋体" w:cs="宋体"/>
                <w:b w:val="0"/>
                <w:bCs w:val="0"/>
                <w:i w:val="0"/>
                <w:iCs w:val="0"/>
                <w:color w:val="000000"/>
                <w:sz w:val="20"/>
                <w:szCs w:val="20"/>
                <w:highlight w:val="none"/>
                <w:u w:val="none"/>
              </w:rPr>
            </w:pPr>
          </w:p>
        </w:tc>
      </w:tr>
      <w:tr w14:paraId="0C7F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193F9D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BC219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LED屏钢结构</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371595D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1.包含大屏钢结构及包边装饰、工程师安装调试及用户培训；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2.安装结构能满足LED高清显示屏的整体均匀平滑要求，采用环保型材，结构应便于安装和调试；</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464E34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259E46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706CD95D">
            <w:pPr>
              <w:jc w:val="center"/>
              <w:rPr>
                <w:rFonts w:hint="eastAsia" w:ascii="宋体" w:hAnsi="宋体" w:eastAsia="宋体" w:cs="宋体"/>
                <w:b w:val="0"/>
                <w:bCs w:val="0"/>
                <w:i w:val="0"/>
                <w:iCs w:val="0"/>
                <w:color w:val="000000"/>
                <w:sz w:val="20"/>
                <w:szCs w:val="20"/>
                <w:highlight w:val="none"/>
                <w:u w:val="none"/>
              </w:rPr>
            </w:pPr>
          </w:p>
        </w:tc>
      </w:tr>
      <w:tr w14:paraId="64BA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5942B3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75966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智能讲台</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56E1942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讲台集成多种设备，集中处理管控多类信号，实现上课一键开关机，提升稳定性、兼容性及使用体验，减轻维护工作量，能实现本地与异地图像及声音的互联互通。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讲台开放式钢木混合设计，外形美观，冷轧钢板厚≥1.0mm，经特殊处理后静电喷塑，漆面质感高端。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台面采用优质多层实木，稳定性好。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讲台尺寸为1650×490×1140mm（±50mm）。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柜体有带锁机柜，保障内部设备安全。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台面设有多种物品放置区域，便于使用笔记本电脑教学等。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侧面设电源插座，方便教学设备取电并保证安全。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有多处收纳空间，下方可存储物件，有2个抽屉用于收纳小配件。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配置2个15.6寸电磁电容书写屏，支持两种触控方式和多种教学动作，画面可同步到大屏显示设备。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书写屏可视角度不低于178°，分辨率1920×1080（16:9），支持10点触控。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 配备2支无源电磁书写笔，有多种功能及特性。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 5寸电容感应触控面板有多种操作功能，还支持设备控制和查看系统信息。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 支持对控制面进行权限设置，包括开放使用和非开放使用。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 支持讲台内置及周边设备一键联动控制，屏幕支持节能模式。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 讲台主机集成多项设备，提供多种接口连接讲台及周边设备。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 视频矩阵具备4进4出HDMI矩阵等功能。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 时序电源供电控电且支持设备自保护，过载会在面板提示。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 讲台配备6个阵列麦克，有多种拾音扩音特点，支持教师自由走动授课；讲台有设备管理平台维护数据与用户，支持调整使用权限，可采用IC卡或二维码开锁；支持对讲台运行情况监控并能远程操作；配套授课软件具备多种功能及特性，可满足各类教学需求。</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5391C3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7CBE9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03B999B4">
            <w:pPr>
              <w:jc w:val="center"/>
              <w:rPr>
                <w:rFonts w:hint="eastAsia" w:ascii="宋体" w:hAnsi="宋体" w:eastAsia="宋体" w:cs="宋体"/>
                <w:b w:val="0"/>
                <w:bCs w:val="0"/>
                <w:i w:val="0"/>
                <w:iCs w:val="0"/>
                <w:color w:val="000000"/>
                <w:sz w:val="20"/>
                <w:szCs w:val="20"/>
                <w:highlight w:val="none"/>
                <w:u w:val="none"/>
              </w:rPr>
            </w:pPr>
          </w:p>
        </w:tc>
      </w:tr>
      <w:tr w14:paraId="160D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651EE7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A4F28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授课终端</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67D82E3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CPU：≥8核/2.3GHz/内存：16GB/硬盘：512G SSD/显示器：23.8英寸、鼠标键盘/显卡：2G独显/DVD刻录/操作系统：（激活）</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BF79E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50FEC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76C2F8E0">
            <w:pPr>
              <w:jc w:val="center"/>
              <w:rPr>
                <w:rFonts w:hint="eastAsia" w:ascii="宋体" w:hAnsi="宋体" w:eastAsia="宋体" w:cs="宋体"/>
                <w:b w:val="0"/>
                <w:bCs w:val="0"/>
                <w:i w:val="0"/>
                <w:iCs w:val="0"/>
                <w:color w:val="000000"/>
                <w:sz w:val="20"/>
                <w:szCs w:val="20"/>
                <w:highlight w:val="none"/>
                <w:u w:val="none"/>
              </w:rPr>
            </w:pPr>
          </w:p>
        </w:tc>
      </w:tr>
      <w:tr w14:paraId="0C15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258E93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4422D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互联黑板（升降式）</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6B7A9D1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板书基本特点：每间教室定制4块上下推拉黑板，单块黑板尺寸2000*1300mm，四块为互联黑板（尺寸以现场黑板为准），LED镶嵌在四块黑板中间，最小识别直径：≤6mm、分辨率：≥32768×32768。面板为进口绿色搪瓷面板，外框为银色大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2、坏管屏蔽功能：保证在使用时最多出现15%的灯管损坏时能够正常使用。具备抗粉笔灰干扰和防水功能；（有国家级光学质量检测中心报告）；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3、抗强光要求:红外照射度≥170Lux，环境光≥100000Lux下能正常工作；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4、多人书写：支持多人同时书写；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5、颜色选择：可以通过功能按钮选择板书数字化后的颜色，具备蓝色、红色、黑色三色对上课内容进行重点显示；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6、一键清屏：可以通过功能按钮将显示器上显示的板书一键清屏，具备快速清除屏幕杂点功能；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7、分享设置：可以通过功能按钮让老师随时设置当前内容的分享模式，具备自由选择暂停分享所有课堂内容功能；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8、推送设置：可以通过功能按钮让老师随时主动将当前内容分享给已加入到课程的学生。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9、板擦自动识别：软件可自动识别板擦和笔；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10、板书自动弹出：当进行板书时，无须进行任何手动切换，能够直接弹出并显示当前书写板的板书界面。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11、多板同时书写：支持同时接入多块书写板，并能够分别记录不同书写板的板书内容。</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12、可以实时将板书内容传输到投影机屏幕；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13、学生可以根据自己对知识点的兴趣，通过手机微信实时获得当前投影机展示的内容，以及黑板的内容，快速记录课堂笔记；</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4A1FEC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23F78B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59311CFB">
            <w:pPr>
              <w:jc w:val="center"/>
              <w:rPr>
                <w:rFonts w:hint="eastAsia" w:ascii="宋体" w:hAnsi="宋体" w:eastAsia="宋体" w:cs="宋体"/>
                <w:b w:val="0"/>
                <w:bCs w:val="0"/>
                <w:i w:val="0"/>
                <w:iCs w:val="0"/>
                <w:color w:val="000000"/>
                <w:sz w:val="20"/>
                <w:szCs w:val="20"/>
                <w:highlight w:val="none"/>
                <w:u w:val="none"/>
              </w:rPr>
            </w:pPr>
          </w:p>
        </w:tc>
      </w:tr>
      <w:tr w14:paraId="791F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5443A3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58619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黑板无尘机</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3026ADA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1.规格：外径≤900mm×280mm×125mm，确保与黑板有效贴合；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结构：上下两个板擦清洗盒，右侧一套5寸电容式触摸屏，底部一套水循环过滤系统，对污水进行过滤可循环使用。板擦清洗盒外设有一体注塑成型的推拉式装饰门，关闭时，可起到保持黑板擦湿润的效果，打开时，方便使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外观：面壳为白色，背壳为黑色；采用一体注塑成型外壳，材质为ABS+PC工程塑料，抗腐蚀，耐冲击，抗紫外线等；上下均为大圆弧过渡，无毛刺，不划手；面壳与底壳无缝连接，表面无裸露的螺钉，外表美观无瑕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4.电源适配器：工作电压12V电流3A ；5.5*2.5 Dc头；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5.电容触摸屏：5.0 寸，电容触摸屏，800*480 分辨率，16.7M 色，TN 屏，普通视角，基于 T5L1 芯片，运行 DGUS II 系统，商业级产品。单独 CPU 核（GUI CPU）运行 DGUS II 系统；内置高速显存，2.4GB/S 带宽；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系统调节：触摸屏界面可调节水量大小，小水用于错别字擦除，中水用于局部擦除，大水用于大面积擦除；进入到设置界面，可进行水量调节，挤压次数调节，冲洗次数的调节，可根据学校情况进行调节，操作简单快捷；</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7.智能检测：一键开启后进行检测清洗；当水量不足时，通过液位检测检测，显示屏上设有提示；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8.使用完板擦后，将板擦放止清洗盒内，通过远距离红外检测，板擦盒进行90度旋转，并开启整个清洗工作，显示屏上设有提示；清洗完成后，黑板擦自动归位，打开门便可使用；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9.两套独立系统：上下两套板擦清洗采用两套单独控制系统，当一个出现故障时，不影响另外一套的使用，不影响老师正常授课；</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10.过滤系统：采用反循环水处理系统，经过两次污水过滤，水可多次循环使用，只需清洗过滤装置即可，简单方便；</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水箱采用一体注塑成型，分内外壳，外壳可抽拉打开并起到固定水箱内胆的作用，外壳带有外拉手，方便使用者开启水盒，内胆带有提手，方便清理水箱和加入清水。水箱内胆采用吹塑模具一次成型，容积≥3.5L清水，无毒无害无成本，方便易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12.智能板擦：规格≥125×70×50mm，产品选用高密度、存水效果好的乳胶海绵，挤压后湿度适中，即擦即写，无尘环保，有效保护师生健康；板擦壳材质为PC+TPE 软胶材质，PVA模具一次成型，抗冲击，不易破碎；</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04C0E7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7EF79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233CB68A">
            <w:pPr>
              <w:jc w:val="center"/>
              <w:rPr>
                <w:rFonts w:hint="eastAsia" w:ascii="宋体" w:hAnsi="宋体" w:eastAsia="宋体" w:cs="宋体"/>
                <w:b w:val="0"/>
                <w:bCs w:val="0"/>
                <w:i w:val="0"/>
                <w:iCs w:val="0"/>
                <w:color w:val="000000"/>
                <w:sz w:val="20"/>
                <w:szCs w:val="20"/>
                <w:highlight w:val="none"/>
                <w:u w:val="none"/>
              </w:rPr>
            </w:pPr>
          </w:p>
        </w:tc>
      </w:tr>
      <w:tr w14:paraId="3A15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28F83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371CD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全频音箱</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1BC381B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1、系统类型：15"二分频无源倒相式音箱；</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2、功率：450W（额定）/1800W（峰值）；</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3、低音单元：1× 15"低频单元,3"音圈；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4、高音单元：1×1"高频单元,1.75"音圈；</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5、最大声压级(1M)：122dB（额定）/128dB（峰值）；</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6、阻抗： 8</w:t>
            </w:r>
            <w:r>
              <w:rPr>
                <w:rStyle w:val="39"/>
                <w:rFonts w:eastAsia="宋体"/>
                <w:b w:val="0"/>
                <w:bCs w:val="0"/>
                <w:highlight w:val="none"/>
                <w:lang w:val="en-US" w:eastAsia="zh-CN" w:bidi="ar"/>
              </w:rPr>
              <w:t>Ω</w:t>
            </w:r>
            <w:r>
              <w:rPr>
                <w:rFonts w:hint="eastAsia" w:ascii="宋体" w:hAnsi="宋体" w:eastAsia="宋体" w:cs="宋体"/>
                <w:b w:val="0"/>
                <w:bCs w:val="0"/>
                <w:i w:val="0"/>
                <w:iCs w:val="0"/>
                <w:color w:val="000000"/>
                <w:kern w:val="0"/>
                <w:sz w:val="20"/>
                <w:szCs w:val="20"/>
                <w:highlight w:val="none"/>
                <w:u w:val="none"/>
                <w:lang w:val="en-US" w:eastAsia="zh-CN" w:bidi="ar"/>
              </w:rPr>
              <w:t>；</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7、灵敏度（1W/1M）: 95dB；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8、频率响应：50Hz-20KHz(-6dB)；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9、指向性：水平 80°，垂直50°；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10、连接器：2×SPEAKON插座；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11、箱体：夹板板材，防刮黑色喷漆，1.2 mm厚度黑色粉体喷漆, 内部贴声学泡棉；</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4B1FC02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只</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A5657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32</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0D563400">
            <w:pPr>
              <w:jc w:val="center"/>
              <w:rPr>
                <w:rFonts w:hint="eastAsia" w:ascii="宋体" w:hAnsi="宋体" w:eastAsia="宋体" w:cs="宋体"/>
                <w:b w:val="0"/>
                <w:bCs w:val="0"/>
                <w:i w:val="0"/>
                <w:iCs w:val="0"/>
                <w:color w:val="000000"/>
                <w:sz w:val="20"/>
                <w:szCs w:val="20"/>
                <w:highlight w:val="none"/>
                <w:u w:val="none"/>
              </w:rPr>
            </w:pPr>
          </w:p>
        </w:tc>
      </w:tr>
      <w:tr w14:paraId="6781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35CDC9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DDD3B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纯功放</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26E4D4C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1、额定功率：2×850W/8Ω，2×1100W/4Ω,桥接1×2200W/8Ω；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2、频率响应：20Hz-20KHz；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3、总谐波失真：&lt;0.5%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4、互调失真：≤0.35%；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5、阻尼系数：&gt;200；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6、电压增益：35dB；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7、灵敏度：0.775V或1.4V或26dB；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8、输入阻抗：20kΩ平衡输入， 10kΩ非平衡输入；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9、信噪比：＞100dB；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10、串扰：75dB；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11、转换率：&gt;10V/us；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12、输入接口：每通道1个平衡式×LR,一个平衡式×LR LINK连接口；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13、输出接口：每通道1个4极SPEAKON和1对接线柱连接口；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14、保护：防短路、空载、开启/关闭静音，信号干扰或过载；</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E7802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3C625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0E3478A9">
            <w:pPr>
              <w:jc w:val="center"/>
              <w:rPr>
                <w:rFonts w:hint="eastAsia" w:ascii="宋体" w:hAnsi="宋体" w:eastAsia="宋体" w:cs="宋体"/>
                <w:b w:val="0"/>
                <w:bCs w:val="0"/>
                <w:i w:val="0"/>
                <w:iCs w:val="0"/>
                <w:color w:val="000000"/>
                <w:sz w:val="20"/>
                <w:szCs w:val="20"/>
                <w:highlight w:val="none"/>
                <w:u w:val="none"/>
              </w:rPr>
            </w:pPr>
          </w:p>
        </w:tc>
      </w:tr>
      <w:tr w14:paraId="5E53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236E7A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851E4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数字前级音频处理器</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5090ADB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1、支持双核高速浮点DSP；</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2、支持8路模拟输入通道，8路模拟输出通道；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3、输入每通道处理功能：前级放大、信号发生器、扩展器、压缩器、5段参量均衡、反相、自动增益、自动混音等；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4、输出每通道处理功能：31段图示均衡器、延时器、分频器、高低通滤波器、限幅器、反相等；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5、具备高精度输入灵敏度调节，17档，步长3dB，可支持各种话筒声音的拾取；</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6、支持AFC反馈消除、AEC回声消除、ANC噪声消除等算法；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7、支持USB接口，可实现多媒体录制/播放功能；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8、兼容多方平台控制管理，支持Windows系统、iOS系统以及Andriod系统,通过iPAD或iPhone或安卓手机APP软件进行操作控制。</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4AD99C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53C54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2A069888">
            <w:pPr>
              <w:jc w:val="center"/>
              <w:rPr>
                <w:rFonts w:hint="eastAsia" w:ascii="宋体" w:hAnsi="宋体" w:eastAsia="宋体" w:cs="宋体"/>
                <w:b w:val="0"/>
                <w:bCs w:val="0"/>
                <w:i w:val="0"/>
                <w:iCs w:val="0"/>
                <w:color w:val="000000"/>
                <w:sz w:val="20"/>
                <w:szCs w:val="20"/>
                <w:highlight w:val="none"/>
                <w:u w:val="none"/>
              </w:rPr>
            </w:pPr>
          </w:p>
        </w:tc>
      </w:tr>
      <w:tr w14:paraId="314A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2CB0C0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10B92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一拖二无线话筒</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7DC3C45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1、一拖二无线手持；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2、接收方式：CPU控制自动选讯+导频识别接收；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3、频道设置：自动搜频、红外对频；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4、音量调节：电子音量调节；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5、智能静音：自动人手感应技术，话筒离开人手静止3-5秒自动静音（任意方向，任意角度均可），5分钟后自动关机并且彻底切断电源；话筒意外跌落自动静音；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6、调制方式：FM调频；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7、接收方式：超外差二次变频，具备极高的接收灵敏度；</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8、频率范围：645-693MHz；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9、工作距离：无障碍直线100米以上：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10、可调信道数：200通道；</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11、导频方式：数字导频；</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12、发射功率：3-30mW：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13、接收灵敏度： -95~-60dBm；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14、频率响应：80Hz～20,000Hz；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15、谐波失真：≤0.5%；</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16、信噪比：&gt;110dB；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17、振荡方式：PLL相位锁定频率合成；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18、音频输出：平衡输出和混合输出。</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F5B51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90481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708BC4D0">
            <w:pPr>
              <w:jc w:val="center"/>
              <w:rPr>
                <w:rFonts w:hint="eastAsia" w:ascii="宋体" w:hAnsi="宋体" w:eastAsia="宋体" w:cs="宋体"/>
                <w:b w:val="0"/>
                <w:bCs w:val="0"/>
                <w:i w:val="0"/>
                <w:iCs w:val="0"/>
                <w:color w:val="000000"/>
                <w:sz w:val="20"/>
                <w:szCs w:val="20"/>
                <w:highlight w:val="none"/>
                <w:u w:val="none"/>
              </w:rPr>
            </w:pPr>
          </w:p>
        </w:tc>
      </w:tr>
      <w:tr w14:paraId="157B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17E3B5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4870D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有线麦克</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5213A4C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1、静音开关设计，一体成型锌合金底座；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2、220mm全金属短咪杆设计；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3、高灵敏度咪芯设计,拾音距离可达80cm以上；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4、红色雾面指示灯设计，指示发言状态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5、超强抗手机射频(RF)干扰屏蔽设计,全金属外壳可提供防射频干扰能力；</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6、咪头特性：14mm直径镀金电容式；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7、指向特性：超心型；</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8、频率响应：60-20,000Hz；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9、灵敏度：-33 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10、信噪比：85 dB（A计权）, 1 kHz at 1 Pa；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11、最大承受声压 136 dB (1% T.H.D. @ 1kHz，0dB SPL=2x10Pa）；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12、输出连接头：卡侬三针接头，话筒出线1.5米；</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080517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8B621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442B9F35">
            <w:pPr>
              <w:jc w:val="center"/>
              <w:rPr>
                <w:rFonts w:hint="eastAsia" w:ascii="宋体" w:hAnsi="宋体" w:eastAsia="宋体" w:cs="宋体"/>
                <w:b w:val="0"/>
                <w:bCs w:val="0"/>
                <w:i w:val="0"/>
                <w:iCs w:val="0"/>
                <w:color w:val="000000"/>
                <w:sz w:val="20"/>
                <w:szCs w:val="20"/>
                <w:highlight w:val="none"/>
                <w:u w:val="none"/>
              </w:rPr>
            </w:pPr>
          </w:p>
        </w:tc>
      </w:tr>
      <w:tr w14:paraId="1A5C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41F4A7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8591F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电源时序器</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07B7286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1、设备支持220V±10%, 50/60Hz 的输入电压，最大功耗支持8.8KW;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2、支持8 路大电流时序电源输出，任意一路可根据使用需求修改为直通电源输出；设备前面板支持1路直通电源输出，不受时序控制；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3、前面板配备显示屏，可随时监视市电电压的稳定性；具备过流保护、过压保护、欠压保护等，保护供电设备的使用安全；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4、8路电源时序控制，每路输出闭合/断开的延时支持1~9999S自定义；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5、采用串口通用协议控制，可兼容主流品牌的智能中央控制系统或第三方设备的控制；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6、支持设备之间的级联控制，最大可支持255台设备；1 路 USB 供电，最大支持 5V/1A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7、支持通过上位机软件实时获取设备电源输出口的闭合/断开状态。</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D6DC7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2BF37B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0505868B">
            <w:pPr>
              <w:jc w:val="center"/>
              <w:rPr>
                <w:rFonts w:hint="eastAsia" w:ascii="宋体" w:hAnsi="宋体" w:eastAsia="宋体" w:cs="宋体"/>
                <w:b w:val="0"/>
                <w:bCs w:val="0"/>
                <w:i w:val="0"/>
                <w:iCs w:val="0"/>
                <w:color w:val="000000"/>
                <w:sz w:val="20"/>
                <w:szCs w:val="20"/>
                <w:highlight w:val="none"/>
                <w:u w:val="none"/>
              </w:rPr>
            </w:pPr>
          </w:p>
        </w:tc>
      </w:tr>
      <w:tr w14:paraId="7004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09" w:type="dxa"/>
            <w:tcBorders>
              <w:top w:val="single" w:color="000000" w:sz="4" w:space="0"/>
              <w:left w:val="single" w:color="000000" w:sz="4" w:space="0"/>
              <w:bottom w:val="single" w:color="000000" w:sz="4" w:space="0"/>
              <w:right w:val="single" w:color="000000" w:sz="4" w:space="0"/>
            </w:tcBorders>
            <w:noWrap w:val="0"/>
            <w:vAlign w:val="center"/>
          </w:tcPr>
          <w:p w14:paraId="1A1935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29C54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普通机柜</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14:paraId="3ECCD6D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42U机柜，2个理线架，2个侧板，1个底板，4个固定托盘，2个全高竖装32A PDU。采用黑色， PDU外壳选用优质型材；PDU电压：AC220V，输入容量：32A，分路空开配置15*A10+4*A16。</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016385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251707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4A4BA0A2">
            <w:pPr>
              <w:jc w:val="center"/>
              <w:rPr>
                <w:rFonts w:hint="eastAsia" w:ascii="宋体" w:hAnsi="宋体" w:eastAsia="宋体" w:cs="宋体"/>
                <w:b w:val="0"/>
                <w:bCs w:val="0"/>
                <w:i w:val="0"/>
                <w:iCs w:val="0"/>
                <w:color w:val="000000"/>
                <w:sz w:val="20"/>
                <w:szCs w:val="20"/>
                <w:highlight w:val="none"/>
                <w:u w:val="none"/>
              </w:rPr>
            </w:pPr>
          </w:p>
        </w:tc>
      </w:tr>
    </w:tbl>
    <w:p w14:paraId="0BE16A0D">
      <w:pPr>
        <w:rPr>
          <w:rFonts w:hint="eastAsia" w:ascii="宋体" w:hAnsi="宋体" w:eastAsia="宋体" w:cs="宋体"/>
          <w:highlight w:val="none"/>
        </w:rPr>
      </w:pPr>
      <w:r>
        <w:rPr>
          <w:rFonts w:hint="eastAsia" w:ascii="宋体" w:hAnsi="宋体" w:eastAsia="宋体" w:cs="宋体"/>
          <w:highlight w:val="none"/>
        </w:rPr>
        <w:br w:type="page"/>
      </w:r>
    </w:p>
    <w:tbl>
      <w:tblPr>
        <w:tblStyle w:val="17"/>
        <w:tblW w:w="10759" w:type="dxa"/>
        <w:tblInd w:w="-10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
        <w:gridCol w:w="886"/>
        <w:gridCol w:w="8305"/>
        <w:gridCol w:w="327"/>
        <w:gridCol w:w="532"/>
        <w:gridCol w:w="341"/>
      </w:tblGrid>
      <w:tr w14:paraId="5CF7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59" w:type="dxa"/>
            <w:gridSpan w:val="6"/>
            <w:tcBorders>
              <w:top w:val="single" w:color="000000" w:sz="4" w:space="0"/>
              <w:left w:val="single" w:color="000000" w:sz="4" w:space="0"/>
              <w:bottom w:val="single" w:color="000000" w:sz="4" w:space="0"/>
              <w:right w:val="single" w:color="000000" w:sz="4" w:space="0"/>
            </w:tcBorders>
            <w:noWrap/>
            <w:vAlign w:val="center"/>
          </w:tcPr>
          <w:p w14:paraId="35D6A7B7">
            <w:pPr>
              <w:keepNext w:val="0"/>
              <w:keepLines w:val="0"/>
              <w:widowControl/>
              <w:suppressLineNumbers w:val="0"/>
              <w:jc w:val="both"/>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5.5 学术报告厅</w:t>
            </w:r>
          </w:p>
        </w:tc>
      </w:tr>
      <w:tr w14:paraId="4306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59" w:type="dxa"/>
            <w:gridSpan w:val="6"/>
            <w:tcBorders>
              <w:top w:val="single" w:color="000000" w:sz="4" w:space="0"/>
              <w:left w:val="single" w:color="000000" w:sz="4" w:space="0"/>
              <w:bottom w:val="single" w:color="000000" w:sz="4" w:space="0"/>
              <w:right w:val="single" w:color="000000" w:sz="4" w:space="0"/>
            </w:tcBorders>
            <w:noWrap/>
            <w:vAlign w:val="center"/>
          </w:tcPr>
          <w:p w14:paraId="279DCB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5.5.1 学术报告厅（主楼2小）</w:t>
            </w:r>
          </w:p>
        </w:tc>
      </w:tr>
      <w:tr w14:paraId="316E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3307F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5311AE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LED显示屏</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6E65456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★1.整屏尺寸：8米*4.8米*2块。像素间距≤1.86mm，LED类型：SMD 1515，1R1G1B；像素密度≥289050点/m2；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2.三合一板卡采用无线接插设计，无线连接，箱体内无多余线材，安装便捷；4.整机自然散热，无风扇，无孔，防尘静音设计；支持模组、电源、接收卡前维护；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3.防眩光黑色电喷工艺，表面墨色一致性和散热性能好，屏体正面为黑色亚光处理，反光率≤1.5%；样品在10Lux/5600K照度下，对屏幕表面进行光反射率试验，屏幕表面光反射率(单位面积反射亮度)＜2.2cd/m²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4.显示单元间隙（mm）≤0.05；显示单元平整度（mm）≤0.05，箱体内部模组间采用铝板拼接；模组平整度（mm）≤0.05；模组间隙（mm）≤0.05；相对错位偏差（水平/垂直）≤0.82%，像素中心距偏差≤0.81%；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5.亮度≥580nit（0-100%无级可调）；亮度均匀性≥99.2%；显示屏最高对比度≥3800:1；灰度等级14bit</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6.LED像素失控率≤1/1500000，无连续失控点；色域/色准：≥115% NTSC/△E≤0.9；色度均匀性：±0.001Cx,Cy 之内；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7.刷新频率≥3840HZ，换帧频率：50Hz&amp;60Hz；画面延时≤2ms；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8.水平视角≥170°；垂直视角≥160°；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9.工作电压100-240V,50/60Hz；峰值功耗≤310W/㎡，平均功耗≤105W/㎡，支持无信号输入自动熄屏待机，有信号输入自动唤醒功能，单箱黑屏不点亮时，功耗≤5.3W；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10.距离显示屏1米时的工作噪声声压dB（A）：前方3.2，后方2.7，左方3.2，右方3.1；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11.色温标准9500K，1000-15000K 连续可调，调节步长100K，可自定义色温值，色温误差色:温为9500K时；100%,75%,50%,25%四档电平白场调节色温误差≤100K。</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▲12.智能制造能力：制造厂家应具备自主生产基地，本项目不接受OEM厂家或非LED行业生产企业产品；制造厂商通过GB/T23001两化融合3A等级和智能制造能力成熟度三级认证。</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68225D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平方米</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430A8B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76.80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8BB9813">
            <w:pPr>
              <w:jc w:val="center"/>
              <w:rPr>
                <w:rFonts w:hint="eastAsia" w:ascii="宋体" w:hAnsi="宋体" w:eastAsia="宋体" w:cs="宋体"/>
                <w:b w:val="0"/>
                <w:bCs w:val="0"/>
                <w:i w:val="0"/>
                <w:iCs w:val="0"/>
                <w:color w:val="000000"/>
                <w:sz w:val="20"/>
                <w:szCs w:val="20"/>
                <w:highlight w:val="none"/>
                <w:u w:val="none"/>
              </w:rPr>
            </w:pPr>
          </w:p>
        </w:tc>
      </w:tr>
      <w:tr w14:paraId="66DC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7D041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7BAB9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大屏钢结构</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4BED9D9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1.包含大屏钢结构及包边装饰、工程师安装调试及用户培训；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2.安装结构能满足LED高清显示屏的整体均匀平滑要求，采用环保型材，结构应便于安装和调试；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3.满足显示屏安装要求，定制（包含钢材支架、铝型材、预埋件、包边等）</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56DCB2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平方米</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3AB98A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76.80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9E6B896">
            <w:pPr>
              <w:jc w:val="center"/>
              <w:rPr>
                <w:rFonts w:hint="eastAsia" w:ascii="宋体" w:hAnsi="宋体" w:eastAsia="宋体" w:cs="宋体"/>
                <w:b w:val="0"/>
                <w:bCs w:val="0"/>
                <w:i w:val="0"/>
                <w:iCs w:val="0"/>
                <w:color w:val="000000"/>
                <w:sz w:val="20"/>
                <w:szCs w:val="20"/>
                <w:highlight w:val="none"/>
                <w:u w:val="none"/>
              </w:rPr>
            </w:pPr>
          </w:p>
        </w:tc>
      </w:tr>
      <w:tr w14:paraId="16D5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D56DE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AF59C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智能播控处理器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2CE0973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★1、支持20路千兆网口输出，支持显示屏输出画面缩放。宽度范围64-16384，高度范围64-8192，最大带载1300w，支持自由走线，摆脱矩形带载限制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硬件配置：4 核A73+4核A53的 ARM处理器 主频2.2GHz；板载8G运行内存，128G内部存储空间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3、支持3路音频输出，1xSPDF数字音频输出接口，1x3.5mm音频输出；1x凤凰端子音频输出；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4、支持2路USB2.0，1路USB3.0输入，用于多媒体播放和功能扩展；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5、集成一路继电器，可以用于连接固态继电器，方便进行LED显示屏电源管理；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6、支持一路千兆以太网控制，支持TCP/IP协议，一路RS232串口，对接中控设备，一路传感器接口；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7、2路HDMI2.0输入，1路HDMI1.3输入；1路HDMI1.3预监输出；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8、2路10G光口输出，支持光电转换模式；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9、搭配WIFI6芯片，实现无线传输低延迟，高稳定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10、支持多种播控方式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-U盘播放：可即插即播或拷贝播放，支持HEVC/H265./H264等主流编码格式的4K高清视频解码；支持U盘离线播放，拔出U盘后播放内容不受影响；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-软件端播控:手机 app 播控，pc端软件播控，云端远程播控；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-遥控器播控：可在显示屏上进行本地节目播控及简单的节目制作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11、支持遥控器AI语音控制，集成丰富的语音控制指令，轻松实现屏幕控制；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12、支持Type-c接口/USB接口投屏器，支持多平台终端投屏（包括Windows、Mac OS、IOS、Android系统，最多9路无线投屏画面同时显示），配合终端APP可实现无线投屏控制：镜像反控、无线快照、无线发言</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13、基于Android13定制的桌面UI系统，可添加第三方APP应用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14、支持红外待机唤醒，待机进入低功耗模式，实现待机功耗小于0.5w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15、支持蓝牙5.1，可兼容蓝牙遥控器、蓝牙鼠标、蓝牙键盘、蓝牙音响等；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16、双WIFI模式，支持WiFi AP 和WIFI STA两种模式同时开启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支持云端控制管理，平台无需单独安装客户端，可实现随时随地访问，融合实现：企业信息管理、多角色权限管理、显示屏管理、配置文件管理、售前方案配置、画面监控、配置/维护显示屏信息、显示屏故障定位及恢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22、系统支持预设画面模式切换，包含标准模式、会议模式等4种效果模式；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23、支持手机端app扫码或手动获取配置文件参数下发进行屏体点亮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24、支持手机端APP手动和拍照完成显示屏连接；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25、支持手机端APP手动和拍照进行显示屏亮暗线校正；</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11D8E3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47E54C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66E4169">
            <w:pPr>
              <w:jc w:val="center"/>
              <w:rPr>
                <w:rFonts w:hint="eastAsia" w:ascii="宋体" w:hAnsi="宋体" w:eastAsia="宋体" w:cs="宋体"/>
                <w:b w:val="0"/>
                <w:bCs w:val="0"/>
                <w:i w:val="0"/>
                <w:iCs w:val="0"/>
                <w:color w:val="000000"/>
                <w:sz w:val="20"/>
                <w:szCs w:val="20"/>
                <w:highlight w:val="none"/>
                <w:u w:val="none"/>
              </w:rPr>
            </w:pPr>
          </w:p>
        </w:tc>
      </w:tr>
      <w:tr w14:paraId="5975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75BC5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30C13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配电柜</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4244506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1).功率冗余30%以上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2).PLC数据实时监测系统：具备每个回路的电流、电压、过载、电缆温度、能耗数据数据采集功能；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3).控制系统模块：控制任意回路分步上电、PLC远程上电、通断时间、场景预设功能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4).485通讯模块；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5).PLC供电模块：额定电压AC100V~265V，额定电流：2.5A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6).配套电箱，空开数量满足设备使用需求；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7).具有短路、断路、过流、过压、欠压以及漏电等多种保护功能，可自动处理各种应急情况，定时自动开关大屏；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8).将每一个回路的用电数据信息（功耗、漏电电流、欠压数据、过压数据、过载数据）在后台的软件平台上可视化呈现出来，用户可根据用电数据情况来任意设定开合与通断；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9).可分别对各回路电流、功率进行设定，实现当回路电流或功率超过限定值时，该回路自动跳闸保护，同时可自由设定设备每个回路的开启和关闭时间；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10).发现险情立即预警并发送预警信息至APP 或PC 端。通过及时告警功能、预警机制及时发现配电系统设备、周围环境的异常情况；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11).综合管理平台：平台可显示设备总数、在线设备、报警数、预警数等汇总信息、设备报警分析比例图、设备信息处理情况、设备实时报警列表、和管理员信息，在IOT管理系统上统一显示与操控。 </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AE25C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126741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BDFAB71">
            <w:pPr>
              <w:jc w:val="center"/>
              <w:rPr>
                <w:rFonts w:hint="eastAsia" w:ascii="宋体" w:hAnsi="宋体" w:eastAsia="宋体" w:cs="宋体"/>
                <w:b w:val="0"/>
                <w:bCs w:val="0"/>
                <w:i w:val="0"/>
                <w:iCs w:val="0"/>
                <w:color w:val="000000"/>
                <w:sz w:val="20"/>
                <w:szCs w:val="20"/>
                <w:highlight w:val="none"/>
                <w:u w:val="none"/>
              </w:rPr>
            </w:pPr>
          </w:p>
        </w:tc>
      </w:tr>
      <w:tr w14:paraId="5B74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1011BDC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1FB57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智能讲台</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26BC5F5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讲台集成多种设备，集中处理管控多类信号，实现上课一键开关机，提升稳定性、兼容性及使用体验，减轻维护工作量。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讲台开放式钢木混合设计，外形美观，冷轧钢板厚≥1.0mm，经特殊处理后静电喷塑，漆面质感高端。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台面采用优质多层实木，稳定性好。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讲台尺寸为3200×490×1140mm（±50mm）。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柜体有带锁机柜，保障内部设备安全。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台面设有多种物品放置区域，便于使用笔记本电脑教学等。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侧面设电源插座，方便教学设备取电并保证安全。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有多处收纳空间，下方可存储物件，有2个抽屉用于收纳小配件。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配置2个15.6寸电磁电容书写屏，支持两种触控方式和多种教学动作，画面可同步到大屏显示设备。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书写屏可视角度不低于178°，分辨率1920×1080（16:9），支持10点触控。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 配备2支无源电磁书写笔，有多种功能及特性。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 5寸电容感应触控面板有多种操作功能，还支持设备控制和查看系统信息。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 支持对控制面进行权限设置，包括开放使用和非开放使用。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 支持讲台内置及周边设备一键联动控制，屏幕支持节能模式。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 讲台主机集成多项设备，提供多种接口连接讲台及周边设备。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 视频矩阵具备4进4出HDMI矩阵等功能。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 时序电源供电控电且支持设备自保护，过载会在面板提示。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 讲台配备6个阵列麦克，有多种拾音扩音特点，支持教师自由走动授课；讲台有设备管理平台维护数据与用户，支持调整使用权限，可采用IC卡或二维码开锁；支持对讲台运行情况监控并能远程操作；配套授课软件具备多种功能及特性，可满足各类教学需求。</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5C26E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Style w:val="42"/>
                <w:b w:val="0"/>
                <w:bCs w:val="0"/>
                <w:highlight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07B9B4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2B84A086">
            <w:pPr>
              <w:rPr>
                <w:rFonts w:hint="eastAsia" w:ascii="宋体" w:hAnsi="宋体" w:eastAsia="宋体" w:cs="宋体"/>
                <w:b w:val="0"/>
                <w:bCs w:val="0"/>
                <w:i w:val="0"/>
                <w:iCs w:val="0"/>
                <w:color w:val="000000"/>
                <w:sz w:val="20"/>
                <w:szCs w:val="20"/>
                <w:highlight w:val="none"/>
                <w:u w:val="none"/>
              </w:rPr>
            </w:pPr>
          </w:p>
        </w:tc>
      </w:tr>
      <w:tr w14:paraId="29BF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F9D91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874A7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授课终端</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7E01F49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CPU：≥8核/2.3GHz/内存：16GB/硬盘：512G SSD/显示器：23.8英寸、鼠标键盘/显卡：2G独显/DVD刻录/操作系统：（激活）</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C2F63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Style w:val="42"/>
                <w:b w:val="0"/>
                <w:bCs w:val="0"/>
                <w:highlight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29A067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24F20F49">
            <w:pPr>
              <w:rPr>
                <w:rFonts w:hint="eastAsia" w:ascii="宋体" w:hAnsi="宋体" w:eastAsia="宋体" w:cs="宋体"/>
                <w:b w:val="0"/>
                <w:bCs w:val="0"/>
                <w:i w:val="0"/>
                <w:iCs w:val="0"/>
                <w:color w:val="000000"/>
                <w:sz w:val="20"/>
                <w:szCs w:val="20"/>
                <w:highlight w:val="none"/>
                <w:u w:val="none"/>
              </w:rPr>
            </w:pPr>
          </w:p>
        </w:tc>
      </w:tr>
      <w:tr w14:paraId="4E20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06C647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A0E6B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全数字会议系统主机</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2253515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采用IP网络传输，支持有线与无线会议单元混合使用。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经扩展可多接会议单元，有不同接入方式。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系统最大开6个话筒，可设同时发言人数限制。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有特定的网络接口用于不同功能传输与供电，以及连接网络控制主机。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多UHF频点选择，支持五种会议模式。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可设VIP单元，数量有限制且在不同模式下的开启规则。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具备单元检测功能，两种检测方式。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可通过多端控制主机进行签到、投票表决。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可实现同声传译，有语言通道选择。</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可设主机从机实现主备无缝切换。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 4.3寸TFT真彩屏，触摸屏操作，界面美观。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 自带节目播放器，能调整时间节能运行。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 显示字幕可选中/英文，内置DSP数字音效处理器。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 有两种会议录音方式，且具备发言定时及提醒功能。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 主机集成摄像跟踪系统，多种串口连接不同设备。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 设有多种输入输出插座，具备抗静电能力，外观设计高档且功耗等指标明确。31. LINE/ALARM输入灵敏度：250mV；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 LINE输出：1000mV；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 频率响应：30Hz--20KHz；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19. 总谐波失真：《0.3%；</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20. 性噪比：82dB；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21. 最大功耗：350W；</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74CC6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D3F7C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2F08A52">
            <w:pPr>
              <w:jc w:val="center"/>
              <w:rPr>
                <w:rFonts w:hint="eastAsia" w:ascii="宋体" w:hAnsi="宋体" w:eastAsia="宋体" w:cs="宋体"/>
                <w:b w:val="0"/>
                <w:bCs w:val="0"/>
                <w:i w:val="0"/>
                <w:iCs w:val="0"/>
                <w:color w:val="000000"/>
                <w:sz w:val="20"/>
                <w:szCs w:val="20"/>
                <w:highlight w:val="none"/>
                <w:u w:val="none"/>
              </w:rPr>
            </w:pPr>
          </w:p>
        </w:tc>
      </w:tr>
      <w:tr w14:paraId="070A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9FBC0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5F9A6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无线会议主席话筒</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0B91949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1.广视角高对比度128*64，采用2.42寸OLED显示屏，具备表决结果，音量大小，话筒状态，电量状态，WiFi状态等信息清晰显示；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2.5键投票按键,发言按键，主席带优先权按键；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3.内置可充电锂电池，电池容量支持快速充电；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4.续航时间8个小时以上；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5.每个会议单元具备独立的ID号，避免ID重复；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6.128位AES数字加密技术，具有WAP/WAP2安全连接，MAC地址过滤，隐藏SSID安全保障，可防止窃听和未经授权的访问；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7.高指向性麦克风头,带双色LED指示环；发言为红色，等待发言为绿色；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8.内置保真喇叭,打开麦克风后,喇叭自动静音防止啸叫；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9.主席表决发言单元也受最大发言人数限制；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10.主席表决发言单元具备关闭代表单元发言权限；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11.采用专业会议话筒，接头采用带螺帽旋钮式接头连接，可自由插拔；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12.主席表决发言单元具有全权控制会议秩序的优先功能，单元的连接位置不受限制，支持签到功能；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13.采用低延时技术话筒发言到扬声器输出最小延时小于20ms；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14.采用非压缩音频传输，48K采样，数字化控制、高水准低延时音频传输的高品质；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15.电池输出电压 3.7V；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16.电池容量10000mAH；</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17.频率响应 50Hz～15kHz；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18.耳机负载阻抗 &gt;32欧姆&lt;1K欧姆；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19.无线指标标准：IEEE 802.11n。</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591D48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26A15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C042628">
            <w:pPr>
              <w:jc w:val="center"/>
              <w:rPr>
                <w:rFonts w:hint="eastAsia" w:ascii="宋体" w:hAnsi="宋体" w:eastAsia="宋体" w:cs="宋体"/>
                <w:b w:val="0"/>
                <w:bCs w:val="0"/>
                <w:i w:val="0"/>
                <w:iCs w:val="0"/>
                <w:color w:val="000000"/>
                <w:sz w:val="20"/>
                <w:szCs w:val="20"/>
                <w:highlight w:val="none"/>
                <w:u w:val="none"/>
              </w:rPr>
            </w:pPr>
          </w:p>
        </w:tc>
      </w:tr>
      <w:tr w14:paraId="5CB3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4D289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ABAC2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无线会议代表话筒</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1E0D853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1.广视角高对比度128*64，采用2.42寸OLED显示屏，具备表决结果，音量大小，话筒状态，电量状态，WiFi状态等信息清晰显示；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2.5键投票按键,发言按键；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3.内置可充电锂电池，电池容量支持快速充电；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4.续航时间8个小时以上；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5.每个会议单元具备独立的ID号，避免ID重复；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6.128位AES数字加密技术，具有WAP/WAP2安全连接，MAC地址过滤，隐藏SSID安全保障，可防止窃听和未经授权的访问；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7.高指向性麦克风头,带双色LED指示环；发言为红色，等待发言为绿色；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8.内置保真喇叭,打开麦克风后,喇叭自动静音防止啸叫；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9.代表单元也受最大发言人数限制；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10.采用专业会议话筒，接头采用带螺帽旋钮式接头连接，可自由插拔；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11.代表单元的连接位置不受限制，支持签到功能；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12.采用低延时技术话筒发言到扬声器输出最小延时小于20ms；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13.采用非压缩音频传输，48K采样，数字化控制、高水准低延时音频传输的高品质；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14.电池输出电压 3.7V；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15.电池容量10000mAH；</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16.频率响应 50Hz～15kHz；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17.耳机负载阻抗 &gt;32欧姆&lt;1K欧姆；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18.无线指标标准：IEEE 802.11n；</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8E1E5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85FB7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AA87E75">
            <w:pPr>
              <w:jc w:val="center"/>
              <w:rPr>
                <w:rFonts w:hint="eastAsia" w:ascii="宋体" w:hAnsi="宋体" w:eastAsia="宋体" w:cs="宋体"/>
                <w:b w:val="0"/>
                <w:bCs w:val="0"/>
                <w:i w:val="0"/>
                <w:iCs w:val="0"/>
                <w:color w:val="000000"/>
                <w:sz w:val="20"/>
                <w:szCs w:val="20"/>
                <w:highlight w:val="none"/>
                <w:u w:val="none"/>
              </w:rPr>
            </w:pPr>
          </w:p>
        </w:tc>
      </w:tr>
      <w:tr w14:paraId="27BE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0082AC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60625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会议单元专用充电箱</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7D344B3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1.宽电压输入100V-240V AC：50/60Hz；2.支持快充慢充，快充USB口输出9V,慢充输出5V；3.锂电池为1000mAH,充满小于3.5小时；4.能同时给10个单元充电；5.满足充电QC3.0协议。6.最大功耗：200W；7.尺寸：197*197*47mm；8.重量：1.3Kg。</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6D201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7CB40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81CA032">
            <w:pPr>
              <w:jc w:val="center"/>
              <w:rPr>
                <w:rFonts w:hint="eastAsia" w:ascii="宋体" w:hAnsi="宋体" w:eastAsia="宋体" w:cs="宋体"/>
                <w:b w:val="0"/>
                <w:bCs w:val="0"/>
                <w:i w:val="0"/>
                <w:iCs w:val="0"/>
                <w:color w:val="000000"/>
                <w:sz w:val="20"/>
                <w:szCs w:val="20"/>
                <w:highlight w:val="none"/>
                <w:u w:val="none"/>
              </w:rPr>
            </w:pPr>
          </w:p>
        </w:tc>
      </w:tr>
      <w:tr w14:paraId="47BD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5DE150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3DE3B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全数字会议主机交换机</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7BA03B1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1.下行端口：8 个 10/100/1000Base-TX 以太网端口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2.上行端口：2 个 1.25G SFP 光口插槽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3.管理端口：1 个 Console 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4.PoE 端口：8 个 PoE+供电端口（1-8 口），传输距离 100 米；总功率：120W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5.PoE 标准：支持 IEEE802.3at 供电标准；兼容 IEEE802.3af 供电标准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6.交换容量：66Gbps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7.转发速率：27Mpps</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B7EBB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AE283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457C04D">
            <w:pPr>
              <w:jc w:val="center"/>
              <w:rPr>
                <w:rFonts w:hint="eastAsia" w:ascii="宋体" w:hAnsi="宋体" w:eastAsia="宋体" w:cs="宋体"/>
                <w:b w:val="0"/>
                <w:bCs w:val="0"/>
                <w:i w:val="0"/>
                <w:iCs w:val="0"/>
                <w:color w:val="000000"/>
                <w:sz w:val="20"/>
                <w:szCs w:val="20"/>
                <w:highlight w:val="none"/>
                <w:u w:val="none"/>
              </w:rPr>
            </w:pPr>
          </w:p>
        </w:tc>
      </w:tr>
      <w:tr w14:paraId="7F9C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71480E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D8F19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无线路由器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0E43F49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1.采用WPA/WPA2数字加密技术的WiFi信号传输，确保了会议私密性，避免窃听和恶意干扰；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2.符合IEEE802.11ac Wave-2/a/b/g/n 无线标准；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3.多个2.4GHZ、5GHZ频点选择；</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4.具有两路RJ45接口，1路连接D7301 5G WiFi加密无线发射主机，另一路连接AP,可扩展单元，连接线缆建议使用高质量的交叉CAT6线缆；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5.在空旷受干扰弱的情况下信号覆盖面积可达到半径为30米的圆面积，一般为半径25米的圆面积；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6.内置四天线设计使数据传输更加的稳定；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7.最大功耗：15W；</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59382D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DA04A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B490F2F">
            <w:pPr>
              <w:jc w:val="center"/>
              <w:rPr>
                <w:rFonts w:hint="eastAsia" w:ascii="宋体" w:hAnsi="宋体" w:eastAsia="宋体" w:cs="宋体"/>
                <w:b w:val="0"/>
                <w:bCs w:val="0"/>
                <w:i w:val="0"/>
                <w:iCs w:val="0"/>
                <w:color w:val="000000"/>
                <w:sz w:val="20"/>
                <w:szCs w:val="20"/>
                <w:highlight w:val="none"/>
                <w:u w:val="none"/>
              </w:rPr>
            </w:pPr>
          </w:p>
        </w:tc>
      </w:tr>
      <w:tr w14:paraId="73AF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FDF84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02424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无源全频音箱</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39F87CC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1.倒相式低频辐射的二分频全频系统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2.表面黑色大斑点水性油漆喷涂处理木箱，有孔金属网背贴声学透声棉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3.高效，高质量单元配置，多个吊挂孔设置，可悬挂安装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性能：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1.驱动单元 LF12"×1 HF1.75"×1；2.频率响应 55Hz-18kHz；3.灵敏度 98±2dB；4.最大声压级 123±2dB；5.额定阻抗 8</w:t>
            </w:r>
            <w:r>
              <w:rPr>
                <w:rFonts w:ascii="Calibri" w:hAnsi="Calibri" w:eastAsia="宋体" w:cs="Calibri"/>
                <w:b w:val="0"/>
                <w:bCs w:val="0"/>
                <w:i w:val="0"/>
                <w:iCs w:val="0"/>
                <w:color w:val="000000"/>
                <w:kern w:val="0"/>
                <w:sz w:val="20"/>
                <w:szCs w:val="20"/>
                <w:highlight w:val="none"/>
                <w:u w:val="none"/>
                <w:lang w:val="en-US" w:eastAsia="zh-CN" w:bidi="ar"/>
              </w:rPr>
              <w:t>Ω</w:t>
            </w:r>
            <w:r>
              <w:rPr>
                <w:rFonts w:hint="eastAsia" w:ascii="宋体" w:hAnsi="宋体" w:eastAsia="宋体" w:cs="宋体"/>
                <w:b w:val="0"/>
                <w:bCs w:val="0"/>
                <w:i w:val="0"/>
                <w:iCs w:val="0"/>
                <w:color w:val="000000"/>
                <w:kern w:val="0"/>
                <w:sz w:val="20"/>
                <w:szCs w:val="20"/>
                <w:highlight w:val="none"/>
                <w:u w:val="none"/>
                <w:lang w:val="en-US" w:eastAsia="zh-CN" w:bidi="ar"/>
              </w:rPr>
              <w:t>；6.额定功率 350W；7.指向性（H×V） 90°×40°含支架。</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9A74C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5E36E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AEACA58">
            <w:pPr>
              <w:jc w:val="center"/>
              <w:rPr>
                <w:rFonts w:hint="eastAsia" w:ascii="宋体" w:hAnsi="宋体" w:eastAsia="宋体" w:cs="宋体"/>
                <w:b w:val="0"/>
                <w:bCs w:val="0"/>
                <w:i w:val="0"/>
                <w:iCs w:val="0"/>
                <w:color w:val="000000"/>
                <w:sz w:val="20"/>
                <w:szCs w:val="20"/>
                <w:highlight w:val="none"/>
                <w:u w:val="none"/>
              </w:rPr>
            </w:pPr>
          </w:p>
        </w:tc>
      </w:tr>
      <w:tr w14:paraId="26B9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19B352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08DC6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双通道专业数字功放</w:t>
            </w:r>
          </w:p>
        </w:tc>
        <w:tc>
          <w:tcPr>
            <w:tcW w:w="8305" w:type="dxa"/>
            <w:tcBorders>
              <w:top w:val="single" w:color="000000" w:sz="4" w:space="0"/>
              <w:left w:val="single" w:color="000000" w:sz="4" w:space="0"/>
              <w:bottom w:val="single" w:color="000000" w:sz="4" w:space="0"/>
              <w:right w:val="single" w:color="000000" w:sz="4" w:space="0"/>
            </w:tcBorders>
            <w:noWrap w:val="0"/>
            <w:vAlign w:val="top"/>
          </w:tcPr>
          <w:p w14:paraId="26AC7CDD">
            <w:pPr>
              <w:keepNext w:val="0"/>
              <w:keepLines w:val="0"/>
              <w:widowControl/>
              <w:suppressLineNumbers w:val="0"/>
              <w:jc w:val="left"/>
              <w:textAlignment w:val="top"/>
              <w:rPr>
                <w:rFonts w:hint="eastAsia" w:ascii="宋体" w:hAnsi="宋体" w:eastAsia="宋体" w:cs="宋体"/>
                <w:b w:val="0"/>
                <w:bCs w:val="0"/>
                <w:i w:val="0"/>
                <w:iCs w:val="0"/>
                <w:color w:val="000000"/>
                <w:sz w:val="20"/>
                <w:szCs w:val="20"/>
                <w:highlight w:val="none"/>
                <w:u w:val="none"/>
              </w:rPr>
            </w:pPr>
            <w:r>
              <w:rPr>
                <w:rStyle w:val="43"/>
                <w:b w:val="0"/>
                <w:bCs w:val="0"/>
                <w:highlight w:val="none"/>
                <w:lang w:val="en-US" w:eastAsia="zh-CN" w:bidi="ar"/>
              </w:rPr>
              <w:t>1.双声道立体声专业数字功率放大器,全系列统铝合金面板；</w:t>
            </w:r>
            <w:r>
              <w:rPr>
                <w:rStyle w:val="43"/>
                <w:b w:val="0"/>
                <w:bCs w:val="0"/>
                <w:highlight w:val="none"/>
                <w:lang w:val="en-US" w:eastAsia="zh-CN" w:bidi="ar"/>
              </w:rPr>
              <w:br w:type="textWrapping"/>
            </w:r>
            <w:r>
              <w:rPr>
                <w:rStyle w:val="43"/>
                <w:b w:val="0"/>
                <w:bCs w:val="0"/>
                <w:highlight w:val="none"/>
                <w:lang w:val="en-US" w:eastAsia="zh-CN" w:bidi="ar"/>
              </w:rPr>
              <w:t>2. 有双声道、单声道和BTL桥接三种输出方式供选择，输出方式开关选择；</w:t>
            </w:r>
            <w:r>
              <w:rPr>
                <w:rStyle w:val="43"/>
                <w:b w:val="0"/>
                <w:bCs w:val="0"/>
                <w:highlight w:val="none"/>
                <w:lang w:val="en-US" w:eastAsia="zh-CN" w:bidi="ar"/>
              </w:rPr>
              <w:br w:type="textWrapping"/>
            </w:r>
            <w:r>
              <w:rPr>
                <w:rStyle w:val="43"/>
                <w:b w:val="0"/>
                <w:bCs w:val="0"/>
                <w:highlight w:val="none"/>
                <w:lang w:val="en-US" w:eastAsia="zh-CN" w:bidi="ar"/>
              </w:rPr>
              <w:t>3.每声道音量可调；</w:t>
            </w:r>
            <w:r>
              <w:rPr>
                <w:rStyle w:val="43"/>
                <w:b w:val="0"/>
                <w:bCs w:val="0"/>
                <w:highlight w:val="none"/>
                <w:lang w:val="en-US" w:eastAsia="zh-CN" w:bidi="ar"/>
              </w:rPr>
              <w:br w:type="textWrapping"/>
            </w:r>
            <w:r>
              <w:rPr>
                <w:rStyle w:val="43"/>
                <w:b w:val="0"/>
                <w:bCs w:val="0"/>
                <w:highlight w:val="none"/>
                <w:lang w:val="en-US" w:eastAsia="zh-CN" w:bidi="ar"/>
              </w:rPr>
              <w:t>4. 立体声工作最小负载阻抗为4</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，BTL工作最小负载阻抗为8</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；动态功率强劲，可实现低阻抗驱动。</w:t>
            </w:r>
            <w:r>
              <w:rPr>
                <w:rStyle w:val="43"/>
                <w:b w:val="0"/>
                <w:bCs w:val="0"/>
                <w:highlight w:val="none"/>
                <w:lang w:val="en-US" w:eastAsia="zh-CN" w:bidi="ar"/>
              </w:rPr>
              <w:br w:type="textWrapping"/>
            </w:r>
            <w:r>
              <w:rPr>
                <w:rStyle w:val="43"/>
                <w:b w:val="0"/>
                <w:bCs w:val="0"/>
                <w:highlight w:val="none"/>
                <w:lang w:val="en-US" w:eastAsia="zh-CN" w:bidi="ar"/>
              </w:rPr>
              <w:t>5. 全系列配置XLR平行输入输出接口，更适合专业设备的应用习惯；</w:t>
            </w:r>
            <w:r>
              <w:rPr>
                <w:rStyle w:val="43"/>
                <w:b w:val="0"/>
                <w:bCs w:val="0"/>
                <w:highlight w:val="none"/>
                <w:lang w:val="en-US" w:eastAsia="zh-CN" w:bidi="ar"/>
              </w:rPr>
              <w:br w:type="textWrapping"/>
            </w:r>
            <w:r>
              <w:rPr>
                <w:rStyle w:val="43"/>
                <w:b w:val="0"/>
                <w:bCs w:val="0"/>
                <w:highlight w:val="none"/>
                <w:lang w:val="en-US" w:eastAsia="zh-CN" w:bidi="ar"/>
              </w:rPr>
              <w:t>5. 标配APFC主动式功率因数校正电路，可以在电网波动较大的供电条件下也能稳定满功率工作，</w:t>
            </w:r>
            <w:r>
              <w:rPr>
                <w:rStyle w:val="43"/>
                <w:b w:val="0"/>
                <w:bCs w:val="0"/>
                <w:highlight w:val="none"/>
                <w:lang w:val="en-US" w:eastAsia="zh-CN" w:bidi="ar"/>
              </w:rPr>
              <w:br w:type="textWrapping"/>
            </w:r>
            <w:r>
              <w:rPr>
                <w:rStyle w:val="43"/>
                <w:b w:val="0"/>
                <w:bCs w:val="0"/>
                <w:highlight w:val="none"/>
                <w:lang w:val="en-US" w:eastAsia="zh-CN" w:bidi="ar"/>
              </w:rPr>
              <w:t>6. 小信号的时候不会出现交越失真；</w:t>
            </w:r>
            <w:r>
              <w:rPr>
                <w:rStyle w:val="43"/>
                <w:b w:val="0"/>
                <w:bCs w:val="0"/>
                <w:highlight w:val="none"/>
                <w:lang w:val="en-US" w:eastAsia="zh-CN" w:bidi="ar"/>
              </w:rPr>
              <w:br w:type="textWrapping"/>
            </w:r>
            <w:r>
              <w:rPr>
                <w:rStyle w:val="43"/>
                <w:b w:val="0"/>
                <w:bCs w:val="0"/>
                <w:highlight w:val="none"/>
                <w:lang w:val="en-US" w:eastAsia="zh-CN" w:bidi="ar"/>
              </w:rPr>
              <w:t>7. 内置先进的电压压限，可以避免输入电压出现异常或过大导致功率输出异常，出现削波失真影响听音体验以及危害音箱的高音单元。</w:t>
            </w:r>
            <w:r>
              <w:rPr>
                <w:rStyle w:val="43"/>
                <w:b w:val="0"/>
                <w:bCs w:val="0"/>
                <w:highlight w:val="none"/>
                <w:lang w:val="en-US" w:eastAsia="zh-CN" w:bidi="ar"/>
              </w:rPr>
              <w:br w:type="textWrapping"/>
            </w:r>
            <w:r>
              <w:rPr>
                <w:rStyle w:val="43"/>
                <w:b w:val="0"/>
                <w:bCs w:val="0"/>
                <w:highlight w:val="none"/>
                <w:lang w:val="en-US" w:eastAsia="zh-CN" w:bidi="ar"/>
              </w:rPr>
              <w:t>8. 中高频比模拟功放更清晰，非常适合用于会议等多种不同场合的语言传输和扩声；</w:t>
            </w:r>
            <w:r>
              <w:rPr>
                <w:rStyle w:val="43"/>
                <w:b w:val="0"/>
                <w:bCs w:val="0"/>
                <w:highlight w:val="none"/>
                <w:lang w:val="en-US" w:eastAsia="zh-CN" w:bidi="ar"/>
              </w:rPr>
              <w:br w:type="textWrapping"/>
            </w:r>
            <w:r>
              <w:rPr>
                <w:rStyle w:val="43"/>
                <w:b w:val="0"/>
                <w:bCs w:val="0"/>
                <w:highlight w:val="none"/>
                <w:lang w:val="en-US" w:eastAsia="zh-CN" w:bidi="ar"/>
              </w:rPr>
              <w:t>9. 效率要高，发热量更少，工作温度范围更宽；10.各通道均配备LED工作状态指示；11.输入灵敏度：≤1000mV；信噪比：≥95dB；频响：20Hz-20kHz（±2dB）；通道串扰：≤70dB；转换速率：≥15V/uS；阻尼系数/8</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@1Khz： ≥230；总谐波失真：≤0.3% （1kHz，正常工作条件）；额定功率：2X650W@8</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 xml:space="preserve"> 2X950W@4</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 xml:space="preserve"> 1900W@桥接8</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4777DF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DFCFC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C2EC23B">
            <w:pPr>
              <w:jc w:val="center"/>
              <w:rPr>
                <w:rFonts w:hint="eastAsia" w:ascii="宋体" w:hAnsi="宋体" w:eastAsia="宋体" w:cs="宋体"/>
                <w:b w:val="0"/>
                <w:bCs w:val="0"/>
                <w:i w:val="0"/>
                <w:iCs w:val="0"/>
                <w:color w:val="000000"/>
                <w:sz w:val="20"/>
                <w:szCs w:val="20"/>
                <w:highlight w:val="none"/>
                <w:u w:val="none"/>
              </w:rPr>
            </w:pPr>
          </w:p>
        </w:tc>
      </w:tr>
      <w:tr w14:paraId="6785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608316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43426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专业音频处理器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249DFA8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1.4路模拟输入8路模拟输出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2.支持麦克风输入和线路输入自由切换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3.每路输入带48V幻象电源，通过网页开关控制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4.输入电平设置、信号发生器、噪声门、延时、压限器、限幅器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5.每路输入带反馈抑制功能开关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6.矩阵混音功能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7.TCP/IP，网页端进行各种参数调节控制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8.RS-232、RS-485、GPIO接口提供完善的控制功能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9.输入5段EQ可调，输出31段EQ可调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10.多种模式场景快速切换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11.供电范围：AC100V---240V  50/60 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12.尺寸：44.5mmx482mmx265mm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13.净重：2.8kg，3.3kg</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14.工作温度：-20℃--80℃</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439E24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43E02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499AEFB">
            <w:pPr>
              <w:jc w:val="center"/>
              <w:rPr>
                <w:rFonts w:hint="eastAsia" w:ascii="宋体" w:hAnsi="宋体" w:eastAsia="宋体" w:cs="宋体"/>
                <w:b w:val="0"/>
                <w:bCs w:val="0"/>
                <w:i w:val="0"/>
                <w:iCs w:val="0"/>
                <w:color w:val="000000"/>
                <w:sz w:val="20"/>
                <w:szCs w:val="20"/>
                <w:highlight w:val="none"/>
                <w:u w:val="none"/>
              </w:rPr>
            </w:pPr>
          </w:p>
        </w:tc>
      </w:tr>
      <w:tr w14:paraId="3458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42BA0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9ACA0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专业自动反馈抑制器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7CD0ED5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1.2路线路/话筒输入，2路线路/话筒输出；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2.内置高端高速浮点数字信号处理器和自适应反馈陷波处理算法技术；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3.面板带有4*8段实时电平显示指示灯，精准显示输入/输出信号电平的大小；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4.面板带有通道静音，旁路和滤波器重置的快速按钮；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5.每路输入带15个自适应陷波滤波器，可按需配置动态/固定滤波器数量；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6.TCP/IP控制协议，连接PC电脑进行网页端进行各种详细参数的控制调节；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7.支持多档位模拟音量调节(-18dBV ~ 12dBV)，最大输入电平(1%失真)10V，信噪比(0dBv)≥93dB；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8.设备供电范围：AC100V---240V  50/60 Hz，功耗≤10W；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9.尺寸：432.5mm X 186mm X 44mm，2.35kg</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C9786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EF986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E5EF89A">
            <w:pPr>
              <w:jc w:val="center"/>
              <w:rPr>
                <w:rFonts w:hint="eastAsia" w:ascii="宋体" w:hAnsi="宋体" w:eastAsia="宋体" w:cs="宋体"/>
                <w:b w:val="0"/>
                <w:bCs w:val="0"/>
                <w:i w:val="0"/>
                <w:iCs w:val="0"/>
                <w:color w:val="000000"/>
                <w:sz w:val="20"/>
                <w:szCs w:val="20"/>
                <w:highlight w:val="none"/>
                <w:u w:val="none"/>
              </w:rPr>
            </w:pPr>
          </w:p>
        </w:tc>
      </w:tr>
      <w:tr w14:paraId="19E0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0AC3C2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A70FF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调音台</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0817718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1.14路XLR平衡单声道输入+2路立体声输入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2.每通道3段均衡调节，MUTE静音开关，PFL耳机开关，平滑60MM行程推子器，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3.2编组输出 +2组AUX输出（包括FX), 1组返回，1组耳机监听</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4.内置48V幻象电源供电；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5.24种DSP数字效果器,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6.内置USB音频播放MP3；USB录音、可连电脑播放音乐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7.内置蓝牙接收模块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8.LED大显示屏清淅显示播放状态;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9.十段三色电平灯显示信号状态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10.XLR平衡输入话放噪声极低，超低噪音线路设计，动态余量大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11.适用全球供电电压功率30瓦；使用灵活。具有无噪声、瞬间反应好、电耗低的特性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4A24B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36104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693C612">
            <w:pPr>
              <w:jc w:val="center"/>
              <w:rPr>
                <w:rFonts w:hint="eastAsia" w:ascii="宋体" w:hAnsi="宋体" w:eastAsia="宋体" w:cs="宋体"/>
                <w:b w:val="0"/>
                <w:bCs w:val="0"/>
                <w:i w:val="0"/>
                <w:iCs w:val="0"/>
                <w:color w:val="000000"/>
                <w:sz w:val="20"/>
                <w:szCs w:val="20"/>
                <w:highlight w:val="none"/>
                <w:u w:val="none"/>
              </w:rPr>
            </w:pPr>
          </w:p>
        </w:tc>
      </w:tr>
      <w:tr w14:paraId="626F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7A00A6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B352B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电源时序器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309C149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1.独立的八路大功率电源输出，万能插座，可满足多种三极的电源插座，如国标插座、美标插座以及欧标插座等；还可满足二极欧式的圆头插座；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2.单路最大输出为 10A，总输入电流容量 16A；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3.八路通道开关状态可由面板控制操作和显示；通过面板一键开关，可时序关启通道，实现时序功能；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4.开机时由前级到后级按顺序逐个启动各类设备，关机时由后级到前级逐个关闭各个设备，有效的统一管理控制用电设备，确保整个系统的稳定运行；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5.可广泛用于多媒体教室、多功能厅、会议室、投影拼接、视频会议、监控中心、楼宇控制、管理指挥中心等领域。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6.性能规格：</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7.电源输出：8路，万能插座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8.单路最大负荷：10A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9.控制方式：手动顺序启动、外接短路信号触发启动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10.电源容量：总容量220V，16A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11.输入电源：AC220/50Hz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12.时序间隔：0.4-0.5s</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BCA43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B044C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2E4FD39">
            <w:pPr>
              <w:jc w:val="center"/>
              <w:rPr>
                <w:rFonts w:hint="eastAsia" w:ascii="宋体" w:hAnsi="宋体" w:eastAsia="宋体" w:cs="宋体"/>
                <w:b w:val="0"/>
                <w:bCs w:val="0"/>
                <w:i w:val="0"/>
                <w:iCs w:val="0"/>
                <w:color w:val="000000"/>
                <w:sz w:val="20"/>
                <w:szCs w:val="20"/>
                <w:highlight w:val="none"/>
                <w:u w:val="none"/>
              </w:rPr>
            </w:pPr>
          </w:p>
        </w:tc>
      </w:tr>
      <w:tr w14:paraId="1ACC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5A9682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87343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物联网数据管理主机</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04B8107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 支持多种管理（设备、数据、用户等）及远程管理。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支持300个用户终端同步登录与并发处理。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支持多空间区域和设备分区管理。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对设备深度管控、采集数据，监测参数。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支持15个物模型接入管理（可拓展）。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监测设备在线与运行状态，告警故障。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分类统一管理各类设备。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采集、分析、呈现系统运行数据。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具备物模型资产套件，可与上层对接。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支持物模型数据相关多种操作。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 物模型认证管理，双向数据连接。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 支持零代码构建业务场景与自动化规则配置。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硬件参数：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1.HDMI IN：2×HDMI 4K @60fps输入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2.HDMI OUT：3×HDMI 4K @60fps 输出 独立显示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3.USB接口：2xUSB 2.0、2xUSB 3.0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4.扩展模块：支持WIFI、蓝牙、AP模块</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78D59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21107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71CDC79C">
            <w:pPr>
              <w:rPr>
                <w:rFonts w:hint="eastAsia" w:ascii="宋体" w:hAnsi="宋体" w:eastAsia="宋体" w:cs="宋体"/>
                <w:b w:val="0"/>
                <w:bCs w:val="0"/>
                <w:i w:val="0"/>
                <w:iCs w:val="0"/>
                <w:color w:val="000000"/>
                <w:sz w:val="20"/>
                <w:szCs w:val="20"/>
                <w:highlight w:val="none"/>
                <w:u w:val="none"/>
              </w:rPr>
            </w:pPr>
          </w:p>
        </w:tc>
      </w:tr>
      <w:tr w14:paraId="48E4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64E69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5EAB6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墙面8寸控制屏</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1C12EF5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1.支持场景切换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2.支持密码权限操作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3.支持单独设备操控功能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4.支持系统平台软件远程更新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5.支持单独设备操控功能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6.支持定制化场景管理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7.支持可视化免编程设计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8.支持环境健康监控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9.支持多权限多终端登录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10.客户端软件支持安装在安卓、苹果、麒麟操作系统。</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52B37E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45C67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40E46C72">
            <w:pPr>
              <w:rPr>
                <w:rFonts w:hint="eastAsia" w:ascii="宋体" w:hAnsi="宋体" w:eastAsia="宋体" w:cs="宋体"/>
                <w:b w:val="0"/>
                <w:bCs w:val="0"/>
                <w:i w:val="0"/>
                <w:iCs w:val="0"/>
                <w:color w:val="000000"/>
                <w:sz w:val="20"/>
                <w:szCs w:val="20"/>
                <w:highlight w:val="none"/>
                <w:u w:val="none"/>
              </w:rPr>
            </w:pPr>
          </w:p>
        </w:tc>
      </w:tr>
      <w:tr w14:paraId="0A676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67992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B6D10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8通道数据处理器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2C8C8FC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1、网络控制器：100/1000Mbps，自动交换，自动协商，自动发现，标准UDP/IP协议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2、静态功耗：8W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3、静电防护空气：±15KV，接触±8KV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4、网络接口标准：2路RJ45端口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5、串行端口：8路标准RS-485/RS-232自定义通讯端口</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00EE9E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6F2E3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21E70B68">
            <w:pPr>
              <w:rPr>
                <w:rFonts w:hint="eastAsia" w:ascii="宋体" w:hAnsi="宋体" w:eastAsia="宋体" w:cs="宋体"/>
                <w:b w:val="0"/>
                <w:bCs w:val="0"/>
                <w:i w:val="0"/>
                <w:iCs w:val="0"/>
                <w:color w:val="000000"/>
                <w:sz w:val="20"/>
                <w:szCs w:val="20"/>
                <w:highlight w:val="none"/>
                <w:u w:val="none"/>
              </w:rPr>
            </w:pPr>
          </w:p>
        </w:tc>
      </w:tr>
      <w:tr w14:paraId="221A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4BD2F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3028E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窗帘智能网关</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6375EC6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1、提供RJ11和插针两种通用接口，可连接窗帘电机，将传统窗帘电机升级为智能窗帘电机，或将其他品牌窗帘电机加入生态系统；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2、适配多种品牌的窗帘电机；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3、需配合智慧中心工作，实现手机app远程操控，智能联动，定时开关等功能；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4、供电方式：AA电池x2（包装自带2节电池）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5、通讯协议：CoSS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6、无线距离：100m（开放场）</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2F6CA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D52B7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6C4CCE1A">
            <w:pPr>
              <w:rPr>
                <w:rFonts w:hint="eastAsia" w:ascii="宋体" w:hAnsi="宋体" w:eastAsia="宋体" w:cs="宋体"/>
                <w:b w:val="0"/>
                <w:bCs w:val="0"/>
                <w:i w:val="0"/>
                <w:iCs w:val="0"/>
                <w:color w:val="000000"/>
                <w:sz w:val="20"/>
                <w:szCs w:val="20"/>
                <w:highlight w:val="none"/>
                <w:u w:val="none"/>
              </w:rPr>
            </w:pPr>
          </w:p>
        </w:tc>
      </w:tr>
      <w:tr w14:paraId="4F4C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6938B1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23</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D457C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双开开关86型</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3539170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窗帘开、关</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8EF0D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571E8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28FF10EB">
            <w:pPr>
              <w:rPr>
                <w:rFonts w:hint="eastAsia" w:ascii="宋体" w:hAnsi="宋体" w:eastAsia="宋体" w:cs="宋体"/>
                <w:b w:val="0"/>
                <w:bCs w:val="0"/>
                <w:i w:val="0"/>
                <w:iCs w:val="0"/>
                <w:color w:val="000000"/>
                <w:sz w:val="20"/>
                <w:szCs w:val="20"/>
                <w:highlight w:val="none"/>
                <w:u w:val="none"/>
              </w:rPr>
            </w:pPr>
          </w:p>
        </w:tc>
      </w:tr>
      <w:tr w14:paraId="5E38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F537E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F881F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开合帘电机</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6B7F892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强电控制、行程记忆、停电手拉、遇阻停止、轻拉启动，满足电动轨，4米-5米使用。</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062289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E9C37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06302919">
            <w:pPr>
              <w:rPr>
                <w:rFonts w:hint="eastAsia" w:ascii="宋体" w:hAnsi="宋体" w:eastAsia="宋体" w:cs="宋体"/>
                <w:b w:val="0"/>
                <w:bCs w:val="0"/>
                <w:i w:val="0"/>
                <w:iCs w:val="0"/>
                <w:color w:val="000000"/>
                <w:sz w:val="20"/>
                <w:szCs w:val="20"/>
                <w:highlight w:val="none"/>
                <w:u w:val="none"/>
              </w:rPr>
            </w:pPr>
          </w:p>
        </w:tc>
      </w:tr>
      <w:tr w14:paraId="4213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782A2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1ECDB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电动轨道</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20E8627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航空铝材、不锈钢配件、伸缩轨道，电动轨，4米-5米，根据现场尺寸定制。</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F4032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条</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C3A9F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2FD89776">
            <w:pPr>
              <w:rPr>
                <w:rFonts w:hint="eastAsia" w:ascii="宋体" w:hAnsi="宋体" w:eastAsia="宋体" w:cs="宋体"/>
                <w:b w:val="0"/>
                <w:bCs w:val="0"/>
                <w:i w:val="0"/>
                <w:iCs w:val="0"/>
                <w:color w:val="000000"/>
                <w:sz w:val="20"/>
                <w:szCs w:val="20"/>
                <w:highlight w:val="none"/>
                <w:u w:val="none"/>
              </w:rPr>
            </w:pPr>
          </w:p>
        </w:tc>
      </w:tr>
      <w:tr w14:paraId="4611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10B565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26</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BDCFE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窗帘布</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61B063A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遮光窗帘布，颜色可选，窗帘高度6-8米，宽度4-5米根据现场定制。</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763F9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0A06F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5178F021">
            <w:pPr>
              <w:rPr>
                <w:rFonts w:hint="eastAsia" w:ascii="宋体" w:hAnsi="宋体" w:eastAsia="宋体" w:cs="宋体"/>
                <w:b w:val="0"/>
                <w:bCs w:val="0"/>
                <w:i w:val="0"/>
                <w:iCs w:val="0"/>
                <w:color w:val="000000"/>
                <w:sz w:val="20"/>
                <w:szCs w:val="20"/>
                <w:highlight w:val="none"/>
                <w:u w:val="none"/>
              </w:rPr>
            </w:pPr>
          </w:p>
        </w:tc>
      </w:tr>
      <w:tr w14:paraId="2322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18F50D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27</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27BE2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普通机柜</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103057D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★42U机柜，2个理线架，2个侧板，1个底板，4个固定托盘，2个全高竖装32A PDU。采用黑色， PDU外壳选用优质型材；PDU电压：AC220V，输入容量：32A，分路空开配置15*A10+4*A16。</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EE476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DF369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3E2A54A0">
            <w:pPr>
              <w:rPr>
                <w:rFonts w:hint="eastAsia" w:ascii="宋体" w:hAnsi="宋体" w:eastAsia="宋体" w:cs="宋体"/>
                <w:b w:val="0"/>
                <w:bCs w:val="0"/>
                <w:i w:val="0"/>
                <w:iCs w:val="0"/>
                <w:color w:val="000000"/>
                <w:sz w:val="20"/>
                <w:szCs w:val="20"/>
                <w:highlight w:val="none"/>
                <w:u w:val="none"/>
              </w:rPr>
            </w:pPr>
          </w:p>
        </w:tc>
      </w:tr>
      <w:tr w14:paraId="418E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4949B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28</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5EF80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装修</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49374AD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见6.5附表装修清单</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EEFA8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2CE608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73D0417">
            <w:pPr>
              <w:jc w:val="center"/>
              <w:rPr>
                <w:rFonts w:hint="eastAsia" w:ascii="宋体" w:hAnsi="宋体" w:eastAsia="宋体" w:cs="宋体"/>
                <w:b w:val="0"/>
                <w:bCs w:val="0"/>
                <w:i w:val="0"/>
                <w:iCs w:val="0"/>
                <w:color w:val="FF0000"/>
                <w:sz w:val="20"/>
                <w:szCs w:val="20"/>
                <w:highlight w:val="none"/>
                <w:u w:val="none"/>
              </w:rPr>
            </w:pPr>
          </w:p>
        </w:tc>
      </w:tr>
      <w:tr w14:paraId="0673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DC6C3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29</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7993A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03B4BFD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5765A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17EB5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4A4528B3">
            <w:pPr>
              <w:jc w:val="center"/>
              <w:rPr>
                <w:rFonts w:hint="eastAsia" w:ascii="宋体" w:hAnsi="宋体" w:eastAsia="宋体" w:cs="宋体"/>
                <w:b w:val="0"/>
                <w:bCs w:val="0"/>
                <w:i w:val="0"/>
                <w:iCs w:val="0"/>
                <w:color w:val="000000"/>
                <w:sz w:val="20"/>
                <w:szCs w:val="20"/>
                <w:highlight w:val="none"/>
                <w:u w:val="none"/>
              </w:rPr>
            </w:pPr>
          </w:p>
        </w:tc>
      </w:tr>
      <w:tr w14:paraId="7889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7B1F5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E00AD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输入电缆</w:t>
            </w:r>
          </w:p>
        </w:tc>
        <w:tc>
          <w:tcPr>
            <w:tcW w:w="8305" w:type="dxa"/>
            <w:tcBorders>
              <w:top w:val="single" w:color="000000" w:sz="4" w:space="0"/>
              <w:left w:val="single" w:color="000000" w:sz="4" w:space="0"/>
              <w:bottom w:val="single" w:color="000000" w:sz="4" w:space="0"/>
              <w:right w:val="single" w:color="000000" w:sz="4" w:space="0"/>
            </w:tcBorders>
            <w:noWrap/>
            <w:vAlign w:val="center"/>
          </w:tcPr>
          <w:p w14:paraId="43511EC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RVV-3x6mm^2</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184CC7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16776B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1EDC858E">
            <w:pPr>
              <w:rPr>
                <w:rFonts w:hint="eastAsia" w:ascii="宋体" w:hAnsi="宋体" w:eastAsia="宋体" w:cs="宋体"/>
                <w:b w:val="0"/>
                <w:bCs w:val="0"/>
                <w:i w:val="0"/>
                <w:iCs w:val="0"/>
                <w:color w:val="000000"/>
                <w:sz w:val="20"/>
                <w:szCs w:val="20"/>
                <w:highlight w:val="none"/>
                <w:u w:val="none"/>
              </w:rPr>
            </w:pPr>
          </w:p>
        </w:tc>
      </w:tr>
      <w:tr w14:paraId="6F3F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615C9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66FA7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线材</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2BF927D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铜芯护套线RVV2*1.5</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4B4248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EF9E7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50C444A4">
            <w:pPr>
              <w:rPr>
                <w:rFonts w:hint="eastAsia" w:ascii="宋体" w:hAnsi="宋体" w:eastAsia="宋体" w:cs="宋体"/>
                <w:b w:val="0"/>
                <w:bCs w:val="0"/>
                <w:i w:val="0"/>
                <w:iCs w:val="0"/>
                <w:color w:val="000000"/>
                <w:sz w:val="24"/>
                <w:szCs w:val="24"/>
                <w:highlight w:val="none"/>
                <w:u w:val="none"/>
              </w:rPr>
            </w:pPr>
          </w:p>
        </w:tc>
      </w:tr>
      <w:tr w14:paraId="7B99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505F67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32</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11625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线材</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3DBF2F9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铜芯护套线RVV2*2.5</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1EB9F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EE214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2B187CCE">
            <w:pPr>
              <w:jc w:val="center"/>
              <w:rPr>
                <w:rFonts w:hint="eastAsia" w:ascii="宋体" w:hAnsi="宋体" w:eastAsia="宋体" w:cs="宋体"/>
                <w:b w:val="0"/>
                <w:bCs w:val="0"/>
                <w:i w:val="0"/>
                <w:iCs w:val="0"/>
                <w:color w:val="000000"/>
                <w:sz w:val="20"/>
                <w:szCs w:val="20"/>
                <w:highlight w:val="none"/>
                <w:u w:val="none"/>
              </w:rPr>
            </w:pPr>
          </w:p>
        </w:tc>
      </w:tr>
      <w:tr w14:paraId="5772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0A34D6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33</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53571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辅材</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25CFB94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高清线、线槽、水晶头、电源接头，胶带等</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98A94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21C6CA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7DC30E3">
            <w:pPr>
              <w:jc w:val="center"/>
              <w:rPr>
                <w:rFonts w:hint="eastAsia" w:ascii="宋体" w:hAnsi="宋体" w:eastAsia="宋体" w:cs="宋体"/>
                <w:b w:val="0"/>
                <w:bCs w:val="0"/>
                <w:i w:val="0"/>
                <w:iCs w:val="0"/>
                <w:color w:val="000000"/>
                <w:sz w:val="20"/>
                <w:szCs w:val="20"/>
                <w:highlight w:val="none"/>
                <w:u w:val="none"/>
              </w:rPr>
            </w:pPr>
          </w:p>
        </w:tc>
      </w:tr>
      <w:tr w14:paraId="7B49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18" w:type="dxa"/>
            <w:gridSpan w:val="5"/>
            <w:tcBorders>
              <w:top w:val="single" w:color="000000" w:sz="4" w:space="0"/>
              <w:left w:val="single" w:color="000000" w:sz="4" w:space="0"/>
              <w:bottom w:val="single" w:color="000000" w:sz="4" w:space="0"/>
              <w:right w:val="single" w:color="000000" w:sz="4" w:space="0"/>
            </w:tcBorders>
            <w:noWrap/>
            <w:vAlign w:val="center"/>
          </w:tcPr>
          <w:p w14:paraId="3DDE26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小计</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705C92A">
            <w:pPr>
              <w:jc w:val="center"/>
              <w:rPr>
                <w:rFonts w:hint="eastAsia" w:ascii="宋体" w:hAnsi="宋体" w:eastAsia="宋体" w:cs="宋体"/>
                <w:b w:val="0"/>
                <w:bCs w:val="0"/>
                <w:i w:val="0"/>
                <w:iCs w:val="0"/>
                <w:color w:val="000000"/>
                <w:sz w:val="20"/>
                <w:szCs w:val="20"/>
                <w:highlight w:val="none"/>
                <w:u w:val="none"/>
              </w:rPr>
            </w:pPr>
          </w:p>
        </w:tc>
      </w:tr>
      <w:tr w14:paraId="4064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59" w:type="dxa"/>
            <w:gridSpan w:val="6"/>
            <w:tcBorders>
              <w:top w:val="single" w:color="000000" w:sz="4" w:space="0"/>
              <w:left w:val="single" w:color="000000" w:sz="4" w:space="0"/>
              <w:bottom w:val="single" w:color="000000" w:sz="4" w:space="0"/>
              <w:right w:val="single" w:color="000000" w:sz="4" w:space="0"/>
            </w:tcBorders>
            <w:noWrap/>
            <w:vAlign w:val="center"/>
          </w:tcPr>
          <w:p w14:paraId="6FBB1B3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5.5.2 学术报告厅（教学楼1小）</w:t>
            </w:r>
          </w:p>
        </w:tc>
      </w:tr>
      <w:tr w14:paraId="7739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7D8B4B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23B8C6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LED显示屏</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0D4012D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★1.整屏尺寸：宽≥5.12米、高≥2.88米。像素间距≤1.86mm，LED类型：SMD 1515，1R1G1B；像素密度≥289050点/m2；</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2.三合一板卡采用无线接插设计，无线连接，箱体内无多余线材，安装便捷；4.整机自然散热，无风扇，无孔，防尘静音设计；支持模组、电源、接收卡前维护；</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3.防眩光黑色电喷工艺，表面墨色一致性和散热性能好，屏体正面为黑色亚光处理，反光率≤1.5%；样品在10Lux/5600K照度下，对屏幕表面进行光反射率试验，屏幕表面光反射率(单位面积反射亮度)＜2.2cd/m²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4.显示单元间隙（mm）≤0.05；显示单元平整度（mm）≤0.05，箱体内部模组间采用铝板拼接；模组平整度（mm）≤0.05；模组间隙（mm）≤0.05；相对错位偏差（水平/垂直）≤0.82%，像素中心距偏差≤0.81%；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5.亮度≥580nit（0-100%无级可调）；亮度均匀性≥99.2%；显示屏最高对比度≥3800:1；灰度等级14bit</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6.LED像素失控率≤1/1500000，无连续失控点；色域/色准：≥115% NTSC/△E≤0.9；色度均匀性：±0.001Cx,Cy 之内；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7.刷新频率≥3840HZ，换帧频率：50Hz&amp;60Hz；画面延时≤2ms；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8.水平视角≥170°；垂直视角≥160°；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▲9.工作电压100-240V,50/60Hz；峰值功耗≤310W/㎡，平均功耗≤105W/㎡，支持无信号输入自动熄屏待机，有信号输入自动唤醒功能，单箱黑屏不点亮时，功耗≤5.3W；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10.距离显示屏1米时的工作噪声声压dB（A）：前方3.2，后方2.7，左方3.2，右方3.1； </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11.色温标准9500K，1000-15000K 连续可调，调节步长100K，可自定义色温值，色温误差色:温为9500K时；100%,75%,50%,25%四档电平白场调节色温误差≤100K。</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21B1B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平方米</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02B6FF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14.74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B8B85C1">
            <w:pPr>
              <w:jc w:val="center"/>
              <w:rPr>
                <w:rFonts w:hint="eastAsia" w:ascii="宋体" w:hAnsi="宋体" w:eastAsia="宋体" w:cs="宋体"/>
                <w:b w:val="0"/>
                <w:bCs w:val="0"/>
                <w:i w:val="0"/>
                <w:iCs w:val="0"/>
                <w:color w:val="000000"/>
                <w:sz w:val="20"/>
                <w:szCs w:val="20"/>
                <w:highlight w:val="none"/>
                <w:u w:val="none"/>
              </w:rPr>
            </w:pPr>
          </w:p>
        </w:tc>
      </w:tr>
      <w:tr w14:paraId="7E99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BF4EC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60D47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大屏钢结构</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40BF450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1.包含大屏钢结构及包边装饰、工程师安装调试及用户培训；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2.安装结构能满足LED高清显示屏的整体均匀平滑要求，采用环保型材，结构应便于安装和调试；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3.满足显示屏安装要求，定制（包含钢材支架、铝型材、预埋件、包边等）</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48F40F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平方米</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58677A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14.74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EE7C65B">
            <w:pPr>
              <w:jc w:val="center"/>
              <w:rPr>
                <w:rFonts w:hint="eastAsia" w:ascii="宋体" w:hAnsi="宋体" w:eastAsia="宋体" w:cs="宋体"/>
                <w:b w:val="0"/>
                <w:bCs w:val="0"/>
                <w:i w:val="0"/>
                <w:iCs w:val="0"/>
                <w:color w:val="000000"/>
                <w:sz w:val="20"/>
                <w:szCs w:val="20"/>
                <w:highlight w:val="none"/>
                <w:u w:val="none"/>
              </w:rPr>
            </w:pPr>
          </w:p>
        </w:tc>
      </w:tr>
      <w:tr w14:paraId="6CA0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0E6557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AF83C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智能播控处理器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3D6314D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★1、支持20路千兆网口输出，支持显示屏输出画面缩放。宽度范围64-16384，高度范围64-8192，最大带载1300w，支持自由走线，摆脱矩形带载限制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硬件配置：4 核A73+4核A53的 ARM处理器 主频2.2GHz；板载8G运行内存，128G内部存储空间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3、支持3路音频输出，1xSPDF数字音频输出接口，1x3.5mm音频输出；1x凤凰端子音频输出；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4、支持2路USB2.0，1路USB3.0输入，用于多媒体播放和功能扩展；</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5、集成一路继电器，可以用于连接固态继电器，方便进行LED显示屏电源管理；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6、支持一路千兆以太网控制，支持TCP/IP协议，一路RS232串口，对接中控设备，一路传感器接口；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7、2路HDMI2.0输入，1路HDMI1.3输入；1路HDMI1.3预监输出；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8、2路10G光口输出，支持光电转换模式；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9、搭配WIFI6芯片，实现无线传输低延迟，高稳定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▲10、支持多种播控方式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-U盘播放：可即插即播或拷贝播放，支持HEVC/H265./H264等主流编码格式的4K高清视频解码；支持U盘离线播放，拔出U盘后播放内容不受影响；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-软件端播控:手机 app 播控，pc端软件播控，云端远程播控；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-遥控器播控：可在显示屏上进行本地节目播控及简单的节目制作</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11、支持遥控器AI语音控制，集成丰富的语音控制指令，轻松实现屏幕控制；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12、支持Type-c接口/USB接口投屏器，支持多平台终端投屏（包括Windows、Mac OS、IOS、Android系统，最多9路无线投屏画面同时显示），配合终端APP可实现无线投屏控制：镜像反控、无线快照、无线发言</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13、基于Android13定制的桌面UI系统，可添加第三方APP应用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14、支持红外待机唤醒，待机进入低功耗模式，实现待机功耗小于0.5w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15、支持蓝牙5.1，可兼容蓝牙遥控器、蓝牙鼠标、蓝牙键盘、蓝牙音响等；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16、双WIFI模式，支持WiFi AP 和WIFI STA两种模式同时开启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支持云端控制管理，平台无需单独安装客户端，可实现随时随地访问，融合实现：企业信息管理、多角色权限管理、显示屏管理、配置文件管理、售前方案配置、画面监控、配置/维护显示屏信息、显示屏故障定位及恢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22、系统支持预设画面模式切换，包含标准模式、会议模式等4种效果模式；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23、支持手机端app扫码或手动获取配置文件参数下发进行屏体点亮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24、支持手机端APP手动和拍照完成显示屏连接；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25、支持手机端APP手动和拍照进行显示屏亮暗线校正；</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3CDF9A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40ABAD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33AAB5B">
            <w:pPr>
              <w:jc w:val="center"/>
              <w:rPr>
                <w:rFonts w:hint="eastAsia" w:ascii="宋体" w:hAnsi="宋体" w:eastAsia="宋体" w:cs="宋体"/>
                <w:b w:val="0"/>
                <w:bCs w:val="0"/>
                <w:i w:val="0"/>
                <w:iCs w:val="0"/>
                <w:color w:val="000000"/>
                <w:sz w:val="20"/>
                <w:szCs w:val="20"/>
                <w:highlight w:val="none"/>
                <w:u w:val="none"/>
              </w:rPr>
            </w:pPr>
          </w:p>
        </w:tc>
      </w:tr>
      <w:tr w14:paraId="51D8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6D3EB8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9F928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配电柜</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3D3B15B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1).功率冗余30%以上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2).PLC数据实时监测系统：具备每个回路的电流、电压、过载、电缆温度、能耗数据数据采集功能；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3).控制系统模块：控制任意回路分步上电、PLC远程上电、通断时间、场景预设功能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4).485通讯模块；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5).PLC供电模块：额定电压AC100V~265V，额定电流：2.5A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6).配套电箱，空开数量满足设备使用需求；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7).具有短路、断路、过流、过压、欠压以及漏电等多种保护功能，可自动处理各种应急情况，定时自动开关大屏；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8).将每一个回路的用电数据信息（功耗、漏电电流、欠压数据、过压数据、过载数据）在后台的软件平台上可视化呈现出来，用户可根据用电数据情况来任意设定开合与通断；</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9).可分别对各回路电流、功率进行设定，实现当回路电流或功率超过限定值时，该回路自动跳闸保护，同时可自由设定设备每个回路的开启和关闭时间；</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10).发现险情立即预警并发送预警信息至APP 或PC 端。通过及时告警功能、预警机制及时发现配电系统设备、周围环境的异常情况；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 xml:space="preserve">11).综合管理平台：平台可显示设备总数、在线设备、报警数、预警数等汇总信息、设备报警分析比例图、设备信息处理情况、设备实时报警列表、和管理员信息，在IOT管理系统上统一显示与操控。 </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0B8995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7FE144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1 </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6F756E2">
            <w:pPr>
              <w:jc w:val="center"/>
              <w:rPr>
                <w:rFonts w:hint="eastAsia" w:ascii="宋体" w:hAnsi="宋体" w:eastAsia="宋体" w:cs="宋体"/>
                <w:b w:val="0"/>
                <w:bCs w:val="0"/>
                <w:i w:val="0"/>
                <w:iCs w:val="0"/>
                <w:color w:val="000000"/>
                <w:sz w:val="20"/>
                <w:szCs w:val="20"/>
                <w:highlight w:val="none"/>
                <w:u w:val="none"/>
              </w:rPr>
            </w:pPr>
          </w:p>
        </w:tc>
      </w:tr>
      <w:tr w14:paraId="62E1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F369D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79F0C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智能讲台</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032D8C2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讲台集成多种设备，集中处理管控多类信号，实现上课一键开关机，提升稳定性、兼容性及使用体验，减轻维护工作量。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讲台开放式钢木混合设计，外形美观，冷轧钢板厚≥1.0mm，经特殊处理后静电喷塑，漆面质感高端。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台面采用优质多层实木，稳定性好。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讲台尺寸为3200×490×1140mm（±50mm）。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柜体有带锁机柜，保障内部设备安全。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台面设有多种物品放置区域，便于使用笔记本电脑教学等。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侧面设电源插座，方便教学设备取电并保证安全。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有多处收纳空间，下方可存储物件，有2个抽屉用于收纳小配件。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配置2个15.6寸电磁电容书写屏，支持两种触控方式和多种教学动作，画面可同步到大屏显示设备。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书写屏可视角度不低于178°，分辨率1920×1080（16:9），支持10点触控。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 配备2支无源电磁书写笔，有多种功能及特性。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 5寸电容感应触控面板有多种操作功能，还支持设备控制和查看系统信息。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 支持对控制面进行权限设置，包括开放使用和非开放使用。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 支持讲台内置及周边设备一键联动控制，屏幕支持节能模式。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 讲台主机集成多项设备，提供多种接口连接讲台及周边设备。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 视频矩阵具备4进4出HDMI矩阵等功能。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 时序电源供电控电且支持设备自保护，过载会在面板提示。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 讲台配备6个阵列麦克，有多种拾音扩音特点，支持教师自由走动授课；讲台有设备管理平台维护数据与用户，支持调整使用权限，可采用IC卡或二维码开锁；支持对讲台运行情况监控并能远程操作；配套授课软件具备多种功能及特性，可满足各类教学需求。</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D86A3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Style w:val="42"/>
                <w:b w:val="0"/>
                <w:bCs w:val="0"/>
                <w:highlight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6B4A7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26D6F14B">
            <w:pPr>
              <w:rPr>
                <w:rFonts w:hint="eastAsia" w:ascii="宋体" w:hAnsi="宋体" w:eastAsia="宋体" w:cs="宋体"/>
                <w:b w:val="0"/>
                <w:bCs w:val="0"/>
                <w:i w:val="0"/>
                <w:iCs w:val="0"/>
                <w:color w:val="000000"/>
                <w:sz w:val="20"/>
                <w:szCs w:val="20"/>
                <w:highlight w:val="none"/>
                <w:u w:val="none"/>
              </w:rPr>
            </w:pPr>
          </w:p>
        </w:tc>
      </w:tr>
      <w:tr w14:paraId="2D18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D5842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1484D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授课终端</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4D03911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CPU：≥8核/2.3GHz/内存：16GB/硬盘：512G SSD/显示器：23.8英寸、鼠标键盘/显卡：2G独显/DVD刻录/操作系统：（激活）</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61AC0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Style w:val="42"/>
                <w:b w:val="0"/>
                <w:bCs w:val="0"/>
                <w:highlight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2109B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682457C4">
            <w:pPr>
              <w:rPr>
                <w:rFonts w:hint="eastAsia" w:ascii="宋体" w:hAnsi="宋体" w:eastAsia="宋体" w:cs="宋体"/>
                <w:b w:val="0"/>
                <w:bCs w:val="0"/>
                <w:i w:val="0"/>
                <w:iCs w:val="0"/>
                <w:color w:val="000000"/>
                <w:sz w:val="20"/>
                <w:szCs w:val="20"/>
                <w:highlight w:val="none"/>
                <w:u w:val="none"/>
              </w:rPr>
            </w:pPr>
          </w:p>
        </w:tc>
      </w:tr>
      <w:tr w14:paraId="1C89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C1FD1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1651E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全数字会议系统主机</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3693DD2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 采用IP网络传输，支持有线与无线会议单元混合使用。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 经扩展可多接会议单元，有不同接入方式。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 系统最大开6个话筒，可设同时发言人数限制。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 有特定的网络接口用于不同功能传输与供电，以及连接网络控制主机。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 多UHF频点选择，支持五种会议模式。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 可设VIP单元，数量有限制且在不同模式下的开启规则。</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 具备单元检测功能，两种检测方式。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 可通过多端控制主机进行签到、投票表决。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 可实现同声传译，有语言通道选择。</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 可设主机从机实现主备无缝切换。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 4.3寸TFT真彩屏，触摸屏操作，界面美观。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 自带节目播放器，能调整时间节能运行。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 显示字幕可选中/英文，内置DSP数字音效处理器。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 有两种会议录音方式，且具备发言定时及提醒功能。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 主机集成摄像跟踪系统，多种串口连接不同设备。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 设有多种输入输出插座，具备抗静电能力，外观设计高档且功耗等指标明确。31. LINE/ALARM输入灵敏度：250mV；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 LINE输出：1000mV；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 频率响应：30Hz--20KHz；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19. 总谐波失真：《0.3%；</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20. 性噪比：82dB；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21. 最大功耗：350W；</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83E77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F05F8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0C7A63F5">
            <w:pPr>
              <w:jc w:val="center"/>
              <w:rPr>
                <w:rFonts w:hint="eastAsia" w:ascii="宋体" w:hAnsi="宋体" w:eastAsia="宋体" w:cs="宋体"/>
                <w:b w:val="0"/>
                <w:bCs w:val="0"/>
                <w:i w:val="0"/>
                <w:iCs w:val="0"/>
                <w:color w:val="000000"/>
                <w:sz w:val="20"/>
                <w:szCs w:val="20"/>
                <w:highlight w:val="none"/>
                <w:u w:val="none"/>
              </w:rPr>
            </w:pPr>
          </w:p>
        </w:tc>
      </w:tr>
      <w:tr w14:paraId="6B2D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4EF78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BAAC4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无线会议主席话筒</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0912DEB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1.广视角高对比度128*64，采用2.42寸OLED显示屏，具备表决结果，音量大小，话筒状态，电量状态，WiFi状态等信息清晰显示；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2.5键投票按键,发言按键，主席带优先权按键；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3.内置可充电锂电池，电池容量支持快速充电；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4.续航时间8个小时以上；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5.每个会议单元具备独立的ID号，避免ID重复；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6.128位AES数字加密技术，具有WAP/WAP2安全连接，MAC地址过滤，隐藏SSID安全保障，可防止窃听和未经授权的访问；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7.高指向性麦克风头,带双色LED指示环；发言为红色，等待发言为绿色；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8.内置保真喇叭,打开麦克风后,喇叭自动静音防止啸叫；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9.主席表决发言单元也受最大发言人数限制；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10.主席表决发言单元具备关闭代表单元发言权限；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11.采用专业会议话筒，接头采用带螺帽旋钮式接头连接，可自由插拔；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12.主席表决发言单元具有全权控制会议秩序的优先功能，单元的连接位置不受限制，支持签到功能；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13.采用低延时技术话筒发言到扬声器输出最小延时小于20ms；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14.采用非压缩音频传输，48K采样，数字化控制、高水准低延时音频传输的高品质；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15.电池输出电压 3.7V；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16.电池容量10000mAH；</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17.频率响应 50Hz～15kHz；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18.耳机负载阻抗 &gt;32欧姆&lt;1K欧姆；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19.无线指标标准：IEEE 802.11n。</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76BFE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2616C7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61968F40">
            <w:pPr>
              <w:jc w:val="center"/>
              <w:rPr>
                <w:rFonts w:hint="eastAsia" w:ascii="宋体" w:hAnsi="宋体" w:eastAsia="宋体" w:cs="宋体"/>
                <w:b w:val="0"/>
                <w:bCs w:val="0"/>
                <w:i w:val="0"/>
                <w:iCs w:val="0"/>
                <w:color w:val="000000"/>
                <w:sz w:val="20"/>
                <w:szCs w:val="20"/>
                <w:highlight w:val="none"/>
                <w:u w:val="none"/>
              </w:rPr>
            </w:pPr>
          </w:p>
        </w:tc>
      </w:tr>
      <w:tr w14:paraId="56BD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066107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E2827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无线会议代表话筒</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7EEF601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1.广视角高对比度128*64，采用2.42寸OLED显示屏，具备表决结果，音量大小，话筒状态，电量状态，WiFi状态等信息清晰显示；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2.5键投票按键,发言按键；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3.内置可充电锂电池，电池容量支持快速充电；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4.续航时间8个小时以上；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5.每个会议单元具备独立的ID号，避免ID重复；</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6.128位AES数字加密技术，具有WAP/WAP2安全连接，MAC地址过滤，隐藏SSID安全保障，可防止窃听和未经授权的访问；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7.高指向性麦克风头,带双色LED指示环；发言为红色，等待发言为绿色；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8.内置保真喇叭,打开麦克风后,喇叭自动静音防止啸叫；</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9.代表单元也受最大发言人数限制；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10.采用专业会议话筒，接头采用带螺帽旋钮式接头连接，可自由插拔；</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11.代表单元的连接位置不受限制，支持签到功能；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12.采用低延时技术话筒发言到扬声器输出最小延时小于20ms；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13.采用非压缩音频传输，48K采样，数字化控制、高水准低延时音频传输的高品质；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14.电池输出电压 3.7V；</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15.电池容量10000mAH；</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16.频率响应 50Hz～15kHz；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17.耳机负载阻抗 &gt;32欧姆&lt;1K欧姆；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18.无线指标标准：IEEE 802.11n；</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5D289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A7CA5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CC3CD07">
            <w:pPr>
              <w:jc w:val="center"/>
              <w:rPr>
                <w:rFonts w:hint="eastAsia" w:ascii="宋体" w:hAnsi="宋体" w:eastAsia="宋体" w:cs="宋体"/>
                <w:b w:val="0"/>
                <w:bCs w:val="0"/>
                <w:i w:val="0"/>
                <w:iCs w:val="0"/>
                <w:color w:val="000000"/>
                <w:sz w:val="20"/>
                <w:szCs w:val="20"/>
                <w:highlight w:val="none"/>
                <w:u w:val="none"/>
              </w:rPr>
            </w:pPr>
          </w:p>
        </w:tc>
      </w:tr>
      <w:tr w14:paraId="72ED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5B6E0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26524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会议单元专用充电箱</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4D43A47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1.宽电压输入100V-240V AC：50/60Hz；2.支持快充慢充，快充USB口输出9V,慢充输出5V；3.锂电池为1000mAH,充满小于3.5小时；4.能同时给10个单元充电；5.满足充电QC3.0协议。6.最大功耗：200W；7.尺寸：197*197*47mm；8.重量：1.3Kg。</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E7D11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6220B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24409C3">
            <w:pPr>
              <w:jc w:val="center"/>
              <w:rPr>
                <w:rFonts w:hint="eastAsia" w:ascii="宋体" w:hAnsi="宋体" w:eastAsia="宋体" w:cs="宋体"/>
                <w:b w:val="0"/>
                <w:bCs w:val="0"/>
                <w:i w:val="0"/>
                <w:iCs w:val="0"/>
                <w:color w:val="000000"/>
                <w:sz w:val="20"/>
                <w:szCs w:val="20"/>
                <w:highlight w:val="none"/>
                <w:u w:val="none"/>
              </w:rPr>
            </w:pPr>
          </w:p>
        </w:tc>
      </w:tr>
      <w:tr w14:paraId="6D23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0F5550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6AC57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全数字会议主机交换机</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5451660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1.下行端口：8 个 10/100/1000Base-TX 以太网端口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2.上行端口：2 个 1.25G SFP 光口插槽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3.管理端口：1 个 Console 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4.PoE 端口：8 个 PoE+供电端口（1-8 口），传输距离 100 米；总功率：120W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5.PoE 标准：支持 IEEE802.3at 供电标准；兼容 IEEE802.3af 供电标准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6.交换容量：66Gbps</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7.转发速率：27Mpps</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7DB77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A6D79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FFF19BB">
            <w:pPr>
              <w:jc w:val="center"/>
              <w:rPr>
                <w:rFonts w:hint="eastAsia" w:ascii="宋体" w:hAnsi="宋体" w:eastAsia="宋体" w:cs="宋体"/>
                <w:b w:val="0"/>
                <w:bCs w:val="0"/>
                <w:i w:val="0"/>
                <w:iCs w:val="0"/>
                <w:color w:val="000000"/>
                <w:sz w:val="20"/>
                <w:szCs w:val="20"/>
                <w:highlight w:val="none"/>
                <w:u w:val="none"/>
              </w:rPr>
            </w:pPr>
          </w:p>
        </w:tc>
      </w:tr>
      <w:tr w14:paraId="51CB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11772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8AD5F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无线路由器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35B7C68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1.采用WPA/WPA2数字加密技术的WiFi信号传输，确保了会议私密性，避免窃听和恶意干扰；</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2.符合IEEE802.11ac Wave-2/a/b/g/n 无线标准；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3.多个2.4GHZ、5GHZ频点选择；</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4.具有两路RJ45接口，1路连接D7301 5G WiFi加密无线发射主机，另一路连接AP,可扩展单元，连接线缆建议使用高质量的交叉CAT6线缆；</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5.在空旷受干扰弱的情况下信号覆盖面积可达到半径为30米的圆面积，一般为半径25米的圆面积；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6.内置四天线设计使数据传输更加的稳定；</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7.最大功耗：15W；</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97A9E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7A5FF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51AE9A62">
            <w:pPr>
              <w:jc w:val="center"/>
              <w:rPr>
                <w:rFonts w:hint="eastAsia" w:ascii="宋体" w:hAnsi="宋体" w:eastAsia="宋体" w:cs="宋体"/>
                <w:b w:val="0"/>
                <w:bCs w:val="0"/>
                <w:i w:val="0"/>
                <w:iCs w:val="0"/>
                <w:color w:val="000000"/>
                <w:sz w:val="20"/>
                <w:szCs w:val="20"/>
                <w:highlight w:val="none"/>
                <w:u w:val="none"/>
              </w:rPr>
            </w:pPr>
          </w:p>
        </w:tc>
      </w:tr>
      <w:tr w14:paraId="36EA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1CED9F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13</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05B902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无源全频音箱</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78950AF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1.倒相式低频辐射的二分频全频系统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2.表面黑色大斑点水性油漆喷涂处理木箱，有孔金属网背贴声学透声棉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3.高效，高质量单元配置，多个吊挂孔设置，可悬挂安装</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性能：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1.驱动单元 LF12"×1 HF1.75"×1；2.频率响应 55Hz-18kHz；3.灵敏度 98±2dB；4.最大声压级 123±2dB；5.额定阻抗 8</w:t>
            </w:r>
            <w:r>
              <w:rPr>
                <w:rFonts w:ascii="Calibri" w:hAnsi="Calibri" w:eastAsia="宋体" w:cs="Calibri"/>
                <w:b w:val="0"/>
                <w:bCs w:val="0"/>
                <w:i w:val="0"/>
                <w:iCs w:val="0"/>
                <w:color w:val="000000"/>
                <w:kern w:val="0"/>
                <w:sz w:val="20"/>
                <w:szCs w:val="20"/>
                <w:highlight w:val="none"/>
                <w:u w:val="none"/>
                <w:lang w:val="en-US" w:eastAsia="zh-CN" w:bidi="ar"/>
              </w:rPr>
              <w:t>Ω</w:t>
            </w:r>
            <w:r>
              <w:rPr>
                <w:rFonts w:hint="eastAsia" w:ascii="宋体" w:hAnsi="宋体" w:eastAsia="宋体" w:cs="宋体"/>
                <w:b w:val="0"/>
                <w:bCs w:val="0"/>
                <w:i w:val="0"/>
                <w:iCs w:val="0"/>
                <w:color w:val="000000"/>
                <w:kern w:val="0"/>
                <w:sz w:val="20"/>
                <w:szCs w:val="20"/>
                <w:highlight w:val="none"/>
                <w:u w:val="none"/>
                <w:lang w:val="en-US" w:eastAsia="zh-CN" w:bidi="ar"/>
              </w:rPr>
              <w:t>；6.额定功率 350W；7.指向性（H×V） 90°×40°含支架。</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5DEFF1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只</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074863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D79491F">
            <w:pPr>
              <w:jc w:val="center"/>
              <w:rPr>
                <w:rFonts w:hint="eastAsia" w:ascii="宋体" w:hAnsi="宋体" w:eastAsia="宋体" w:cs="宋体"/>
                <w:b w:val="0"/>
                <w:bCs w:val="0"/>
                <w:i w:val="0"/>
                <w:iCs w:val="0"/>
                <w:color w:val="000000"/>
                <w:sz w:val="20"/>
                <w:szCs w:val="20"/>
                <w:highlight w:val="none"/>
                <w:u w:val="none"/>
              </w:rPr>
            </w:pPr>
          </w:p>
        </w:tc>
      </w:tr>
      <w:tr w14:paraId="4CA2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38686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17461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双通道专业数字功放</w:t>
            </w:r>
          </w:p>
        </w:tc>
        <w:tc>
          <w:tcPr>
            <w:tcW w:w="8305" w:type="dxa"/>
            <w:tcBorders>
              <w:top w:val="single" w:color="000000" w:sz="4" w:space="0"/>
              <w:left w:val="single" w:color="000000" w:sz="4" w:space="0"/>
              <w:bottom w:val="single" w:color="000000" w:sz="4" w:space="0"/>
              <w:right w:val="single" w:color="000000" w:sz="4" w:space="0"/>
            </w:tcBorders>
            <w:noWrap w:val="0"/>
            <w:vAlign w:val="top"/>
          </w:tcPr>
          <w:p w14:paraId="73B0DF5A">
            <w:pPr>
              <w:keepNext w:val="0"/>
              <w:keepLines w:val="0"/>
              <w:widowControl/>
              <w:suppressLineNumbers w:val="0"/>
              <w:jc w:val="left"/>
              <w:textAlignment w:val="top"/>
              <w:rPr>
                <w:rFonts w:hint="eastAsia" w:ascii="宋体" w:hAnsi="宋体" w:eastAsia="宋体" w:cs="宋体"/>
                <w:b w:val="0"/>
                <w:bCs w:val="0"/>
                <w:i w:val="0"/>
                <w:iCs w:val="0"/>
                <w:color w:val="000000"/>
                <w:sz w:val="20"/>
                <w:szCs w:val="20"/>
                <w:highlight w:val="none"/>
                <w:u w:val="none"/>
              </w:rPr>
            </w:pPr>
            <w:r>
              <w:rPr>
                <w:rStyle w:val="43"/>
                <w:b w:val="0"/>
                <w:bCs w:val="0"/>
                <w:highlight w:val="none"/>
                <w:lang w:val="en-US" w:eastAsia="zh-CN" w:bidi="ar"/>
              </w:rPr>
              <w:t>1.双声道立体声专业数字功率放大器,全系列统铝合金面板；</w:t>
            </w:r>
            <w:r>
              <w:rPr>
                <w:rStyle w:val="43"/>
                <w:b w:val="0"/>
                <w:bCs w:val="0"/>
                <w:highlight w:val="none"/>
                <w:lang w:val="en-US" w:eastAsia="zh-CN" w:bidi="ar"/>
              </w:rPr>
              <w:br w:type="textWrapping"/>
            </w:r>
            <w:r>
              <w:rPr>
                <w:rStyle w:val="43"/>
                <w:b w:val="0"/>
                <w:bCs w:val="0"/>
                <w:highlight w:val="none"/>
                <w:lang w:val="en-US" w:eastAsia="zh-CN" w:bidi="ar"/>
              </w:rPr>
              <w:t>2. 有双声道、单声道和BTL桥接三种输出方式供选择，输出方式开关选择；</w:t>
            </w:r>
            <w:r>
              <w:rPr>
                <w:rStyle w:val="43"/>
                <w:b w:val="0"/>
                <w:bCs w:val="0"/>
                <w:highlight w:val="none"/>
                <w:lang w:val="en-US" w:eastAsia="zh-CN" w:bidi="ar"/>
              </w:rPr>
              <w:br w:type="textWrapping"/>
            </w:r>
            <w:r>
              <w:rPr>
                <w:rStyle w:val="43"/>
                <w:b w:val="0"/>
                <w:bCs w:val="0"/>
                <w:highlight w:val="none"/>
                <w:lang w:val="en-US" w:eastAsia="zh-CN" w:bidi="ar"/>
              </w:rPr>
              <w:t>3.每声道音量可调；</w:t>
            </w:r>
            <w:r>
              <w:rPr>
                <w:rStyle w:val="43"/>
                <w:b w:val="0"/>
                <w:bCs w:val="0"/>
                <w:highlight w:val="none"/>
                <w:lang w:val="en-US" w:eastAsia="zh-CN" w:bidi="ar"/>
              </w:rPr>
              <w:br w:type="textWrapping"/>
            </w:r>
            <w:r>
              <w:rPr>
                <w:rStyle w:val="43"/>
                <w:b w:val="0"/>
                <w:bCs w:val="0"/>
                <w:highlight w:val="none"/>
                <w:lang w:val="en-US" w:eastAsia="zh-CN" w:bidi="ar"/>
              </w:rPr>
              <w:t>4. 立体声工作最小负载阻抗为4</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，BTL工作最小负载阻抗为8</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；动态功率强劲，可实现低阻抗驱动。</w:t>
            </w:r>
            <w:r>
              <w:rPr>
                <w:rStyle w:val="43"/>
                <w:b w:val="0"/>
                <w:bCs w:val="0"/>
                <w:highlight w:val="none"/>
                <w:lang w:val="en-US" w:eastAsia="zh-CN" w:bidi="ar"/>
              </w:rPr>
              <w:br w:type="textWrapping"/>
            </w:r>
            <w:r>
              <w:rPr>
                <w:rStyle w:val="43"/>
                <w:b w:val="0"/>
                <w:bCs w:val="0"/>
                <w:highlight w:val="none"/>
                <w:lang w:val="en-US" w:eastAsia="zh-CN" w:bidi="ar"/>
              </w:rPr>
              <w:t>5. 全系列配置XLR平行输入输出接口，更适合专业设备的应用习惯；</w:t>
            </w:r>
            <w:r>
              <w:rPr>
                <w:rStyle w:val="43"/>
                <w:b w:val="0"/>
                <w:bCs w:val="0"/>
                <w:highlight w:val="none"/>
                <w:lang w:val="en-US" w:eastAsia="zh-CN" w:bidi="ar"/>
              </w:rPr>
              <w:br w:type="textWrapping"/>
            </w:r>
            <w:r>
              <w:rPr>
                <w:rStyle w:val="43"/>
                <w:b w:val="0"/>
                <w:bCs w:val="0"/>
                <w:highlight w:val="none"/>
                <w:lang w:val="en-US" w:eastAsia="zh-CN" w:bidi="ar"/>
              </w:rPr>
              <w:t>5. 标配APFC主动式功率因数校正电路，可以在电网波动较大的供电条件下也能稳定满功率工作，</w:t>
            </w:r>
            <w:r>
              <w:rPr>
                <w:rStyle w:val="43"/>
                <w:b w:val="0"/>
                <w:bCs w:val="0"/>
                <w:highlight w:val="none"/>
                <w:lang w:val="en-US" w:eastAsia="zh-CN" w:bidi="ar"/>
              </w:rPr>
              <w:br w:type="textWrapping"/>
            </w:r>
            <w:r>
              <w:rPr>
                <w:rStyle w:val="43"/>
                <w:b w:val="0"/>
                <w:bCs w:val="0"/>
                <w:highlight w:val="none"/>
                <w:lang w:val="en-US" w:eastAsia="zh-CN" w:bidi="ar"/>
              </w:rPr>
              <w:t>6. 小信号的时候不会出现交越失真；</w:t>
            </w:r>
            <w:r>
              <w:rPr>
                <w:rStyle w:val="43"/>
                <w:b w:val="0"/>
                <w:bCs w:val="0"/>
                <w:highlight w:val="none"/>
                <w:lang w:val="en-US" w:eastAsia="zh-CN" w:bidi="ar"/>
              </w:rPr>
              <w:br w:type="textWrapping"/>
            </w:r>
            <w:r>
              <w:rPr>
                <w:rStyle w:val="43"/>
                <w:b w:val="0"/>
                <w:bCs w:val="0"/>
                <w:highlight w:val="none"/>
                <w:lang w:val="en-US" w:eastAsia="zh-CN" w:bidi="ar"/>
              </w:rPr>
              <w:t>7. 内置先进的电压压限，可以避免输入电压出现异常或过大导致功率输出异常，出现削波失真影响听音体验以及危害音箱的高音单元。</w:t>
            </w:r>
            <w:r>
              <w:rPr>
                <w:rStyle w:val="43"/>
                <w:b w:val="0"/>
                <w:bCs w:val="0"/>
                <w:highlight w:val="none"/>
                <w:lang w:val="en-US" w:eastAsia="zh-CN" w:bidi="ar"/>
              </w:rPr>
              <w:br w:type="textWrapping"/>
            </w:r>
            <w:r>
              <w:rPr>
                <w:rStyle w:val="43"/>
                <w:b w:val="0"/>
                <w:bCs w:val="0"/>
                <w:highlight w:val="none"/>
                <w:lang w:val="en-US" w:eastAsia="zh-CN" w:bidi="ar"/>
              </w:rPr>
              <w:t>8. 中高频比模拟功放更清晰，非常适合用于会议等多种不同场合的语言传输和扩声；</w:t>
            </w:r>
            <w:r>
              <w:rPr>
                <w:rStyle w:val="43"/>
                <w:b w:val="0"/>
                <w:bCs w:val="0"/>
                <w:highlight w:val="none"/>
                <w:lang w:val="en-US" w:eastAsia="zh-CN" w:bidi="ar"/>
              </w:rPr>
              <w:br w:type="textWrapping"/>
            </w:r>
            <w:r>
              <w:rPr>
                <w:rStyle w:val="43"/>
                <w:b w:val="0"/>
                <w:bCs w:val="0"/>
                <w:highlight w:val="none"/>
                <w:lang w:val="en-US" w:eastAsia="zh-CN" w:bidi="ar"/>
              </w:rPr>
              <w:t>9. 效率要高，发热量更少，工作温度范围更宽；10.各通道均配备LED工作状态指示；11.输入灵敏度：≤1000mV；信噪比：≥95dB；频响：20Hz-20kHz（±2dB）；通道串扰：≤70dB；转换速率：≥15V/uS；阻尼系数/8</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@1Khz： ≥230；总谐波失真：≤0.3% （1kHz，正常工作条件）；额定功率：2X650W@8</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 xml:space="preserve"> 2X950W@4</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 xml:space="preserve"> 1900W@桥接8</w:t>
            </w:r>
            <w:r>
              <w:rPr>
                <w:rFonts w:hint="default" w:ascii="Calibri" w:hAnsi="Calibri" w:eastAsia="宋体" w:cs="Calibri"/>
                <w:b w:val="0"/>
                <w:bCs w:val="0"/>
                <w:i w:val="0"/>
                <w:iCs w:val="0"/>
                <w:color w:val="000000"/>
                <w:kern w:val="0"/>
                <w:sz w:val="20"/>
                <w:szCs w:val="20"/>
                <w:highlight w:val="none"/>
                <w:u w:val="none"/>
                <w:lang w:val="en-US" w:eastAsia="zh-CN" w:bidi="ar"/>
              </w:rPr>
              <w:t>Ω</w:t>
            </w:r>
            <w:r>
              <w:rPr>
                <w:rStyle w:val="43"/>
                <w:b w:val="0"/>
                <w:bCs w:val="0"/>
                <w:highlight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616B2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9402C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F7ED56E">
            <w:pPr>
              <w:jc w:val="center"/>
              <w:rPr>
                <w:rFonts w:hint="eastAsia" w:ascii="宋体" w:hAnsi="宋体" w:eastAsia="宋体" w:cs="宋体"/>
                <w:b w:val="0"/>
                <w:bCs w:val="0"/>
                <w:i w:val="0"/>
                <w:iCs w:val="0"/>
                <w:color w:val="000000"/>
                <w:sz w:val="20"/>
                <w:szCs w:val="20"/>
                <w:highlight w:val="none"/>
                <w:u w:val="none"/>
              </w:rPr>
            </w:pPr>
          </w:p>
        </w:tc>
      </w:tr>
      <w:tr w14:paraId="1AE8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5D31FB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BC708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专业音频处理器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4D2F507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1.4路模拟输入8路模拟输出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2.支持麦克风输入和线路输入自由切换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3.每路输入带48V幻象电源，通过网页开关控制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4.输入电平设置、信号发生器、噪声门、延时、压限器、限幅器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5.每路输入带反馈抑制功能开关</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6.矩阵混音功能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7.TCP/IP，网页端进行各种参数调节控制</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8.RS-232、RS-485、GPIO接口提供完善的控制功能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9.输入5段EQ可调，输出31段EQ可调</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10.多种模式场景快速切换</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11.供电范围：AC100V---240V  50/60 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12.尺寸：44.5mmx482mmx265mm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13.净重：2.8kg，3.3kg</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14.工作温度：-20℃--80℃</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094C3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331A6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4E36F153">
            <w:pPr>
              <w:jc w:val="center"/>
              <w:rPr>
                <w:rFonts w:hint="eastAsia" w:ascii="宋体" w:hAnsi="宋体" w:eastAsia="宋体" w:cs="宋体"/>
                <w:b w:val="0"/>
                <w:bCs w:val="0"/>
                <w:i w:val="0"/>
                <w:iCs w:val="0"/>
                <w:color w:val="000000"/>
                <w:sz w:val="20"/>
                <w:szCs w:val="20"/>
                <w:highlight w:val="none"/>
                <w:u w:val="none"/>
              </w:rPr>
            </w:pPr>
          </w:p>
        </w:tc>
      </w:tr>
      <w:tr w14:paraId="61A2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378869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16</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F7F7E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专业自动反馈抑制器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18105F6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1.2路线路/话筒输入，2路线路/话筒输出；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2.内置高端高速浮点数字信号处理器和自适应反馈陷波处理算法技术；</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3.面板带有4*8段实时电平显示指示灯，精准显示输入/输出信号电平的大小；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4.面板带有通道静音，旁路和滤波器重置的快速按钮；</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5.每路输入带15个自适应陷波滤波器，可按需配置动态/固定滤波器数量；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6.TCP/IP控制协议，连接PC电脑进行网页端进行各种详细参数的控制调节；</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7.支持多档位模拟音量调节(-18dBV ~ 12dBV)，最大输入电平(1%失真)10V，信噪比(0dBv)≥93dB；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8.设备供电范围：AC100V---240V  50/60 Hz，功耗≤10W；</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9.尺寸：432.5mm X 186mm X 44mm，2.35kg</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539AB1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79A3D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1E01801C">
            <w:pPr>
              <w:jc w:val="center"/>
              <w:rPr>
                <w:rFonts w:hint="eastAsia" w:ascii="宋体" w:hAnsi="宋体" w:eastAsia="宋体" w:cs="宋体"/>
                <w:b w:val="0"/>
                <w:bCs w:val="0"/>
                <w:i w:val="0"/>
                <w:iCs w:val="0"/>
                <w:color w:val="000000"/>
                <w:sz w:val="20"/>
                <w:szCs w:val="20"/>
                <w:highlight w:val="none"/>
                <w:u w:val="none"/>
              </w:rPr>
            </w:pPr>
          </w:p>
        </w:tc>
      </w:tr>
      <w:tr w14:paraId="2826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B5679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17</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42294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调音台</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5C4C6F5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1.14路XLR平衡单声道输入+2路立体声输入</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2.每通道3段均衡调节，MUTE静音开关，PFL耳机开关，平滑60MM行程推子器，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3.2编组输出 +2组AUX输出（包括FX), 1组返回，1组耳机监听</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4.内置48V幻象电源供电；</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5.24种DSP数字效果器,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6.内置USB音频播放MP3；USB录音、可连电脑播放音乐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7.内置蓝牙接收模块</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8.LED大显示屏清淅显示播放状态;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9.十段三色电平灯显示信号状态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10.XLR平衡输入话放噪声极低，超低噪音线路设计，动态余量大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11.适用全球供电电压功率30瓦；使用灵活。具有无噪声、瞬间反应好、电耗低的特性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242A56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F6EA9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2BBA4380">
            <w:pPr>
              <w:jc w:val="center"/>
              <w:rPr>
                <w:rFonts w:hint="eastAsia" w:ascii="宋体" w:hAnsi="宋体" w:eastAsia="宋体" w:cs="宋体"/>
                <w:b w:val="0"/>
                <w:bCs w:val="0"/>
                <w:i w:val="0"/>
                <w:iCs w:val="0"/>
                <w:color w:val="000000"/>
                <w:sz w:val="20"/>
                <w:szCs w:val="20"/>
                <w:highlight w:val="none"/>
                <w:u w:val="none"/>
              </w:rPr>
            </w:pPr>
          </w:p>
        </w:tc>
      </w:tr>
      <w:tr w14:paraId="34D5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90D14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18</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D77C7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真分集无线话筒</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6845868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1：波段范围（UHF）：632MHz～695MHz；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2：PLL双频道锁相环回路设计；</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3：UHF200频道PLL数字锁定自动通讯功能；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4：显示屏显示功能(显示频率、频道、静噪、电平等)；</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5：每通道有音量调节功能；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6：AF输出（采用“XLR”型插座分别输出，混合输出）；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7:发射功率调节，高功率14dBm; 低功率6dBm；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8:发射机采用2节5号1.5V碱性电池；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9：动态范围：88dB;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10:最大频偏：±45KHz；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11：频率响应：120Hz-16KHz(±3dB)；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12：综合信噪比：&gt;73dB；</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13：综合失真度：≤1%；</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14:发射机工作时间8小时以上；</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15.含1台一拖二接收机及2只手持式话筒.</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F54CF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A7491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374F90DE">
            <w:pPr>
              <w:jc w:val="center"/>
              <w:rPr>
                <w:rFonts w:hint="eastAsia" w:ascii="宋体" w:hAnsi="宋体" w:eastAsia="宋体" w:cs="宋体"/>
                <w:b w:val="0"/>
                <w:bCs w:val="0"/>
                <w:i w:val="0"/>
                <w:iCs w:val="0"/>
                <w:color w:val="000000"/>
                <w:sz w:val="20"/>
                <w:szCs w:val="20"/>
                <w:highlight w:val="none"/>
                <w:u w:val="none"/>
              </w:rPr>
            </w:pPr>
          </w:p>
        </w:tc>
      </w:tr>
      <w:tr w14:paraId="0147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134A1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19</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69E75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电源时序器</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737CC3C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1.独立的八路大功率电源输出，万能插座，可满足多种三极的电源插座；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2.单路最大输出为 10A，总输入电流容量 16A；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3.八路通道开关状态可由面板控制操作和显示；通过面板一键开关，可时序关启通道，实现时序功能；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4.开机时由前级到后级按顺序逐个启动各类设备，关机时由后级到前级逐个关闭各个设备，有效的统一管理控制用电设备，确保整个系统的稳定运行；</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5.可广泛用于多媒体教室、多功能厅、会议室、投影拼接、视频会议、监控中心、楼宇控制、管理指挥中心等领域。</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6.性能规格：</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7.电源输出：8路，万能插座</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8.单路最大负荷：10A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9.控制方式：手动顺序启动、外接短路信号触发启动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10.电源容量：总容量220V，16A</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11.输入电源：AC220/50Hz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12.时序间隔：0.4-0.5s</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0409D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80291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14:paraId="725F0D9D">
            <w:pPr>
              <w:jc w:val="center"/>
              <w:rPr>
                <w:rFonts w:hint="eastAsia" w:ascii="宋体" w:hAnsi="宋体" w:eastAsia="宋体" w:cs="宋体"/>
                <w:b w:val="0"/>
                <w:bCs w:val="0"/>
                <w:i w:val="0"/>
                <w:iCs w:val="0"/>
                <w:color w:val="000000"/>
                <w:sz w:val="20"/>
                <w:szCs w:val="20"/>
                <w:highlight w:val="none"/>
                <w:u w:val="none"/>
              </w:rPr>
            </w:pPr>
          </w:p>
        </w:tc>
      </w:tr>
      <w:tr w14:paraId="6E1C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tcBorders>
              <w:top w:val="single" w:color="000000" w:sz="4" w:space="0"/>
              <w:left w:val="single" w:color="000000" w:sz="4" w:space="0"/>
              <w:bottom w:val="single" w:color="000000" w:sz="4" w:space="0"/>
              <w:right w:val="single" w:color="000000" w:sz="4" w:space="0"/>
            </w:tcBorders>
            <w:noWrap w:val="0"/>
            <w:vAlign w:val="center"/>
          </w:tcPr>
          <w:p w14:paraId="3638C0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FE1D0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普通机柜</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6BF6E40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42U机柜，2个理线架，2个侧板，1个底板，4个固定托盘，2个全高竖装32A PDU。采用黑色， PDU外壳选用优质型材；PDU电压：AC220V，输入容量：32A，分路空开配置15*A10+4*A16。</w:t>
            </w:r>
          </w:p>
        </w:tc>
        <w:tc>
          <w:tcPr>
            <w:tcW w:w="327" w:type="dxa"/>
            <w:tcBorders>
              <w:top w:val="single" w:color="000000" w:sz="4" w:space="0"/>
              <w:left w:val="single" w:color="000000" w:sz="4" w:space="0"/>
              <w:bottom w:val="single" w:color="000000" w:sz="4" w:space="0"/>
              <w:right w:val="single" w:color="000000" w:sz="4" w:space="0"/>
            </w:tcBorders>
            <w:noWrap/>
            <w:vAlign w:val="center"/>
          </w:tcPr>
          <w:p w14:paraId="6AF315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EEA7D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bottom"/>
          </w:tcPr>
          <w:p w14:paraId="1EB45CED">
            <w:pPr>
              <w:rPr>
                <w:rFonts w:hint="eastAsia" w:ascii="宋体" w:hAnsi="宋体" w:eastAsia="宋体" w:cs="宋体"/>
                <w:b w:val="0"/>
                <w:bCs w:val="0"/>
                <w:i w:val="0"/>
                <w:iCs w:val="0"/>
                <w:color w:val="000000"/>
                <w:sz w:val="20"/>
                <w:szCs w:val="20"/>
                <w:highlight w:val="none"/>
                <w:u w:val="none"/>
              </w:rPr>
            </w:pPr>
          </w:p>
        </w:tc>
      </w:tr>
      <w:tr w14:paraId="6221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1E589B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CC0C2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790D158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六类非屏蔽网线 无氧铜千兆网线</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09CBA6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8B53B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790B57E">
            <w:pPr>
              <w:jc w:val="center"/>
              <w:rPr>
                <w:rFonts w:hint="eastAsia" w:ascii="宋体" w:hAnsi="宋体" w:eastAsia="宋体" w:cs="宋体"/>
                <w:b w:val="0"/>
                <w:bCs w:val="0"/>
                <w:i w:val="0"/>
                <w:iCs w:val="0"/>
                <w:color w:val="000000"/>
                <w:sz w:val="20"/>
                <w:szCs w:val="20"/>
                <w:highlight w:val="none"/>
                <w:u w:val="none"/>
              </w:rPr>
            </w:pPr>
          </w:p>
        </w:tc>
      </w:tr>
      <w:tr w14:paraId="6343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0"/>
            <w:vAlign w:val="center"/>
          </w:tcPr>
          <w:p w14:paraId="62B0BB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21634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线材</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25D422C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铜芯护套线RVV2*1.5</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780480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354CEB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002A583D">
            <w:pPr>
              <w:rPr>
                <w:rFonts w:hint="eastAsia" w:ascii="宋体" w:hAnsi="宋体" w:eastAsia="宋体" w:cs="宋体"/>
                <w:b w:val="0"/>
                <w:bCs w:val="0"/>
                <w:i w:val="0"/>
                <w:iCs w:val="0"/>
                <w:color w:val="000000"/>
                <w:sz w:val="24"/>
                <w:szCs w:val="24"/>
                <w:highlight w:val="none"/>
                <w:u w:val="none"/>
              </w:rPr>
            </w:pPr>
          </w:p>
        </w:tc>
      </w:tr>
      <w:tr w14:paraId="7D32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0D7634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23</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2284F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线材</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35ACC16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铜芯护套线RVV2*2.5</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61554F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036A52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100</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3D56B66E">
            <w:pPr>
              <w:jc w:val="center"/>
              <w:rPr>
                <w:rFonts w:hint="eastAsia" w:ascii="宋体" w:hAnsi="宋体" w:eastAsia="宋体" w:cs="宋体"/>
                <w:b w:val="0"/>
                <w:bCs w:val="0"/>
                <w:i w:val="0"/>
                <w:iCs w:val="0"/>
                <w:color w:val="000000"/>
                <w:sz w:val="20"/>
                <w:szCs w:val="20"/>
                <w:highlight w:val="none"/>
                <w:u w:val="none"/>
              </w:rPr>
            </w:pPr>
          </w:p>
        </w:tc>
      </w:tr>
      <w:tr w14:paraId="38D4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8" w:type="dxa"/>
            <w:tcBorders>
              <w:top w:val="single" w:color="000000" w:sz="4" w:space="0"/>
              <w:left w:val="single" w:color="000000" w:sz="4" w:space="0"/>
              <w:bottom w:val="single" w:color="000000" w:sz="4" w:space="0"/>
              <w:right w:val="single" w:color="000000" w:sz="4" w:space="0"/>
            </w:tcBorders>
            <w:noWrap w:val="0"/>
            <w:vAlign w:val="center"/>
          </w:tcPr>
          <w:p w14:paraId="43C610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24</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DCC52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辅材</w:t>
            </w:r>
          </w:p>
        </w:tc>
        <w:tc>
          <w:tcPr>
            <w:tcW w:w="8305" w:type="dxa"/>
            <w:tcBorders>
              <w:top w:val="single" w:color="000000" w:sz="4" w:space="0"/>
              <w:left w:val="single" w:color="000000" w:sz="4" w:space="0"/>
              <w:bottom w:val="single" w:color="000000" w:sz="4" w:space="0"/>
              <w:right w:val="single" w:color="000000" w:sz="4" w:space="0"/>
            </w:tcBorders>
            <w:noWrap w:val="0"/>
            <w:vAlign w:val="center"/>
          </w:tcPr>
          <w:p w14:paraId="10AA9B0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高清线、线槽、水晶头、电源接头，胶带等</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1512BE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ACA03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341" w:type="dxa"/>
            <w:tcBorders>
              <w:top w:val="single" w:color="000000" w:sz="4" w:space="0"/>
              <w:left w:val="single" w:color="000000" w:sz="4" w:space="0"/>
              <w:bottom w:val="single" w:color="000000" w:sz="4" w:space="0"/>
              <w:right w:val="single" w:color="000000" w:sz="4" w:space="0"/>
            </w:tcBorders>
            <w:noWrap/>
            <w:vAlign w:val="center"/>
          </w:tcPr>
          <w:p w14:paraId="66BAD947">
            <w:pPr>
              <w:jc w:val="center"/>
              <w:rPr>
                <w:rFonts w:hint="eastAsia" w:ascii="宋体" w:hAnsi="宋体" w:eastAsia="宋体" w:cs="宋体"/>
                <w:b w:val="0"/>
                <w:bCs w:val="0"/>
                <w:i w:val="0"/>
                <w:iCs w:val="0"/>
                <w:color w:val="000000"/>
                <w:sz w:val="20"/>
                <w:szCs w:val="20"/>
                <w:highlight w:val="none"/>
                <w:u w:val="none"/>
              </w:rPr>
            </w:pPr>
          </w:p>
        </w:tc>
      </w:tr>
    </w:tbl>
    <w:p w14:paraId="63295A95">
      <w:pPr>
        <w:rPr>
          <w:rFonts w:hint="eastAsia" w:ascii="宋体" w:hAnsi="宋体" w:eastAsia="宋体" w:cs="宋体"/>
          <w:highlight w:val="none"/>
        </w:rPr>
      </w:pPr>
      <w:r>
        <w:rPr>
          <w:rFonts w:hint="eastAsia" w:ascii="宋体" w:hAnsi="宋体" w:eastAsia="宋体" w:cs="宋体"/>
          <w:highlight w:val="none"/>
        </w:rPr>
        <w:br w:type="page"/>
      </w:r>
    </w:p>
    <w:tbl>
      <w:tblPr>
        <w:tblStyle w:val="17"/>
        <w:tblpPr w:leftFromText="180" w:rightFromText="180" w:vertAnchor="text" w:horzAnchor="page" w:tblpX="827" w:tblpY="375"/>
        <w:tblOverlap w:val="never"/>
        <w:tblW w:w="10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0"/>
        <w:gridCol w:w="883"/>
        <w:gridCol w:w="8283"/>
        <w:gridCol w:w="334"/>
        <w:gridCol w:w="533"/>
        <w:gridCol w:w="333"/>
      </w:tblGrid>
      <w:tr w14:paraId="455E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50" w:type="dxa"/>
            <w:shd w:val="clear" w:color="auto" w:fill="auto"/>
            <w:noWrap/>
            <w:vAlign w:val="center"/>
          </w:tcPr>
          <w:p w14:paraId="23F204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序号</w:t>
            </w:r>
          </w:p>
        </w:tc>
        <w:tc>
          <w:tcPr>
            <w:tcW w:w="883" w:type="dxa"/>
            <w:shd w:val="clear" w:color="auto" w:fill="auto"/>
            <w:vAlign w:val="center"/>
          </w:tcPr>
          <w:p w14:paraId="4A6D1C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名称</w:t>
            </w:r>
          </w:p>
        </w:tc>
        <w:tc>
          <w:tcPr>
            <w:tcW w:w="8283" w:type="dxa"/>
            <w:shd w:val="clear" w:color="auto" w:fill="auto"/>
            <w:noWrap/>
            <w:vAlign w:val="center"/>
          </w:tcPr>
          <w:p w14:paraId="55F837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功能参数</w:t>
            </w:r>
          </w:p>
        </w:tc>
        <w:tc>
          <w:tcPr>
            <w:tcW w:w="334" w:type="dxa"/>
            <w:shd w:val="clear" w:color="auto" w:fill="auto"/>
            <w:noWrap/>
            <w:vAlign w:val="center"/>
          </w:tcPr>
          <w:p w14:paraId="586059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单位</w:t>
            </w:r>
          </w:p>
        </w:tc>
        <w:tc>
          <w:tcPr>
            <w:tcW w:w="533" w:type="dxa"/>
            <w:shd w:val="clear" w:color="auto" w:fill="auto"/>
            <w:noWrap/>
            <w:vAlign w:val="center"/>
          </w:tcPr>
          <w:p w14:paraId="50B774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数量</w:t>
            </w:r>
          </w:p>
        </w:tc>
        <w:tc>
          <w:tcPr>
            <w:tcW w:w="333" w:type="dxa"/>
            <w:shd w:val="clear" w:color="auto" w:fill="auto"/>
            <w:noWrap/>
            <w:vAlign w:val="center"/>
          </w:tcPr>
          <w:p w14:paraId="0192F8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备注</w:t>
            </w:r>
          </w:p>
        </w:tc>
      </w:tr>
      <w:tr w14:paraId="2653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10716" w:type="dxa"/>
            <w:gridSpan w:val="6"/>
            <w:shd w:val="clear" w:color="auto" w:fill="auto"/>
            <w:noWrap/>
            <w:vAlign w:val="center"/>
          </w:tcPr>
          <w:p w14:paraId="27688D71">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5.6 多媒体教室（90间）</w:t>
            </w:r>
          </w:p>
        </w:tc>
      </w:tr>
      <w:tr w14:paraId="5984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2" w:hRule="atLeast"/>
        </w:trPr>
        <w:tc>
          <w:tcPr>
            <w:tcW w:w="350" w:type="dxa"/>
            <w:shd w:val="clear" w:color="auto" w:fill="auto"/>
            <w:vAlign w:val="center"/>
          </w:tcPr>
          <w:p w14:paraId="010370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883" w:type="dxa"/>
            <w:shd w:val="clear" w:color="auto" w:fill="auto"/>
            <w:vAlign w:val="center"/>
          </w:tcPr>
          <w:p w14:paraId="25B6EB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智慧黑板</w:t>
            </w:r>
          </w:p>
        </w:tc>
        <w:tc>
          <w:tcPr>
            <w:tcW w:w="8283" w:type="dxa"/>
            <w:shd w:val="clear" w:color="auto" w:fill="auto"/>
            <w:vAlign w:val="top"/>
          </w:tcPr>
          <w:p w14:paraId="6ED9370C">
            <w:pPr>
              <w:keepNext w:val="0"/>
              <w:keepLines w:val="0"/>
              <w:widowControl/>
              <w:suppressLineNumbers w:val="0"/>
              <w:jc w:val="left"/>
              <w:textAlignment w:val="top"/>
              <w:rPr>
                <w:rStyle w:val="43"/>
                <w:rFonts w:hint="eastAsia"/>
                <w:b w:val="0"/>
                <w:bCs w:val="0"/>
                <w:highlight w:val="none"/>
                <w:lang w:val="en-US" w:eastAsia="zh-CN" w:bidi="ar"/>
              </w:rPr>
            </w:pPr>
            <w:r>
              <w:rPr>
                <w:rStyle w:val="43"/>
                <w:rFonts w:hint="eastAsia"/>
                <w:b w:val="0"/>
                <w:bCs w:val="0"/>
                <w:highlight w:val="none"/>
                <w:lang w:val="en-US" w:eastAsia="zh-CN" w:bidi="ar"/>
              </w:rPr>
              <w:t>硬件参数：</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 xml:space="preserve">1.整机采用一体化设计，主屏与副屏边框高度、外观一致，可实现整块黑板统一屏幕书写，外部无任何可见内部功能模块的连接线；采用阻燃材质外壳，表面无尖锐边缘或凸起。整机外观尺寸长度≥4200mm，高≥1200mm。 </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 xml:space="preserve">2.主屏采用电容触摸技术，整机接口需包括 Type-c、TOUCH USB ，HDMI IN，不少于 3 路 USB3.0，需要同时支持安卓和 Windows 双系统，≥86 英寸液晶屏，4K 分辨率，最大可支持 20 点触控，触控笔接触面积直径≤6mm，触摸响应时间≤10ms，书写精度≤2mm。，采用保护玻璃具备防眩光效果。 </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3.设备需内置NFC 模块，支持自定义模块功能，功能不限于控制开关机、锁屏、解锁、熄屏唤醒、触摸解锁等；并且支持授权管理具有NFC功能的设备、卡片等实现模块功能，支持具有NFC功能的手机、平板电脑、智能手表、手环等移动终端。</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4. 整机具备2.1以上声道音箱，支持单独听功能，让声音无阻碍传播，完全覆盖整个教室，无声音盲区，满足每个学生听课需求。</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 xml:space="preserve">5.副屏书写板与主屏屏幕为通体黑色，均采用纯平拼接设计，不积灰，整体外观简洁大方一体化。 </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 xml:space="preserve">6.智慧黑板为方便老师教学书写面积无限扩展，可在显示区域任意位置书写，关闭屏幕的同时，触摸功能也自动关闭，防止误操作。 </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7.设备屏幕支持护眼功能，有助于减轻眼睛疲劳。</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 xml:space="preserve">8 在任意信号源下，从屏幕下方任意位置向上滑动，可调用快捷菜单栏，调出的菜单栏跟随使用者所处的位置，点击菜单应用，不需要使用者移动到屏幕中间操作，涵盖教学过程中常用的功能，支持切换页面，至少包括信号源、有线网络开关、无线网络开关、热点开关、蓝牙开关、截屏、智能护眼开关、触摸感应开关、节能开关、声音调节、亮度调节、锁屏、单独听、息屏、冻屏等功能。。 </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 xml:space="preserve">9.人性化设计：支持 HDMI、window 等信号源模式下，液晶显示屏窗口可通过触摸一键下移，适应不同身高老师的需求。 </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10.支持在各信号通道下的批注和保存功能，防止因 windows 电脑故障无法展开教学。</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11.为便于维护使用方便，设备支持一键还原功能。</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12.设备具备 PC 和安卓恢复原厂设置的双系统备份，且 PC 的 Windows 及 Android 双系统可以仅通过教室的一根网线同时上网，不需要外加任何其它设备。</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 xml:space="preserve">13.支持蓝牙 Bluetooth 5.0 以上标准，整机可通过蓝牙模块与蓝牙音箱连接，通过蓝牙音箱播放整机音频。 </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14. 需内置安卓教学辅助系统，安卓系统版本不低于14.0，RAM不低于4G,ROM不低于16G。支持将Windows和Android两个系统应用进行整合，在教学桌面上支持查看Windows和Android两个系统内的应用列表。</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 xml:space="preserve">15.整机嵌入安卓系统下，支持自由窗口，对于全屏类不方便操作的应用，可以自定义窗口化，窗口化的应用可以自由拖动和放置，不影响其他应用的使用，支持手势操作。 </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16.整机需有一体化摄像头和阵列麦，要求摄像头像素≥1300万像素，≥6阵列麦克风，保证清晰高品质的音质输出效果。</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17.设备支持WiFi、蓝牙功能；</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18.支持移动端和大屏端之间的文件互传，支持通过扫码来选择上传文件。</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内置电脑：</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1.插拔式OPS微型PC设计，CPU ：I5（10代或以上）；内存：≥8GB；硬盘：≥256G固态；开放式可插接INTEL规范接口（OPS接口），双面合计80针。支持WIFI无线网络，带双天线，带RJ45接口100M/1000Mbs。接口：LINE OUT≥1，MIC IN≥1，HDMI≥1，RJ45≥1，WIFI≥2，USB≥6(其中USB3.0≥3)。</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2.支持系统还原。</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教学软件：</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1.基于手势操作开发，简单易用，手指单点或使用触控笔就能一键快速调取教学软件及工具；</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2.支持橡皮功能，可设置擦除的面积，可一键清空画布中的笔迹和形状。</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3.支持清空笔迹和一键清屏功能，支持全屏幕漫游，可一键复位至漫游初始界面，支持撤销和恢复功能，协助老师在误操作删除板书后，快速找回板书；</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4.支持对移动端、电脑端设备推送至智慧黑板的音视频文件 ,进行播放和调节音量。</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5.快速录制屏幕，支持同时录制屏幕，麦克风声音以及摄像头人像画面；录制画面可以自定义区域；</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6.微课录制完成后视频支持选择存储在本地或者云空间，可修改录制文件的名称并保存在云空间。</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7.支持手机、笔记本电脑等移动端通过自动搜索接收端设备和识别码两种方式无线连接到智慧黑板；无线投屏支持windows,mac,ios,android平台登录使用；</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8.支持在智慧黑板上可以反向控制操作笔记本电脑上的内容,支持单击、双击、右键控制，支持至少6个画面同时显示，方便对比教学；</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信息安全：</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1.具备HTTP信息过滤、网址过滤、图像过滤、网址库升级、网页内容信息过滤、网页内容信息过滤扩展、审计日志生成管理、在线游戏管理、定时抓屏等功能；</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2.支持对终端系统广告弹窗实时进行内容及特征分析，并对包含低俗信息的广告弹窗进行拦载处理，全面护航教学设备绿色上网，保障教师的正常授课环境；</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3.通过设置主动识别的判决门限，针对不同上网的人群，实现人性化高、中、低级别设置，浏览内容分级管理；</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4.设置学校管理权限，管理员权限可对软件进行统一管理操作；</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5.产品支持对终端运行的游戏进行策略管理，不允许运行的游戏会直接拦截游戏运行；</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6.产品具备对设备使用时间进行管理的功能，管理员可以根据需要设定使用设备的时间表，在设定的允许使用设备的时间区间使用设备，不允许使用设备的时候设备直接锁屏并关闭设备；</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设备集控管理平台：</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l.支持在Windows、mac0S等多种主流操作系统上通过网页浏览器登录；</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2.批量关机：支持对设备的单独和批量的关机、重启控制；</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3.远程巡课：可在线监看教室动态，支持多台设备同时巡课监看以及单台设备的大画面监看；</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4.设备控制：支持对局域网中的设备的控制，支持查看选中设备的屏幕画面、调节设备音量、热点、亮度、切换设备触控功能的开关、切换屏幕的熄屏/亮屏状态、打铃；</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5.支持设备的异常状态监控和预警。</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6.支持对集控平台的密码修改、添加删除子用户，对子用户进行操作权限的授权管理。</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7.具备信息发布功能，支持编辑文字信息并推送至指定设备。并以走马灯的方式在设备上进行播放，确保信息的高效传达。支持灵活的推送方式设置，包括按时间播放和按次数播放两种模式。在按时间播放模式下，管理员可以精确设置信息的开始时间和结束时间；而在按次数播放模式下，则可以设定开始播放时间和总播放次数。具有推送记录查看功能，包括消息内容、实际播放时间、循环次数以及执行状态等关键信息。对于已经推送的消息，管理员还可以执行查看详情、再次推送或删除等操作，以满足不同场景下的信息管理需求。</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8.需与学校现有智慧校园数据中台实现全面无缝对接以及现有的智慧黑板集控管理平台无缝对接，且无额外接口费用。为保障信息数据安全，本系统需本地部署至学校服务器上。</w:t>
            </w:r>
          </w:p>
        </w:tc>
        <w:tc>
          <w:tcPr>
            <w:tcW w:w="334" w:type="dxa"/>
            <w:shd w:val="clear" w:color="auto" w:fill="auto"/>
            <w:vAlign w:val="center"/>
          </w:tcPr>
          <w:p w14:paraId="772924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3" w:type="dxa"/>
            <w:shd w:val="clear" w:color="auto" w:fill="auto"/>
            <w:vAlign w:val="center"/>
          </w:tcPr>
          <w:p w14:paraId="4B9FA4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90</w:t>
            </w:r>
          </w:p>
        </w:tc>
        <w:tc>
          <w:tcPr>
            <w:tcW w:w="333" w:type="dxa"/>
            <w:shd w:val="clear" w:color="auto" w:fill="auto"/>
            <w:noWrap/>
            <w:vAlign w:val="bottom"/>
          </w:tcPr>
          <w:p w14:paraId="31C9FC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3385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trPr>
        <w:tc>
          <w:tcPr>
            <w:tcW w:w="350" w:type="dxa"/>
            <w:shd w:val="clear" w:color="auto" w:fill="auto"/>
            <w:vAlign w:val="center"/>
          </w:tcPr>
          <w:p w14:paraId="40494A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883" w:type="dxa"/>
            <w:shd w:val="clear" w:color="auto" w:fill="auto"/>
            <w:vAlign w:val="center"/>
          </w:tcPr>
          <w:p w14:paraId="7B35EF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电子班牌</w:t>
            </w:r>
          </w:p>
        </w:tc>
        <w:tc>
          <w:tcPr>
            <w:tcW w:w="8283" w:type="dxa"/>
            <w:shd w:val="clear" w:color="auto" w:fill="auto"/>
            <w:vAlign w:val="top"/>
          </w:tcPr>
          <w:p w14:paraId="6DCE2643">
            <w:pPr>
              <w:keepNext w:val="0"/>
              <w:keepLines w:val="0"/>
              <w:widowControl/>
              <w:suppressLineNumbers w:val="0"/>
              <w:jc w:val="left"/>
              <w:textAlignment w:val="top"/>
              <w:rPr>
                <w:rStyle w:val="43"/>
                <w:rFonts w:hint="eastAsia"/>
                <w:b w:val="0"/>
                <w:bCs w:val="0"/>
                <w:highlight w:val="none"/>
                <w:lang w:val="en-US" w:eastAsia="zh-CN" w:bidi="ar"/>
              </w:rPr>
            </w:pPr>
            <w:r>
              <w:rPr>
                <w:rStyle w:val="43"/>
                <w:rFonts w:hint="eastAsia"/>
                <w:b w:val="0"/>
                <w:bCs w:val="0"/>
                <w:highlight w:val="none"/>
                <w:lang w:val="en-US" w:eastAsia="zh-CN" w:bidi="ar"/>
              </w:rPr>
              <w:t>整机硬件</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1.LED背光显示屏，≥21.5英寸电容式触摸屏，横版，屏幕比例: 16:9 、点距: 0.282*0.282 、对比度≥1000:1，分辨率≥1920*1080。、屏幕亮度≥300cd/㎡、响应时间:标准8ms（灰阶至灰阶）、视角: 水平/垂直:178° 背光: LED背光；</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2. 整机设备厚度≤30mm。机身底部的接口采用开合式保护板,采用钥匙锁扣固定护板方便维护</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3.有独立内置走线槽、保证设备纯贴合安装方式</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4.电源适配: 输入电源90-260V的电压范围内正常工作；</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5.可扩展智慧物联功能模块,可对教室内的灯光、投影、黑板、风扇灯电动装置进行管控</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6.具有人脸识别考勤、刷卡考勤及门禁功能,老师、学生可通过人脸识别、刷卡等打开教室门,同时可以满足考试人脸识别、刷卡签到。</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7.支持直播教室内监控画面，能实现同步预览教室内的内控画面。</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电子班牌系统软件</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1.具有电子班牌管理系统计算机软件。</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2.系统需包含基础信息、教室管理、课表管理、信息发布管理、考试管理、考勤管理、请假公出管理等。</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3.需支持学校设置，需支持设置学校的校徽，校训，办学模式，主页地址，占地面积、学校建校年月、建筑面积、主管部门等学校基础信息。</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4.需支持添加学校平面导航图，能查询所在楼层、班级等位置信息，方便人员快速找到目的地。</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5.需支持校园信息管理，支持发布学校的简介，校园领导的组织架构，校级活动内容，优秀教师信息，优秀学生信息，校园值班领导等信息。</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6.需支持考勤统计汇总信息，支持统计教职工授课出勤统计及明细、学生课程出勤统计及明细、学生每日到离校出勤表、教师每日出勤表、签到明细表、迟到汇总表等信息。</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7.需支持通知发布管理，可以根据不同内容快速编写和发布校级通知公告，班主任也可以发布班级公告（需支持优先级、按时置顶等功能），通知可以发送到电子班牌和手机app中。</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8.需支持考试管理，支持发布考试信息,录入考试座位,录入考试成绩等。</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9.需支持班牌管理，可以实现对班牌硬件进行管控，如添加或删除硬件、可实现开关机、设定班牌要显示的模板或内容等。</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10.需支持多作息时间管理，支持不同年级不同课节时间，支持单双周课表生成。</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11.可扩展智慧物联功能模块,可对教室内的灯光、投影、黑板、风扇等电动装置进行管控；不同物联设备可互相连通。</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12.需支持班牌自定义模板，具有完善的横、竖版UI风格自定义功能，根据学校不同样式的要求，可以进行班牌样式的自定义，对于画面中的功能模块、按钮、色彩风格、人脸识别窗口都可以进行任意位置及大小调整。同时具备内嵌H5的功能，可实现第三方应用的局部内嵌和全屏内嵌，满足第三方扩展应用。</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13.电子班牌系统需与学校现有智慧校园数据中台以及学校现有的电子班牌应用平台实现全面无缝对接，且无额外接口费用。为保障信息数据安全，本系统需本地部署至学校服务器上，提供产品支持本地化部署承诺函。</w:t>
            </w:r>
          </w:p>
        </w:tc>
        <w:tc>
          <w:tcPr>
            <w:tcW w:w="334" w:type="dxa"/>
            <w:shd w:val="clear" w:color="auto" w:fill="auto"/>
            <w:vAlign w:val="center"/>
          </w:tcPr>
          <w:p w14:paraId="17F0BD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533" w:type="dxa"/>
            <w:shd w:val="clear" w:color="auto" w:fill="auto"/>
            <w:vAlign w:val="center"/>
          </w:tcPr>
          <w:p w14:paraId="5389D4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90 </w:t>
            </w:r>
          </w:p>
        </w:tc>
        <w:tc>
          <w:tcPr>
            <w:tcW w:w="333" w:type="dxa"/>
            <w:shd w:val="clear" w:color="auto" w:fill="auto"/>
            <w:noWrap/>
            <w:vAlign w:val="bottom"/>
          </w:tcPr>
          <w:p w14:paraId="641575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4B31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0" w:hRule="atLeast"/>
        </w:trPr>
        <w:tc>
          <w:tcPr>
            <w:tcW w:w="350" w:type="dxa"/>
            <w:shd w:val="clear" w:color="auto" w:fill="auto"/>
            <w:vAlign w:val="center"/>
          </w:tcPr>
          <w:p w14:paraId="0C4FAA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883" w:type="dxa"/>
            <w:shd w:val="clear" w:color="auto" w:fill="auto"/>
            <w:vAlign w:val="center"/>
          </w:tcPr>
          <w:p w14:paraId="414C81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智能讲台</w:t>
            </w:r>
          </w:p>
        </w:tc>
        <w:tc>
          <w:tcPr>
            <w:tcW w:w="8283" w:type="dxa"/>
            <w:shd w:val="clear" w:color="auto" w:fill="auto"/>
            <w:vAlign w:val="top"/>
          </w:tcPr>
          <w:p w14:paraId="43D1CC66">
            <w:pPr>
              <w:keepNext w:val="0"/>
              <w:keepLines w:val="0"/>
              <w:widowControl/>
              <w:suppressLineNumbers w:val="0"/>
              <w:jc w:val="left"/>
              <w:textAlignment w:val="top"/>
              <w:rPr>
                <w:rStyle w:val="43"/>
                <w:rFonts w:hint="eastAsia"/>
                <w:b w:val="0"/>
                <w:bCs w:val="0"/>
                <w:highlight w:val="none"/>
                <w:lang w:val="en-US" w:eastAsia="zh-CN" w:bidi="ar"/>
              </w:rPr>
            </w:pPr>
            <w:r>
              <w:rPr>
                <w:rStyle w:val="43"/>
                <w:rFonts w:hint="eastAsia"/>
                <w:b w:val="0"/>
                <w:bCs w:val="0"/>
                <w:highlight w:val="none"/>
                <w:lang w:val="en-US" w:eastAsia="zh-CN" w:bidi="ar"/>
              </w:rPr>
              <w:t>1.智能讲台结构：讲桌采用1.2mm-2.0mm冷轧钢板桌体，整体外观流线型设计，美观大方，具备防火特性，正面中部受到170N的冲击力时不会倾倒。</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2.智能讲台根据人体力学设计，讲台桌面高度合适老师放置教学用品，讲台产品外观桌面平整，边缘光滑，无棱角处理，保护师生安全；</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3. 采用21.5英寸电容式触摸屏，支持10点触控，分辨率≥1920*1080。</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4.电容触控屏具备单独的开关按键，显示屏接口类型为VGA，HDMI</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5.智能讲台触控屏幕稳定固定在讲台中，无突出边角，屏幕无法在没有工具的情况下拆除。</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6.智能讲台支持通过讲台屏幕对一体机的画面进行控制，同时支持同步显示一体机画面，老师讲课无需转身背对学生，提高授课效率；</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9.讲桌桌面内置弹射式接口面板，包含≥1个HDMI接口、≥1个VGA接口、≥1个USB口、≥1个网络接口、≥1个音频接口等，不使用时，可按下与桌面平齐，避免受到撞击，支持笔记本电脑接入。</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10.柜体下方设置有19英寸设备安装机柜，高度≥10U。</w:t>
            </w:r>
          </w:p>
        </w:tc>
        <w:tc>
          <w:tcPr>
            <w:tcW w:w="334" w:type="dxa"/>
            <w:shd w:val="clear" w:color="auto" w:fill="auto"/>
            <w:vAlign w:val="center"/>
          </w:tcPr>
          <w:p w14:paraId="5A0C41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3" w:type="dxa"/>
            <w:shd w:val="clear" w:color="auto" w:fill="auto"/>
            <w:vAlign w:val="center"/>
          </w:tcPr>
          <w:p w14:paraId="3B44E4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90</w:t>
            </w:r>
          </w:p>
        </w:tc>
        <w:tc>
          <w:tcPr>
            <w:tcW w:w="333" w:type="dxa"/>
            <w:shd w:val="clear" w:color="auto" w:fill="auto"/>
            <w:noWrap/>
            <w:vAlign w:val="bottom"/>
          </w:tcPr>
          <w:p w14:paraId="3B3033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0183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350" w:type="dxa"/>
            <w:shd w:val="clear" w:color="auto" w:fill="auto"/>
            <w:vAlign w:val="center"/>
          </w:tcPr>
          <w:p w14:paraId="293FE4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883" w:type="dxa"/>
            <w:shd w:val="clear" w:color="auto" w:fill="auto"/>
            <w:vAlign w:val="center"/>
          </w:tcPr>
          <w:p w14:paraId="1D5FE8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数字阵列麦克风</w:t>
            </w:r>
          </w:p>
        </w:tc>
        <w:tc>
          <w:tcPr>
            <w:tcW w:w="8283" w:type="dxa"/>
            <w:shd w:val="clear" w:color="auto" w:fill="auto"/>
            <w:vAlign w:val="top"/>
          </w:tcPr>
          <w:p w14:paraId="5F79D8FA">
            <w:pPr>
              <w:keepNext w:val="0"/>
              <w:keepLines w:val="0"/>
              <w:widowControl/>
              <w:suppressLineNumbers w:val="0"/>
              <w:jc w:val="left"/>
              <w:textAlignment w:val="top"/>
              <w:rPr>
                <w:rStyle w:val="43"/>
                <w:rFonts w:hint="eastAsia"/>
                <w:b w:val="0"/>
                <w:bCs w:val="0"/>
                <w:highlight w:val="none"/>
                <w:lang w:val="en-US" w:eastAsia="zh-CN" w:bidi="ar"/>
              </w:rPr>
            </w:pPr>
            <w:r>
              <w:rPr>
                <w:rStyle w:val="43"/>
                <w:rFonts w:hint="eastAsia"/>
                <w:b w:val="0"/>
                <w:bCs w:val="0"/>
                <w:highlight w:val="none"/>
                <w:lang w:val="en-US" w:eastAsia="zh-CN" w:bidi="ar"/>
              </w:rPr>
              <w:t>1.支持无感扩音，免接触，便于防疫和保持健康的教学环境；</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2.教师可以在教室更大范围内自由走动，教室内的学生的发言都可被拾取，师生可以互相听到对方清晰的语音；</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3.内置音频处理单元，超低信号处理延时，无需额外机柜放置机架式音频处理器，易于快速低成本安装部署</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4.采用麦克风阵列：内置至少6个拾音麦，360°全向拾音；</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5.3米远距离拾音，本地无感扩音，免接触，便于防疫和保持健康的教学环境；</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6.内置嵌入式软件和音频处理模块，免配置，即插即用；无需使用额外的音频处理主机；</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7.灵敏度：≥-38dBFS；</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8.信噪比：≥65dB（A）；</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9.频率响应：≥50Hz-8KHz；</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10.端到端总延时 ≤ 18ms；</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11.噪声抑制量至少 30db；</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12.音频输出：2路Spk-out 3.5mm接口线性输出；</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13.啸叫抑制：支持</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14.增益控制：支持</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15.混响抑制：支持</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16.具备反馈抑制功能，有效抑制啸叫现象；</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17.具备自适应校准能力在不同场地均能实现自动校准，无需配手工置；</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18.支持通过红外遥控器开关MIC，调节音量</w:t>
            </w:r>
            <w:r>
              <w:rPr>
                <w:rStyle w:val="43"/>
                <w:rFonts w:hint="eastAsia"/>
                <w:b w:val="0"/>
                <w:bCs w:val="0"/>
                <w:highlight w:val="none"/>
                <w:lang w:val="en-US" w:eastAsia="zh-CN" w:bidi="ar"/>
              </w:rPr>
              <w:br w:type="textWrapping"/>
            </w:r>
            <w:r>
              <w:rPr>
                <w:rStyle w:val="43"/>
                <w:rFonts w:hint="eastAsia"/>
                <w:b w:val="0"/>
                <w:bCs w:val="0"/>
                <w:highlight w:val="none"/>
                <w:lang w:val="en-US" w:eastAsia="zh-CN" w:bidi="ar"/>
              </w:rPr>
              <w:t>19.供电采用USB DC 5V，可使用常规USB接口充电。</w:t>
            </w:r>
          </w:p>
        </w:tc>
        <w:tc>
          <w:tcPr>
            <w:tcW w:w="334" w:type="dxa"/>
            <w:shd w:val="clear" w:color="auto" w:fill="auto"/>
            <w:vAlign w:val="center"/>
          </w:tcPr>
          <w:p w14:paraId="095632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533" w:type="dxa"/>
            <w:shd w:val="clear" w:color="auto" w:fill="auto"/>
            <w:vAlign w:val="center"/>
          </w:tcPr>
          <w:p w14:paraId="7543E0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90</w:t>
            </w:r>
          </w:p>
        </w:tc>
        <w:tc>
          <w:tcPr>
            <w:tcW w:w="333" w:type="dxa"/>
            <w:shd w:val="clear" w:color="auto" w:fill="auto"/>
            <w:noWrap/>
            <w:vAlign w:val="bottom"/>
          </w:tcPr>
          <w:p w14:paraId="1DB5F5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3AFD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50" w:type="dxa"/>
            <w:shd w:val="clear" w:color="auto" w:fill="auto"/>
            <w:vAlign w:val="center"/>
          </w:tcPr>
          <w:p w14:paraId="67FFA0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883" w:type="dxa"/>
            <w:shd w:val="clear" w:color="auto" w:fill="auto"/>
            <w:vAlign w:val="center"/>
          </w:tcPr>
          <w:p w14:paraId="5A7B79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网线</w:t>
            </w:r>
          </w:p>
        </w:tc>
        <w:tc>
          <w:tcPr>
            <w:tcW w:w="8283" w:type="dxa"/>
            <w:shd w:val="clear" w:color="auto" w:fill="auto"/>
            <w:vAlign w:val="center"/>
          </w:tcPr>
          <w:p w14:paraId="7F441BF8">
            <w:pPr>
              <w:keepNext w:val="0"/>
              <w:keepLines w:val="0"/>
              <w:widowControl/>
              <w:suppressLineNumbers w:val="0"/>
              <w:jc w:val="left"/>
              <w:textAlignment w:val="top"/>
              <w:rPr>
                <w:rStyle w:val="43"/>
                <w:rFonts w:hint="eastAsia"/>
                <w:b w:val="0"/>
                <w:bCs w:val="0"/>
                <w:highlight w:val="none"/>
                <w:lang w:val="en-US" w:eastAsia="zh-CN" w:bidi="ar"/>
              </w:rPr>
            </w:pPr>
            <w:r>
              <w:rPr>
                <w:rStyle w:val="43"/>
                <w:rFonts w:hint="eastAsia"/>
                <w:b w:val="0"/>
                <w:bCs w:val="0"/>
                <w:highlight w:val="none"/>
                <w:lang w:val="en-US" w:eastAsia="zh-CN" w:bidi="ar"/>
              </w:rPr>
              <w:t>六类非屏蔽网线 无氧铜千兆网线</w:t>
            </w:r>
          </w:p>
        </w:tc>
        <w:tc>
          <w:tcPr>
            <w:tcW w:w="334" w:type="dxa"/>
            <w:shd w:val="clear" w:color="auto" w:fill="auto"/>
            <w:vAlign w:val="center"/>
          </w:tcPr>
          <w:p w14:paraId="666370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3" w:type="dxa"/>
            <w:shd w:val="clear" w:color="auto" w:fill="auto"/>
            <w:vAlign w:val="center"/>
          </w:tcPr>
          <w:p w14:paraId="60E527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2700</w:t>
            </w:r>
          </w:p>
        </w:tc>
        <w:tc>
          <w:tcPr>
            <w:tcW w:w="333" w:type="dxa"/>
            <w:shd w:val="clear" w:color="auto" w:fill="auto"/>
            <w:noWrap/>
            <w:vAlign w:val="center"/>
          </w:tcPr>
          <w:p w14:paraId="685E90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5A73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0" w:type="dxa"/>
            <w:shd w:val="clear" w:color="auto" w:fill="auto"/>
            <w:vAlign w:val="center"/>
          </w:tcPr>
          <w:p w14:paraId="2DA9CC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883" w:type="dxa"/>
            <w:shd w:val="clear" w:color="auto" w:fill="auto"/>
            <w:vAlign w:val="center"/>
          </w:tcPr>
          <w:p w14:paraId="5FEC4D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线材</w:t>
            </w:r>
          </w:p>
        </w:tc>
        <w:tc>
          <w:tcPr>
            <w:tcW w:w="8283" w:type="dxa"/>
            <w:shd w:val="clear" w:color="auto" w:fill="auto"/>
            <w:vAlign w:val="center"/>
          </w:tcPr>
          <w:p w14:paraId="7240943D">
            <w:pPr>
              <w:keepNext w:val="0"/>
              <w:keepLines w:val="0"/>
              <w:widowControl/>
              <w:suppressLineNumbers w:val="0"/>
              <w:jc w:val="left"/>
              <w:textAlignment w:val="top"/>
              <w:rPr>
                <w:rStyle w:val="43"/>
                <w:rFonts w:hint="eastAsia"/>
                <w:b w:val="0"/>
                <w:bCs w:val="0"/>
                <w:highlight w:val="none"/>
                <w:lang w:val="en-US" w:eastAsia="zh-CN" w:bidi="ar"/>
              </w:rPr>
            </w:pPr>
            <w:r>
              <w:rPr>
                <w:rStyle w:val="43"/>
                <w:rFonts w:hint="eastAsia"/>
                <w:b w:val="0"/>
                <w:bCs w:val="0"/>
                <w:highlight w:val="none"/>
                <w:lang w:val="en-US" w:eastAsia="zh-CN" w:bidi="ar"/>
              </w:rPr>
              <w:t>铜芯护套线RVV2*1.5</w:t>
            </w:r>
          </w:p>
        </w:tc>
        <w:tc>
          <w:tcPr>
            <w:tcW w:w="334" w:type="dxa"/>
            <w:shd w:val="clear" w:color="auto" w:fill="auto"/>
            <w:vAlign w:val="center"/>
          </w:tcPr>
          <w:p w14:paraId="2C2FF2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米</w:t>
            </w:r>
          </w:p>
        </w:tc>
        <w:tc>
          <w:tcPr>
            <w:tcW w:w="533" w:type="dxa"/>
            <w:shd w:val="clear" w:color="auto" w:fill="auto"/>
            <w:vAlign w:val="center"/>
          </w:tcPr>
          <w:p w14:paraId="35A577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1800</w:t>
            </w:r>
          </w:p>
        </w:tc>
        <w:tc>
          <w:tcPr>
            <w:tcW w:w="333" w:type="dxa"/>
            <w:shd w:val="clear" w:color="auto" w:fill="auto"/>
            <w:noWrap/>
            <w:vAlign w:val="center"/>
          </w:tcPr>
          <w:p w14:paraId="7DA80E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r w14:paraId="27A5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0" w:type="dxa"/>
            <w:shd w:val="clear" w:color="auto" w:fill="auto"/>
            <w:vAlign w:val="center"/>
          </w:tcPr>
          <w:p w14:paraId="4818D6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883" w:type="dxa"/>
            <w:shd w:val="clear" w:color="auto" w:fill="auto"/>
            <w:vAlign w:val="center"/>
          </w:tcPr>
          <w:p w14:paraId="2E274C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辅材</w:t>
            </w:r>
          </w:p>
        </w:tc>
        <w:tc>
          <w:tcPr>
            <w:tcW w:w="8283" w:type="dxa"/>
            <w:shd w:val="clear" w:color="auto" w:fill="auto"/>
            <w:vAlign w:val="center"/>
          </w:tcPr>
          <w:p w14:paraId="75AD1020">
            <w:pPr>
              <w:keepNext w:val="0"/>
              <w:keepLines w:val="0"/>
              <w:widowControl/>
              <w:suppressLineNumbers w:val="0"/>
              <w:jc w:val="left"/>
              <w:textAlignment w:val="top"/>
              <w:rPr>
                <w:rStyle w:val="43"/>
                <w:rFonts w:hint="eastAsia"/>
                <w:b w:val="0"/>
                <w:bCs w:val="0"/>
                <w:highlight w:val="none"/>
                <w:lang w:val="en-US" w:eastAsia="zh-CN" w:bidi="ar"/>
              </w:rPr>
            </w:pPr>
            <w:r>
              <w:rPr>
                <w:rStyle w:val="43"/>
                <w:rFonts w:hint="eastAsia"/>
                <w:b w:val="0"/>
                <w:bCs w:val="0"/>
                <w:highlight w:val="none"/>
                <w:lang w:val="en-US" w:eastAsia="zh-CN" w:bidi="ar"/>
              </w:rPr>
              <w:t>高清线、线槽、水晶头、电源接头，胶带、8位10A国标插板等</w:t>
            </w:r>
          </w:p>
        </w:tc>
        <w:tc>
          <w:tcPr>
            <w:tcW w:w="334" w:type="dxa"/>
            <w:shd w:val="clear" w:color="auto" w:fill="auto"/>
            <w:vAlign w:val="center"/>
          </w:tcPr>
          <w:p w14:paraId="293134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533" w:type="dxa"/>
            <w:shd w:val="clear" w:color="auto" w:fill="auto"/>
            <w:vAlign w:val="center"/>
          </w:tcPr>
          <w:p w14:paraId="3439F2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90</w:t>
            </w:r>
          </w:p>
        </w:tc>
        <w:tc>
          <w:tcPr>
            <w:tcW w:w="333" w:type="dxa"/>
            <w:shd w:val="clear" w:color="auto" w:fill="auto"/>
            <w:noWrap/>
            <w:vAlign w:val="center"/>
          </w:tcPr>
          <w:p w14:paraId="38D3B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r>
    </w:tbl>
    <w:p w14:paraId="49C2DDD5">
      <w:pPr>
        <w:rPr>
          <w:rFonts w:hint="eastAsia" w:ascii="宋体" w:hAnsi="宋体" w:eastAsia="宋体" w:cs="宋体"/>
          <w:highlight w:val="none"/>
        </w:rPr>
      </w:pPr>
    </w:p>
    <w:p w14:paraId="178A6903">
      <w:pPr>
        <w:rPr>
          <w:rFonts w:hint="eastAsia" w:ascii="宋体" w:hAnsi="宋体" w:eastAsia="宋体" w:cs="宋体"/>
          <w:highlight w:val="none"/>
        </w:rPr>
      </w:pPr>
    </w:p>
    <w:p w14:paraId="36801024">
      <w:pPr>
        <w:rPr>
          <w:rFonts w:hint="eastAsia" w:ascii="宋体" w:hAnsi="宋体" w:eastAsia="宋体" w:cs="宋体"/>
          <w:highlight w:val="none"/>
        </w:rPr>
      </w:pPr>
    </w:p>
    <w:p w14:paraId="04086416">
      <w:pPr>
        <w:rPr>
          <w:rFonts w:hint="eastAsia" w:ascii="宋体" w:hAnsi="宋体" w:eastAsia="宋体" w:cs="宋体"/>
          <w:highlight w:val="none"/>
        </w:rPr>
      </w:pPr>
    </w:p>
    <w:p w14:paraId="023CDCC1">
      <w:pPr>
        <w:rPr>
          <w:rFonts w:hint="eastAsia" w:ascii="宋体" w:hAnsi="宋体" w:eastAsia="宋体" w:cs="宋体"/>
          <w:highlight w:val="none"/>
        </w:rPr>
      </w:pPr>
    </w:p>
    <w:tbl>
      <w:tblPr>
        <w:tblStyle w:val="17"/>
        <w:tblW w:w="10787" w:type="dxa"/>
        <w:tblInd w:w="-10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
        <w:gridCol w:w="832"/>
        <w:gridCol w:w="8304"/>
        <w:gridCol w:w="328"/>
        <w:gridCol w:w="504"/>
        <w:gridCol w:w="396"/>
      </w:tblGrid>
      <w:tr w14:paraId="4EA7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87" w:type="dxa"/>
            <w:gridSpan w:val="6"/>
            <w:tcBorders>
              <w:top w:val="single" w:color="000000" w:sz="4" w:space="0"/>
              <w:left w:val="single" w:color="000000" w:sz="4" w:space="0"/>
              <w:bottom w:val="single" w:color="000000" w:sz="4" w:space="0"/>
              <w:right w:val="single" w:color="000000" w:sz="4" w:space="0"/>
            </w:tcBorders>
            <w:noWrap/>
            <w:vAlign w:val="center"/>
          </w:tcPr>
          <w:p w14:paraId="01A86D36">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6、装修概算表</w:t>
            </w:r>
          </w:p>
        </w:tc>
      </w:tr>
      <w:tr w14:paraId="58712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957103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D14234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设备名称</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00DA392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设备型号/技术参数</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B485CF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32A4AA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F98BF3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00D3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87" w:type="dxa"/>
            <w:gridSpan w:val="6"/>
            <w:tcBorders>
              <w:top w:val="single" w:color="000000" w:sz="4" w:space="0"/>
              <w:left w:val="single" w:color="000000" w:sz="4" w:space="0"/>
              <w:bottom w:val="single" w:color="000000" w:sz="4" w:space="0"/>
              <w:right w:val="single" w:color="000000" w:sz="4" w:space="0"/>
            </w:tcBorders>
            <w:noWrap/>
            <w:vAlign w:val="center"/>
          </w:tcPr>
          <w:p w14:paraId="550C5A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6.1 运营指挥中心装修清单</w:t>
            </w:r>
          </w:p>
        </w:tc>
      </w:tr>
      <w:tr w14:paraId="0FAC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169C8C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一、吊顶</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D95F902">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64795B6">
            <w:pPr>
              <w:jc w:val="center"/>
              <w:rPr>
                <w:rFonts w:hint="eastAsia" w:ascii="宋体" w:hAnsi="宋体" w:eastAsia="宋体" w:cs="宋体"/>
                <w:b w:val="0"/>
                <w:bCs w:val="0"/>
                <w:i w:val="0"/>
                <w:iCs w:val="0"/>
                <w:color w:val="000000"/>
                <w:sz w:val="22"/>
                <w:szCs w:val="22"/>
                <w:highlight w:val="none"/>
                <w:u w:val="none"/>
              </w:rPr>
            </w:pPr>
          </w:p>
        </w:tc>
      </w:tr>
      <w:tr w14:paraId="7767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0EC137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74F777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龙骨石膏板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ADC12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石膏板吊顶，轻钢龙骨石膏板，可上人，详细做法及内容详见设计图纸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2459986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910FE0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3C5E42A">
            <w:pPr>
              <w:jc w:val="center"/>
              <w:rPr>
                <w:rFonts w:hint="eastAsia" w:ascii="宋体" w:hAnsi="宋体" w:eastAsia="宋体" w:cs="宋体"/>
                <w:b w:val="0"/>
                <w:bCs w:val="0"/>
                <w:i w:val="0"/>
                <w:iCs w:val="0"/>
                <w:color w:val="000000"/>
                <w:sz w:val="22"/>
                <w:szCs w:val="22"/>
                <w:highlight w:val="none"/>
                <w:u w:val="none"/>
              </w:rPr>
            </w:pPr>
          </w:p>
        </w:tc>
      </w:tr>
      <w:tr w14:paraId="5405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5B79BA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8D9D07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冲孔铝单板饰面</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1A51FC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轻钢龙骨阻燃板+冲孔铝单板饰面，详细做法及内容详见设计图纸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7ECBE1B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18A9D8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2D80C30">
            <w:pPr>
              <w:jc w:val="center"/>
              <w:rPr>
                <w:rFonts w:hint="eastAsia" w:ascii="宋体" w:hAnsi="宋体" w:eastAsia="宋体" w:cs="宋体"/>
                <w:b w:val="0"/>
                <w:bCs w:val="0"/>
                <w:i w:val="0"/>
                <w:iCs w:val="0"/>
                <w:color w:val="000000"/>
                <w:sz w:val="22"/>
                <w:szCs w:val="22"/>
                <w:highlight w:val="none"/>
                <w:u w:val="none"/>
              </w:rPr>
            </w:pPr>
          </w:p>
        </w:tc>
      </w:tr>
      <w:tr w14:paraId="5126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38DC8F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50EF9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顶面处理</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6B707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刮批腻子两边找平、砂纸打磨平整、乳胶漆粉刷饰面，详细做法及内容详见设计图纸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2FBD470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38252C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D930D7B">
            <w:pPr>
              <w:jc w:val="center"/>
              <w:rPr>
                <w:rFonts w:hint="eastAsia" w:ascii="宋体" w:hAnsi="宋体" w:eastAsia="宋体" w:cs="宋体"/>
                <w:b w:val="0"/>
                <w:bCs w:val="0"/>
                <w:i w:val="0"/>
                <w:iCs w:val="0"/>
                <w:color w:val="000000"/>
                <w:sz w:val="22"/>
                <w:szCs w:val="22"/>
                <w:highlight w:val="none"/>
                <w:u w:val="none"/>
              </w:rPr>
            </w:pPr>
          </w:p>
        </w:tc>
      </w:tr>
      <w:tr w14:paraId="1E28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86A6E9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6E119D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检修口</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3212366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400*400，详细做法及内容详见设计图纸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12BA4F8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DED729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F5201B1">
            <w:pPr>
              <w:jc w:val="center"/>
              <w:rPr>
                <w:rFonts w:hint="eastAsia" w:ascii="宋体" w:hAnsi="宋体" w:eastAsia="宋体" w:cs="宋体"/>
                <w:b w:val="0"/>
                <w:bCs w:val="0"/>
                <w:i w:val="0"/>
                <w:iCs w:val="0"/>
                <w:color w:val="000000"/>
                <w:sz w:val="22"/>
                <w:szCs w:val="22"/>
                <w:highlight w:val="none"/>
                <w:u w:val="none"/>
              </w:rPr>
            </w:pPr>
          </w:p>
        </w:tc>
      </w:tr>
      <w:tr w14:paraId="52F8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76B67C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65927E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出风口</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C0EB18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300*300，详细做法及内容详见设计图纸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7CE30E3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DD7DE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99592E3">
            <w:pPr>
              <w:jc w:val="center"/>
              <w:rPr>
                <w:rFonts w:hint="eastAsia" w:ascii="宋体" w:hAnsi="宋体" w:eastAsia="宋体" w:cs="宋体"/>
                <w:b w:val="0"/>
                <w:bCs w:val="0"/>
                <w:i w:val="0"/>
                <w:iCs w:val="0"/>
                <w:color w:val="000000"/>
                <w:sz w:val="22"/>
                <w:szCs w:val="22"/>
                <w:highlight w:val="none"/>
                <w:u w:val="none"/>
              </w:rPr>
            </w:pPr>
          </w:p>
        </w:tc>
      </w:tr>
      <w:tr w14:paraId="6D37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98F786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0BAA7A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出风口</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7365B76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300*1500，详细做法及内容详见设计图纸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53E33A2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E9E7F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E2C16D9">
            <w:pPr>
              <w:jc w:val="center"/>
              <w:rPr>
                <w:rFonts w:hint="eastAsia" w:ascii="宋体" w:hAnsi="宋体" w:eastAsia="宋体" w:cs="宋体"/>
                <w:b w:val="0"/>
                <w:bCs w:val="0"/>
                <w:i w:val="0"/>
                <w:iCs w:val="0"/>
                <w:color w:val="000000"/>
                <w:sz w:val="22"/>
                <w:szCs w:val="22"/>
                <w:highlight w:val="none"/>
                <w:u w:val="none"/>
              </w:rPr>
            </w:pPr>
          </w:p>
        </w:tc>
      </w:tr>
      <w:tr w14:paraId="0C29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53DA10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二、墙面、地面</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8EBF50C">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A17BB38">
            <w:pPr>
              <w:jc w:val="center"/>
              <w:rPr>
                <w:rFonts w:hint="eastAsia" w:ascii="宋体" w:hAnsi="宋体" w:eastAsia="宋体" w:cs="宋体"/>
                <w:b w:val="0"/>
                <w:bCs w:val="0"/>
                <w:i w:val="0"/>
                <w:iCs w:val="0"/>
                <w:color w:val="000000"/>
                <w:sz w:val="22"/>
                <w:szCs w:val="22"/>
                <w:highlight w:val="none"/>
                <w:u w:val="none"/>
              </w:rPr>
            </w:pPr>
          </w:p>
        </w:tc>
      </w:tr>
      <w:tr w14:paraId="36B4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7F70B10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30392B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木饰面板饰面</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2B68D4D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12阻燃板打底、饰面板，详细做法及内容详见设计图纸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57606CD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656DF9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25.7</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FC0550C">
            <w:pPr>
              <w:jc w:val="center"/>
              <w:rPr>
                <w:rFonts w:hint="eastAsia" w:ascii="宋体" w:hAnsi="宋体" w:eastAsia="宋体" w:cs="宋体"/>
                <w:b w:val="0"/>
                <w:bCs w:val="0"/>
                <w:i w:val="0"/>
                <w:iCs w:val="0"/>
                <w:color w:val="000000"/>
                <w:sz w:val="22"/>
                <w:szCs w:val="22"/>
                <w:highlight w:val="none"/>
                <w:u w:val="none"/>
              </w:rPr>
            </w:pPr>
          </w:p>
        </w:tc>
      </w:tr>
      <w:tr w14:paraId="6DB5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DC9719B">
            <w:pPr>
              <w:jc w:val="center"/>
              <w:rPr>
                <w:rFonts w:hint="eastAsia" w:ascii="宋体" w:hAnsi="宋体" w:eastAsia="宋体" w:cs="宋体"/>
                <w:b w:val="0"/>
                <w:bCs w:val="0"/>
                <w:i w:val="0"/>
                <w:iCs w:val="0"/>
                <w:color w:val="000000"/>
                <w:sz w:val="22"/>
                <w:szCs w:val="22"/>
                <w:highlight w:val="none"/>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0FCBC2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木饰面底层</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1F32D36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100轻钢龙骨打底吸音棉填充，详细做法及内容详见设计图纸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DBECC6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196C0D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25.7</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7861F92">
            <w:pPr>
              <w:jc w:val="center"/>
              <w:rPr>
                <w:rFonts w:hint="eastAsia" w:ascii="宋体" w:hAnsi="宋体" w:eastAsia="宋体" w:cs="宋体"/>
                <w:b w:val="0"/>
                <w:bCs w:val="0"/>
                <w:i w:val="0"/>
                <w:iCs w:val="0"/>
                <w:color w:val="000000"/>
                <w:sz w:val="22"/>
                <w:szCs w:val="22"/>
                <w:highlight w:val="none"/>
                <w:u w:val="none"/>
              </w:rPr>
            </w:pPr>
          </w:p>
        </w:tc>
      </w:tr>
      <w:tr w14:paraId="020E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478CED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124D80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135mm长城板吸音板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314A84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12阻燃板打底、饰面板，详细做法及内容详见设计图纸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5ABE56B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959272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67.38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E477CC9">
            <w:pPr>
              <w:jc w:val="center"/>
              <w:rPr>
                <w:rFonts w:hint="eastAsia" w:ascii="宋体" w:hAnsi="宋体" w:eastAsia="宋体" w:cs="宋体"/>
                <w:b w:val="0"/>
                <w:bCs w:val="0"/>
                <w:i w:val="0"/>
                <w:iCs w:val="0"/>
                <w:color w:val="000000"/>
                <w:sz w:val="22"/>
                <w:szCs w:val="22"/>
                <w:highlight w:val="none"/>
                <w:u w:val="none"/>
              </w:rPr>
            </w:pPr>
          </w:p>
        </w:tc>
      </w:tr>
      <w:tr w14:paraId="0D3F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AF23FE5">
            <w:pPr>
              <w:jc w:val="center"/>
              <w:rPr>
                <w:rFonts w:hint="eastAsia" w:ascii="宋体" w:hAnsi="宋体" w:eastAsia="宋体" w:cs="宋体"/>
                <w:b w:val="0"/>
                <w:bCs w:val="0"/>
                <w:i w:val="0"/>
                <w:iCs w:val="0"/>
                <w:color w:val="000000"/>
                <w:sz w:val="22"/>
                <w:szCs w:val="22"/>
                <w:highlight w:val="none"/>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B825F4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长城板底层</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12C181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100轻钢龙骨打底吸音棉填充，详细做法及内容详见设计图纸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36BECAD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D7D56A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67.38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8B0D231">
            <w:pPr>
              <w:jc w:val="center"/>
              <w:rPr>
                <w:rFonts w:hint="eastAsia" w:ascii="宋体" w:hAnsi="宋体" w:eastAsia="宋体" w:cs="宋体"/>
                <w:b w:val="0"/>
                <w:bCs w:val="0"/>
                <w:i w:val="0"/>
                <w:iCs w:val="0"/>
                <w:color w:val="000000"/>
                <w:sz w:val="22"/>
                <w:szCs w:val="22"/>
                <w:highlight w:val="none"/>
                <w:u w:val="none"/>
              </w:rPr>
            </w:pPr>
          </w:p>
        </w:tc>
      </w:tr>
      <w:tr w14:paraId="7BB9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C82E23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0252D7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冲孔铝单板饰面</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173BEE7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12阻燃板打底、饰面板，详细做法及内容详见设计图纸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B6294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FBBEF7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49.17</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7A740FC">
            <w:pPr>
              <w:jc w:val="center"/>
              <w:rPr>
                <w:rFonts w:hint="eastAsia" w:ascii="宋体" w:hAnsi="宋体" w:eastAsia="宋体" w:cs="宋体"/>
                <w:b w:val="0"/>
                <w:bCs w:val="0"/>
                <w:i w:val="0"/>
                <w:iCs w:val="0"/>
                <w:color w:val="000000"/>
                <w:sz w:val="22"/>
                <w:szCs w:val="22"/>
                <w:highlight w:val="none"/>
                <w:u w:val="none"/>
              </w:rPr>
            </w:pPr>
          </w:p>
        </w:tc>
      </w:tr>
      <w:tr w14:paraId="5BC6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7E95057">
            <w:pPr>
              <w:jc w:val="center"/>
              <w:rPr>
                <w:rFonts w:hint="eastAsia" w:ascii="宋体" w:hAnsi="宋体" w:eastAsia="宋体" w:cs="宋体"/>
                <w:b w:val="0"/>
                <w:bCs w:val="0"/>
                <w:i w:val="0"/>
                <w:iCs w:val="0"/>
                <w:color w:val="000000"/>
                <w:sz w:val="22"/>
                <w:szCs w:val="22"/>
                <w:highlight w:val="none"/>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96A914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冲孔铝单板底层</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2286926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100轻钢龙骨打底吸音棉填充，详细做法及内容详见设计图纸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777FAF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A32603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49.17</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CE3821B">
            <w:pPr>
              <w:jc w:val="center"/>
              <w:rPr>
                <w:rFonts w:hint="eastAsia" w:ascii="宋体" w:hAnsi="宋体" w:eastAsia="宋体" w:cs="宋体"/>
                <w:b w:val="0"/>
                <w:bCs w:val="0"/>
                <w:i w:val="0"/>
                <w:iCs w:val="0"/>
                <w:color w:val="000000"/>
                <w:sz w:val="22"/>
                <w:szCs w:val="22"/>
                <w:highlight w:val="none"/>
                <w:u w:val="none"/>
              </w:rPr>
            </w:pPr>
          </w:p>
        </w:tc>
      </w:tr>
      <w:tr w14:paraId="5958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CA49B5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A36004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石膏板墙面</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AADD3E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12阻燃板打底、饰面板，详细做法及内容详见设计图纸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12E019B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1536B0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7.92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8F2047A">
            <w:pPr>
              <w:jc w:val="center"/>
              <w:rPr>
                <w:rFonts w:hint="eastAsia" w:ascii="宋体" w:hAnsi="宋体" w:eastAsia="宋体" w:cs="宋体"/>
                <w:b w:val="0"/>
                <w:bCs w:val="0"/>
                <w:i w:val="0"/>
                <w:iCs w:val="0"/>
                <w:color w:val="000000"/>
                <w:sz w:val="22"/>
                <w:szCs w:val="22"/>
                <w:highlight w:val="none"/>
                <w:u w:val="none"/>
              </w:rPr>
            </w:pPr>
          </w:p>
        </w:tc>
      </w:tr>
      <w:tr w14:paraId="7739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655F2D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D76242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踢脚线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320ECC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实木踢脚线100mm，详细做法及内容详见设计图纸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3BA308A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米</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99050D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53.58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0433080">
            <w:pPr>
              <w:jc w:val="center"/>
              <w:rPr>
                <w:rFonts w:hint="eastAsia" w:ascii="宋体" w:hAnsi="宋体" w:eastAsia="宋体" w:cs="宋体"/>
                <w:b w:val="0"/>
                <w:bCs w:val="0"/>
                <w:i w:val="0"/>
                <w:iCs w:val="0"/>
                <w:color w:val="000000"/>
                <w:sz w:val="22"/>
                <w:szCs w:val="22"/>
                <w:highlight w:val="none"/>
                <w:u w:val="none"/>
              </w:rPr>
            </w:pPr>
          </w:p>
        </w:tc>
      </w:tr>
      <w:tr w14:paraId="605D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97A836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3E13A3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LED暖色节能灯带</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3AF3955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LED节能灯带</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色温2700K</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PVC（聚氯乙烯）材质</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含电子镇流器，详细做法及内容详见设计图纸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1CC8DD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米</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F0AC4C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77.4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5061693">
            <w:pPr>
              <w:jc w:val="center"/>
              <w:rPr>
                <w:rFonts w:hint="eastAsia" w:ascii="宋体" w:hAnsi="宋体" w:eastAsia="宋体" w:cs="宋体"/>
                <w:b w:val="0"/>
                <w:bCs w:val="0"/>
                <w:i w:val="0"/>
                <w:iCs w:val="0"/>
                <w:color w:val="000000"/>
                <w:sz w:val="22"/>
                <w:szCs w:val="22"/>
                <w:highlight w:val="none"/>
                <w:u w:val="none"/>
              </w:rPr>
            </w:pPr>
          </w:p>
        </w:tc>
      </w:tr>
      <w:tr w14:paraId="5BB8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88A048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cs="宋体"/>
                <w:b w:val="0"/>
                <w:bCs w:val="0"/>
                <w:i w:val="0"/>
                <w:iCs w:val="0"/>
                <w:color w:val="000000"/>
                <w:kern w:val="0"/>
                <w:sz w:val="22"/>
                <w:szCs w:val="22"/>
                <w:highlight w:val="none"/>
                <w:u w:val="none"/>
                <w:lang w:val="en-US" w:eastAsia="zh-CN" w:bidi="ar"/>
              </w:rPr>
              <w:t>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481E6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字</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3B762E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红色亚克力字体，详细做法及内容详见设计图纸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5F28174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04AA0E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24C792F">
            <w:pPr>
              <w:jc w:val="center"/>
              <w:rPr>
                <w:rFonts w:hint="eastAsia" w:ascii="宋体" w:hAnsi="宋体" w:eastAsia="宋体" w:cs="宋体"/>
                <w:b w:val="0"/>
                <w:bCs w:val="0"/>
                <w:i w:val="0"/>
                <w:iCs w:val="0"/>
                <w:color w:val="000000"/>
                <w:sz w:val="22"/>
                <w:szCs w:val="22"/>
                <w:highlight w:val="none"/>
                <w:u w:val="none"/>
              </w:rPr>
            </w:pPr>
          </w:p>
        </w:tc>
      </w:tr>
      <w:tr w14:paraId="7564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05F500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四、灯具</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76E1284">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07B4F14">
            <w:pPr>
              <w:jc w:val="center"/>
              <w:rPr>
                <w:rFonts w:hint="eastAsia" w:ascii="宋体" w:hAnsi="宋体" w:eastAsia="宋体" w:cs="宋体"/>
                <w:b w:val="0"/>
                <w:bCs w:val="0"/>
                <w:i w:val="0"/>
                <w:iCs w:val="0"/>
                <w:color w:val="000000"/>
                <w:sz w:val="22"/>
                <w:szCs w:val="22"/>
                <w:highlight w:val="none"/>
                <w:u w:val="none"/>
              </w:rPr>
            </w:pPr>
          </w:p>
        </w:tc>
      </w:tr>
      <w:tr w14:paraId="4879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C5B2CD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79143E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LED筒灯</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882828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5寸，16W   LED光源    带磨砂灯罩，详细做法及内容详见设计图纸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5E69A25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81B52F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8842E8D">
            <w:pPr>
              <w:jc w:val="center"/>
              <w:rPr>
                <w:rFonts w:hint="eastAsia" w:ascii="宋体" w:hAnsi="宋体" w:eastAsia="宋体" w:cs="宋体"/>
                <w:b w:val="0"/>
                <w:bCs w:val="0"/>
                <w:i w:val="0"/>
                <w:iCs w:val="0"/>
                <w:color w:val="000000"/>
                <w:sz w:val="22"/>
                <w:szCs w:val="22"/>
                <w:highlight w:val="none"/>
                <w:u w:val="none"/>
              </w:rPr>
            </w:pPr>
          </w:p>
        </w:tc>
      </w:tr>
      <w:tr w14:paraId="44A0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7A6C05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五、其他</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7F2059F">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748AFD3">
            <w:pPr>
              <w:jc w:val="center"/>
              <w:rPr>
                <w:rFonts w:hint="eastAsia" w:ascii="宋体" w:hAnsi="宋体" w:eastAsia="宋体" w:cs="宋体"/>
                <w:b w:val="0"/>
                <w:bCs w:val="0"/>
                <w:i w:val="0"/>
                <w:iCs w:val="0"/>
                <w:color w:val="000000"/>
                <w:sz w:val="22"/>
                <w:szCs w:val="22"/>
                <w:highlight w:val="none"/>
                <w:u w:val="none"/>
              </w:rPr>
            </w:pPr>
          </w:p>
        </w:tc>
      </w:tr>
      <w:tr w14:paraId="2BA7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7AE250F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5E5C37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保洁</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238B949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一遍开荒，二遍精细，三遍交付</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3DF6BF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9A3D46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118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48C9C73">
            <w:pPr>
              <w:jc w:val="center"/>
              <w:rPr>
                <w:rFonts w:hint="eastAsia" w:ascii="宋体" w:hAnsi="宋体" w:eastAsia="宋体" w:cs="宋体"/>
                <w:b w:val="0"/>
                <w:bCs w:val="0"/>
                <w:i w:val="0"/>
                <w:iCs w:val="0"/>
                <w:color w:val="000000"/>
                <w:sz w:val="22"/>
                <w:szCs w:val="22"/>
                <w:highlight w:val="none"/>
                <w:u w:val="none"/>
              </w:rPr>
            </w:pPr>
          </w:p>
        </w:tc>
      </w:tr>
      <w:tr w14:paraId="14DD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91" w:type="dxa"/>
            <w:gridSpan w:val="5"/>
            <w:tcBorders>
              <w:top w:val="single" w:color="000000" w:sz="4" w:space="0"/>
              <w:left w:val="single" w:color="000000" w:sz="4" w:space="0"/>
              <w:bottom w:val="single" w:color="000000" w:sz="4" w:space="0"/>
              <w:right w:val="nil"/>
            </w:tcBorders>
            <w:noWrap/>
            <w:vAlign w:val="center"/>
          </w:tcPr>
          <w:p w14:paraId="05658EA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小计1（1间）</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660859F1">
            <w:pPr>
              <w:jc w:val="center"/>
              <w:rPr>
                <w:rFonts w:hint="eastAsia" w:ascii="宋体" w:hAnsi="宋体" w:eastAsia="宋体" w:cs="宋体"/>
                <w:b w:val="0"/>
                <w:bCs w:val="0"/>
                <w:i w:val="0"/>
                <w:iCs w:val="0"/>
                <w:color w:val="000000"/>
                <w:sz w:val="22"/>
                <w:szCs w:val="22"/>
                <w:highlight w:val="none"/>
                <w:u w:val="none"/>
              </w:rPr>
            </w:pPr>
          </w:p>
        </w:tc>
      </w:tr>
      <w:tr w14:paraId="06E3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87" w:type="dxa"/>
            <w:gridSpan w:val="6"/>
            <w:tcBorders>
              <w:top w:val="single" w:color="000000" w:sz="4" w:space="0"/>
              <w:left w:val="single" w:color="000000" w:sz="4" w:space="0"/>
              <w:bottom w:val="single" w:color="000000" w:sz="4" w:space="0"/>
              <w:right w:val="single" w:color="000000" w:sz="4" w:space="0"/>
            </w:tcBorders>
            <w:noWrap/>
            <w:vAlign w:val="center"/>
          </w:tcPr>
          <w:p w14:paraId="4A3BC7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6.2 大会议室装修清单</w:t>
            </w:r>
          </w:p>
        </w:tc>
      </w:tr>
      <w:tr w14:paraId="3566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87" w:type="dxa"/>
            <w:gridSpan w:val="6"/>
            <w:tcBorders>
              <w:top w:val="single" w:color="000000" w:sz="4" w:space="0"/>
              <w:left w:val="single" w:color="000000" w:sz="4" w:space="0"/>
              <w:bottom w:val="single" w:color="000000" w:sz="4" w:space="0"/>
              <w:right w:val="single" w:color="000000" w:sz="4" w:space="0"/>
            </w:tcBorders>
            <w:noWrap w:val="0"/>
            <w:vAlign w:val="center"/>
          </w:tcPr>
          <w:p w14:paraId="73BA50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一、墙面、地面</w:t>
            </w:r>
          </w:p>
        </w:tc>
      </w:tr>
      <w:tr w14:paraId="35E8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CD287F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704152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木饰面基层</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CAC53B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100轻钢龙骨打底吸音棉填充，详细做法及内容详见设计图纸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7BD7CF6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5F0CA8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240.6</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0269AED">
            <w:pPr>
              <w:jc w:val="center"/>
              <w:rPr>
                <w:rFonts w:hint="eastAsia" w:ascii="宋体" w:hAnsi="宋体" w:eastAsia="宋体" w:cs="宋体"/>
                <w:b w:val="0"/>
                <w:bCs w:val="0"/>
                <w:i w:val="0"/>
                <w:iCs w:val="0"/>
                <w:color w:val="000000"/>
                <w:sz w:val="22"/>
                <w:szCs w:val="22"/>
                <w:highlight w:val="none"/>
                <w:u w:val="none"/>
              </w:rPr>
            </w:pPr>
          </w:p>
        </w:tc>
      </w:tr>
      <w:tr w14:paraId="0214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0038C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7228CC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木饰面板饰面</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0830EFA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12阻燃板打底、饰面板，详细做法及内容详见设计图纸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765FFF4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69C11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240.6</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37D9BDA">
            <w:pPr>
              <w:jc w:val="center"/>
              <w:rPr>
                <w:rFonts w:hint="eastAsia" w:ascii="宋体" w:hAnsi="宋体" w:eastAsia="宋体" w:cs="宋体"/>
                <w:b w:val="0"/>
                <w:bCs w:val="0"/>
                <w:i w:val="0"/>
                <w:iCs w:val="0"/>
                <w:color w:val="000000"/>
                <w:sz w:val="22"/>
                <w:szCs w:val="22"/>
                <w:highlight w:val="none"/>
                <w:u w:val="none"/>
              </w:rPr>
            </w:pPr>
          </w:p>
        </w:tc>
      </w:tr>
      <w:tr w14:paraId="0759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ED7DEA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DDD56A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长城板基层</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3C3B2A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100轻钢龙骨打底吸音棉填充，详细做法及内容详见设计图纸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176E4A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C9EB05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70.2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67D1DD4">
            <w:pPr>
              <w:jc w:val="center"/>
              <w:rPr>
                <w:rFonts w:hint="eastAsia" w:ascii="宋体" w:hAnsi="宋体" w:eastAsia="宋体" w:cs="宋体"/>
                <w:b w:val="0"/>
                <w:bCs w:val="0"/>
                <w:i w:val="0"/>
                <w:iCs w:val="0"/>
                <w:color w:val="000000"/>
                <w:sz w:val="22"/>
                <w:szCs w:val="22"/>
                <w:highlight w:val="none"/>
                <w:u w:val="none"/>
              </w:rPr>
            </w:pPr>
          </w:p>
        </w:tc>
      </w:tr>
      <w:tr w14:paraId="71A7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238C91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3C2C87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135mm长城板吸音板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2737070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12阻燃板打底、饰面板，详细做法及内容详见设计图纸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B14CE5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78BE39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70.2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D037CE9">
            <w:pPr>
              <w:jc w:val="center"/>
              <w:rPr>
                <w:rFonts w:hint="eastAsia" w:ascii="宋体" w:hAnsi="宋体" w:eastAsia="宋体" w:cs="宋体"/>
                <w:b w:val="0"/>
                <w:bCs w:val="0"/>
                <w:i w:val="0"/>
                <w:iCs w:val="0"/>
                <w:color w:val="000000"/>
                <w:sz w:val="22"/>
                <w:szCs w:val="22"/>
                <w:highlight w:val="none"/>
                <w:u w:val="none"/>
              </w:rPr>
            </w:pPr>
          </w:p>
        </w:tc>
      </w:tr>
      <w:tr w14:paraId="575C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3885A0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90027E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踢脚线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11DF363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实木踢脚线100mm，详细做法及内容详见设计图纸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3DF4A08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米</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FC1140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51.88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262DF96">
            <w:pPr>
              <w:jc w:val="center"/>
              <w:rPr>
                <w:rFonts w:hint="eastAsia" w:ascii="宋体" w:hAnsi="宋体" w:eastAsia="宋体" w:cs="宋体"/>
                <w:b w:val="0"/>
                <w:bCs w:val="0"/>
                <w:i w:val="0"/>
                <w:iCs w:val="0"/>
                <w:color w:val="000000"/>
                <w:sz w:val="22"/>
                <w:szCs w:val="22"/>
                <w:highlight w:val="none"/>
                <w:u w:val="none"/>
              </w:rPr>
            </w:pPr>
          </w:p>
        </w:tc>
      </w:tr>
      <w:tr w14:paraId="0A61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7B4B89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二、门窗</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E044A5E">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961B254">
            <w:pPr>
              <w:jc w:val="center"/>
              <w:rPr>
                <w:rFonts w:hint="eastAsia" w:ascii="宋体" w:hAnsi="宋体" w:eastAsia="宋体" w:cs="宋体"/>
                <w:b w:val="0"/>
                <w:bCs w:val="0"/>
                <w:i w:val="0"/>
                <w:iCs w:val="0"/>
                <w:color w:val="000000"/>
                <w:sz w:val="22"/>
                <w:szCs w:val="22"/>
                <w:highlight w:val="none"/>
                <w:u w:val="none"/>
              </w:rPr>
            </w:pPr>
          </w:p>
        </w:tc>
      </w:tr>
      <w:tr w14:paraId="489D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1A4C45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999C01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单开木饰面门</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3BD9980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尺寸：1000x2400</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单开木饰面门，含门套，详细做法及内容详见设计图纸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EAAB72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99A030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EE991DE">
            <w:pPr>
              <w:jc w:val="center"/>
              <w:rPr>
                <w:rFonts w:hint="eastAsia" w:ascii="宋体" w:hAnsi="宋体" w:eastAsia="宋体" w:cs="宋体"/>
                <w:b w:val="0"/>
                <w:bCs w:val="0"/>
                <w:i w:val="0"/>
                <w:iCs w:val="0"/>
                <w:color w:val="000000"/>
                <w:sz w:val="22"/>
                <w:szCs w:val="22"/>
                <w:highlight w:val="none"/>
                <w:u w:val="none"/>
              </w:rPr>
            </w:pPr>
          </w:p>
        </w:tc>
      </w:tr>
      <w:tr w14:paraId="7817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2F6D6AE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三、其他</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D9D6166">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3E22A66">
            <w:pPr>
              <w:jc w:val="center"/>
              <w:rPr>
                <w:rFonts w:hint="eastAsia" w:ascii="宋体" w:hAnsi="宋体" w:eastAsia="宋体" w:cs="宋体"/>
                <w:b w:val="0"/>
                <w:bCs w:val="0"/>
                <w:i w:val="0"/>
                <w:iCs w:val="0"/>
                <w:color w:val="000000"/>
                <w:sz w:val="22"/>
                <w:szCs w:val="22"/>
                <w:highlight w:val="none"/>
                <w:u w:val="none"/>
              </w:rPr>
            </w:pPr>
          </w:p>
        </w:tc>
      </w:tr>
      <w:tr w14:paraId="5B7B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463C11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E616F5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保洁</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6AC0EE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一遍开荒，二遍精细，三遍交付</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F7D149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0340EB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117.15</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300D9F6">
            <w:pPr>
              <w:jc w:val="center"/>
              <w:rPr>
                <w:rFonts w:hint="eastAsia" w:ascii="宋体" w:hAnsi="宋体" w:eastAsia="宋体" w:cs="宋体"/>
                <w:b w:val="0"/>
                <w:bCs w:val="0"/>
                <w:i w:val="0"/>
                <w:iCs w:val="0"/>
                <w:color w:val="000000"/>
                <w:sz w:val="22"/>
                <w:szCs w:val="22"/>
                <w:highlight w:val="none"/>
                <w:u w:val="none"/>
              </w:rPr>
            </w:pPr>
          </w:p>
        </w:tc>
      </w:tr>
      <w:tr w14:paraId="6888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91" w:type="dxa"/>
            <w:gridSpan w:val="5"/>
            <w:tcBorders>
              <w:top w:val="single" w:color="000000" w:sz="4" w:space="0"/>
              <w:left w:val="single" w:color="000000" w:sz="4" w:space="0"/>
              <w:bottom w:val="single" w:color="000000" w:sz="4" w:space="0"/>
              <w:right w:val="nil"/>
            </w:tcBorders>
            <w:noWrap/>
            <w:vAlign w:val="center"/>
          </w:tcPr>
          <w:p w14:paraId="030B34B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小计2（1间）</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24BA9558">
            <w:pPr>
              <w:jc w:val="center"/>
              <w:rPr>
                <w:rFonts w:hint="eastAsia" w:ascii="宋体" w:hAnsi="宋体" w:eastAsia="宋体" w:cs="宋体"/>
                <w:b w:val="0"/>
                <w:bCs w:val="0"/>
                <w:i w:val="0"/>
                <w:iCs w:val="0"/>
                <w:color w:val="000000"/>
                <w:sz w:val="22"/>
                <w:szCs w:val="22"/>
                <w:highlight w:val="none"/>
                <w:u w:val="none"/>
              </w:rPr>
            </w:pPr>
          </w:p>
        </w:tc>
      </w:tr>
      <w:tr w14:paraId="4A20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87" w:type="dxa"/>
            <w:gridSpan w:val="6"/>
            <w:tcBorders>
              <w:top w:val="single" w:color="000000" w:sz="4" w:space="0"/>
              <w:left w:val="single" w:color="000000" w:sz="4" w:space="0"/>
              <w:bottom w:val="single" w:color="000000" w:sz="4" w:space="0"/>
              <w:right w:val="single" w:color="000000" w:sz="4" w:space="0"/>
            </w:tcBorders>
            <w:noWrap/>
            <w:vAlign w:val="center"/>
          </w:tcPr>
          <w:p w14:paraId="519870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6.3 研讨室装修清单</w:t>
            </w:r>
          </w:p>
        </w:tc>
      </w:tr>
      <w:tr w14:paraId="0DB1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09EFE3F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一、墙面、地面</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8EDEA05">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024496F">
            <w:pPr>
              <w:jc w:val="center"/>
              <w:rPr>
                <w:rFonts w:hint="eastAsia" w:ascii="宋体" w:hAnsi="宋体" w:eastAsia="宋体" w:cs="宋体"/>
                <w:b w:val="0"/>
                <w:bCs w:val="0"/>
                <w:i w:val="0"/>
                <w:iCs w:val="0"/>
                <w:color w:val="000000"/>
                <w:sz w:val="22"/>
                <w:szCs w:val="22"/>
                <w:highlight w:val="none"/>
                <w:u w:val="none"/>
              </w:rPr>
            </w:pPr>
          </w:p>
        </w:tc>
      </w:tr>
      <w:tr w14:paraId="6D76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9D720A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DD9A70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蓝色木制冲孔挂板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02BA11E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12阻燃板打底、饰面板，详细做法及内容详见设计图纸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D1D61D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7D3AEE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23.54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5AEE53B">
            <w:pPr>
              <w:jc w:val="center"/>
              <w:rPr>
                <w:rFonts w:hint="eastAsia" w:ascii="宋体" w:hAnsi="宋体" w:eastAsia="宋体" w:cs="宋体"/>
                <w:b w:val="0"/>
                <w:bCs w:val="0"/>
                <w:i w:val="0"/>
                <w:iCs w:val="0"/>
                <w:color w:val="000000"/>
                <w:sz w:val="22"/>
                <w:szCs w:val="22"/>
                <w:highlight w:val="none"/>
                <w:u w:val="none"/>
              </w:rPr>
            </w:pPr>
          </w:p>
        </w:tc>
      </w:tr>
      <w:tr w14:paraId="2C49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8DCBB5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C361E6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踢脚线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19765A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实木踢脚线100mm，详细做法及内容详见设计图纸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AECB43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米</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6B8C08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31.91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437FB92">
            <w:pPr>
              <w:jc w:val="center"/>
              <w:rPr>
                <w:rFonts w:hint="eastAsia" w:ascii="宋体" w:hAnsi="宋体" w:eastAsia="宋体" w:cs="宋体"/>
                <w:b w:val="0"/>
                <w:bCs w:val="0"/>
                <w:i w:val="0"/>
                <w:iCs w:val="0"/>
                <w:color w:val="000000"/>
                <w:sz w:val="22"/>
                <w:szCs w:val="22"/>
                <w:highlight w:val="none"/>
                <w:u w:val="none"/>
              </w:rPr>
            </w:pPr>
          </w:p>
        </w:tc>
      </w:tr>
      <w:tr w14:paraId="2359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346DB3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42195F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壁布基层粉刷</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437A93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腻子修补基层，详细做法及内容详见设计图纸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CBA1A0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0F9BC2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148.17</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1141B63">
            <w:pPr>
              <w:jc w:val="center"/>
              <w:rPr>
                <w:rFonts w:hint="eastAsia" w:ascii="宋体" w:hAnsi="宋体" w:eastAsia="宋体" w:cs="宋体"/>
                <w:b w:val="0"/>
                <w:bCs w:val="0"/>
                <w:i w:val="0"/>
                <w:iCs w:val="0"/>
                <w:color w:val="000000"/>
                <w:sz w:val="22"/>
                <w:szCs w:val="22"/>
                <w:highlight w:val="none"/>
                <w:u w:val="none"/>
              </w:rPr>
            </w:pPr>
          </w:p>
        </w:tc>
      </w:tr>
      <w:tr w14:paraId="7E16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D342D4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B7A2ED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墙面壁布</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AAEF2F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成品壁布粘贴处理，详细做法及内容详见设计图纸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7AE3448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2602DC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148.17</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A0491FF">
            <w:pPr>
              <w:jc w:val="center"/>
              <w:rPr>
                <w:rFonts w:hint="eastAsia" w:ascii="宋体" w:hAnsi="宋体" w:eastAsia="宋体" w:cs="宋体"/>
                <w:b w:val="0"/>
                <w:bCs w:val="0"/>
                <w:i w:val="0"/>
                <w:iCs w:val="0"/>
                <w:color w:val="000000"/>
                <w:sz w:val="22"/>
                <w:szCs w:val="22"/>
                <w:highlight w:val="none"/>
                <w:u w:val="none"/>
              </w:rPr>
            </w:pPr>
          </w:p>
        </w:tc>
      </w:tr>
      <w:tr w14:paraId="5ABC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nil"/>
            </w:tcBorders>
            <w:noWrap w:val="0"/>
            <w:vAlign w:val="center"/>
          </w:tcPr>
          <w:p w14:paraId="1F26DD4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7C2A52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背景墙造型</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06149B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石膏板造型处理，详细做法及内容详见设计图纸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1F6F63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B11765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30.03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A0ACE7F">
            <w:pPr>
              <w:jc w:val="center"/>
              <w:rPr>
                <w:rFonts w:hint="eastAsia" w:ascii="宋体" w:hAnsi="宋体" w:eastAsia="宋体" w:cs="宋体"/>
                <w:b w:val="0"/>
                <w:bCs w:val="0"/>
                <w:i w:val="0"/>
                <w:iCs w:val="0"/>
                <w:color w:val="000000"/>
                <w:sz w:val="22"/>
                <w:szCs w:val="22"/>
                <w:highlight w:val="none"/>
                <w:u w:val="none"/>
              </w:rPr>
            </w:pPr>
          </w:p>
        </w:tc>
      </w:tr>
      <w:tr w14:paraId="32BE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nil"/>
            </w:tcBorders>
            <w:noWrap w:val="0"/>
            <w:vAlign w:val="center"/>
          </w:tcPr>
          <w:p w14:paraId="524C0D1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w:t>
            </w:r>
          </w:p>
        </w:tc>
        <w:tc>
          <w:tcPr>
            <w:tcW w:w="832" w:type="dxa"/>
            <w:tcBorders>
              <w:top w:val="single" w:color="000000" w:sz="4" w:space="0"/>
              <w:left w:val="nil"/>
              <w:bottom w:val="single" w:color="000000" w:sz="4" w:space="0"/>
              <w:right w:val="nil"/>
            </w:tcBorders>
            <w:noWrap w:val="0"/>
            <w:vAlign w:val="center"/>
          </w:tcPr>
          <w:p w14:paraId="2E4179B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背景墙粉刷</w:t>
            </w:r>
          </w:p>
        </w:tc>
        <w:tc>
          <w:tcPr>
            <w:tcW w:w="8304" w:type="dxa"/>
            <w:tcBorders>
              <w:top w:val="single" w:color="000000" w:sz="4" w:space="0"/>
              <w:left w:val="nil"/>
              <w:bottom w:val="single" w:color="000000" w:sz="4" w:space="0"/>
              <w:right w:val="nil"/>
            </w:tcBorders>
            <w:noWrap w:val="0"/>
            <w:vAlign w:val="center"/>
          </w:tcPr>
          <w:p w14:paraId="09F60ED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2遍腻子打底2遍乳胶漆处理，详细做法及内容详见设计图纸</w:t>
            </w:r>
          </w:p>
        </w:tc>
        <w:tc>
          <w:tcPr>
            <w:tcW w:w="328" w:type="dxa"/>
            <w:tcBorders>
              <w:top w:val="single" w:color="000000" w:sz="4" w:space="0"/>
              <w:left w:val="nil"/>
              <w:bottom w:val="single" w:color="000000" w:sz="4" w:space="0"/>
              <w:right w:val="single" w:color="000000" w:sz="4" w:space="0"/>
            </w:tcBorders>
            <w:noWrap w:val="0"/>
            <w:vAlign w:val="center"/>
          </w:tcPr>
          <w:p w14:paraId="53AA4FD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0CC3E7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30.3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F87B630">
            <w:pPr>
              <w:jc w:val="center"/>
              <w:rPr>
                <w:rFonts w:hint="eastAsia" w:ascii="宋体" w:hAnsi="宋体" w:eastAsia="宋体" w:cs="宋体"/>
                <w:b w:val="0"/>
                <w:bCs w:val="0"/>
                <w:i w:val="0"/>
                <w:iCs w:val="0"/>
                <w:color w:val="000000"/>
                <w:sz w:val="22"/>
                <w:szCs w:val="22"/>
                <w:highlight w:val="none"/>
                <w:u w:val="none"/>
              </w:rPr>
            </w:pPr>
          </w:p>
        </w:tc>
      </w:tr>
      <w:tr w14:paraId="494B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6E49331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二、其他</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4393318">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25D2498">
            <w:pPr>
              <w:jc w:val="center"/>
              <w:rPr>
                <w:rFonts w:hint="eastAsia" w:ascii="宋体" w:hAnsi="宋体" w:eastAsia="宋体" w:cs="宋体"/>
                <w:b w:val="0"/>
                <w:bCs w:val="0"/>
                <w:i w:val="0"/>
                <w:iCs w:val="0"/>
                <w:color w:val="000000"/>
                <w:sz w:val="22"/>
                <w:szCs w:val="22"/>
                <w:highlight w:val="none"/>
                <w:u w:val="none"/>
              </w:rPr>
            </w:pPr>
          </w:p>
        </w:tc>
      </w:tr>
      <w:tr w14:paraId="0570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C2F497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D65773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保洁</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3E61EE4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一遍开荒，二遍精细，三遍交付</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1261EC5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2E3994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120.7</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374C3CF">
            <w:pPr>
              <w:jc w:val="center"/>
              <w:rPr>
                <w:rFonts w:hint="eastAsia" w:ascii="宋体" w:hAnsi="宋体" w:eastAsia="宋体" w:cs="宋体"/>
                <w:b w:val="0"/>
                <w:bCs w:val="0"/>
                <w:i w:val="0"/>
                <w:iCs w:val="0"/>
                <w:color w:val="000000"/>
                <w:sz w:val="22"/>
                <w:szCs w:val="22"/>
                <w:highlight w:val="none"/>
                <w:u w:val="none"/>
              </w:rPr>
            </w:pPr>
          </w:p>
        </w:tc>
      </w:tr>
      <w:tr w14:paraId="6D11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91" w:type="dxa"/>
            <w:gridSpan w:val="5"/>
            <w:tcBorders>
              <w:top w:val="single" w:color="000000" w:sz="4" w:space="0"/>
              <w:left w:val="single" w:color="000000" w:sz="4" w:space="0"/>
              <w:bottom w:val="single" w:color="000000" w:sz="4" w:space="0"/>
              <w:right w:val="nil"/>
            </w:tcBorders>
            <w:noWrap/>
            <w:vAlign w:val="center"/>
          </w:tcPr>
          <w:p w14:paraId="75C3E8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小计3（4间）</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76FC9CAD">
            <w:pPr>
              <w:jc w:val="center"/>
              <w:rPr>
                <w:rFonts w:hint="eastAsia" w:ascii="宋体" w:hAnsi="宋体" w:eastAsia="宋体" w:cs="宋体"/>
                <w:b w:val="0"/>
                <w:bCs w:val="0"/>
                <w:i w:val="0"/>
                <w:iCs w:val="0"/>
                <w:color w:val="000000"/>
                <w:sz w:val="22"/>
                <w:szCs w:val="22"/>
                <w:highlight w:val="none"/>
                <w:u w:val="none"/>
              </w:rPr>
            </w:pPr>
          </w:p>
        </w:tc>
      </w:tr>
      <w:tr w14:paraId="683C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87" w:type="dxa"/>
            <w:gridSpan w:val="6"/>
            <w:tcBorders>
              <w:top w:val="single" w:color="000000" w:sz="4" w:space="0"/>
              <w:left w:val="single" w:color="000000" w:sz="4" w:space="0"/>
              <w:bottom w:val="single" w:color="000000" w:sz="4" w:space="0"/>
              <w:right w:val="single" w:color="000000" w:sz="4" w:space="0"/>
            </w:tcBorders>
            <w:noWrap/>
            <w:vAlign w:val="center"/>
          </w:tcPr>
          <w:p w14:paraId="2DA4F9D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6.4 录播室装修清单</w:t>
            </w:r>
          </w:p>
        </w:tc>
      </w:tr>
      <w:tr w14:paraId="2E84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690962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一、吊顶</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0F8063B">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6C12DA2">
            <w:pPr>
              <w:jc w:val="center"/>
              <w:rPr>
                <w:rFonts w:hint="eastAsia" w:ascii="宋体" w:hAnsi="宋体" w:eastAsia="宋体" w:cs="宋体"/>
                <w:b w:val="0"/>
                <w:bCs w:val="0"/>
                <w:i w:val="0"/>
                <w:iCs w:val="0"/>
                <w:color w:val="000000"/>
                <w:sz w:val="22"/>
                <w:szCs w:val="22"/>
                <w:highlight w:val="none"/>
                <w:u w:val="none"/>
              </w:rPr>
            </w:pPr>
          </w:p>
        </w:tc>
      </w:tr>
      <w:tr w14:paraId="3F3A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669CF3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71ACC2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龙骨石膏板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460579B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石膏板吊顶，轻钢龙骨石膏板，可上人，详细做法及内容详见设计图纸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624597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CFA62C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856D190">
            <w:pPr>
              <w:jc w:val="center"/>
              <w:rPr>
                <w:rFonts w:hint="eastAsia" w:ascii="宋体" w:hAnsi="宋体" w:eastAsia="宋体" w:cs="宋体"/>
                <w:b w:val="0"/>
                <w:bCs w:val="0"/>
                <w:i w:val="0"/>
                <w:iCs w:val="0"/>
                <w:color w:val="000000"/>
                <w:sz w:val="22"/>
                <w:szCs w:val="22"/>
                <w:highlight w:val="none"/>
                <w:u w:val="none"/>
              </w:rPr>
            </w:pPr>
          </w:p>
        </w:tc>
      </w:tr>
      <w:tr w14:paraId="37AE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9B22DA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7581C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顶面处理</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A524F5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刮批腻子两边找平、砂纸打磨平整、乳胶漆粉刷饰面，详细做法及内容详见设计图纸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0BA65AE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C14415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55</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472DC74">
            <w:pPr>
              <w:jc w:val="center"/>
              <w:rPr>
                <w:rFonts w:hint="eastAsia" w:ascii="宋体" w:hAnsi="宋体" w:eastAsia="宋体" w:cs="宋体"/>
                <w:b w:val="0"/>
                <w:bCs w:val="0"/>
                <w:i w:val="0"/>
                <w:iCs w:val="0"/>
                <w:color w:val="000000"/>
                <w:sz w:val="22"/>
                <w:szCs w:val="22"/>
                <w:highlight w:val="none"/>
                <w:u w:val="none"/>
              </w:rPr>
            </w:pPr>
          </w:p>
        </w:tc>
      </w:tr>
      <w:tr w14:paraId="68EE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531B33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5EC7A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灯槽</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7F524BD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石膏板，详细做法及内容详见设计图纸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54B07A9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米</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4AEA88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20.44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13F3009">
            <w:pPr>
              <w:jc w:val="center"/>
              <w:rPr>
                <w:rFonts w:hint="eastAsia" w:ascii="宋体" w:hAnsi="宋体" w:eastAsia="宋体" w:cs="宋体"/>
                <w:b w:val="0"/>
                <w:bCs w:val="0"/>
                <w:i w:val="0"/>
                <w:iCs w:val="0"/>
                <w:color w:val="000000"/>
                <w:sz w:val="22"/>
                <w:szCs w:val="22"/>
                <w:highlight w:val="none"/>
                <w:u w:val="none"/>
              </w:rPr>
            </w:pPr>
          </w:p>
        </w:tc>
      </w:tr>
      <w:tr w14:paraId="0D64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944C91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60FAC8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LED暖色节能灯带</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3C139D6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LED节能灯带</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色温2700K</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PVC（聚氯乙烯）材质</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含电子镇流器，详细做法及内容详见设计图纸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28FC31C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米</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9F918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20.44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8620154">
            <w:pPr>
              <w:jc w:val="center"/>
              <w:rPr>
                <w:rFonts w:hint="eastAsia" w:ascii="宋体" w:hAnsi="宋体" w:eastAsia="宋体" w:cs="宋体"/>
                <w:b w:val="0"/>
                <w:bCs w:val="0"/>
                <w:i w:val="0"/>
                <w:iCs w:val="0"/>
                <w:color w:val="000000"/>
                <w:sz w:val="22"/>
                <w:szCs w:val="22"/>
                <w:highlight w:val="none"/>
                <w:u w:val="none"/>
              </w:rPr>
            </w:pPr>
          </w:p>
        </w:tc>
      </w:tr>
      <w:tr w14:paraId="44ED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21CBEE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8B7F8C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检修口</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7D1CEE5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400*400，详细做法及内容详见设计图纸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3BE46B8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F1253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F60A20F">
            <w:pPr>
              <w:jc w:val="center"/>
              <w:rPr>
                <w:rFonts w:hint="eastAsia" w:ascii="宋体" w:hAnsi="宋体" w:eastAsia="宋体" w:cs="宋体"/>
                <w:b w:val="0"/>
                <w:bCs w:val="0"/>
                <w:i w:val="0"/>
                <w:iCs w:val="0"/>
                <w:color w:val="000000"/>
                <w:sz w:val="22"/>
                <w:szCs w:val="22"/>
                <w:highlight w:val="none"/>
                <w:u w:val="none"/>
              </w:rPr>
            </w:pPr>
          </w:p>
        </w:tc>
      </w:tr>
      <w:tr w14:paraId="0C2B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24A907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E55EA5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出风口</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871FEB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300*300，详细做法及内容详见设计图纸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0B9DE73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82F951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34A29E2">
            <w:pPr>
              <w:jc w:val="center"/>
              <w:rPr>
                <w:rFonts w:hint="eastAsia" w:ascii="宋体" w:hAnsi="宋体" w:eastAsia="宋体" w:cs="宋体"/>
                <w:b w:val="0"/>
                <w:bCs w:val="0"/>
                <w:i w:val="0"/>
                <w:iCs w:val="0"/>
                <w:color w:val="000000"/>
                <w:sz w:val="22"/>
                <w:szCs w:val="22"/>
                <w:highlight w:val="none"/>
                <w:u w:val="none"/>
              </w:rPr>
            </w:pPr>
          </w:p>
        </w:tc>
      </w:tr>
      <w:tr w14:paraId="2320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3886234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A4F621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出风口</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9003B3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150*600，详细做法及内容详见设计图纸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1863DD5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BF876C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90D408B">
            <w:pPr>
              <w:jc w:val="center"/>
              <w:rPr>
                <w:rFonts w:hint="eastAsia" w:ascii="宋体" w:hAnsi="宋体" w:eastAsia="宋体" w:cs="宋体"/>
                <w:b w:val="0"/>
                <w:bCs w:val="0"/>
                <w:i w:val="0"/>
                <w:iCs w:val="0"/>
                <w:color w:val="000000"/>
                <w:sz w:val="22"/>
                <w:szCs w:val="22"/>
                <w:highlight w:val="none"/>
                <w:u w:val="none"/>
              </w:rPr>
            </w:pPr>
          </w:p>
        </w:tc>
      </w:tr>
      <w:tr w14:paraId="17F0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7DF4E32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E252D7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侧出风口</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30BFB54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吊顶侧出风口，详细做法及内容详见设计图纸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3FD153D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米</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8ECB56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20.44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39842AF">
            <w:pPr>
              <w:jc w:val="center"/>
              <w:rPr>
                <w:rFonts w:hint="eastAsia" w:ascii="宋体" w:hAnsi="宋体" w:eastAsia="宋体" w:cs="宋体"/>
                <w:b w:val="0"/>
                <w:bCs w:val="0"/>
                <w:i w:val="0"/>
                <w:iCs w:val="0"/>
                <w:color w:val="000000"/>
                <w:sz w:val="22"/>
                <w:szCs w:val="22"/>
                <w:highlight w:val="none"/>
                <w:u w:val="none"/>
              </w:rPr>
            </w:pPr>
          </w:p>
        </w:tc>
      </w:tr>
      <w:tr w14:paraId="4566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5A78F5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二、墙面、地面</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5B3DC2B">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AAE75E8">
            <w:pPr>
              <w:jc w:val="center"/>
              <w:rPr>
                <w:rFonts w:hint="eastAsia" w:ascii="宋体" w:hAnsi="宋体" w:eastAsia="宋体" w:cs="宋体"/>
                <w:b w:val="0"/>
                <w:bCs w:val="0"/>
                <w:i w:val="0"/>
                <w:iCs w:val="0"/>
                <w:color w:val="000000"/>
                <w:sz w:val="22"/>
                <w:szCs w:val="22"/>
                <w:highlight w:val="none"/>
                <w:u w:val="none"/>
              </w:rPr>
            </w:pPr>
          </w:p>
        </w:tc>
      </w:tr>
      <w:tr w14:paraId="3C60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1EF76B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62D35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地毯</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580706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1.原建筑地面处理，防潮膜</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2.铺设地毯，详细做法及内容详见设计图纸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5E66A8E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CA7BEF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17.1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0F2BAD8">
            <w:pPr>
              <w:jc w:val="center"/>
              <w:rPr>
                <w:rFonts w:hint="eastAsia" w:ascii="宋体" w:hAnsi="宋体" w:eastAsia="宋体" w:cs="宋体"/>
                <w:b w:val="0"/>
                <w:bCs w:val="0"/>
                <w:i w:val="0"/>
                <w:iCs w:val="0"/>
                <w:color w:val="000000"/>
                <w:sz w:val="22"/>
                <w:szCs w:val="22"/>
                <w:highlight w:val="none"/>
                <w:u w:val="none"/>
              </w:rPr>
            </w:pPr>
          </w:p>
        </w:tc>
      </w:tr>
      <w:tr w14:paraId="3D7D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1F0724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512000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新建地台</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25927EA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1.300mm*300mm木框架</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2.12阻燃版基层错拼</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3.15mm中纤板</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4.涂刷哑光蓝色乳胶漆</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5.暗藏2.5mm灯带 CH:150mm，详细做法及内容详见设计图纸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33653D4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C49AF0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22.13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9BEEE67">
            <w:pPr>
              <w:jc w:val="center"/>
              <w:rPr>
                <w:rFonts w:hint="eastAsia" w:ascii="宋体" w:hAnsi="宋体" w:eastAsia="宋体" w:cs="宋体"/>
                <w:b w:val="0"/>
                <w:bCs w:val="0"/>
                <w:i w:val="0"/>
                <w:iCs w:val="0"/>
                <w:color w:val="000000"/>
                <w:sz w:val="22"/>
                <w:szCs w:val="22"/>
                <w:highlight w:val="none"/>
                <w:u w:val="none"/>
              </w:rPr>
            </w:pPr>
          </w:p>
        </w:tc>
      </w:tr>
      <w:tr w14:paraId="68B2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BE05B9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CF9BBD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地台墙面</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01E68D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1.轻钢龙骨基层</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2.12阻燃版基层</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4.涂刷哑光蓝色乳胶漆</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5.暗藏2.5mm灯带 CH:150mm，详细做法及内容详见设计图纸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3397E71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3BEE77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44.05</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03564CF">
            <w:pPr>
              <w:jc w:val="center"/>
              <w:rPr>
                <w:rFonts w:hint="eastAsia" w:ascii="宋体" w:hAnsi="宋体" w:eastAsia="宋体" w:cs="宋体"/>
                <w:b w:val="0"/>
                <w:bCs w:val="0"/>
                <w:i w:val="0"/>
                <w:iCs w:val="0"/>
                <w:color w:val="000000"/>
                <w:sz w:val="22"/>
                <w:szCs w:val="22"/>
                <w:highlight w:val="none"/>
                <w:u w:val="none"/>
              </w:rPr>
            </w:pPr>
          </w:p>
        </w:tc>
      </w:tr>
      <w:tr w14:paraId="686A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58A094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E3FFC5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地毯墙面</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3F029F1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1.轻钢龙骨基层</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1.12阻燃版基层</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2.聚酯安棉墙面饰面，详细做法及内容详见设计图纸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73782AE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8CE25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59</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B0761CD">
            <w:pPr>
              <w:jc w:val="center"/>
              <w:rPr>
                <w:rFonts w:hint="eastAsia" w:ascii="宋体" w:hAnsi="宋体" w:eastAsia="宋体" w:cs="宋体"/>
                <w:b w:val="0"/>
                <w:bCs w:val="0"/>
                <w:i w:val="0"/>
                <w:iCs w:val="0"/>
                <w:color w:val="000000"/>
                <w:sz w:val="22"/>
                <w:szCs w:val="22"/>
                <w:highlight w:val="none"/>
                <w:u w:val="none"/>
              </w:rPr>
            </w:pPr>
          </w:p>
        </w:tc>
      </w:tr>
      <w:tr w14:paraId="3D65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3DB16C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26B4C1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新建双层隔音玻璃</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34A3D3B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新建双层隔音玻璃，详细做法及内容详见设计图纸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210D162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A67F78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4.68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D5715B4">
            <w:pPr>
              <w:jc w:val="center"/>
              <w:rPr>
                <w:rFonts w:hint="eastAsia" w:ascii="宋体" w:hAnsi="宋体" w:eastAsia="宋体" w:cs="宋体"/>
                <w:b w:val="0"/>
                <w:bCs w:val="0"/>
                <w:i w:val="0"/>
                <w:iCs w:val="0"/>
                <w:color w:val="000000"/>
                <w:sz w:val="22"/>
                <w:szCs w:val="22"/>
                <w:highlight w:val="none"/>
                <w:u w:val="none"/>
              </w:rPr>
            </w:pPr>
          </w:p>
        </w:tc>
      </w:tr>
      <w:tr w14:paraId="3AF9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5B96CC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26B705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LED暖色节能灯带</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7382EBC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LED节能灯带</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色温2700K</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PVC（聚氯乙烯）材质</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含电子镇流器，详细做法及内容详见设计图纸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288228C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米</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480A90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6.92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476F8DB">
            <w:pPr>
              <w:jc w:val="center"/>
              <w:rPr>
                <w:rFonts w:hint="eastAsia" w:ascii="宋体" w:hAnsi="宋体" w:eastAsia="宋体" w:cs="宋体"/>
                <w:b w:val="0"/>
                <w:bCs w:val="0"/>
                <w:i w:val="0"/>
                <w:iCs w:val="0"/>
                <w:color w:val="000000"/>
                <w:sz w:val="22"/>
                <w:szCs w:val="22"/>
                <w:highlight w:val="none"/>
                <w:u w:val="none"/>
              </w:rPr>
            </w:pPr>
          </w:p>
        </w:tc>
      </w:tr>
      <w:tr w14:paraId="4A9E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7E0F1DF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32937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踢脚线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70B20DB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黑拉丝无指纹不锈钢100mm，详细做法及内容详见设计图纸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16B13AE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米</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8704FC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24.58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02B7696">
            <w:pPr>
              <w:jc w:val="center"/>
              <w:rPr>
                <w:rFonts w:hint="eastAsia" w:ascii="宋体" w:hAnsi="宋体" w:eastAsia="宋体" w:cs="宋体"/>
                <w:b w:val="0"/>
                <w:bCs w:val="0"/>
                <w:i w:val="0"/>
                <w:iCs w:val="0"/>
                <w:color w:val="000000"/>
                <w:sz w:val="22"/>
                <w:szCs w:val="22"/>
                <w:highlight w:val="none"/>
                <w:u w:val="none"/>
              </w:rPr>
            </w:pPr>
          </w:p>
        </w:tc>
      </w:tr>
      <w:tr w14:paraId="279A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76F1D86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227967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墙面粉刷</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2F4C571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腻子修补基层、表面乳胶漆处理，详细做法及内容详见设计图纸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76E50A9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B30636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113.45</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8107D23">
            <w:pPr>
              <w:jc w:val="center"/>
              <w:rPr>
                <w:rFonts w:hint="eastAsia" w:ascii="宋体" w:hAnsi="宋体" w:eastAsia="宋体" w:cs="宋体"/>
                <w:b w:val="0"/>
                <w:bCs w:val="0"/>
                <w:i w:val="0"/>
                <w:iCs w:val="0"/>
                <w:color w:val="000000"/>
                <w:sz w:val="22"/>
                <w:szCs w:val="22"/>
                <w:highlight w:val="none"/>
                <w:u w:val="none"/>
              </w:rPr>
            </w:pPr>
          </w:p>
        </w:tc>
      </w:tr>
      <w:tr w14:paraId="15FC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2E16F5A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三、门窗</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1C8FD24">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724E286">
            <w:pPr>
              <w:jc w:val="center"/>
              <w:rPr>
                <w:rFonts w:hint="eastAsia" w:ascii="宋体" w:hAnsi="宋体" w:eastAsia="宋体" w:cs="宋体"/>
                <w:b w:val="0"/>
                <w:bCs w:val="0"/>
                <w:i w:val="0"/>
                <w:iCs w:val="0"/>
                <w:color w:val="000000"/>
                <w:sz w:val="22"/>
                <w:szCs w:val="22"/>
                <w:highlight w:val="none"/>
                <w:u w:val="none"/>
              </w:rPr>
            </w:pPr>
          </w:p>
        </w:tc>
      </w:tr>
      <w:tr w14:paraId="3F8D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9940C9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87288F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单开木饰面门</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2D9310B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尺寸：1000x2200</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单开木饰面门，含门套，详细做法及内容详见设计图纸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0C91167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326353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97838EC">
            <w:pPr>
              <w:jc w:val="center"/>
              <w:rPr>
                <w:rFonts w:hint="eastAsia" w:ascii="宋体" w:hAnsi="宋体" w:eastAsia="宋体" w:cs="宋体"/>
                <w:b w:val="0"/>
                <w:bCs w:val="0"/>
                <w:i w:val="0"/>
                <w:iCs w:val="0"/>
                <w:color w:val="000000"/>
                <w:sz w:val="22"/>
                <w:szCs w:val="22"/>
                <w:highlight w:val="none"/>
                <w:u w:val="none"/>
              </w:rPr>
            </w:pPr>
          </w:p>
        </w:tc>
      </w:tr>
      <w:tr w14:paraId="6E2F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20EA99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四、灯具</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0EFD654">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2DD8CDC">
            <w:pPr>
              <w:jc w:val="center"/>
              <w:rPr>
                <w:rFonts w:hint="eastAsia" w:ascii="宋体" w:hAnsi="宋体" w:eastAsia="宋体" w:cs="宋体"/>
                <w:b w:val="0"/>
                <w:bCs w:val="0"/>
                <w:i w:val="0"/>
                <w:iCs w:val="0"/>
                <w:color w:val="000000"/>
                <w:sz w:val="22"/>
                <w:szCs w:val="22"/>
                <w:highlight w:val="none"/>
                <w:u w:val="none"/>
              </w:rPr>
            </w:pPr>
          </w:p>
        </w:tc>
      </w:tr>
      <w:tr w14:paraId="7E64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40B634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02B4FF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LED筒灯</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6CB7E99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5寸，16W   LED光源    带磨砂灯罩，详细做法及内容详见设计图纸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0673975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84B5A6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0247023">
            <w:pPr>
              <w:jc w:val="center"/>
              <w:rPr>
                <w:rFonts w:hint="eastAsia" w:ascii="宋体" w:hAnsi="宋体" w:eastAsia="宋体" w:cs="宋体"/>
                <w:b w:val="0"/>
                <w:bCs w:val="0"/>
                <w:i w:val="0"/>
                <w:iCs w:val="0"/>
                <w:color w:val="000000"/>
                <w:sz w:val="22"/>
                <w:szCs w:val="22"/>
                <w:highlight w:val="none"/>
                <w:u w:val="none"/>
              </w:rPr>
            </w:pPr>
          </w:p>
        </w:tc>
      </w:tr>
      <w:tr w14:paraId="6953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4F99ED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六、其他</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4FCCB63">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ABEB233">
            <w:pPr>
              <w:jc w:val="center"/>
              <w:rPr>
                <w:rFonts w:hint="eastAsia" w:ascii="宋体" w:hAnsi="宋体" w:eastAsia="宋体" w:cs="宋体"/>
                <w:b w:val="0"/>
                <w:bCs w:val="0"/>
                <w:i w:val="0"/>
                <w:iCs w:val="0"/>
                <w:color w:val="000000"/>
                <w:sz w:val="22"/>
                <w:szCs w:val="22"/>
                <w:highlight w:val="none"/>
                <w:u w:val="none"/>
              </w:rPr>
            </w:pPr>
          </w:p>
        </w:tc>
      </w:tr>
      <w:tr w14:paraId="5DFB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DADB86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897F6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保洁</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337240E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一遍开荒，二遍精细，三遍交付</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1749C0C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4BCF9D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53.77</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F539504">
            <w:pPr>
              <w:jc w:val="center"/>
              <w:rPr>
                <w:rFonts w:hint="eastAsia" w:ascii="宋体" w:hAnsi="宋体" w:eastAsia="宋体" w:cs="宋体"/>
                <w:b w:val="0"/>
                <w:bCs w:val="0"/>
                <w:i w:val="0"/>
                <w:iCs w:val="0"/>
                <w:color w:val="000000"/>
                <w:sz w:val="22"/>
                <w:szCs w:val="22"/>
                <w:highlight w:val="none"/>
                <w:u w:val="none"/>
              </w:rPr>
            </w:pPr>
          </w:p>
        </w:tc>
      </w:tr>
      <w:tr w14:paraId="5480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91" w:type="dxa"/>
            <w:gridSpan w:val="5"/>
            <w:tcBorders>
              <w:top w:val="single" w:color="000000" w:sz="4" w:space="0"/>
              <w:left w:val="single" w:color="000000" w:sz="4" w:space="0"/>
              <w:bottom w:val="single" w:color="000000" w:sz="4" w:space="0"/>
              <w:right w:val="nil"/>
            </w:tcBorders>
            <w:noWrap/>
            <w:vAlign w:val="center"/>
          </w:tcPr>
          <w:p w14:paraId="2DC349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小计4（2间）</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63944BC5">
            <w:pPr>
              <w:jc w:val="center"/>
              <w:rPr>
                <w:rFonts w:hint="eastAsia" w:ascii="宋体" w:hAnsi="宋体" w:eastAsia="宋体" w:cs="宋体"/>
                <w:b w:val="0"/>
                <w:bCs w:val="0"/>
                <w:i w:val="0"/>
                <w:iCs w:val="0"/>
                <w:color w:val="000000"/>
                <w:sz w:val="22"/>
                <w:szCs w:val="22"/>
                <w:highlight w:val="none"/>
                <w:u w:val="none"/>
              </w:rPr>
            </w:pPr>
          </w:p>
        </w:tc>
      </w:tr>
      <w:tr w14:paraId="4583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87" w:type="dxa"/>
            <w:gridSpan w:val="6"/>
            <w:tcBorders>
              <w:top w:val="single" w:color="000000" w:sz="4" w:space="0"/>
              <w:left w:val="single" w:color="000000" w:sz="4" w:space="0"/>
              <w:bottom w:val="single" w:color="000000" w:sz="4" w:space="0"/>
              <w:right w:val="single" w:color="000000" w:sz="4" w:space="0"/>
            </w:tcBorders>
            <w:noWrap/>
            <w:vAlign w:val="center"/>
          </w:tcPr>
          <w:p w14:paraId="11BBD3C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6.5 主教学楼报告厅装修清单</w:t>
            </w:r>
          </w:p>
        </w:tc>
      </w:tr>
      <w:tr w14:paraId="7A19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7836AB7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一、墙面、地面</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66F3AEE">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5E6FA6E">
            <w:pPr>
              <w:jc w:val="center"/>
              <w:rPr>
                <w:rFonts w:hint="eastAsia" w:ascii="宋体" w:hAnsi="宋体" w:eastAsia="宋体" w:cs="宋体"/>
                <w:b w:val="0"/>
                <w:bCs w:val="0"/>
                <w:i w:val="0"/>
                <w:iCs w:val="0"/>
                <w:color w:val="000000"/>
                <w:sz w:val="22"/>
                <w:szCs w:val="22"/>
                <w:highlight w:val="none"/>
                <w:u w:val="none"/>
              </w:rPr>
            </w:pPr>
          </w:p>
        </w:tc>
      </w:tr>
      <w:tr w14:paraId="2C66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2EFD5D4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5D38D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踢脚线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07BEDC5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实木踢脚线100mm，详细做法及内容详见设计图纸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2D7E6B8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米</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1F058B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59.12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DC1D228">
            <w:pPr>
              <w:jc w:val="center"/>
              <w:rPr>
                <w:rFonts w:hint="eastAsia" w:ascii="宋体" w:hAnsi="宋体" w:eastAsia="宋体" w:cs="宋体"/>
                <w:b w:val="0"/>
                <w:bCs w:val="0"/>
                <w:i w:val="0"/>
                <w:iCs w:val="0"/>
                <w:color w:val="000000"/>
                <w:sz w:val="22"/>
                <w:szCs w:val="22"/>
                <w:highlight w:val="none"/>
                <w:u w:val="none"/>
              </w:rPr>
            </w:pPr>
          </w:p>
        </w:tc>
      </w:tr>
      <w:tr w14:paraId="396E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697EF2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D9F7F6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木饰面底层</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56862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100轻钢龙骨打底吸音棉填充，详细做法及内容详见设计图纸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11613A5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60942E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221.28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81620D5">
            <w:pPr>
              <w:jc w:val="center"/>
              <w:rPr>
                <w:rFonts w:hint="eastAsia" w:ascii="宋体" w:hAnsi="宋体" w:eastAsia="宋体" w:cs="宋体"/>
                <w:b w:val="0"/>
                <w:bCs w:val="0"/>
                <w:i w:val="0"/>
                <w:iCs w:val="0"/>
                <w:color w:val="000000"/>
                <w:sz w:val="22"/>
                <w:szCs w:val="22"/>
                <w:highlight w:val="none"/>
                <w:u w:val="none"/>
              </w:rPr>
            </w:pPr>
          </w:p>
        </w:tc>
      </w:tr>
      <w:tr w14:paraId="72D8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0E00937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845AB1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木饰面板饰面</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B43FE2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12阻燃板打底、饰面板，详细做法及内容详见设计图纸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04AF48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868BCE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221.28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30BBCD6">
            <w:pPr>
              <w:jc w:val="center"/>
              <w:rPr>
                <w:rFonts w:hint="eastAsia" w:ascii="宋体" w:hAnsi="宋体" w:eastAsia="宋体" w:cs="宋体"/>
                <w:b w:val="0"/>
                <w:bCs w:val="0"/>
                <w:i w:val="0"/>
                <w:iCs w:val="0"/>
                <w:color w:val="000000"/>
                <w:sz w:val="22"/>
                <w:szCs w:val="22"/>
                <w:highlight w:val="none"/>
                <w:u w:val="none"/>
              </w:rPr>
            </w:pPr>
          </w:p>
        </w:tc>
      </w:tr>
      <w:tr w14:paraId="5EF2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7E5148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56A7D1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长城板底层</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443333F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100轻钢龙骨底层吸音棉填充，详细做法及内容详见设计图纸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A7A3ED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2309DD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160.8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B58D695">
            <w:pPr>
              <w:jc w:val="center"/>
              <w:rPr>
                <w:rFonts w:hint="eastAsia" w:ascii="宋体" w:hAnsi="宋体" w:eastAsia="宋体" w:cs="宋体"/>
                <w:b w:val="0"/>
                <w:bCs w:val="0"/>
                <w:i w:val="0"/>
                <w:iCs w:val="0"/>
                <w:color w:val="000000"/>
                <w:sz w:val="22"/>
                <w:szCs w:val="22"/>
                <w:highlight w:val="none"/>
                <w:u w:val="none"/>
              </w:rPr>
            </w:pPr>
          </w:p>
        </w:tc>
      </w:tr>
      <w:tr w14:paraId="2043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79A6B7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F9C97B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135mm长城板吸音板</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22EA2B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12阻燃板打底、饰面板，详细做法及内容详见设计图纸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782C4C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D68CDE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160.8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C8529FA">
            <w:pPr>
              <w:jc w:val="center"/>
              <w:rPr>
                <w:rFonts w:hint="eastAsia" w:ascii="宋体" w:hAnsi="宋体" w:eastAsia="宋体" w:cs="宋体"/>
                <w:b w:val="0"/>
                <w:bCs w:val="0"/>
                <w:i w:val="0"/>
                <w:iCs w:val="0"/>
                <w:color w:val="000000"/>
                <w:sz w:val="22"/>
                <w:szCs w:val="22"/>
                <w:highlight w:val="none"/>
                <w:u w:val="none"/>
              </w:rPr>
            </w:pPr>
          </w:p>
        </w:tc>
      </w:tr>
      <w:tr w14:paraId="0F37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3" w:type="dxa"/>
            <w:tcBorders>
              <w:top w:val="single" w:color="000000" w:sz="4" w:space="0"/>
              <w:left w:val="single" w:color="000000" w:sz="4" w:space="0"/>
              <w:bottom w:val="single" w:color="000000" w:sz="4" w:space="0"/>
              <w:right w:val="nil"/>
            </w:tcBorders>
            <w:noWrap w:val="0"/>
            <w:vAlign w:val="center"/>
          </w:tcPr>
          <w:p w14:paraId="4D9EBCB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F58947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新增墙体</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5F0629A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4x4方钢底层12阻燃板打底，饰面板        厚度1.36米，详细做法及内容详见设计图纸</w:t>
            </w:r>
          </w:p>
        </w:tc>
        <w:tc>
          <w:tcPr>
            <w:tcW w:w="328" w:type="dxa"/>
            <w:tcBorders>
              <w:top w:val="single" w:color="000000" w:sz="4" w:space="0"/>
              <w:left w:val="nil"/>
              <w:bottom w:val="single" w:color="000000" w:sz="4" w:space="0"/>
              <w:right w:val="single" w:color="000000" w:sz="4" w:space="0"/>
            </w:tcBorders>
            <w:noWrap w:val="0"/>
            <w:vAlign w:val="center"/>
          </w:tcPr>
          <w:p w14:paraId="34737AB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6ACD76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64.28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CC57E8F">
            <w:pPr>
              <w:jc w:val="center"/>
              <w:rPr>
                <w:rFonts w:hint="eastAsia" w:ascii="宋体" w:hAnsi="宋体" w:eastAsia="宋体" w:cs="宋体"/>
                <w:b w:val="0"/>
                <w:bCs w:val="0"/>
                <w:i w:val="0"/>
                <w:iCs w:val="0"/>
                <w:color w:val="000000"/>
                <w:sz w:val="22"/>
                <w:szCs w:val="22"/>
                <w:highlight w:val="none"/>
                <w:u w:val="none"/>
              </w:rPr>
            </w:pPr>
          </w:p>
        </w:tc>
      </w:tr>
      <w:tr w14:paraId="24DA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nil"/>
            </w:tcBorders>
            <w:noWrap w:val="0"/>
            <w:vAlign w:val="center"/>
          </w:tcPr>
          <w:p w14:paraId="18F6219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A70700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隐形门</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4881BE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尺寸；2200x650，详细做法及内容详见设计图纸</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7A489B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套</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96035B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2188E33">
            <w:pPr>
              <w:jc w:val="center"/>
              <w:rPr>
                <w:rFonts w:hint="eastAsia" w:ascii="宋体" w:hAnsi="宋体" w:eastAsia="宋体" w:cs="宋体"/>
                <w:b w:val="0"/>
                <w:bCs w:val="0"/>
                <w:i w:val="0"/>
                <w:iCs w:val="0"/>
                <w:color w:val="000000"/>
                <w:sz w:val="22"/>
                <w:szCs w:val="22"/>
                <w:highlight w:val="none"/>
                <w:u w:val="none"/>
              </w:rPr>
            </w:pPr>
          </w:p>
        </w:tc>
      </w:tr>
      <w:tr w14:paraId="6DB6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87" w:type="dxa"/>
            <w:gridSpan w:val="4"/>
            <w:tcBorders>
              <w:top w:val="single" w:color="000000" w:sz="4" w:space="0"/>
              <w:left w:val="single" w:color="000000" w:sz="4" w:space="0"/>
              <w:bottom w:val="single" w:color="000000" w:sz="4" w:space="0"/>
              <w:right w:val="single" w:color="000000" w:sz="4" w:space="0"/>
            </w:tcBorders>
            <w:noWrap w:val="0"/>
            <w:vAlign w:val="center"/>
          </w:tcPr>
          <w:p w14:paraId="7CD6D1A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四、其他</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4F13CDB">
            <w:pPr>
              <w:jc w:val="center"/>
              <w:rPr>
                <w:rFonts w:hint="eastAsia" w:ascii="宋体" w:hAnsi="宋体" w:eastAsia="宋体" w:cs="宋体"/>
                <w:b w:val="0"/>
                <w:bCs w:val="0"/>
                <w:i w:val="0"/>
                <w:iCs w:val="0"/>
                <w:color w:val="000000"/>
                <w:sz w:val="22"/>
                <w:szCs w:val="22"/>
                <w:highlight w:val="none"/>
                <w:u w:val="none"/>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2D0E74D">
            <w:pPr>
              <w:jc w:val="center"/>
              <w:rPr>
                <w:rFonts w:hint="eastAsia" w:ascii="宋体" w:hAnsi="宋体" w:eastAsia="宋体" w:cs="宋体"/>
                <w:b w:val="0"/>
                <w:bCs w:val="0"/>
                <w:i w:val="0"/>
                <w:iCs w:val="0"/>
                <w:color w:val="000000"/>
                <w:sz w:val="22"/>
                <w:szCs w:val="22"/>
                <w:highlight w:val="none"/>
                <w:u w:val="none"/>
              </w:rPr>
            </w:pPr>
          </w:p>
        </w:tc>
      </w:tr>
      <w:tr w14:paraId="0E51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5095B75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936E34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保洁</w:t>
            </w:r>
          </w:p>
        </w:tc>
        <w:tc>
          <w:tcPr>
            <w:tcW w:w="8304" w:type="dxa"/>
            <w:tcBorders>
              <w:top w:val="single" w:color="000000" w:sz="4" w:space="0"/>
              <w:left w:val="single" w:color="000000" w:sz="4" w:space="0"/>
              <w:bottom w:val="single" w:color="000000" w:sz="4" w:space="0"/>
              <w:right w:val="single" w:color="000000" w:sz="4" w:space="0"/>
            </w:tcBorders>
            <w:noWrap w:val="0"/>
            <w:vAlign w:val="center"/>
          </w:tcPr>
          <w:p w14:paraId="71325B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一遍开荒，二遍精细，三遍交付</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085E7B6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m</w:t>
            </w:r>
            <w:r>
              <w:rPr>
                <w:rStyle w:val="44"/>
                <w:b w:val="0"/>
                <w:bCs w:val="0"/>
                <w:highlight w:val="none"/>
                <w:lang w:val="en-US" w:eastAsia="zh-CN" w:bidi="ar"/>
              </w:rPr>
              <w:t>²</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C38A4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225.82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8923684">
            <w:pPr>
              <w:jc w:val="center"/>
              <w:rPr>
                <w:rFonts w:hint="eastAsia" w:ascii="宋体" w:hAnsi="宋体" w:eastAsia="宋体" w:cs="宋体"/>
                <w:b w:val="0"/>
                <w:bCs w:val="0"/>
                <w:i w:val="0"/>
                <w:iCs w:val="0"/>
                <w:color w:val="000000"/>
                <w:sz w:val="22"/>
                <w:szCs w:val="22"/>
                <w:highlight w:val="none"/>
                <w:u w:val="none"/>
              </w:rPr>
            </w:pPr>
          </w:p>
        </w:tc>
      </w:tr>
      <w:tr w14:paraId="4AE6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91" w:type="dxa"/>
            <w:gridSpan w:val="5"/>
            <w:tcBorders>
              <w:top w:val="single" w:color="000000" w:sz="4" w:space="0"/>
              <w:left w:val="single" w:color="000000" w:sz="4" w:space="0"/>
              <w:bottom w:val="single" w:color="000000" w:sz="4" w:space="0"/>
              <w:right w:val="nil"/>
            </w:tcBorders>
            <w:noWrap/>
            <w:vAlign w:val="center"/>
          </w:tcPr>
          <w:p w14:paraId="41B588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小计5（2间）</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438232CE">
            <w:pPr>
              <w:jc w:val="center"/>
              <w:rPr>
                <w:rFonts w:hint="eastAsia" w:ascii="宋体" w:hAnsi="宋体" w:eastAsia="宋体" w:cs="宋体"/>
                <w:b w:val="0"/>
                <w:bCs w:val="0"/>
                <w:i w:val="0"/>
                <w:iCs w:val="0"/>
                <w:color w:val="000000"/>
                <w:sz w:val="22"/>
                <w:szCs w:val="22"/>
                <w:highlight w:val="none"/>
                <w:u w:val="none"/>
              </w:rPr>
            </w:pPr>
          </w:p>
        </w:tc>
      </w:tr>
    </w:tbl>
    <w:p w14:paraId="0E599717">
      <w:pPr>
        <w:rPr>
          <w:rFonts w:hint="eastAsia" w:ascii="宋体" w:hAnsi="宋体" w:eastAsia="宋体" w:cs="宋体"/>
          <w:highlight w:val="none"/>
        </w:rPr>
      </w:pPr>
    </w:p>
    <w:p w14:paraId="5341D6D3">
      <w:pPr>
        <w:widowControl/>
        <w:tabs>
          <w:tab w:val="left" w:pos="567"/>
        </w:tabs>
        <w:autoSpaceDE w:val="0"/>
        <w:autoSpaceDN w:val="0"/>
        <w:jc w:val="both"/>
        <w:textAlignment w:val="bottom"/>
        <w:outlineLvl w:val="0"/>
        <w:rPr>
          <w:rFonts w:hint="eastAsia" w:ascii="方正小标宋简体" w:hAnsi="方正小标宋简体" w:eastAsia="方正小标宋简体" w:cs="方正小标宋简体"/>
          <w:b w:val="0"/>
          <w:bCs/>
          <w:color w:val="000000"/>
          <w:sz w:val="40"/>
          <w:szCs w:val="40"/>
          <w:highlight w:val="none"/>
          <w:u w:val="single"/>
          <w:lang w:eastAsia="zh-CN"/>
        </w:rPr>
      </w:pPr>
    </w:p>
    <w:p w14:paraId="2B89D695">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 w:val="0"/>
          <w:bCs/>
          <w:color w:val="000000"/>
          <w:sz w:val="40"/>
          <w:szCs w:val="40"/>
          <w:highlight w:val="none"/>
          <w:u w:val="single"/>
          <w:lang w:eastAsia="zh-CN"/>
        </w:rPr>
      </w:pPr>
      <w:r>
        <w:rPr>
          <w:rFonts w:hint="eastAsia" w:ascii="方正小标宋简体" w:hAnsi="方正小标宋简体" w:eastAsia="方正小标宋简体" w:cs="方正小标宋简体"/>
          <w:b w:val="0"/>
          <w:bCs/>
          <w:color w:val="000000"/>
          <w:sz w:val="40"/>
          <w:szCs w:val="40"/>
          <w:highlight w:val="none"/>
          <w:u w:val="single"/>
          <w:lang w:eastAsia="zh-CN"/>
        </w:rPr>
        <w:t>综合评分标准</w:t>
      </w:r>
    </w:p>
    <w:p w14:paraId="32A4AD0B">
      <w:pPr>
        <w:pStyle w:val="21"/>
        <w:spacing w:line="600" w:lineRule="exact"/>
        <w:jc w:val="center"/>
        <w:rPr>
          <w:rFonts w:hint="eastAsia" w:ascii="仿宋" w:hAnsi="仿宋" w:eastAsia="仿宋" w:cs="仿宋"/>
          <w:b/>
          <w:bCs/>
          <w:color w:val="auto"/>
          <w:highlight w:val="none"/>
        </w:rPr>
      </w:pPr>
    </w:p>
    <w:p w14:paraId="3CF73D1E">
      <w:pPr>
        <w:rPr>
          <w:rFonts w:hint="eastAsia" w:ascii="仿宋" w:hAnsi="仿宋" w:eastAsia="仿宋" w:cs="仿宋"/>
          <w:bCs/>
          <w:sz w:val="24"/>
          <w:szCs w:val="24"/>
          <w:highlight w:val="none"/>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19"/>
        <w:gridCol w:w="6497"/>
        <w:gridCol w:w="726"/>
      </w:tblGrid>
      <w:tr w14:paraId="1E2D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40" w:type="pct"/>
            <w:noWrap/>
            <w:vAlign w:val="center"/>
          </w:tcPr>
          <w:p w14:paraId="78CEB6DF">
            <w:pPr>
              <w:widowControl/>
              <w:spacing w:line="360" w:lineRule="exact"/>
              <w:jc w:val="center"/>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类别</w:t>
            </w:r>
          </w:p>
        </w:tc>
        <w:tc>
          <w:tcPr>
            <w:tcW w:w="421" w:type="pct"/>
            <w:noWrap/>
            <w:vAlign w:val="center"/>
          </w:tcPr>
          <w:p w14:paraId="7153EB07">
            <w:pPr>
              <w:widowControl/>
              <w:spacing w:line="360" w:lineRule="exact"/>
              <w:jc w:val="center"/>
              <w:rPr>
                <w:rFonts w:hint="eastAsia" w:ascii="仿宋" w:hAnsi="仿宋" w:eastAsia="仿宋" w:cs="仿宋"/>
                <w:b/>
                <w:kern w:val="0"/>
                <w:sz w:val="24"/>
                <w:szCs w:val="24"/>
                <w:highlight w:val="none"/>
              </w:rPr>
            </w:pPr>
            <w:r>
              <w:rPr>
                <w:rFonts w:hint="eastAsia" w:ascii="仿宋" w:hAnsi="仿宋" w:eastAsia="仿宋" w:cs="仿宋"/>
                <w:b/>
                <w:spacing w:val="-4"/>
                <w:sz w:val="24"/>
                <w:szCs w:val="24"/>
                <w:highlight w:val="none"/>
              </w:rPr>
              <w:t>评审点名称</w:t>
            </w:r>
          </w:p>
        </w:tc>
        <w:tc>
          <w:tcPr>
            <w:tcW w:w="3811" w:type="pct"/>
            <w:noWrap/>
            <w:vAlign w:val="center"/>
          </w:tcPr>
          <w:p w14:paraId="4732CB77">
            <w:pPr>
              <w:widowControl/>
              <w:spacing w:line="36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评分指标</w:t>
            </w:r>
          </w:p>
        </w:tc>
        <w:tc>
          <w:tcPr>
            <w:tcW w:w="425" w:type="pct"/>
            <w:noWrap/>
            <w:vAlign w:val="center"/>
          </w:tcPr>
          <w:p w14:paraId="22771AFE">
            <w:pPr>
              <w:widowControl/>
              <w:spacing w:line="36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分值</w:t>
            </w:r>
          </w:p>
        </w:tc>
      </w:tr>
      <w:tr w14:paraId="6592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jc w:val="center"/>
        </w:trPr>
        <w:tc>
          <w:tcPr>
            <w:tcW w:w="340" w:type="pct"/>
            <w:noWrap w:val="0"/>
            <w:vAlign w:val="center"/>
          </w:tcPr>
          <w:p w14:paraId="34131A9A">
            <w:pPr>
              <w:widowControl/>
              <w:spacing w:line="360" w:lineRule="exact"/>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投标报价（30分）</w:t>
            </w:r>
          </w:p>
        </w:tc>
        <w:tc>
          <w:tcPr>
            <w:tcW w:w="421" w:type="pct"/>
            <w:noWrap w:val="0"/>
            <w:vAlign w:val="center"/>
          </w:tcPr>
          <w:p w14:paraId="374883AF">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价格部分（30分）</w:t>
            </w:r>
          </w:p>
        </w:tc>
        <w:tc>
          <w:tcPr>
            <w:tcW w:w="3811" w:type="pct"/>
            <w:noWrap w:val="0"/>
            <w:vAlign w:val="center"/>
          </w:tcPr>
          <w:p w14:paraId="59EEC51F">
            <w:pPr>
              <w:widowControl/>
              <w:spacing w:line="360" w:lineRule="exact"/>
              <w:jc w:val="left"/>
              <w:rPr>
                <w:rFonts w:hint="eastAsia" w:ascii="仿宋" w:hAnsi="仿宋" w:eastAsia="仿宋" w:cs="仿宋"/>
                <w:bCs/>
                <w:spacing w:val="-2"/>
                <w:sz w:val="24"/>
                <w:szCs w:val="24"/>
                <w:highlight w:val="none"/>
              </w:rPr>
            </w:pPr>
            <w:r>
              <w:rPr>
                <w:rFonts w:hint="eastAsia" w:ascii="仿宋" w:hAnsi="仿宋" w:eastAsia="仿宋" w:cs="仿宋"/>
                <w:bCs/>
                <w:spacing w:val="-2"/>
                <w:sz w:val="24"/>
                <w:szCs w:val="24"/>
                <w:highlight w:val="none"/>
              </w:rPr>
              <w:t>价格分采用低价优先法计算，即满足招标文件要求且投标 价格最低的投标报价为评标基准价，其价格分为满分。其 他投标人的价格分统一按照下列公式计算：</w:t>
            </w:r>
          </w:p>
          <w:p w14:paraId="0E7DDFA2">
            <w:pPr>
              <w:widowControl/>
              <w:spacing w:line="360" w:lineRule="exact"/>
              <w:jc w:val="left"/>
              <w:rPr>
                <w:rFonts w:hint="eastAsia" w:ascii="仿宋" w:hAnsi="仿宋" w:eastAsia="仿宋" w:cs="仿宋"/>
                <w:bCs/>
                <w:spacing w:val="-2"/>
                <w:sz w:val="24"/>
                <w:szCs w:val="24"/>
                <w:highlight w:val="none"/>
              </w:rPr>
            </w:pPr>
            <w:r>
              <w:rPr>
                <w:rFonts w:hint="eastAsia" w:ascii="仿宋" w:hAnsi="仿宋" w:eastAsia="仿宋" w:cs="仿宋"/>
                <w:bCs/>
                <w:spacing w:val="-2"/>
                <w:sz w:val="24"/>
                <w:szCs w:val="24"/>
                <w:highlight w:val="none"/>
              </w:rPr>
              <w:t>投标报价得分=（评标基准价/投标报价）×30</w:t>
            </w:r>
          </w:p>
          <w:p w14:paraId="197C6EC4">
            <w:pPr>
              <w:rPr>
                <w:highlight w:val="none"/>
              </w:rPr>
            </w:pPr>
            <w:r>
              <w:rPr>
                <w:rFonts w:hint="eastAsia" w:ascii="仿宋" w:hAnsi="仿宋" w:eastAsia="仿宋" w:cs="仿宋"/>
                <w:bCs/>
                <w:spacing w:val="-2"/>
                <w:sz w:val="24"/>
                <w:szCs w:val="24"/>
                <w:highlight w:val="none"/>
              </w:rPr>
              <w:t>投标报价超过采购价的按废标处理。</w:t>
            </w:r>
          </w:p>
          <w:p w14:paraId="48075BB0">
            <w:pPr>
              <w:widowControl/>
              <w:spacing w:line="360" w:lineRule="exact"/>
              <w:jc w:val="left"/>
              <w:rPr>
                <w:rFonts w:hint="eastAsia" w:ascii="仿宋" w:hAnsi="仿宋" w:eastAsia="仿宋" w:cs="仿宋"/>
                <w:bCs/>
                <w:spacing w:val="-2"/>
                <w:sz w:val="24"/>
                <w:szCs w:val="24"/>
                <w:highlight w:val="none"/>
              </w:rPr>
            </w:pPr>
          </w:p>
        </w:tc>
        <w:tc>
          <w:tcPr>
            <w:tcW w:w="425" w:type="pct"/>
            <w:noWrap/>
            <w:vAlign w:val="center"/>
          </w:tcPr>
          <w:p w14:paraId="236D8691">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30</w:t>
            </w:r>
          </w:p>
        </w:tc>
      </w:tr>
      <w:tr w14:paraId="7F1E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340" w:type="pct"/>
            <w:vMerge w:val="restart"/>
            <w:noWrap w:val="0"/>
            <w:vAlign w:val="center"/>
          </w:tcPr>
          <w:p w14:paraId="51716E41">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商务部分（25分）</w:t>
            </w:r>
          </w:p>
          <w:p w14:paraId="3A9F19FF">
            <w:pPr>
              <w:rPr>
                <w:highlight w:val="none"/>
              </w:rPr>
            </w:pPr>
          </w:p>
          <w:p w14:paraId="601C7306">
            <w:pPr>
              <w:widowControl/>
              <w:spacing w:line="360" w:lineRule="exact"/>
              <w:jc w:val="left"/>
              <w:rPr>
                <w:rFonts w:ascii="仿宋" w:hAnsi="仿宋" w:eastAsia="仿宋" w:cs="仿宋"/>
                <w:bCs/>
                <w:spacing w:val="-4"/>
                <w:sz w:val="24"/>
                <w:szCs w:val="24"/>
                <w:highlight w:val="none"/>
              </w:rPr>
            </w:pPr>
          </w:p>
        </w:tc>
        <w:tc>
          <w:tcPr>
            <w:tcW w:w="421" w:type="pct"/>
            <w:noWrap w:val="0"/>
            <w:vAlign w:val="center"/>
          </w:tcPr>
          <w:p w14:paraId="24357B88">
            <w:pPr>
              <w:widowControl/>
              <w:spacing w:line="360" w:lineRule="exact"/>
              <w:jc w:val="left"/>
              <w:rPr>
                <w:rFonts w:hint="eastAsia" w:ascii="仿宋" w:hAnsi="仿宋" w:eastAsia="仿宋" w:cs="仿宋"/>
                <w:bCs/>
                <w:kern w:val="0"/>
                <w:sz w:val="24"/>
                <w:szCs w:val="24"/>
                <w:highlight w:val="none"/>
              </w:rPr>
            </w:pPr>
          </w:p>
          <w:p w14:paraId="13B7BAED">
            <w:pPr>
              <w:widowControl/>
              <w:spacing w:line="360" w:lineRule="exact"/>
              <w:jc w:val="left"/>
              <w:rPr>
                <w:rFonts w:hint="eastAsia" w:ascii="仿宋" w:hAnsi="仿宋" w:eastAsia="仿宋" w:cs="仿宋"/>
                <w:bCs/>
                <w:kern w:val="0"/>
                <w:sz w:val="24"/>
                <w:szCs w:val="24"/>
                <w:highlight w:val="none"/>
              </w:rPr>
            </w:pPr>
          </w:p>
          <w:p w14:paraId="713BFAFB">
            <w:pPr>
              <w:widowControl/>
              <w:spacing w:line="360" w:lineRule="exact"/>
              <w:jc w:val="left"/>
              <w:rPr>
                <w:rFonts w:hint="eastAsia" w:ascii="仿宋" w:hAnsi="仿宋" w:eastAsia="仿宋" w:cs="仿宋"/>
                <w:bCs/>
                <w:kern w:val="0"/>
                <w:sz w:val="24"/>
                <w:szCs w:val="24"/>
                <w:highlight w:val="none"/>
              </w:rPr>
            </w:pPr>
          </w:p>
          <w:p w14:paraId="4816A2CC">
            <w:pPr>
              <w:widowControl/>
              <w:spacing w:line="360" w:lineRule="exact"/>
              <w:jc w:val="left"/>
              <w:rPr>
                <w:rFonts w:hint="eastAsia" w:ascii="仿宋" w:hAnsi="仿宋" w:eastAsia="仿宋" w:cs="仿宋"/>
                <w:bCs/>
                <w:kern w:val="0"/>
                <w:sz w:val="24"/>
                <w:szCs w:val="24"/>
                <w:highlight w:val="none"/>
              </w:rPr>
            </w:pPr>
          </w:p>
          <w:p w14:paraId="60140E5F">
            <w:pPr>
              <w:widowControl/>
              <w:spacing w:line="360" w:lineRule="exact"/>
              <w:jc w:val="left"/>
              <w:rPr>
                <w:rFonts w:hint="eastAsia" w:ascii="仿宋" w:hAnsi="仿宋" w:eastAsia="仿宋" w:cs="仿宋"/>
                <w:bCs/>
                <w:kern w:val="0"/>
                <w:sz w:val="24"/>
                <w:szCs w:val="24"/>
                <w:highlight w:val="none"/>
              </w:rPr>
            </w:pPr>
            <w:bookmarkStart w:id="7" w:name="OLE_LINK13"/>
            <w:r>
              <w:rPr>
                <w:rFonts w:hint="eastAsia" w:ascii="仿宋" w:hAnsi="仿宋" w:eastAsia="仿宋" w:cs="仿宋"/>
                <w:bCs/>
                <w:kern w:val="0"/>
                <w:sz w:val="24"/>
                <w:szCs w:val="24"/>
                <w:highlight w:val="none"/>
              </w:rPr>
              <w:t>企业</w:t>
            </w:r>
          </w:p>
          <w:p w14:paraId="3FD57784">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实力</w:t>
            </w:r>
            <w:bookmarkEnd w:id="7"/>
            <w:r>
              <w:rPr>
                <w:rFonts w:hint="eastAsia" w:ascii="仿宋" w:hAnsi="仿宋" w:eastAsia="仿宋" w:cs="仿宋"/>
                <w:bCs/>
                <w:kern w:val="0"/>
                <w:sz w:val="24"/>
                <w:szCs w:val="24"/>
                <w:highlight w:val="none"/>
              </w:rPr>
              <w:t>（8分）</w:t>
            </w:r>
          </w:p>
        </w:tc>
        <w:tc>
          <w:tcPr>
            <w:tcW w:w="3811" w:type="pct"/>
            <w:noWrap/>
            <w:vAlign w:val="top"/>
          </w:tcPr>
          <w:p w14:paraId="22B9E90B">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1、投标人需具备有效期内CS4及以上信息系统建设和服务能力等级证书，提供得1分，不提供不得分。</w:t>
            </w:r>
          </w:p>
          <w:p w14:paraId="58BF7AB9">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2、投标人需具备有效期内符合ISO9001标准的质量管理体系认证证书，资质范围涉及系统集成及安防工程的设计、安装及服务或资质范围涉及信息系统集成及服务，提供得1分，不提供不得分。     </w:t>
            </w:r>
          </w:p>
          <w:p w14:paraId="4B6C45B9">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3、投标人需具备有效期内符合ISO14001标准的环境管理体系认证证书，提供得1分，不提供不得分。</w:t>
            </w:r>
          </w:p>
          <w:p w14:paraId="3FFBAD30">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4、投标人需具备有效期内符合ISO27001标准的信息安全管理体系认证证书，资质范围涉及安防工程的设计、安装及服务或计算机信息系统集成、计算机软硬件及网络运维，提供得1分，不提供不得分。</w:t>
            </w:r>
          </w:p>
          <w:p w14:paraId="419184FF">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5、投标人需具备有效期内符合ISO20000标准的信息技术服务管理体系认证证书，资质范围涉及基础设施及软硬件系统运行服务，提供得1分，不提供不得分。</w:t>
            </w:r>
          </w:p>
          <w:p w14:paraId="1EE6D6BF">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6、投标人需具备有效期内ITSS信息技术服务标准符合性证书-运行维护类，评估等级三级以上得1分，不提供不得分。</w:t>
            </w:r>
          </w:p>
          <w:p w14:paraId="7E4AF60D">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sz w:val="24"/>
                <w:szCs w:val="24"/>
                <w:highlight w:val="none"/>
              </w:rPr>
              <w:t xml:space="preserve">7、 </w:t>
            </w:r>
            <w:r>
              <w:rPr>
                <w:rFonts w:hint="eastAsia" w:ascii="仿宋" w:hAnsi="仿宋" w:eastAsia="仿宋" w:cs="仿宋"/>
                <w:bCs/>
                <w:kern w:val="0"/>
                <w:sz w:val="24"/>
                <w:szCs w:val="24"/>
                <w:highlight w:val="none"/>
              </w:rPr>
              <w:t>投标人需具备有效期内</w:t>
            </w:r>
            <w:r>
              <w:rPr>
                <w:rFonts w:hint="eastAsia" w:ascii="仿宋" w:hAnsi="仿宋" w:eastAsia="仿宋" w:cs="仿宋"/>
                <w:bCs/>
                <w:spacing w:val="-4"/>
                <w:sz w:val="24"/>
                <w:szCs w:val="24"/>
                <w:highlight w:val="none"/>
              </w:rPr>
              <w:t>软件能力成熟度模型集成认证CMMI DEV 3</w:t>
            </w:r>
            <w:r>
              <w:rPr>
                <w:rFonts w:hint="eastAsia" w:ascii="仿宋" w:hAnsi="仿宋" w:eastAsia="仿宋" w:cs="仿宋"/>
                <w:bCs/>
                <w:spacing w:val="-47"/>
                <w:sz w:val="24"/>
                <w:szCs w:val="24"/>
                <w:highlight w:val="none"/>
              </w:rPr>
              <w:t xml:space="preserve"> </w:t>
            </w:r>
            <w:r>
              <w:rPr>
                <w:rFonts w:hint="eastAsia" w:ascii="仿宋" w:hAnsi="仿宋" w:eastAsia="仿宋" w:cs="仿宋"/>
                <w:bCs/>
                <w:spacing w:val="-4"/>
                <w:sz w:val="24"/>
                <w:szCs w:val="24"/>
                <w:highlight w:val="none"/>
              </w:rPr>
              <w:t>级及以上得</w:t>
            </w:r>
            <w:r>
              <w:rPr>
                <w:rFonts w:hint="eastAsia" w:ascii="仿宋" w:hAnsi="仿宋" w:eastAsia="仿宋" w:cs="仿宋"/>
                <w:bCs/>
                <w:spacing w:val="-33"/>
                <w:sz w:val="24"/>
                <w:szCs w:val="24"/>
                <w:highlight w:val="none"/>
              </w:rPr>
              <w:t>1</w:t>
            </w:r>
            <w:r>
              <w:rPr>
                <w:rFonts w:hint="eastAsia" w:ascii="仿宋" w:hAnsi="仿宋" w:eastAsia="仿宋" w:cs="仿宋"/>
                <w:bCs/>
                <w:spacing w:val="-4"/>
                <w:sz w:val="24"/>
                <w:szCs w:val="24"/>
                <w:highlight w:val="none"/>
              </w:rPr>
              <w:t>分，其他不得分。</w:t>
            </w:r>
          </w:p>
          <w:p w14:paraId="40D1D065">
            <w:pPr>
              <w:widowControl/>
              <w:spacing w:line="360" w:lineRule="exact"/>
              <w:jc w:val="left"/>
              <w:rPr>
                <w:rFonts w:hint="eastAsia" w:ascii="仿宋" w:hAnsi="仿宋" w:eastAsia="仿宋" w:cs="仿宋"/>
                <w:bCs/>
                <w:spacing w:val="-1"/>
                <w:sz w:val="24"/>
                <w:szCs w:val="24"/>
                <w:highlight w:val="none"/>
              </w:rPr>
            </w:pPr>
            <w:r>
              <w:rPr>
                <w:rFonts w:hint="eastAsia" w:ascii="仿宋" w:hAnsi="仿宋" w:eastAsia="仿宋" w:cs="仿宋"/>
                <w:bCs/>
                <w:kern w:val="0"/>
                <w:sz w:val="24"/>
                <w:szCs w:val="24"/>
                <w:highlight w:val="none"/>
              </w:rPr>
              <w:t>8、</w:t>
            </w:r>
            <w:r>
              <w:rPr>
                <w:rFonts w:hint="eastAsia" w:ascii="仿宋" w:hAnsi="仿宋" w:eastAsia="仿宋" w:cs="仿宋"/>
                <w:bCs/>
                <w:spacing w:val="-1"/>
                <w:sz w:val="24"/>
                <w:szCs w:val="24"/>
                <w:highlight w:val="none"/>
              </w:rPr>
              <w:t>投标人具备有效期内的中国网络安全审查认证和市场监管大数</w:t>
            </w:r>
            <w:r>
              <w:rPr>
                <w:rFonts w:hint="eastAsia" w:ascii="仿宋" w:hAnsi="仿宋" w:eastAsia="仿宋" w:cs="仿宋"/>
                <w:bCs/>
                <w:spacing w:val="-4"/>
                <w:sz w:val="24"/>
                <w:szCs w:val="24"/>
                <w:highlight w:val="none"/>
              </w:rPr>
              <w:t>据中心（原中国网络安全审查技术与认证中心）颁发的信息安全</w:t>
            </w:r>
            <w:r>
              <w:rPr>
                <w:rFonts w:hint="eastAsia" w:ascii="仿宋" w:hAnsi="仿宋" w:eastAsia="仿宋" w:cs="仿宋"/>
                <w:bCs/>
                <w:spacing w:val="-3"/>
                <w:sz w:val="24"/>
                <w:szCs w:val="24"/>
                <w:highlight w:val="none"/>
              </w:rPr>
              <w:t>服务资质认证（CCRC）证书（信息系统安全集成三级及</w:t>
            </w:r>
            <w:r>
              <w:rPr>
                <w:rFonts w:hint="eastAsia" w:ascii="仿宋" w:hAnsi="仿宋" w:eastAsia="仿宋" w:cs="仿宋"/>
                <w:bCs/>
                <w:spacing w:val="-4"/>
                <w:sz w:val="24"/>
                <w:szCs w:val="24"/>
                <w:highlight w:val="none"/>
              </w:rPr>
              <w:t>以上、信</w:t>
            </w:r>
            <w:r>
              <w:rPr>
                <w:rFonts w:hint="eastAsia" w:ascii="仿宋" w:hAnsi="仿宋" w:eastAsia="仿宋" w:cs="仿宋"/>
                <w:bCs/>
                <w:spacing w:val="-1"/>
                <w:sz w:val="24"/>
                <w:szCs w:val="24"/>
                <w:highlight w:val="none"/>
              </w:rPr>
              <w:t>息安全应急处理三级及以上、信息系统安全运维服务三级及以</w:t>
            </w:r>
            <w:r>
              <w:rPr>
                <w:rFonts w:hint="eastAsia" w:ascii="仿宋" w:hAnsi="仿宋" w:eastAsia="仿宋" w:cs="仿宋"/>
                <w:bCs/>
                <w:spacing w:val="-6"/>
                <w:sz w:val="24"/>
                <w:szCs w:val="24"/>
                <w:highlight w:val="none"/>
              </w:rPr>
              <w:t>上</w:t>
            </w:r>
            <w:r>
              <w:rPr>
                <w:rFonts w:hint="eastAsia" w:ascii="仿宋" w:hAnsi="仿宋" w:eastAsia="仿宋" w:cs="仿宋"/>
                <w:bCs/>
                <w:spacing w:val="-20"/>
                <w:sz w:val="24"/>
                <w:szCs w:val="24"/>
                <w:highlight w:val="none"/>
              </w:rPr>
              <w:t>），</w:t>
            </w:r>
            <w:r>
              <w:rPr>
                <w:rFonts w:hint="eastAsia" w:ascii="仿宋" w:hAnsi="仿宋" w:eastAsia="仿宋" w:cs="仿宋"/>
                <w:bCs/>
                <w:spacing w:val="-6"/>
                <w:sz w:val="24"/>
                <w:szCs w:val="24"/>
                <w:highlight w:val="none"/>
              </w:rPr>
              <w:t>全部具备得 1分，否则不得分。</w:t>
            </w:r>
          </w:p>
        </w:tc>
        <w:tc>
          <w:tcPr>
            <w:tcW w:w="425" w:type="pct"/>
            <w:noWrap/>
            <w:vAlign w:val="center"/>
          </w:tcPr>
          <w:p w14:paraId="32C6B4BF">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8</w:t>
            </w:r>
          </w:p>
        </w:tc>
      </w:tr>
      <w:tr w14:paraId="2272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pct"/>
            <w:vMerge w:val="continue"/>
            <w:noWrap w:val="0"/>
            <w:vAlign w:val="center"/>
          </w:tcPr>
          <w:p w14:paraId="0CFF05C9">
            <w:pPr>
              <w:widowControl/>
              <w:spacing w:line="360" w:lineRule="exact"/>
              <w:jc w:val="left"/>
              <w:rPr>
                <w:rFonts w:hint="eastAsia" w:ascii="仿宋" w:hAnsi="仿宋" w:eastAsia="仿宋" w:cs="仿宋"/>
                <w:bCs/>
                <w:kern w:val="0"/>
                <w:sz w:val="24"/>
                <w:szCs w:val="24"/>
                <w:highlight w:val="none"/>
              </w:rPr>
            </w:pPr>
          </w:p>
        </w:tc>
        <w:tc>
          <w:tcPr>
            <w:tcW w:w="421" w:type="pct"/>
            <w:noWrap w:val="0"/>
            <w:vAlign w:val="center"/>
          </w:tcPr>
          <w:p w14:paraId="2088B15A">
            <w:pPr>
              <w:widowControl/>
              <w:spacing w:line="360" w:lineRule="exact"/>
              <w:jc w:val="left"/>
              <w:rPr>
                <w:rFonts w:hint="eastAsia" w:ascii="仿宋" w:hAnsi="仿宋" w:eastAsia="仿宋" w:cs="仿宋"/>
                <w:bCs/>
                <w:kern w:val="0"/>
                <w:sz w:val="24"/>
                <w:szCs w:val="24"/>
                <w:highlight w:val="none"/>
              </w:rPr>
            </w:pPr>
            <w:bookmarkStart w:id="8" w:name="OLE_LINK14"/>
            <w:r>
              <w:rPr>
                <w:rFonts w:hint="eastAsia" w:ascii="仿宋" w:hAnsi="仿宋" w:eastAsia="仿宋" w:cs="仿宋"/>
                <w:bCs/>
                <w:kern w:val="0"/>
                <w:sz w:val="24"/>
                <w:szCs w:val="24"/>
                <w:highlight w:val="none"/>
              </w:rPr>
              <w:t>类似</w:t>
            </w:r>
          </w:p>
          <w:p w14:paraId="6686F778">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业绩</w:t>
            </w:r>
            <w:bookmarkEnd w:id="8"/>
            <w:r>
              <w:rPr>
                <w:rFonts w:hint="eastAsia" w:ascii="仿宋" w:hAnsi="仿宋" w:eastAsia="仿宋" w:cs="仿宋"/>
                <w:bCs/>
                <w:kern w:val="0"/>
                <w:sz w:val="24"/>
                <w:szCs w:val="24"/>
                <w:highlight w:val="none"/>
              </w:rPr>
              <w:t>（3分）</w:t>
            </w:r>
          </w:p>
        </w:tc>
        <w:tc>
          <w:tcPr>
            <w:tcW w:w="3811" w:type="pct"/>
            <w:noWrap w:val="0"/>
            <w:vAlign w:val="top"/>
          </w:tcPr>
          <w:p w14:paraId="706E222B">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投标人提供自</w:t>
            </w:r>
            <w:r>
              <w:rPr>
                <w:rFonts w:hint="eastAsia" w:ascii="仿宋" w:hAnsi="仿宋" w:eastAsia="仿宋" w:cs="仿宋"/>
                <w:bCs/>
                <w:spacing w:val="-3"/>
                <w:sz w:val="24"/>
                <w:szCs w:val="24"/>
                <w:highlight w:val="none"/>
              </w:rPr>
              <w:t>2021年</w:t>
            </w:r>
            <w:r>
              <w:rPr>
                <w:rFonts w:hint="eastAsia" w:ascii="仿宋" w:hAnsi="仿宋" w:eastAsia="仿宋" w:cs="仿宋"/>
                <w:bCs/>
                <w:spacing w:val="-22"/>
                <w:sz w:val="24"/>
                <w:szCs w:val="24"/>
                <w:highlight w:val="none"/>
              </w:rPr>
              <w:t xml:space="preserve"> </w:t>
            </w:r>
            <w:r>
              <w:rPr>
                <w:rFonts w:hint="eastAsia" w:ascii="仿宋" w:hAnsi="仿宋" w:eastAsia="仿宋" w:cs="仿宋"/>
                <w:bCs/>
                <w:spacing w:val="-3"/>
                <w:sz w:val="24"/>
                <w:szCs w:val="24"/>
                <w:highlight w:val="none"/>
              </w:rPr>
              <w:t>1</w:t>
            </w:r>
            <w:r>
              <w:rPr>
                <w:rFonts w:hint="eastAsia" w:ascii="仿宋" w:hAnsi="仿宋" w:eastAsia="仿宋" w:cs="仿宋"/>
                <w:bCs/>
                <w:spacing w:val="-45"/>
                <w:sz w:val="24"/>
                <w:szCs w:val="24"/>
                <w:highlight w:val="none"/>
              </w:rPr>
              <w:t xml:space="preserve"> </w:t>
            </w:r>
            <w:r>
              <w:rPr>
                <w:rFonts w:hint="eastAsia" w:ascii="仿宋" w:hAnsi="仿宋" w:eastAsia="仿宋" w:cs="仿宋"/>
                <w:bCs/>
                <w:spacing w:val="-3"/>
                <w:sz w:val="24"/>
                <w:szCs w:val="24"/>
                <w:highlight w:val="none"/>
              </w:rPr>
              <w:t>月</w:t>
            </w:r>
            <w:r>
              <w:rPr>
                <w:rFonts w:hint="eastAsia" w:ascii="仿宋" w:hAnsi="仿宋" w:eastAsia="仿宋" w:cs="仿宋"/>
                <w:bCs/>
                <w:spacing w:val="-33"/>
                <w:sz w:val="24"/>
                <w:szCs w:val="24"/>
                <w:highlight w:val="none"/>
              </w:rPr>
              <w:t xml:space="preserve"> </w:t>
            </w:r>
            <w:r>
              <w:rPr>
                <w:rFonts w:hint="eastAsia" w:ascii="仿宋" w:hAnsi="仿宋" w:eastAsia="仿宋" w:cs="仿宋"/>
                <w:bCs/>
                <w:spacing w:val="-3"/>
                <w:sz w:val="24"/>
                <w:szCs w:val="24"/>
                <w:highlight w:val="none"/>
              </w:rPr>
              <w:t>1 日至投标截止之日</w:t>
            </w:r>
            <w:r>
              <w:rPr>
                <w:rFonts w:hint="eastAsia" w:ascii="仿宋" w:hAnsi="仿宋" w:eastAsia="仿宋" w:cs="仿宋"/>
                <w:bCs/>
                <w:kern w:val="0"/>
                <w:sz w:val="24"/>
                <w:szCs w:val="24"/>
                <w:highlight w:val="none"/>
              </w:rPr>
              <w:t>以来类似业绩（基础网络或云平台建设或数据中心机房或多媒体建设或网络安全等），同类型业绩不超过2个，每提供一份有效案例得0.5分，满分3分（</w:t>
            </w:r>
            <w:r>
              <w:rPr>
                <w:rFonts w:hint="eastAsia" w:ascii="仿宋" w:hAnsi="仿宋" w:eastAsia="仿宋" w:cs="仿宋"/>
                <w:bCs/>
                <w:spacing w:val="-2"/>
                <w:sz w:val="24"/>
                <w:szCs w:val="24"/>
                <w:highlight w:val="none"/>
              </w:rPr>
              <w:t>需提供中标通知书、合同、验收报告，业绩认定时间</w:t>
            </w:r>
            <w:r>
              <w:rPr>
                <w:rFonts w:hint="eastAsia" w:ascii="仿宋" w:hAnsi="仿宋" w:eastAsia="仿宋" w:cs="仿宋"/>
                <w:bCs/>
                <w:spacing w:val="-1"/>
                <w:sz w:val="24"/>
                <w:szCs w:val="24"/>
                <w:highlight w:val="none"/>
              </w:rPr>
              <w:t>以中标通知书或合同签订时间为准，提供合同需附合同协议</w:t>
            </w:r>
            <w:r>
              <w:rPr>
                <w:rFonts w:hint="eastAsia" w:ascii="仿宋" w:hAnsi="仿宋" w:eastAsia="仿宋" w:cs="仿宋"/>
                <w:bCs/>
                <w:spacing w:val="-4"/>
                <w:sz w:val="24"/>
                <w:szCs w:val="24"/>
                <w:highlight w:val="none"/>
              </w:rPr>
              <w:t>书、合同协议书证明材料要包含合同内容、合同签订页等具体信</w:t>
            </w:r>
            <w:r>
              <w:rPr>
                <w:rFonts w:hint="eastAsia" w:ascii="仿宋" w:hAnsi="仿宋" w:eastAsia="仿宋" w:cs="仿宋"/>
                <w:bCs/>
                <w:spacing w:val="-1"/>
                <w:sz w:val="24"/>
                <w:szCs w:val="24"/>
                <w:highlight w:val="none"/>
              </w:rPr>
              <w:t>息，提供原件或扫描件或复印件并加盖公章，缺少以上内容不得分。）</w:t>
            </w:r>
          </w:p>
        </w:tc>
        <w:tc>
          <w:tcPr>
            <w:tcW w:w="425" w:type="pct"/>
            <w:noWrap/>
            <w:vAlign w:val="center"/>
          </w:tcPr>
          <w:p w14:paraId="59A62251">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w:t>
            </w:r>
          </w:p>
        </w:tc>
      </w:tr>
      <w:tr w14:paraId="66BE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0" w:type="pct"/>
            <w:vMerge w:val="continue"/>
            <w:noWrap w:val="0"/>
            <w:vAlign w:val="center"/>
          </w:tcPr>
          <w:p w14:paraId="131A2015">
            <w:pPr>
              <w:widowControl/>
              <w:spacing w:line="360" w:lineRule="exact"/>
              <w:jc w:val="left"/>
              <w:rPr>
                <w:rFonts w:ascii="仿宋" w:hAnsi="仿宋" w:eastAsia="仿宋" w:cs="仿宋"/>
                <w:bCs/>
                <w:kern w:val="0"/>
                <w:sz w:val="24"/>
                <w:szCs w:val="24"/>
                <w:highlight w:val="none"/>
              </w:rPr>
            </w:pPr>
          </w:p>
        </w:tc>
        <w:tc>
          <w:tcPr>
            <w:tcW w:w="421" w:type="pct"/>
            <w:noWrap w:val="0"/>
            <w:vAlign w:val="center"/>
          </w:tcPr>
          <w:p w14:paraId="17ED1211">
            <w:pPr>
              <w:widowControl/>
              <w:spacing w:line="360" w:lineRule="exact"/>
              <w:jc w:val="left"/>
              <w:rPr>
                <w:rFonts w:hint="eastAsia" w:ascii="仿宋" w:hAnsi="仿宋" w:eastAsia="仿宋" w:cs="仿宋"/>
                <w:bCs/>
                <w:kern w:val="0"/>
                <w:sz w:val="24"/>
                <w:szCs w:val="24"/>
                <w:highlight w:val="none"/>
              </w:rPr>
            </w:pPr>
          </w:p>
          <w:p w14:paraId="4701652D">
            <w:pPr>
              <w:widowControl/>
              <w:spacing w:line="360" w:lineRule="exact"/>
              <w:jc w:val="left"/>
              <w:rPr>
                <w:rFonts w:hint="eastAsia" w:ascii="仿宋" w:hAnsi="仿宋" w:eastAsia="仿宋" w:cs="仿宋"/>
                <w:bCs/>
                <w:kern w:val="0"/>
                <w:sz w:val="24"/>
                <w:szCs w:val="24"/>
                <w:highlight w:val="none"/>
              </w:rPr>
            </w:pPr>
          </w:p>
          <w:p w14:paraId="26B1435D">
            <w:pPr>
              <w:widowControl/>
              <w:spacing w:line="360" w:lineRule="exact"/>
              <w:jc w:val="left"/>
              <w:rPr>
                <w:rFonts w:hint="eastAsia" w:ascii="仿宋" w:hAnsi="仿宋" w:eastAsia="仿宋" w:cs="仿宋"/>
                <w:bCs/>
                <w:kern w:val="0"/>
                <w:sz w:val="24"/>
                <w:szCs w:val="24"/>
                <w:highlight w:val="none"/>
              </w:rPr>
            </w:pPr>
          </w:p>
          <w:p w14:paraId="6AD42D3D">
            <w:pPr>
              <w:widowControl/>
              <w:spacing w:line="360" w:lineRule="exact"/>
              <w:jc w:val="left"/>
              <w:rPr>
                <w:rFonts w:hint="eastAsia" w:ascii="仿宋" w:hAnsi="仿宋" w:eastAsia="仿宋" w:cs="仿宋"/>
                <w:bCs/>
                <w:kern w:val="0"/>
                <w:sz w:val="24"/>
                <w:szCs w:val="24"/>
                <w:highlight w:val="none"/>
              </w:rPr>
            </w:pPr>
          </w:p>
          <w:p w14:paraId="04E03600">
            <w:pPr>
              <w:widowControl/>
              <w:spacing w:line="360" w:lineRule="exact"/>
              <w:jc w:val="left"/>
              <w:rPr>
                <w:rFonts w:hint="eastAsia" w:ascii="仿宋" w:hAnsi="仿宋" w:eastAsia="仿宋" w:cs="仿宋"/>
                <w:bCs/>
                <w:kern w:val="0"/>
                <w:sz w:val="24"/>
                <w:szCs w:val="24"/>
                <w:highlight w:val="none"/>
              </w:rPr>
            </w:pPr>
          </w:p>
          <w:p w14:paraId="5E1B0C81">
            <w:pPr>
              <w:widowControl/>
              <w:spacing w:line="360" w:lineRule="exact"/>
              <w:jc w:val="left"/>
              <w:rPr>
                <w:rFonts w:hint="eastAsia" w:ascii="仿宋" w:hAnsi="仿宋" w:eastAsia="仿宋" w:cs="仿宋"/>
                <w:bCs/>
                <w:kern w:val="0"/>
                <w:sz w:val="24"/>
                <w:szCs w:val="24"/>
                <w:highlight w:val="none"/>
              </w:rPr>
            </w:pPr>
            <w:bookmarkStart w:id="9" w:name="OLE_LINK15"/>
            <w:r>
              <w:rPr>
                <w:rFonts w:hint="eastAsia" w:ascii="仿宋" w:hAnsi="仿宋" w:eastAsia="仿宋" w:cs="仿宋"/>
                <w:bCs/>
                <w:kern w:val="0"/>
                <w:sz w:val="24"/>
                <w:szCs w:val="24"/>
                <w:highlight w:val="none"/>
              </w:rPr>
              <w:t>产品成熟度</w:t>
            </w:r>
            <w:bookmarkEnd w:id="9"/>
            <w:r>
              <w:rPr>
                <w:rFonts w:hint="eastAsia" w:ascii="仿宋" w:hAnsi="仿宋" w:eastAsia="仿宋" w:cs="仿宋"/>
                <w:bCs/>
                <w:kern w:val="0"/>
                <w:sz w:val="24"/>
                <w:szCs w:val="24"/>
                <w:highlight w:val="none"/>
              </w:rPr>
              <w:t>（5分）</w:t>
            </w:r>
          </w:p>
          <w:p w14:paraId="639AD0D7">
            <w:pPr>
              <w:widowControl/>
              <w:spacing w:line="360" w:lineRule="exact"/>
              <w:jc w:val="left"/>
              <w:rPr>
                <w:rFonts w:hint="eastAsia" w:ascii="仿宋" w:hAnsi="仿宋" w:eastAsia="仿宋" w:cs="仿宋"/>
                <w:bCs/>
                <w:kern w:val="0"/>
                <w:sz w:val="24"/>
                <w:szCs w:val="24"/>
                <w:highlight w:val="none"/>
              </w:rPr>
            </w:pPr>
          </w:p>
        </w:tc>
        <w:tc>
          <w:tcPr>
            <w:tcW w:w="3811" w:type="pct"/>
            <w:noWrap/>
            <w:vAlign w:val="top"/>
          </w:tcPr>
          <w:p w14:paraId="6FFEA126">
            <w:pPr>
              <w:widowControl/>
              <w:spacing w:line="360" w:lineRule="exact"/>
              <w:jc w:val="left"/>
              <w:rPr>
                <w:rFonts w:hint="eastAsia" w:ascii="仿宋" w:hAnsi="仿宋" w:eastAsia="仿宋" w:cs="仿宋"/>
                <w:bCs/>
                <w:kern w:val="0"/>
                <w:sz w:val="24"/>
                <w:szCs w:val="24"/>
                <w:highlight w:val="none"/>
              </w:rPr>
            </w:pPr>
            <w:bookmarkStart w:id="10" w:name="OLE_LINK16"/>
            <w:r>
              <w:rPr>
                <w:rFonts w:hint="eastAsia" w:ascii="仿宋" w:hAnsi="仿宋" w:eastAsia="仿宋" w:cs="仿宋"/>
                <w:bCs/>
                <w:kern w:val="0"/>
                <w:sz w:val="24"/>
                <w:szCs w:val="24"/>
                <w:highlight w:val="none"/>
                <w:lang w:bidi="ar"/>
              </w:rPr>
              <w:t>1、网络设备生产厂商具备以下资质：（提供有效期内证书复印件并加盖厂商公章，资质包括：增值电信业务经营许可证；CCRC-信息安全应急处理服务资质认证；CCRC-信息安全风险评估服务资质产品，</w:t>
            </w:r>
            <w:r>
              <w:rPr>
                <w:rFonts w:hint="eastAsia" w:ascii="仿宋" w:hAnsi="仿宋" w:eastAsia="仿宋" w:cs="仿宋"/>
                <w:bCs/>
                <w:kern w:val="0"/>
                <w:sz w:val="24"/>
                <w:szCs w:val="24"/>
                <w:highlight w:val="none"/>
              </w:rPr>
              <w:t>全部提供得1.5分，否则不得分。</w:t>
            </w:r>
          </w:p>
          <w:p w14:paraId="7C19EA36">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2、为保证WLAN互联网接入安全，因此要求室内放装AP、面板AP、室外AP、高密AP、超高密AP、核心交换机、出口路由器采用国产化芯片，提供CNAS、CMA、中国信通院或同等国家认可机构出具的检测报告并加盖厂商公章。全部提供得1.5分，否则不得分。</w:t>
            </w:r>
          </w:p>
          <w:p w14:paraId="68CF646B">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3、为保证产品质量及先进性，安防产品生产厂商应具有较强的企业实力，具备完善的管理体系和服务认证：</w:t>
            </w:r>
          </w:p>
          <w:p w14:paraId="4EB5D4FE">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①质量管理体系认证证书；</w:t>
            </w:r>
          </w:p>
          <w:p w14:paraId="2310C2C3">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②环境管理体系认证；</w:t>
            </w:r>
          </w:p>
          <w:p w14:paraId="43C8B219">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③SPCA-软件能力成熟度等级证书；</w:t>
            </w:r>
          </w:p>
          <w:p w14:paraId="4ADEF6E6">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④信息安全管理体系认证证书；</w:t>
            </w:r>
          </w:p>
          <w:p w14:paraId="09C46395">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⑤售后服务认证证书（服务能力达到GB/T27922-2011《商品售后服务评价体系》规定的星级要求五星及以上；</w:t>
            </w:r>
          </w:p>
          <w:p w14:paraId="3DBC24C3">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以上资料须提供扫描件并加盖公章全部提供得1.5分，否则不得分。</w:t>
            </w:r>
          </w:p>
          <w:p w14:paraId="35F32AEE">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4、所选用一卡通生产厂商须具有须具有售后服务认证证书（服务能力达到GB/T27922-2011《商品售后服务评价体系》规定的星级要求），四星及以上得0.5分，三星及以下不得分。</w:t>
            </w:r>
            <w:bookmarkEnd w:id="10"/>
          </w:p>
        </w:tc>
        <w:tc>
          <w:tcPr>
            <w:tcW w:w="425" w:type="pct"/>
            <w:noWrap/>
            <w:vAlign w:val="center"/>
          </w:tcPr>
          <w:p w14:paraId="785B71EC">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5</w:t>
            </w:r>
          </w:p>
        </w:tc>
      </w:tr>
      <w:tr w14:paraId="6810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40" w:type="pct"/>
            <w:vMerge w:val="continue"/>
            <w:noWrap w:val="0"/>
            <w:vAlign w:val="center"/>
          </w:tcPr>
          <w:p w14:paraId="54C51A2C">
            <w:pPr>
              <w:widowControl/>
              <w:spacing w:line="360" w:lineRule="exact"/>
              <w:jc w:val="left"/>
              <w:rPr>
                <w:rFonts w:ascii="仿宋" w:hAnsi="仿宋" w:eastAsia="仿宋" w:cs="仿宋"/>
                <w:bCs/>
                <w:spacing w:val="-4"/>
                <w:sz w:val="24"/>
                <w:szCs w:val="24"/>
                <w:highlight w:val="none"/>
              </w:rPr>
            </w:pPr>
          </w:p>
        </w:tc>
        <w:tc>
          <w:tcPr>
            <w:tcW w:w="421" w:type="pct"/>
            <w:noWrap w:val="0"/>
            <w:vAlign w:val="center"/>
          </w:tcPr>
          <w:p w14:paraId="5BD8B5A7">
            <w:pPr>
              <w:widowControl/>
              <w:spacing w:line="360" w:lineRule="exact"/>
              <w:jc w:val="left"/>
              <w:rPr>
                <w:rFonts w:hint="eastAsia" w:ascii="仿宋" w:hAnsi="仿宋" w:eastAsia="仿宋" w:cs="仿宋"/>
                <w:bCs/>
                <w:kern w:val="0"/>
                <w:sz w:val="24"/>
                <w:szCs w:val="24"/>
                <w:highlight w:val="none"/>
              </w:rPr>
            </w:pPr>
            <w:bookmarkStart w:id="11" w:name="OLE_LINK17"/>
            <w:r>
              <w:rPr>
                <w:rFonts w:hint="eastAsia" w:ascii="仿宋" w:hAnsi="仿宋" w:eastAsia="仿宋" w:cs="仿宋"/>
                <w:bCs/>
                <w:spacing w:val="-4"/>
                <w:sz w:val="24"/>
                <w:szCs w:val="24"/>
                <w:highlight w:val="none"/>
              </w:rPr>
              <w:t>项目团队</w:t>
            </w:r>
            <w:bookmarkEnd w:id="11"/>
            <w:r>
              <w:rPr>
                <w:rFonts w:hint="eastAsia" w:ascii="仿宋" w:hAnsi="仿宋" w:eastAsia="仿宋" w:cs="仿宋"/>
                <w:bCs/>
                <w:spacing w:val="-4"/>
                <w:sz w:val="24"/>
                <w:szCs w:val="24"/>
                <w:highlight w:val="none"/>
              </w:rPr>
              <w:t>（9分）</w:t>
            </w:r>
          </w:p>
        </w:tc>
        <w:tc>
          <w:tcPr>
            <w:tcW w:w="3811" w:type="pct"/>
            <w:noWrap/>
            <w:vAlign w:val="top"/>
          </w:tcPr>
          <w:p w14:paraId="25E539FA">
            <w:pPr>
              <w:pStyle w:val="45"/>
              <w:widowControl/>
              <w:spacing w:line="360" w:lineRule="exact"/>
              <w:jc w:val="left"/>
              <w:rPr>
                <w:rFonts w:hint="eastAsia" w:ascii="仿宋" w:hAnsi="仿宋" w:eastAsia="仿宋" w:cs="仿宋"/>
                <w:bCs/>
                <w:sz w:val="24"/>
                <w:szCs w:val="24"/>
                <w:highlight w:val="none"/>
                <w:lang w:eastAsia="zh-CN"/>
              </w:rPr>
            </w:pPr>
            <w:bookmarkStart w:id="12" w:name="OLE_LINK18"/>
            <w:r>
              <w:rPr>
                <w:rFonts w:hint="eastAsia" w:ascii="仿宋" w:hAnsi="仿宋" w:eastAsia="仿宋" w:cs="仿宋"/>
                <w:bCs/>
                <w:spacing w:val="-6"/>
                <w:sz w:val="24"/>
                <w:szCs w:val="24"/>
                <w:highlight w:val="none"/>
                <w:lang w:eastAsia="zh-CN"/>
              </w:rPr>
              <w:t>1</w:t>
            </w:r>
            <w:r>
              <w:rPr>
                <w:rFonts w:hint="eastAsia" w:ascii="仿宋" w:hAnsi="仿宋" w:eastAsia="仿宋" w:cs="仿宋"/>
                <w:bCs/>
                <w:spacing w:val="-23"/>
                <w:sz w:val="24"/>
                <w:szCs w:val="24"/>
                <w:highlight w:val="none"/>
                <w:lang w:eastAsia="zh-CN"/>
              </w:rPr>
              <w:t xml:space="preserve"> </w:t>
            </w:r>
            <w:r>
              <w:rPr>
                <w:rFonts w:hint="eastAsia" w:ascii="仿宋" w:hAnsi="仿宋" w:eastAsia="仿宋" w:cs="仿宋"/>
                <w:bCs/>
                <w:spacing w:val="-6"/>
                <w:sz w:val="24"/>
                <w:szCs w:val="24"/>
                <w:highlight w:val="none"/>
                <w:lang w:eastAsia="zh-CN"/>
              </w:rPr>
              <w:t>、投标供应商拟派驻本项目的项目经理2人，项目经理</w:t>
            </w:r>
            <w:r>
              <w:rPr>
                <w:rFonts w:hint="eastAsia" w:ascii="仿宋" w:hAnsi="仿宋" w:eastAsia="仿宋" w:cs="仿宋"/>
                <w:bCs/>
                <w:spacing w:val="-6"/>
                <w:sz w:val="24"/>
                <w:szCs w:val="24"/>
                <w:highlight w:val="none"/>
                <w:lang w:val="en-US" w:eastAsia="zh-CN"/>
              </w:rPr>
              <w:t>均</w:t>
            </w:r>
            <w:r>
              <w:rPr>
                <w:rFonts w:hint="eastAsia" w:ascii="仿宋" w:hAnsi="仿宋" w:eastAsia="仿宋" w:cs="仿宋"/>
                <w:bCs/>
                <w:spacing w:val="-6"/>
                <w:sz w:val="24"/>
                <w:szCs w:val="24"/>
                <w:highlight w:val="none"/>
                <w:lang w:eastAsia="zh-CN"/>
              </w:rPr>
              <w:t>具有以下</w:t>
            </w:r>
            <w:r>
              <w:rPr>
                <w:rFonts w:hint="eastAsia" w:ascii="仿宋" w:hAnsi="仿宋" w:eastAsia="仿宋" w:cs="仿宋"/>
                <w:bCs/>
                <w:spacing w:val="-6"/>
                <w:sz w:val="24"/>
                <w:szCs w:val="24"/>
                <w:highlight w:val="none"/>
                <w:lang w:val="en-US" w:eastAsia="zh-CN"/>
              </w:rPr>
              <w:t>证书内2项的得2分</w:t>
            </w:r>
            <w:r>
              <w:rPr>
                <w:rFonts w:hint="eastAsia" w:ascii="仿宋" w:hAnsi="仿宋" w:eastAsia="仿宋" w:cs="仿宋"/>
                <w:bCs/>
                <w:spacing w:val="-6"/>
                <w:sz w:val="24"/>
                <w:szCs w:val="24"/>
                <w:highlight w:val="none"/>
                <w:lang w:eastAsia="zh-CN"/>
              </w:rPr>
              <w:t>，每</w:t>
            </w:r>
            <w:r>
              <w:rPr>
                <w:rFonts w:hint="eastAsia" w:ascii="仿宋" w:hAnsi="仿宋" w:eastAsia="仿宋" w:cs="仿宋"/>
                <w:bCs/>
                <w:spacing w:val="-6"/>
                <w:sz w:val="24"/>
                <w:szCs w:val="24"/>
                <w:highlight w:val="none"/>
                <w:lang w:val="en-US" w:eastAsia="zh-CN"/>
              </w:rPr>
              <w:t>人</w:t>
            </w:r>
            <w:r>
              <w:rPr>
                <w:rFonts w:hint="eastAsia" w:ascii="仿宋" w:hAnsi="仿宋" w:eastAsia="仿宋" w:cs="仿宋"/>
                <w:bCs/>
                <w:spacing w:val="-6"/>
                <w:sz w:val="24"/>
                <w:szCs w:val="24"/>
                <w:highlight w:val="none"/>
                <w:lang w:eastAsia="zh-CN"/>
              </w:rPr>
              <w:t>多提供</w:t>
            </w:r>
            <w:r>
              <w:rPr>
                <w:rFonts w:hint="eastAsia" w:ascii="仿宋" w:hAnsi="仿宋" w:eastAsia="仿宋" w:cs="仿宋"/>
                <w:bCs/>
                <w:spacing w:val="-6"/>
                <w:sz w:val="24"/>
                <w:szCs w:val="24"/>
                <w:highlight w:val="none"/>
                <w:lang w:val="en-US" w:eastAsia="zh-CN"/>
              </w:rPr>
              <w:t>以下证书的每个加</w:t>
            </w:r>
            <w:r>
              <w:rPr>
                <w:rFonts w:hint="eastAsia" w:ascii="仿宋" w:hAnsi="仿宋" w:eastAsia="仿宋" w:cs="仿宋"/>
                <w:bCs/>
                <w:spacing w:val="-6"/>
                <w:sz w:val="24"/>
                <w:szCs w:val="24"/>
                <w:highlight w:val="none"/>
                <w:lang w:eastAsia="zh-CN"/>
              </w:rPr>
              <w:t>0.5分，</w:t>
            </w:r>
            <w:r>
              <w:rPr>
                <w:rFonts w:hint="eastAsia" w:ascii="仿宋" w:hAnsi="仿宋" w:eastAsia="仿宋" w:cs="仿宋"/>
                <w:bCs/>
                <w:spacing w:val="-6"/>
                <w:sz w:val="24"/>
                <w:szCs w:val="24"/>
                <w:highlight w:val="none"/>
                <w:lang w:val="en-US" w:eastAsia="zh-CN"/>
              </w:rPr>
              <w:t>最多加1分</w:t>
            </w:r>
            <w:r>
              <w:rPr>
                <w:rFonts w:hint="eastAsia" w:ascii="仿宋" w:hAnsi="仿宋" w:eastAsia="仿宋" w:cs="仿宋"/>
                <w:bCs/>
                <w:spacing w:val="-6"/>
                <w:sz w:val="24"/>
                <w:szCs w:val="24"/>
                <w:highlight w:val="none"/>
                <w:lang w:eastAsia="zh-CN"/>
              </w:rPr>
              <w:t>，此项最高3分。</w:t>
            </w:r>
            <w:r>
              <w:rPr>
                <w:rFonts w:hint="eastAsia" w:ascii="仿宋" w:hAnsi="仿宋" w:eastAsia="仿宋" w:cs="仿宋"/>
                <w:bCs/>
                <w:spacing w:val="-1"/>
                <w:sz w:val="24"/>
                <w:szCs w:val="24"/>
                <w:highlight w:val="none"/>
                <w:lang w:eastAsia="zh-CN"/>
              </w:rPr>
              <w:t>（提供人员近三个月的社保证明、认证证书</w:t>
            </w:r>
            <w:r>
              <w:rPr>
                <w:rFonts w:hint="eastAsia" w:ascii="仿宋" w:hAnsi="仿宋" w:eastAsia="仿宋" w:cs="仿宋"/>
                <w:bCs/>
                <w:spacing w:val="-1"/>
                <w:sz w:val="24"/>
                <w:szCs w:val="24"/>
                <w:highlight w:val="none"/>
                <w:lang w:val="en-US" w:eastAsia="zh-CN"/>
              </w:rPr>
              <w:t>原件或</w:t>
            </w:r>
            <w:r>
              <w:rPr>
                <w:rFonts w:hint="eastAsia" w:ascii="仿宋" w:hAnsi="仿宋" w:eastAsia="仿宋" w:cs="仿宋"/>
                <w:bCs/>
                <w:spacing w:val="-1"/>
                <w:sz w:val="24"/>
                <w:szCs w:val="24"/>
                <w:highlight w:val="none"/>
                <w:lang w:eastAsia="zh-CN"/>
              </w:rPr>
              <w:t>复印件加盖公章</w:t>
            </w:r>
            <w:r>
              <w:rPr>
                <w:rFonts w:hint="eastAsia" w:ascii="仿宋" w:hAnsi="仿宋" w:eastAsia="仿宋" w:cs="仿宋"/>
                <w:bCs/>
                <w:sz w:val="24"/>
                <w:szCs w:val="24"/>
                <w:highlight w:val="none"/>
                <w:lang w:eastAsia="zh-CN"/>
              </w:rPr>
              <w:t>）</w:t>
            </w:r>
          </w:p>
          <w:p w14:paraId="15AEE1C2">
            <w:pPr>
              <w:pStyle w:val="45"/>
              <w:widowControl/>
              <w:spacing w:line="360" w:lineRule="exact"/>
              <w:jc w:val="left"/>
              <w:rPr>
                <w:rFonts w:hint="eastAsia" w:ascii="仿宋" w:hAnsi="仿宋" w:eastAsia="仿宋" w:cs="仿宋"/>
                <w:bCs/>
                <w:spacing w:val="-6"/>
                <w:sz w:val="24"/>
                <w:szCs w:val="24"/>
                <w:highlight w:val="none"/>
                <w:lang w:eastAsia="zh-CN"/>
              </w:rPr>
            </w:pPr>
            <w:r>
              <w:rPr>
                <w:rFonts w:hint="eastAsia" w:ascii="仿宋" w:hAnsi="仿宋" w:eastAsia="仿宋" w:cs="仿宋"/>
                <w:bCs/>
                <w:spacing w:val="-6"/>
                <w:sz w:val="24"/>
                <w:szCs w:val="24"/>
                <w:highlight w:val="none"/>
                <w:lang w:eastAsia="zh-CN"/>
              </w:rPr>
              <w:t>(1)具备</w:t>
            </w:r>
            <w:r>
              <w:rPr>
                <w:rFonts w:ascii="仿宋" w:hAnsi="仿宋" w:eastAsia="仿宋" w:cs="仿宋"/>
                <w:bCs/>
                <w:spacing w:val="-6"/>
                <w:sz w:val="24"/>
                <w:szCs w:val="24"/>
                <w:highlight w:val="none"/>
                <w:lang w:eastAsia="zh-CN"/>
              </w:rPr>
              <w:t>CISP国家级认证</w:t>
            </w:r>
            <w:r>
              <w:rPr>
                <w:rFonts w:hint="eastAsia" w:ascii="仿宋" w:hAnsi="仿宋" w:eastAsia="仿宋" w:cs="仿宋"/>
                <w:bCs/>
                <w:spacing w:val="-6"/>
                <w:sz w:val="24"/>
                <w:szCs w:val="24"/>
                <w:highlight w:val="none"/>
                <w:lang w:eastAsia="zh-CN"/>
              </w:rPr>
              <w:t>证书；</w:t>
            </w:r>
          </w:p>
          <w:p w14:paraId="60071193">
            <w:pPr>
              <w:pStyle w:val="45"/>
              <w:widowControl/>
              <w:spacing w:line="360" w:lineRule="exact"/>
              <w:jc w:val="left"/>
              <w:rPr>
                <w:rFonts w:hint="eastAsia" w:ascii="仿宋" w:hAnsi="仿宋" w:eastAsia="仿宋" w:cs="仿宋"/>
                <w:bCs/>
                <w:spacing w:val="-1"/>
                <w:sz w:val="24"/>
                <w:szCs w:val="24"/>
                <w:highlight w:val="none"/>
                <w:lang w:eastAsia="zh-CN"/>
              </w:rPr>
            </w:pPr>
            <w:r>
              <w:rPr>
                <w:rFonts w:hint="eastAsia" w:ascii="仿宋" w:hAnsi="仿宋" w:eastAsia="仿宋" w:cs="仿宋"/>
                <w:bCs/>
                <w:spacing w:val="-6"/>
                <w:sz w:val="24"/>
                <w:szCs w:val="24"/>
                <w:highlight w:val="none"/>
                <w:lang w:eastAsia="zh-CN"/>
              </w:rPr>
              <w:t>(2)具备</w:t>
            </w:r>
            <w:r>
              <w:rPr>
                <w:rFonts w:hint="eastAsia" w:ascii="仿宋" w:hAnsi="仿宋" w:eastAsia="仿宋" w:cs="仿宋"/>
                <w:bCs/>
                <w:spacing w:val="-1"/>
                <w:sz w:val="24"/>
                <w:szCs w:val="24"/>
                <w:highlight w:val="none"/>
                <w:lang w:eastAsia="zh-CN"/>
              </w:rPr>
              <w:t>信息系统项目管理师认证相关证书；</w:t>
            </w:r>
          </w:p>
          <w:p w14:paraId="5111386B">
            <w:pPr>
              <w:pStyle w:val="45"/>
              <w:widowControl/>
              <w:spacing w:line="360" w:lineRule="exact"/>
              <w:jc w:val="left"/>
              <w:rPr>
                <w:rFonts w:hint="eastAsia" w:ascii="仿宋" w:hAnsi="仿宋" w:eastAsia="仿宋" w:cs="仿宋"/>
                <w:bCs/>
                <w:spacing w:val="-1"/>
                <w:sz w:val="24"/>
                <w:szCs w:val="24"/>
                <w:highlight w:val="none"/>
                <w:lang w:eastAsia="zh-CN"/>
              </w:rPr>
            </w:pPr>
            <w:r>
              <w:rPr>
                <w:rFonts w:hint="eastAsia" w:ascii="仿宋" w:hAnsi="仿宋" w:eastAsia="仿宋" w:cs="仿宋"/>
                <w:bCs/>
                <w:spacing w:val="-6"/>
                <w:sz w:val="24"/>
                <w:szCs w:val="24"/>
                <w:highlight w:val="none"/>
                <w:lang w:eastAsia="zh-CN"/>
              </w:rPr>
              <w:t>(3)具备IT服务项目经理认证证书</w:t>
            </w:r>
            <w:r>
              <w:rPr>
                <w:rFonts w:hint="eastAsia" w:ascii="仿宋" w:hAnsi="仿宋" w:eastAsia="仿宋" w:cs="仿宋"/>
                <w:bCs/>
                <w:spacing w:val="-1"/>
                <w:sz w:val="24"/>
                <w:szCs w:val="24"/>
                <w:highlight w:val="none"/>
                <w:lang w:eastAsia="zh-CN"/>
              </w:rPr>
              <w:t>；</w:t>
            </w:r>
          </w:p>
          <w:p w14:paraId="41CD2D83">
            <w:pPr>
              <w:pStyle w:val="45"/>
              <w:widowControl/>
              <w:spacing w:line="360" w:lineRule="exact"/>
              <w:jc w:val="left"/>
              <w:rPr>
                <w:rFonts w:hint="eastAsia" w:ascii="仿宋" w:hAnsi="仿宋" w:eastAsia="仿宋" w:cs="仿宋"/>
                <w:bCs/>
                <w:spacing w:val="-1"/>
                <w:sz w:val="24"/>
                <w:szCs w:val="24"/>
                <w:highlight w:val="none"/>
                <w:lang w:eastAsia="zh-CN"/>
              </w:rPr>
            </w:pPr>
            <w:r>
              <w:rPr>
                <w:rFonts w:hint="eastAsia" w:ascii="仿宋" w:hAnsi="仿宋" w:eastAsia="仿宋" w:cs="仿宋"/>
                <w:bCs/>
                <w:spacing w:val="-6"/>
                <w:sz w:val="24"/>
                <w:szCs w:val="24"/>
                <w:highlight w:val="none"/>
                <w:lang w:eastAsia="zh-CN"/>
              </w:rPr>
              <w:t>(4)具备PMP项目经理资格认证证书</w:t>
            </w:r>
            <w:r>
              <w:rPr>
                <w:rFonts w:hint="eastAsia" w:ascii="仿宋" w:hAnsi="仿宋" w:eastAsia="仿宋" w:cs="仿宋"/>
                <w:bCs/>
                <w:spacing w:val="-1"/>
                <w:sz w:val="24"/>
                <w:szCs w:val="24"/>
                <w:highlight w:val="none"/>
                <w:lang w:eastAsia="zh-CN"/>
              </w:rPr>
              <w:t>；</w:t>
            </w:r>
          </w:p>
          <w:p w14:paraId="1F2C26A4">
            <w:pPr>
              <w:pStyle w:val="45"/>
              <w:widowControl/>
              <w:spacing w:line="360" w:lineRule="exact"/>
              <w:jc w:val="left"/>
              <w:rPr>
                <w:rFonts w:hint="eastAsia" w:ascii="仿宋" w:hAnsi="仿宋" w:eastAsia="仿宋" w:cs="仿宋"/>
                <w:bCs/>
                <w:spacing w:val="-2"/>
                <w:sz w:val="24"/>
                <w:szCs w:val="24"/>
                <w:highlight w:val="none"/>
                <w:lang w:eastAsia="zh-CN"/>
              </w:rPr>
            </w:pPr>
            <w:r>
              <w:rPr>
                <w:rFonts w:hint="eastAsia" w:ascii="仿宋" w:hAnsi="仿宋" w:eastAsia="仿宋" w:cs="仿宋"/>
                <w:bCs/>
                <w:spacing w:val="-2"/>
                <w:sz w:val="24"/>
                <w:szCs w:val="24"/>
                <w:highlight w:val="none"/>
                <w:lang w:eastAsia="zh-CN"/>
              </w:rPr>
              <w:t>2</w:t>
            </w:r>
            <w:r>
              <w:rPr>
                <w:rFonts w:hint="eastAsia" w:ascii="仿宋" w:hAnsi="仿宋" w:eastAsia="仿宋" w:cs="仿宋"/>
                <w:bCs/>
                <w:spacing w:val="-30"/>
                <w:sz w:val="24"/>
                <w:szCs w:val="24"/>
                <w:highlight w:val="none"/>
                <w:lang w:eastAsia="zh-CN"/>
              </w:rPr>
              <w:t xml:space="preserve"> </w:t>
            </w:r>
            <w:r>
              <w:rPr>
                <w:rFonts w:hint="eastAsia" w:ascii="仿宋" w:hAnsi="仿宋" w:eastAsia="仿宋" w:cs="仿宋"/>
                <w:bCs/>
                <w:spacing w:val="-2"/>
                <w:sz w:val="24"/>
                <w:szCs w:val="24"/>
                <w:highlight w:val="none"/>
                <w:lang w:eastAsia="zh-CN"/>
              </w:rPr>
              <w:t>、投标人拟派的信息化工程</w:t>
            </w:r>
            <w:bookmarkStart w:id="13" w:name="OLE_LINK4"/>
            <w:r>
              <w:rPr>
                <w:rFonts w:hint="eastAsia" w:ascii="仿宋" w:hAnsi="仿宋" w:eastAsia="仿宋" w:cs="仿宋"/>
                <w:bCs/>
                <w:spacing w:val="-2"/>
                <w:sz w:val="24"/>
                <w:szCs w:val="24"/>
                <w:highlight w:val="none"/>
                <w:lang w:eastAsia="zh-CN"/>
              </w:rPr>
              <w:t>技术</w:t>
            </w:r>
            <w:r>
              <w:rPr>
                <w:rFonts w:hint="eastAsia" w:ascii="仿宋" w:hAnsi="仿宋" w:eastAsia="仿宋" w:cs="仿宋"/>
                <w:bCs/>
                <w:spacing w:val="-2"/>
                <w:sz w:val="24"/>
                <w:szCs w:val="24"/>
                <w:highlight w:val="none"/>
                <w:lang w:val="en-US" w:eastAsia="zh-CN"/>
              </w:rPr>
              <w:t>管理</w:t>
            </w:r>
            <w:r>
              <w:rPr>
                <w:rFonts w:hint="eastAsia" w:ascii="仿宋" w:hAnsi="仿宋" w:eastAsia="仿宋" w:cs="仿宋"/>
                <w:bCs/>
                <w:spacing w:val="-2"/>
                <w:sz w:val="24"/>
                <w:szCs w:val="24"/>
                <w:highlight w:val="none"/>
                <w:lang w:eastAsia="zh-CN"/>
              </w:rPr>
              <w:t>团队</w:t>
            </w:r>
            <w:bookmarkEnd w:id="13"/>
            <w:r>
              <w:rPr>
                <w:rFonts w:hint="eastAsia" w:ascii="仿宋" w:hAnsi="仿宋" w:eastAsia="仿宋" w:cs="仿宋"/>
                <w:bCs/>
                <w:spacing w:val="-2"/>
                <w:sz w:val="24"/>
                <w:szCs w:val="24"/>
                <w:highlight w:val="none"/>
                <w:lang w:eastAsia="zh-CN"/>
              </w:rPr>
              <w:t>要求</w:t>
            </w:r>
            <w:r>
              <w:rPr>
                <w:rFonts w:hint="eastAsia" w:ascii="仿宋" w:hAnsi="仿宋" w:eastAsia="仿宋" w:cs="仿宋"/>
                <w:bCs/>
                <w:spacing w:val="-50"/>
                <w:sz w:val="24"/>
                <w:szCs w:val="24"/>
                <w:highlight w:val="none"/>
                <w:lang w:eastAsia="zh-CN"/>
              </w:rPr>
              <w:t xml:space="preserve"> </w:t>
            </w:r>
            <w:r>
              <w:rPr>
                <w:rFonts w:hint="eastAsia" w:ascii="仿宋" w:hAnsi="仿宋" w:eastAsia="仿宋" w:cs="仿宋"/>
                <w:bCs/>
                <w:spacing w:val="-2"/>
                <w:sz w:val="24"/>
                <w:szCs w:val="24"/>
                <w:highlight w:val="none"/>
                <w:lang w:eastAsia="zh-CN"/>
              </w:rPr>
              <w:t>6人（</w:t>
            </w:r>
            <w:r>
              <w:rPr>
                <w:rFonts w:hint="eastAsia" w:ascii="仿宋" w:hAnsi="仿宋" w:eastAsia="仿宋" w:cs="仿宋"/>
                <w:bCs/>
                <w:spacing w:val="-3"/>
                <w:sz w:val="24"/>
                <w:szCs w:val="24"/>
                <w:highlight w:val="none"/>
                <w:lang w:eastAsia="zh-CN"/>
              </w:rPr>
              <w:t>不能由项目经</w:t>
            </w:r>
            <w:r>
              <w:rPr>
                <w:rFonts w:hint="eastAsia" w:ascii="仿宋" w:hAnsi="仿宋" w:eastAsia="仿宋" w:cs="仿宋"/>
                <w:bCs/>
                <w:spacing w:val="-2"/>
                <w:sz w:val="24"/>
                <w:szCs w:val="24"/>
                <w:highlight w:val="none"/>
                <w:lang w:eastAsia="zh-CN"/>
              </w:rPr>
              <w:t>理兼任），在</w:t>
            </w:r>
            <w:r>
              <w:rPr>
                <w:rFonts w:hint="eastAsia" w:ascii="仿宋" w:hAnsi="仿宋" w:eastAsia="仿宋" w:cs="仿宋"/>
                <w:bCs/>
                <w:spacing w:val="-2"/>
                <w:sz w:val="24"/>
                <w:szCs w:val="24"/>
                <w:highlight w:val="none"/>
                <w:lang w:val="en-US" w:eastAsia="zh-CN"/>
              </w:rPr>
              <w:t>此</w:t>
            </w:r>
            <w:r>
              <w:rPr>
                <w:rFonts w:hint="eastAsia" w:ascii="仿宋" w:hAnsi="仿宋" w:eastAsia="仿宋" w:cs="仿宋"/>
                <w:bCs/>
                <w:spacing w:val="-2"/>
                <w:sz w:val="24"/>
                <w:szCs w:val="24"/>
                <w:highlight w:val="none"/>
                <w:lang w:eastAsia="zh-CN"/>
              </w:rPr>
              <w:t>基础上每增加1人得0.5分，最高得3分；</w:t>
            </w:r>
          </w:p>
          <w:p w14:paraId="1148EC0E">
            <w:pPr>
              <w:pStyle w:val="45"/>
              <w:widowControl/>
              <w:spacing w:line="360" w:lineRule="exact"/>
              <w:jc w:val="left"/>
              <w:rPr>
                <w:rFonts w:hint="eastAsia" w:ascii="仿宋" w:hAnsi="仿宋" w:eastAsia="仿宋" w:cs="仿宋"/>
                <w:bCs/>
                <w:sz w:val="24"/>
                <w:szCs w:val="24"/>
                <w:highlight w:val="none"/>
                <w:lang w:eastAsia="zh-CN"/>
              </w:rPr>
            </w:pPr>
            <w:r>
              <w:rPr>
                <w:rFonts w:hint="eastAsia" w:ascii="仿宋" w:hAnsi="仿宋" w:eastAsia="仿宋" w:cs="仿宋"/>
                <w:bCs/>
                <w:spacing w:val="-2"/>
                <w:sz w:val="24"/>
                <w:szCs w:val="24"/>
                <w:highlight w:val="none"/>
                <w:lang w:eastAsia="zh-CN"/>
              </w:rPr>
              <w:t>技术</w:t>
            </w:r>
            <w:r>
              <w:rPr>
                <w:rFonts w:hint="eastAsia" w:ascii="仿宋" w:hAnsi="仿宋" w:eastAsia="仿宋" w:cs="仿宋"/>
                <w:bCs/>
                <w:spacing w:val="-2"/>
                <w:sz w:val="24"/>
                <w:szCs w:val="24"/>
                <w:highlight w:val="none"/>
                <w:lang w:val="en-US" w:eastAsia="zh-CN"/>
              </w:rPr>
              <w:t>管理</w:t>
            </w:r>
            <w:r>
              <w:rPr>
                <w:rFonts w:hint="eastAsia" w:ascii="仿宋" w:hAnsi="仿宋" w:eastAsia="仿宋" w:cs="仿宋"/>
                <w:bCs/>
                <w:spacing w:val="-2"/>
                <w:sz w:val="24"/>
                <w:szCs w:val="24"/>
                <w:highlight w:val="none"/>
                <w:lang w:eastAsia="zh-CN"/>
              </w:rPr>
              <w:t>团队</w:t>
            </w:r>
            <w:r>
              <w:rPr>
                <w:rFonts w:hint="eastAsia" w:ascii="仿宋" w:hAnsi="仿宋" w:eastAsia="仿宋" w:cs="仿宋"/>
                <w:bCs/>
                <w:spacing w:val="-2"/>
                <w:sz w:val="24"/>
                <w:szCs w:val="24"/>
                <w:highlight w:val="none"/>
                <w:lang w:val="en-US" w:eastAsia="zh-CN"/>
              </w:rPr>
              <w:t>人员</w:t>
            </w:r>
            <w:r>
              <w:rPr>
                <w:rFonts w:hint="eastAsia" w:ascii="仿宋" w:hAnsi="仿宋" w:eastAsia="仿宋" w:cs="仿宋"/>
                <w:bCs/>
                <w:spacing w:val="-2"/>
                <w:sz w:val="24"/>
                <w:szCs w:val="24"/>
                <w:highlight w:val="none"/>
                <w:lang w:eastAsia="zh-CN"/>
              </w:rPr>
              <w:t>须具有网络工程师或</w:t>
            </w:r>
            <w:r>
              <w:rPr>
                <w:rFonts w:hint="eastAsia" w:ascii="仿宋" w:hAnsi="仿宋" w:eastAsia="仿宋" w:cs="仿宋"/>
                <w:bCs/>
                <w:spacing w:val="-30"/>
                <w:sz w:val="24"/>
                <w:szCs w:val="24"/>
                <w:highlight w:val="none"/>
                <w:lang w:eastAsia="zh-CN"/>
              </w:rPr>
              <w:t xml:space="preserve"> </w:t>
            </w:r>
            <w:r>
              <w:rPr>
                <w:rFonts w:hint="eastAsia" w:ascii="仿宋" w:hAnsi="仿宋" w:eastAsia="仿宋" w:cs="仿宋"/>
                <w:bCs/>
                <w:spacing w:val="-2"/>
                <w:sz w:val="24"/>
                <w:szCs w:val="24"/>
                <w:highlight w:val="none"/>
                <w:lang w:eastAsia="zh-CN"/>
              </w:rPr>
              <w:t>IT服务项目经理或信息安全工程师认证证书</w:t>
            </w:r>
            <w:r>
              <w:rPr>
                <w:rFonts w:hint="eastAsia" w:ascii="仿宋" w:hAnsi="仿宋" w:eastAsia="仿宋" w:cs="仿宋"/>
                <w:bCs/>
                <w:spacing w:val="-5"/>
                <w:sz w:val="24"/>
                <w:szCs w:val="24"/>
                <w:highlight w:val="none"/>
                <w:lang w:eastAsia="zh-CN"/>
              </w:rPr>
              <w:t>须具有其中任意</w:t>
            </w:r>
            <w:r>
              <w:rPr>
                <w:rFonts w:hint="eastAsia" w:ascii="仿宋" w:hAnsi="仿宋" w:eastAsia="仿宋" w:cs="仿宋"/>
                <w:bCs/>
                <w:spacing w:val="-38"/>
                <w:sz w:val="24"/>
                <w:szCs w:val="24"/>
                <w:highlight w:val="none"/>
                <w:lang w:eastAsia="zh-CN"/>
              </w:rPr>
              <w:t xml:space="preserve"> </w:t>
            </w:r>
            <w:r>
              <w:rPr>
                <w:rFonts w:hint="eastAsia" w:ascii="仿宋" w:hAnsi="仿宋" w:eastAsia="仿宋" w:cs="仿宋"/>
                <w:bCs/>
                <w:spacing w:val="-5"/>
                <w:sz w:val="24"/>
                <w:szCs w:val="24"/>
                <w:highlight w:val="none"/>
                <w:lang w:eastAsia="zh-CN"/>
              </w:rPr>
              <w:t>一项</w:t>
            </w:r>
            <w:r>
              <w:rPr>
                <w:rFonts w:hint="eastAsia" w:ascii="仿宋" w:hAnsi="仿宋" w:eastAsia="仿宋" w:cs="仿宋"/>
                <w:bCs/>
                <w:spacing w:val="-1"/>
                <w:sz w:val="24"/>
                <w:szCs w:val="24"/>
                <w:highlight w:val="none"/>
                <w:lang w:eastAsia="zh-CN"/>
              </w:rPr>
              <w:t>（提供人员近三个月的社保证明、认证证书复印件加盖公章</w:t>
            </w:r>
            <w:r>
              <w:rPr>
                <w:rFonts w:hint="eastAsia" w:ascii="仿宋" w:hAnsi="仿宋" w:eastAsia="仿宋" w:cs="仿宋"/>
                <w:bCs/>
                <w:sz w:val="24"/>
                <w:szCs w:val="24"/>
                <w:highlight w:val="none"/>
                <w:lang w:eastAsia="zh-CN"/>
              </w:rPr>
              <w:t>）</w:t>
            </w:r>
            <w:r>
              <w:rPr>
                <w:rFonts w:hint="eastAsia" w:ascii="仿宋" w:hAnsi="仿宋" w:eastAsia="仿宋" w:cs="仿宋"/>
                <w:bCs/>
                <w:spacing w:val="-3"/>
                <w:sz w:val="24"/>
                <w:szCs w:val="24"/>
                <w:highlight w:val="none"/>
                <w:lang w:eastAsia="zh-CN"/>
              </w:rPr>
              <w:t>。</w:t>
            </w:r>
          </w:p>
          <w:p w14:paraId="6A1EE305">
            <w:pPr>
              <w:pStyle w:val="45"/>
              <w:widowControl/>
              <w:numPr>
                <w:ilvl w:val="0"/>
                <w:numId w:val="7"/>
              </w:numPr>
              <w:spacing w:line="360" w:lineRule="exact"/>
              <w:jc w:val="left"/>
              <w:rPr>
                <w:rFonts w:hint="eastAsia" w:ascii="仿宋" w:hAnsi="仿宋" w:eastAsia="仿宋" w:cs="仿宋"/>
                <w:bCs/>
                <w:spacing w:val="-2"/>
                <w:sz w:val="24"/>
                <w:szCs w:val="24"/>
                <w:highlight w:val="none"/>
                <w:lang w:eastAsia="zh-CN"/>
              </w:rPr>
            </w:pPr>
            <w:r>
              <w:rPr>
                <w:rFonts w:hint="eastAsia" w:ascii="仿宋" w:hAnsi="仿宋" w:eastAsia="仿宋" w:cs="仿宋"/>
                <w:bCs/>
                <w:spacing w:val="-5"/>
                <w:sz w:val="24"/>
                <w:szCs w:val="24"/>
                <w:highlight w:val="none"/>
                <w:lang w:eastAsia="zh-CN"/>
              </w:rPr>
              <w:t>投标人拟派的本项目的</w:t>
            </w:r>
            <w:bookmarkStart w:id="14" w:name="OLE_LINK5"/>
            <w:r>
              <w:rPr>
                <w:rFonts w:hint="eastAsia" w:ascii="仿宋" w:hAnsi="仿宋" w:eastAsia="仿宋" w:cs="仿宋"/>
                <w:bCs/>
                <w:spacing w:val="-5"/>
                <w:sz w:val="24"/>
                <w:szCs w:val="24"/>
                <w:highlight w:val="none"/>
                <w:lang w:eastAsia="zh-CN"/>
              </w:rPr>
              <w:t>技术人员</w:t>
            </w:r>
            <w:bookmarkEnd w:id="14"/>
            <w:r>
              <w:rPr>
                <w:rFonts w:hint="eastAsia" w:ascii="仿宋" w:hAnsi="仿宋" w:eastAsia="仿宋" w:cs="仿宋"/>
                <w:bCs/>
                <w:spacing w:val="-5"/>
                <w:sz w:val="24"/>
                <w:szCs w:val="24"/>
                <w:highlight w:val="none"/>
                <w:lang w:eastAsia="zh-CN"/>
              </w:rPr>
              <w:t>要求</w:t>
            </w:r>
            <w:r>
              <w:rPr>
                <w:rFonts w:hint="eastAsia" w:ascii="仿宋" w:hAnsi="仿宋" w:eastAsia="仿宋" w:cs="仿宋"/>
                <w:bCs/>
                <w:spacing w:val="-28"/>
                <w:sz w:val="24"/>
                <w:szCs w:val="24"/>
                <w:highlight w:val="none"/>
                <w:lang w:eastAsia="zh-CN"/>
              </w:rPr>
              <w:t xml:space="preserve"> </w:t>
            </w:r>
            <w:r>
              <w:rPr>
                <w:rFonts w:hint="eastAsia" w:ascii="仿宋" w:hAnsi="仿宋" w:eastAsia="仿宋" w:cs="仿宋"/>
                <w:bCs/>
                <w:spacing w:val="-5"/>
                <w:sz w:val="24"/>
                <w:szCs w:val="24"/>
                <w:highlight w:val="none"/>
                <w:lang w:eastAsia="zh-CN"/>
              </w:rPr>
              <w:t>10人（除项目经理、技术负</w:t>
            </w:r>
            <w:r>
              <w:rPr>
                <w:rFonts w:hint="eastAsia" w:ascii="仿宋" w:hAnsi="仿宋" w:eastAsia="仿宋" w:cs="仿宋"/>
                <w:bCs/>
                <w:spacing w:val="-2"/>
                <w:sz w:val="24"/>
                <w:szCs w:val="24"/>
                <w:highlight w:val="none"/>
                <w:lang w:eastAsia="zh-CN"/>
              </w:rPr>
              <w:t>责团队人员），在满足项目技术人员10人基础上每增加1人得0.5分，最高得3分；</w:t>
            </w:r>
          </w:p>
          <w:p w14:paraId="363EEB0A">
            <w:pPr>
              <w:pStyle w:val="45"/>
              <w:widowControl/>
              <w:numPr>
                <w:ilvl w:val="0"/>
                <w:numId w:val="0"/>
              </w:numPr>
              <w:spacing w:line="360" w:lineRule="exact"/>
              <w:jc w:val="left"/>
              <w:rPr>
                <w:rFonts w:hint="eastAsia" w:ascii="仿宋" w:hAnsi="仿宋" w:eastAsia="仿宋" w:cs="仿宋"/>
                <w:bCs/>
                <w:kern w:val="0"/>
                <w:sz w:val="24"/>
                <w:szCs w:val="24"/>
                <w:highlight w:val="none"/>
                <w:lang w:eastAsia="zh-CN"/>
              </w:rPr>
            </w:pPr>
            <w:r>
              <w:rPr>
                <w:rFonts w:hint="eastAsia" w:ascii="仿宋" w:hAnsi="仿宋" w:eastAsia="仿宋" w:cs="仿宋"/>
                <w:bCs/>
                <w:spacing w:val="-5"/>
                <w:sz w:val="24"/>
                <w:szCs w:val="24"/>
                <w:highlight w:val="none"/>
                <w:lang w:eastAsia="zh-CN"/>
              </w:rPr>
              <w:t>技术人员</w:t>
            </w:r>
            <w:r>
              <w:rPr>
                <w:rFonts w:hint="eastAsia" w:ascii="仿宋" w:hAnsi="仿宋" w:eastAsia="仿宋" w:cs="仿宋"/>
                <w:bCs/>
                <w:spacing w:val="-2"/>
                <w:sz w:val="24"/>
                <w:szCs w:val="24"/>
                <w:highlight w:val="none"/>
                <w:lang w:eastAsia="zh-CN"/>
              </w:rPr>
              <w:t>须具有网络工程师或</w:t>
            </w:r>
            <w:r>
              <w:rPr>
                <w:rFonts w:hint="eastAsia" w:ascii="仿宋" w:hAnsi="仿宋" w:eastAsia="仿宋" w:cs="仿宋"/>
                <w:bCs/>
                <w:spacing w:val="-25"/>
                <w:sz w:val="24"/>
                <w:szCs w:val="24"/>
                <w:highlight w:val="none"/>
                <w:lang w:eastAsia="zh-CN"/>
              </w:rPr>
              <w:t xml:space="preserve"> </w:t>
            </w:r>
            <w:r>
              <w:rPr>
                <w:rFonts w:hint="eastAsia" w:ascii="仿宋" w:hAnsi="仿宋" w:eastAsia="仿宋" w:cs="仿宋"/>
                <w:bCs/>
                <w:spacing w:val="-2"/>
                <w:sz w:val="24"/>
                <w:szCs w:val="24"/>
                <w:highlight w:val="none"/>
                <w:lang w:eastAsia="zh-CN"/>
              </w:rPr>
              <w:t>IT服务项目经理或信息安全工</w:t>
            </w:r>
            <w:r>
              <w:rPr>
                <w:rFonts w:hint="eastAsia" w:ascii="仿宋" w:hAnsi="仿宋" w:eastAsia="仿宋" w:cs="仿宋"/>
                <w:bCs/>
                <w:spacing w:val="-1"/>
                <w:sz w:val="24"/>
                <w:szCs w:val="24"/>
                <w:highlight w:val="none"/>
                <w:lang w:eastAsia="zh-CN"/>
              </w:rPr>
              <w:t>程师或通信工程师认证证书</w:t>
            </w:r>
            <w:r>
              <w:rPr>
                <w:rFonts w:hint="eastAsia" w:ascii="仿宋" w:hAnsi="仿宋" w:eastAsia="仿宋" w:cs="仿宋"/>
                <w:bCs/>
                <w:spacing w:val="-5"/>
                <w:sz w:val="24"/>
                <w:szCs w:val="24"/>
                <w:highlight w:val="none"/>
                <w:lang w:eastAsia="zh-CN"/>
              </w:rPr>
              <w:t>其中任意一项</w:t>
            </w:r>
            <w:r>
              <w:rPr>
                <w:rFonts w:hint="eastAsia" w:ascii="仿宋" w:hAnsi="仿宋" w:eastAsia="仿宋" w:cs="仿宋"/>
                <w:bCs/>
                <w:spacing w:val="-2"/>
                <w:sz w:val="24"/>
                <w:szCs w:val="24"/>
                <w:highlight w:val="none"/>
                <w:lang w:eastAsia="zh-CN"/>
              </w:rPr>
              <w:t>（提供人</w:t>
            </w:r>
            <w:r>
              <w:rPr>
                <w:rFonts w:hint="eastAsia" w:ascii="仿宋" w:hAnsi="仿宋" w:eastAsia="仿宋" w:cs="仿宋"/>
                <w:bCs/>
                <w:spacing w:val="-1"/>
                <w:sz w:val="24"/>
                <w:szCs w:val="24"/>
                <w:highlight w:val="none"/>
                <w:lang w:eastAsia="zh-CN"/>
              </w:rPr>
              <w:t>员近三个月的社保证明、认证证书复印件加盖公章）</w:t>
            </w:r>
            <w:r>
              <w:rPr>
                <w:rFonts w:hint="eastAsia" w:ascii="仿宋" w:hAnsi="仿宋" w:eastAsia="仿宋" w:cs="仿宋"/>
                <w:bCs/>
                <w:spacing w:val="-3"/>
                <w:sz w:val="24"/>
                <w:szCs w:val="24"/>
                <w:highlight w:val="none"/>
                <w:lang w:eastAsia="zh-CN"/>
              </w:rPr>
              <w:t>。</w:t>
            </w:r>
            <w:bookmarkEnd w:id="12"/>
          </w:p>
        </w:tc>
        <w:tc>
          <w:tcPr>
            <w:tcW w:w="425" w:type="pct"/>
            <w:noWrap/>
            <w:vAlign w:val="center"/>
          </w:tcPr>
          <w:p w14:paraId="154D6220">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9</w:t>
            </w:r>
          </w:p>
        </w:tc>
      </w:tr>
      <w:tr w14:paraId="5D3C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340" w:type="pct"/>
            <w:vMerge w:val="restart"/>
            <w:noWrap w:val="0"/>
            <w:vAlign w:val="center"/>
          </w:tcPr>
          <w:p w14:paraId="17EA8FE2">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技术部分（45分）</w:t>
            </w:r>
          </w:p>
        </w:tc>
        <w:tc>
          <w:tcPr>
            <w:tcW w:w="421" w:type="pct"/>
            <w:vMerge w:val="restart"/>
            <w:noWrap w:val="0"/>
            <w:vAlign w:val="center"/>
          </w:tcPr>
          <w:p w14:paraId="288163E0">
            <w:pPr>
              <w:widowControl/>
              <w:spacing w:line="360" w:lineRule="exact"/>
              <w:jc w:val="left"/>
              <w:rPr>
                <w:rFonts w:hint="eastAsia" w:ascii="仿宋" w:hAnsi="仿宋" w:eastAsia="仿宋" w:cs="仿宋"/>
                <w:bCs/>
                <w:spacing w:val="-4"/>
                <w:sz w:val="24"/>
                <w:szCs w:val="24"/>
                <w:highlight w:val="none"/>
              </w:rPr>
            </w:pPr>
            <w:bookmarkStart w:id="15" w:name="OLE_LINK19"/>
            <w:r>
              <w:rPr>
                <w:rFonts w:hint="eastAsia" w:ascii="仿宋" w:hAnsi="仿宋" w:eastAsia="仿宋" w:cs="仿宋"/>
                <w:bCs/>
                <w:spacing w:val="-4"/>
                <w:sz w:val="24"/>
                <w:szCs w:val="24"/>
                <w:highlight w:val="none"/>
              </w:rPr>
              <w:t>兼容性要求</w:t>
            </w:r>
            <w:bookmarkEnd w:id="15"/>
            <w:r>
              <w:rPr>
                <w:rFonts w:hint="eastAsia" w:ascii="仿宋" w:hAnsi="仿宋" w:eastAsia="仿宋" w:cs="仿宋"/>
                <w:bCs/>
                <w:spacing w:val="-4"/>
                <w:sz w:val="24"/>
                <w:szCs w:val="24"/>
                <w:highlight w:val="none"/>
              </w:rPr>
              <w:t>（6分）</w:t>
            </w:r>
          </w:p>
        </w:tc>
        <w:tc>
          <w:tcPr>
            <w:tcW w:w="3811" w:type="pct"/>
            <w:noWrap/>
            <w:vAlign w:val="top"/>
          </w:tcPr>
          <w:p w14:paraId="65C4C9F9">
            <w:pPr>
              <w:pStyle w:val="45"/>
              <w:widowControl/>
              <w:spacing w:line="360" w:lineRule="exact"/>
              <w:jc w:val="left"/>
              <w:rPr>
                <w:rFonts w:hint="eastAsia" w:ascii="仿宋" w:hAnsi="仿宋" w:eastAsia="仿宋" w:cs="仿宋"/>
                <w:bCs/>
                <w:spacing w:val="-5"/>
                <w:sz w:val="24"/>
                <w:szCs w:val="24"/>
                <w:highlight w:val="none"/>
                <w:lang w:eastAsia="zh-CN"/>
              </w:rPr>
            </w:pPr>
            <w:r>
              <w:rPr>
                <w:rFonts w:hint="eastAsia" w:ascii="仿宋" w:hAnsi="仿宋" w:eastAsia="仿宋" w:cs="仿宋"/>
                <w:bCs/>
                <w:spacing w:val="-5"/>
                <w:sz w:val="24"/>
                <w:szCs w:val="24"/>
                <w:highlight w:val="none"/>
                <w:lang w:val="en-US" w:eastAsia="zh-CN"/>
              </w:rPr>
              <w:t>1.</w:t>
            </w:r>
            <w:r>
              <w:rPr>
                <w:rFonts w:hint="eastAsia" w:ascii="仿宋" w:hAnsi="仿宋" w:eastAsia="仿宋" w:cs="仿宋"/>
                <w:bCs/>
                <w:spacing w:val="-5"/>
                <w:sz w:val="24"/>
                <w:szCs w:val="24"/>
                <w:highlight w:val="none"/>
                <w:lang w:eastAsia="zh-CN"/>
              </w:rPr>
              <w:t>为实现校方计费系统无感知升级，产品厂商须出具计费系统对接承诺和对接方案并加盖公章得3分；未提供者得0分。</w:t>
            </w:r>
          </w:p>
        </w:tc>
        <w:tc>
          <w:tcPr>
            <w:tcW w:w="425" w:type="pct"/>
            <w:noWrap/>
            <w:vAlign w:val="center"/>
          </w:tcPr>
          <w:p w14:paraId="29515813">
            <w:pPr>
              <w:widowControl/>
              <w:spacing w:line="360" w:lineRule="exact"/>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3</w:t>
            </w:r>
          </w:p>
        </w:tc>
      </w:tr>
      <w:tr w14:paraId="22EC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340" w:type="pct"/>
            <w:vMerge w:val="continue"/>
            <w:noWrap w:val="0"/>
            <w:vAlign w:val="center"/>
          </w:tcPr>
          <w:p w14:paraId="2634EF7F">
            <w:pPr>
              <w:widowControl/>
              <w:spacing w:line="360" w:lineRule="exact"/>
              <w:jc w:val="left"/>
              <w:rPr>
                <w:rFonts w:hint="eastAsia" w:ascii="仿宋" w:hAnsi="仿宋" w:eastAsia="仿宋" w:cs="仿宋"/>
                <w:bCs/>
                <w:spacing w:val="-4"/>
                <w:sz w:val="24"/>
                <w:szCs w:val="24"/>
                <w:highlight w:val="none"/>
              </w:rPr>
            </w:pPr>
          </w:p>
        </w:tc>
        <w:tc>
          <w:tcPr>
            <w:tcW w:w="421" w:type="pct"/>
            <w:vMerge w:val="continue"/>
            <w:noWrap w:val="0"/>
            <w:vAlign w:val="center"/>
          </w:tcPr>
          <w:p w14:paraId="0790EADF">
            <w:pPr>
              <w:widowControl/>
              <w:spacing w:line="360" w:lineRule="exact"/>
              <w:jc w:val="left"/>
              <w:rPr>
                <w:rFonts w:hint="eastAsia" w:ascii="仿宋" w:hAnsi="仿宋" w:eastAsia="仿宋" w:cs="仿宋"/>
                <w:bCs/>
                <w:spacing w:val="-4"/>
                <w:sz w:val="24"/>
                <w:szCs w:val="24"/>
                <w:highlight w:val="none"/>
              </w:rPr>
            </w:pPr>
          </w:p>
        </w:tc>
        <w:tc>
          <w:tcPr>
            <w:tcW w:w="3811" w:type="pct"/>
            <w:noWrap/>
            <w:vAlign w:val="top"/>
          </w:tcPr>
          <w:p w14:paraId="2A84A055">
            <w:pPr>
              <w:pStyle w:val="45"/>
              <w:widowControl/>
              <w:spacing w:line="360" w:lineRule="exact"/>
              <w:jc w:val="left"/>
              <w:rPr>
                <w:rFonts w:hint="eastAsia" w:ascii="仿宋" w:hAnsi="仿宋" w:eastAsia="仿宋" w:cs="仿宋"/>
                <w:bCs/>
                <w:spacing w:val="-5"/>
                <w:sz w:val="24"/>
                <w:szCs w:val="24"/>
                <w:highlight w:val="none"/>
                <w:lang w:eastAsia="zh-CN" w:bidi="en-US"/>
              </w:rPr>
            </w:pPr>
            <w:r>
              <w:rPr>
                <w:rFonts w:hint="eastAsia" w:ascii="仿宋" w:hAnsi="仿宋" w:eastAsia="仿宋" w:cs="仿宋"/>
                <w:bCs/>
                <w:spacing w:val="-5"/>
                <w:sz w:val="24"/>
                <w:szCs w:val="24"/>
                <w:highlight w:val="none"/>
                <w:lang w:val="en-US" w:eastAsia="zh-CN"/>
              </w:rPr>
              <w:t>2.</w:t>
            </w:r>
            <w:r>
              <w:rPr>
                <w:rFonts w:hint="eastAsia" w:ascii="仿宋" w:hAnsi="仿宋" w:eastAsia="仿宋" w:cs="仿宋"/>
                <w:bCs/>
                <w:spacing w:val="-5"/>
                <w:sz w:val="24"/>
                <w:szCs w:val="24"/>
                <w:highlight w:val="none"/>
                <w:lang w:eastAsia="zh-CN"/>
              </w:rPr>
              <w:t>为实现校方现有存储无缝扩容，产品厂商出具存储对接承诺和对接方案并加盖公章得3分；未提供者得0分。</w:t>
            </w:r>
          </w:p>
        </w:tc>
        <w:tc>
          <w:tcPr>
            <w:tcW w:w="425" w:type="pct"/>
            <w:noWrap/>
            <w:vAlign w:val="center"/>
          </w:tcPr>
          <w:p w14:paraId="4B9ECB66">
            <w:pPr>
              <w:widowControl/>
              <w:spacing w:line="360" w:lineRule="exact"/>
              <w:jc w:val="left"/>
              <w:rPr>
                <w:rFonts w:ascii="仿宋" w:hAnsi="仿宋" w:eastAsia="仿宋" w:cs="仿宋"/>
                <w:bCs/>
                <w:kern w:val="0"/>
                <w:sz w:val="24"/>
                <w:szCs w:val="24"/>
                <w:highlight w:val="none"/>
                <w:lang w:bidi="en-US"/>
              </w:rPr>
            </w:pPr>
            <w:r>
              <w:rPr>
                <w:rFonts w:hint="eastAsia" w:ascii="仿宋" w:hAnsi="仿宋" w:eastAsia="仿宋" w:cs="仿宋"/>
                <w:bCs/>
                <w:kern w:val="0"/>
                <w:sz w:val="24"/>
                <w:szCs w:val="24"/>
                <w:highlight w:val="none"/>
                <w:lang w:bidi="en-US"/>
              </w:rPr>
              <w:t>3</w:t>
            </w:r>
          </w:p>
        </w:tc>
      </w:tr>
      <w:tr w14:paraId="478D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40" w:type="pct"/>
            <w:vMerge w:val="continue"/>
            <w:noWrap w:val="0"/>
            <w:vAlign w:val="center"/>
          </w:tcPr>
          <w:p w14:paraId="7B20B9F8">
            <w:pPr>
              <w:widowControl/>
              <w:spacing w:line="360" w:lineRule="exact"/>
              <w:jc w:val="left"/>
              <w:rPr>
                <w:rFonts w:hint="eastAsia" w:ascii="仿宋" w:hAnsi="仿宋" w:eastAsia="仿宋" w:cs="仿宋"/>
                <w:bCs/>
                <w:kern w:val="0"/>
                <w:sz w:val="24"/>
                <w:szCs w:val="24"/>
                <w:highlight w:val="none"/>
              </w:rPr>
            </w:pPr>
          </w:p>
        </w:tc>
        <w:tc>
          <w:tcPr>
            <w:tcW w:w="421" w:type="pct"/>
            <w:noWrap w:val="0"/>
            <w:vAlign w:val="center"/>
          </w:tcPr>
          <w:p w14:paraId="5A0B00B9">
            <w:pPr>
              <w:widowControl/>
              <w:spacing w:line="360" w:lineRule="exact"/>
              <w:jc w:val="left"/>
              <w:rPr>
                <w:rFonts w:hint="eastAsia" w:ascii="仿宋" w:hAnsi="仿宋" w:eastAsia="仿宋" w:cs="仿宋"/>
                <w:bCs/>
                <w:kern w:val="0"/>
                <w:sz w:val="24"/>
                <w:szCs w:val="24"/>
                <w:highlight w:val="none"/>
              </w:rPr>
            </w:pPr>
          </w:p>
          <w:p w14:paraId="061545DF">
            <w:pPr>
              <w:widowControl/>
              <w:spacing w:line="360" w:lineRule="exact"/>
              <w:jc w:val="left"/>
              <w:rPr>
                <w:rFonts w:hint="eastAsia" w:ascii="仿宋" w:hAnsi="仿宋" w:eastAsia="仿宋" w:cs="仿宋"/>
                <w:bCs/>
                <w:kern w:val="0"/>
                <w:sz w:val="24"/>
                <w:szCs w:val="24"/>
                <w:highlight w:val="none"/>
              </w:rPr>
            </w:pPr>
          </w:p>
          <w:p w14:paraId="104E516E">
            <w:pPr>
              <w:rPr>
                <w:highlight w:val="none"/>
              </w:rPr>
            </w:pPr>
            <w:bookmarkStart w:id="16" w:name="OLE_LINK20"/>
            <w:r>
              <w:rPr>
                <w:rFonts w:hint="eastAsia" w:ascii="仿宋" w:hAnsi="仿宋" w:eastAsia="仿宋" w:cs="仿宋"/>
                <w:bCs/>
                <w:kern w:val="0"/>
                <w:sz w:val="24"/>
                <w:szCs w:val="24"/>
                <w:highlight w:val="none"/>
              </w:rPr>
              <w:t>实</w:t>
            </w:r>
            <w:r>
              <w:rPr>
                <w:rFonts w:hint="eastAsia" w:ascii="仿宋" w:hAnsi="仿宋" w:eastAsia="仿宋" w:cs="仿宋"/>
                <w:bCs/>
                <w:spacing w:val="-4"/>
                <w:kern w:val="2"/>
                <w:sz w:val="24"/>
                <w:szCs w:val="24"/>
                <w:highlight w:val="none"/>
              </w:rPr>
              <w:t>施</w:t>
            </w:r>
          </w:p>
          <w:p w14:paraId="502B99E2">
            <w:pPr>
              <w:widowControl/>
              <w:spacing w:line="360" w:lineRule="exact"/>
              <w:jc w:val="left"/>
              <w:rPr>
                <w:rFonts w:hint="eastAsia" w:ascii="仿宋" w:hAnsi="仿宋" w:cs="仿宋"/>
                <w:bCs/>
                <w:kern w:val="0"/>
                <w:sz w:val="24"/>
                <w:szCs w:val="24"/>
                <w:highlight w:val="none"/>
              </w:rPr>
            </w:pPr>
            <w:r>
              <w:rPr>
                <w:rFonts w:hint="eastAsia" w:ascii="仿宋" w:hAnsi="仿宋" w:eastAsia="仿宋" w:cs="仿宋"/>
                <w:bCs/>
                <w:spacing w:val="-4"/>
                <w:kern w:val="2"/>
                <w:sz w:val="24"/>
                <w:szCs w:val="24"/>
                <w:highlight w:val="none"/>
              </w:rPr>
              <w:t>方案</w:t>
            </w:r>
            <w:bookmarkEnd w:id="16"/>
            <w:r>
              <w:rPr>
                <w:rFonts w:hint="eastAsia" w:ascii="仿宋" w:hAnsi="仿宋" w:eastAsia="仿宋" w:cs="仿宋"/>
                <w:bCs/>
                <w:spacing w:val="-4"/>
                <w:sz w:val="24"/>
                <w:szCs w:val="24"/>
                <w:highlight w:val="none"/>
              </w:rPr>
              <w:t>（10分）</w:t>
            </w:r>
          </w:p>
        </w:tc>
        <w:tc>
          <w:tcPr>
            <w:tcW w:w="3811" w:type="pct"/>
            <w:noWrap/>
            <w:vAlign w:val="top"/>
          </w:tcPr>
          <w:p w14:paraId="079DF823">
            <w:pPr>
              <w:widowControl/>
              <w:numPr>
                <w:ilvl w:val="0"/>
                <w:numId w:val="8"/>
              </w:numPr>
              <w:spacing w:line="360" w:lineRule="exact"/>
              <w:jc w:val="left"/>
              <w:rPr>
                <w:rFonts w:ascii="仿宋" w:hAnsi="仿宋" w:eastAsia="仿宋" w:cs="仿宋"/>
                <w:bCs/>
                <w:kern w:val="0"/>
                <w:sz w:val="24"/>
                <w:szCs w:val="24"/>
                <w:highlight w:val="none"/>
              </w:rPr>
            </w:pPr>
            <w:bookmarkStart w:id="17" w:name="OLE_LINK21"/>
            <w:r>
              <w:rPr>
                <w:rFonts w:hint="eastAsia" w:ascii="仿宋" w:hAnsi="仿宋" w:eastAsia="仿宋" w:cs="仿宋"/>
                <w:bCs/>
                <w:kern w:val="0"/>
                <w:sz w:val="24"/>
                <w:szCs w:val="24"/>
                <w:highlight w:val="none"/>
              </w:rPr>
              <w:t>根据投标人针对本项目提供的实施方案：①实施安排、人员配置情况；②项目实施进度合理性；③实施流程的规范性、④分项技术实施方案、⑤</w:t>
            </w:r>
            <w:r>
              <w:rPr>
                <w:rFonts w:hint="eastAsia" w:ascii="仿宋" w:hAnsi="仿宋" w:eastAsia="仿宋" w:cs="仿宋"/>
                <w:bCs/>
                <w:spacing w:val="-2"/>
                <w:sz w:val="24"/>
                <w:szCs w:val="24"/>
                <w:highlight w:val="none"/>
              </w:rPr>
              <w:t>提供测试方法、</w:t>
            </w:r>
            <w:r>
              <w:rPr>
                <w:rFonts w:hint="eastAsia" w:ascii="仿宋" w:hAnsi="仿宋" w:eastAsia="仿宋" w:cs="仿宋"/>
                <w:bCs/>
                <w:spacing w:val="-3"/>
                <w:sz w:val="24"/>
                <w:szCs w:val="24"/>
                <w:highlight w:val="none"/>
              </w:rPr>
              <w:t>分阶段测试流程方案</w:t>
            </w:r>
            <w:r>
              <w:rPr>
                <w:rFonts w:hint="eastAsia" w:ascii="仿宋" w:hAnsi="仿宋" w:eastAsia="仿宋" w:cs="仿宋"/>
                <w:bCs/>
                <w:kern w:val="0"/>
                <w:sz w:val="24"/>
                <w:szCs w:val="24"/>
                <w:highlight w:val="none"/>
              </w:rPr>
              <w:t>进行评审。⑥</w:t>
            </w:r>
            <w:r>
              <w:rPr>
                <w:rFonts w:hint="eastAsia" w:ascii="仿宋" w:hAnsi="仿宋" w:eastAsia="仿宋" w:cs="仿宋"/>
                <w:bCs/>
                <w:spacing w:val="-2"/>
                <w:sz w:val="24"/>
                <w:szCs w:val="24"/>
                <w:highlight w:val="none"/>
              </w:rPr>
              <w:t>实施过程中可能出现的内部和外部的风险、</w:t>
            </w:r>
            <w:r>
              <w:rPr>
                <w:rFonts w:hint="eastAsia" w:ascii="仿宋" w:hAnsi="仿宋" w:eastAsia="仿宋" w:cs="仿宋"/>
                <w:bCs/>
                <w:spacing w:val="-1"/>
                <w:sz w:val="24"/>
                <w:szCs w:val="24"/>
                <w:highlight w:val="none"/>
              </w:rPr>
              <w:t>隐患、突发事件进行分析，并制定相应的应急</w:t>
            </w:r>
            <w:r>
              <w:rPr>
                <w:rFonts w:hint="eastAsia" w:ascii="仿宋" w:hAnsi="仿宋" w:eastAsia="仿宋" w:cs="仿宋"/>
                <w:bCs/>
                <w:spacing w:val="-2"/>
                <w:sz w:val="24"/>
                <w:szCs w:val="24"/>
                <w:highlight w:val="none"/>
              </w:rPr>
              <w:t>措施</w:t>
            </w:r>
            <w:r>
              <w:rPr>
                <w:rFonts w:hint="eastAsia" w:ascii="仿宋" w:hAnsi="仿宋" w:eastAsia="仿宋" w:cs="仿宋"/>
                <w:bCs/>
                <w:kern w:val="0"/>
                <w:sz w:val="24"/>
                <w:szCs w:val="24"/>
                <w:highlight w:val="none"/>
              </w:rPr>
              <w:t>，要求：概要计划和里程碑计划，包括（含施工组织与施工管理）各个阶段输入输出配置计划，阶段性目标，分阶段成果展示内容，分项方案描述详细，具有针对性和可行性，计划节点合理。完全满足上述要求的得 3分；上述内容描述一般的得2分；上述内容缺项或描述不合理的得1分，未提供分项实施方案的得 0 分。</w:t>
            </w:r>
          </w:p>
          <w:p w14:paraId="175793DE">
            <w:pPr>
              <w:widowControl/>
              <w:numPr>
                <w:ilvl w:val="0"/>
                <w:numId w:val="8"/>
              </w:numPr>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施工方案需包含校园网、安防网网络拓扑图，数据中心机房布置图，安防系统图，每提供一项符合学校实际情况得1分，最高得4分，未提供得 0 分。</w:t>
            </w:r>
          </w:p>
          <w:p w14:paraId="4A26ED7D">
            <w:pPr>
              <w:widowControl/>
              <w:numPr>
                <w:ilvl w:val="0"/>
                <w:numId w:val="0"/>
              </w:numPr>
              <w:spacing w:line="36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pacing w:val="-2"/>
                <w:sz w:val="24"/>
                <w:szCs w:val="24"/>
                <w:highlight w:val="none"/>
              </w:rPr>
              <w:t>投标人能够对本次项目提供整体验收方案和分阶段、分批次验收方案（须含客户需求调研和验收资料整理等关键内容）。</w:t>
            </w:r>
          </w:p>
          <w:p w14:paraId="536F9EC7">
            <w:pPr>
              <w:rPr>
                <w:highlight w:val="none"/>
              </w:rPr>
            </w:pPr>
            <w:r>
              <w:rPr>
                <w:rFonts w:hint="eastAsia" w:ascii="仿宋" w:hAnsi="仿宋" w:eastAsia="仿宋" w:cs="仿宋"/>
                <w:bCs/>
                <w:spacing w:val="-1"/>
                <w:sz w:val="24"/>
                <w:szCs w:val="24"/>
                <w:highlight w:val="none"/>
                <w:lang w:eastAsia="zh-CN"/>
              </w:rPr>
              <w:t>方案表述条理清晰,内容全面完整，方案制定完全符合项目实际</w:t>
            </w:r>
            <w:r>
              <w:rPr>
                <w:rFonts w:hint="eastAsia" w:ascii="仿宋" w:hAnsi="仿宋" w:eastAsia="仿宋" w:cs="仿宋"/>
                <w:bCs/>
                <w:spacing w:val="-3"/>
                <w:sz w:val="24"/>
                <w:szCs w:val="24"/>
                <w:highlight w:val="none"/>
                <w:lang w:eastAsia="zh-CN"/>
              </w:rPr>
              <w:t>需求，编制科学合理，可操作性强，得</w:t>
            </w:r>
            <w:r>
              <w:rPr>
                <w:rFonts w:hint="eastAsia" w:ascii="仿宋" w:hAnsi="仿宋" w:eastAsia="仿宋" w:cs="仿宋"/>
                <w:bCs/>
                <w:spacing w:val="-30"/>
                <w:sz w:val="24"/>
                <w:szCs w:val="24"/>
                <w:highlight w:val="none"/>
                <w:lang w:eastAsia="zh-CN"/>
              </w:rPr>
              <w:t>3</w:t>
            </w:r>
            <w:r>
              <w:rPr>
                <w:rFonts w:hint="eastAsia" w:ascii="仿宋" w:hAnsi="仿宋" w:eastAsia="仿宋" w:cs="仿宋"/>
                <w:bCs/>
                <w:spacing w:val="-3"/>
                <w:sz w:val="24"/>
                <w:szCs w:val="24"/>
                <w:highlight w:val="none"/>
                <w:lang w:eastAsia="zh-CN"/>
              </w:rPr>
              <w:t>分；</w:t>
            </w:r>
            <w:r>
              <w:rPr>
                <w:rFonts w:hint="eastAsia" w:ascii="仿宋" w:hAnsi="仿宋" w:eastAsia="仿宋" w:cs="仿宋"/>
                <w:bCs/>
                <w:spacing w:val="-4"/>
                <w:sz w:val="24"/>
                <w:szCs w:val="24"/>
                <w:highlight w:val="none"/>
                <w:lang w:eastAsia="zh-CN"/>
              </w:rPr>
              <w:t>方案表述条理清晰，但内容不够完整或不能全面满足项目实际需</w:t>
            </w:r>
            <w:r>
              <w:rPr>
                <w:rFonts w:hint="eastAsia" w:ascii="仿宋" w:hAnsi="仿宋" w:eastAsia="仿宋" w:cs="仿宋"/>
                <w:bCs/>
                <w:spacing w:val="-2"/>
                <w:sz w:val="24"/>
                <w:szCs w:val="24"/>
                <w:highlight w:val="none"/>
                <w:lang w:eastAsia="zh-CN"/>
              </w:rPr>
              <w:t>求或方案制定有不科学或不合理处，得</w:t>
            </w:r>
            <w:r>
              <w:rPr>
                <w:rFonts w:hint="eastAsia" w:ascii="仿宋" w:hAnsi="仿宋" w:eastAsia="仿宋" w:cs="仿宋"/>
                <w:bCs/>
                <w:spacing w:val="-41"/>
                <w:sz w:val="24"/>
                <w:szCs w:val="24"/>
                <w:highlight w:val="none"/>
                <w:lang w:eastAsia="zh-CN"/>
              </w:rPr>
              <w:t xml:space="preserve"> </w:t>
            </w:r>
            <w:r>
              <w:rPr>
                <w:rFonts w:hint="eastAsia" w:ascii="仿宋" w:hAnsi="仿宋" w:eastAsia="仿宋" w:cs="仿宋"/>
                <w:bCs/>
                <w:spacing w:val="-2"/>
                <w:sz w:val="24"/>
                <w:szCs w:val="24"/>
                <w:highlight w:val="none"/>
                <w:lang w:eastAsia="zh-CN"/>
              </w:rPr>
              <w:t>2分；</w:t>
            </w:r>
          </w:p>
          <w:p w14:paraId="12CA2984">
            <w:pPr>
              <w:rPr>
                <w:rFonts w:hint="eastAsia" w:ascii="仿宋" w:hAnsi="仿宋" w:eastAsia="仿宋" w:cs="仿宋"/>
                <w:bCs/>
                <w:spacing w:val="-2"/>
                <w:sz w:val="24"/>
                <w:szCs w:val="24"/>
                <w:highlight w:val="none"/>
                <w:lang w:eastAsia="zh-CN"/>
              </w:rPr>
            </w:pPr>
            <w:r>
              <w:rPr>
                <w:rFonts w:hint="eastAsia" w:ascii="仿宋" w:hAnsi="仿宋" w:eastAsia="仿宋" w:cs="仿宋"/>
                <w:bCs/>
                <w:spacing w:val="-8"/>
                <w:sz w:val="24"/>
                <w:szCs w:val="24"/>
                <w:highlight w:val="none"/>
              </w:rPr>
              <w:t>未提供相应方案得</w:t>
            </w:r>
            <w:r>
              <w:rPr>
                <w:rFonts w:hint="eastAsia" w:ascii="仿宋" w:hAnsi="仿宋" w:eastAsia="仿宋" w:cs="仿宋"/>
                <w:bCs/>
                <w:spacing w:val="-71"/>
                <w:sz w:val="24"/>
                <w:szCs w:val="24"/>
                <w:highlight w:val="none"/>
              </w:rPr>
              <w:t xml:space="preserve"> </w:t>
            </w:r>
            <w:r>
              <w:rPr>
                <w:rFonts w:hint="eastAsia" w:ascii="仿宋" w:hAnsi="仿宋" w:eastAsia="仿宋" w:cs="仿宋"/>
                <w:bCs/>
                <w:spacing w:val="-8"/>
                <w:sz w:val="24"/>
                <w:szCs w:val="24"/>
                <w:highlight w:val="none"/>
              </w:rPr>
              <w:t>0</w:t>
            </w:r>
            <w:r>
              <w:rPr>
                <w:rFonts w:hint="eastAsia" w:ascii="仿宋" w:hAnsi="仿宋" w:eastAsia="仿宋" w:cs="仿宋"/>
                <w:bCs/>
                <w:spacing w:val="-67"/>
                <w:sz w:val="24"/>
                <w:szCs w:val="24"/>
                <w:highlight w:val="none"/>
              </w:rPr>
              <w:t xml:space="preserve"> </w:t>
            </w:r>
            <w:r>
              <w:rPr>
                <w:rFonts w:hint="eastAsia" w:ascii="仿宋" w:hAnsi="仿宋" w:eastAsia="仿宋" w:cs="仿宋"/>
                <w:bCs/>
                <w:spacing w:val="-9"/>
                <w:sz w:val="24"/>
                <w:szCs w:val="24"/>
                <w:highlight w:val="none"/>
              </w:rPr>
              <w:t>分。</w:t>
            </w:r>
            <w:bookmarkEnd w:id="17"/>
          </w:p>
        </w:tc>
        <w:tc>
          <w:tcPr>
            <w:tcW w:w="425" w:type="pct"/>
            <w:noWrap/>
            <w:vAlign w:val="center"/>
          </w:tcPr>
          <w:p w14:paraId="528B6E76">
            <w:pPr>
              <w:widowControl/>
              <w:spacing w:line="360" w:lineRule="exact"/>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10</w:t>
            </w:r>
          </w:p>
        </w:tc>
      </w:tr>
      <w:tr w14:paraId="5E7B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340" w:type="pct"/>
            <w:vMerge w:val="continue"/>
            <w:noWrap w:val="0"/>
            <w:vAlign w:val="center"/>
          </w:tcPr>
          <w:p w14:paraId="189DA36F">
            <w:pPr>
              <w:widowControl/>
              <w:spacing w:line="360" w:lineRule="exact"/>
              <w:jc w:val="left"/>
              <w:rPr>
                <w:rFonts w:hint="eastAsia" w:ascii="仿宋" w:hAnsi="仿宋" w:eastAsia="仿宋" w:cs="仿宋"/>
                <w:bCs/>
                <w:spacing w:val="-4"/>
                <w:sz w:val="24"/>
                <w:szCs w:val="24"/>
                <w:highlight w:val="none"/>
              </w:rPr>
            </w:pPr>
          </w:p>
        </w:tc>
        <w:tc>
          <w:tcPr>
            <w:tcW w:w="421" w:type="pct"/>
            <w:noWrap w:val="0"/>
            <w:vAlign w:val="center"/>
          </w:tcPr>
          <w:p w14:paraId="1C9B320D">
            <w:pPr>
              <w:widowControl/>
              <w:spacing w:line="360" w:lineRule="exact"/>
              <w:jc w:val="left"/>
              <w:rPr>
                <w:rFonts w:hint="eastAsia" w:ascii="仿宋" w:hAnsi="仿宋" w:eastAsia="仿宋" w:cs="仿宋"/>
                <w:bCs/>
                <w:kern w:val="0"/>
                <w:sz w:val="24"/>
                <w:szCs w:val="24"/>
                <w:highlight w:val="none"/>
              </w:rPr>
            </w:pPr>
            <w:bookmarkStart w:id="18" w:name="OLE_LINK22"/>
            <w:r>
              <w:rPr>
                <w:rFonts w:hint="eastAsia" w:ascii="仿宋" w:hAnsi="仿宋" w:eastAsia="仿宋" w:cs="仿宋"/>
                <w:bCs/>
                <w:spacing w:val="-4"/>
                <w:sz w:val="24"/>
                <w:szCs w:val="24"/>
                <w:highlight w:val="none"/>
              </w:rPr>
              <w:t>质量保证措施及应急保障方案</w:t>
            </w:r>
            <w:bookmarkEnd w:id="18"/>
            <w:r>
              <w:rPr>
                <w:rFonts w:hint="eastAsia" w:ascii="仿宋" w:hAnsi="仿宋" w:eastAsia="仿宋" w:cs="仿宋"/>
                <w:bCs/>
                <w:spacing w:val="-4"/>
                <w:sz w:val="24"/>
                <w:szCs w:val="24"/>
                <w:highlight w:val="none"/>
              </w:rPr>
              <w:t>（5分）</w:t>
            </w:r>
          </w:p>
        </w:tc>
        <w:tc>
          <w:tcPr>
            <w:tcW w:w="3811" w:type="pct"/>
            <w:noWrap w:val="0"/>
            <w:vAlign w:val="top"/>
          </w:tcPr>
          <w:p w14:paraId="08FBC76A">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spacing w:val="-4"/>
                <w:sz w:val="24"/>
                <w:szCs w:val="24"/>
                <w:highlight w:val="none"/>
              </w:rPr>
              <w:t>根据投标人提供的质量保证措施及应急保障方案进行评审：须包</w:t>
            </w:r>
            <w:r>
              <w:rPr>
                <w:rFonts w:hint="eastAsia" w:ascii="仿宋" w:hAnsi="仿宋" w:eastAsia="仿宋" w:cs="仿宋"/>
                <w:bCs/>
                <w:spacing w:val="-3"/>
                <w:sz w:val="24"/>
                <w:szCs w:val="24"/>
                <w:highlight w:val="none"/>
              </w:rPr>
              <w:t>含施工、软件、硬件等（且须搭配厂家内容</w:t>
            </w:r>
            <w:r>
              <w:rPr>
                <w:rFonts w:hint="eastAsia" w:ascii="仿宋" w:hAnsi="仿宋" w:eastAsia="仿宋" w:cs="仿宋"/>
                <w:bCs/>
                <w:spacing w:val="-10"/>
                <w:sz w:val="24"/>
                <w:szCs w:val="24"/>
                <w:highlight w:val="none"/>
              </w:rPr>
              <w:t>），</w:t>
            </w:r>
            <w:r>
              <w:rPr>
                <w:rFonts w:hint="eastAsia" w:ascii="仿宋" w:hAnsi="仿宋" w:eastAsia="仿宋" w:cs="仿宋"/>
                <w:bCs/>
                <w:spacing w:val="-3"/>
                <w:sz w:val="24"/>
                <w:szCs w:val="24"/>
                <w:highlight w:val="none"/>
              </w:rPr>
              <w:t>要求：方案描述</w:t>
            </w:r>
            <w:r>
              <w:rPr>
                <w:rFonts w:hint="eastAsia" w:ascii="仿宋" w:hAnsi="仿宋" w:eastAsia="仿宋" w:cs="仿宋"/>
                <w:bCs/>
                <w:spacing w:val="-1"/>
                <w:sz w:val="24"/>
                <w:szCs w:val="24"/>
                <w:highlight w:val="none"/>
              </w:rPr>
              <w:t>详细，具有针对性和可行性，计划节点合理.完全满足上述要求</w:t>
            </w:r>
            <w:r>
              <w:rPr>
                <w:rFonts w:hint="eastAsia" w:ascii="仿宋" w:hAnsi="仿宋" w:eastAsia="仿宋" w:cs="仿宋"/>
                <w:bCs/>
                <w:spacing w:val="-5"/>
                <w:sz w:val="24"/>
                <w:szCs w:val="24"/>
                <w:highlight w:val="none"/>
              </w:rPr>
              <w:t>的得</w:t>
            </w:r>
            <w:r>
              <w:rPr>
                <w:rFonts w:hint="eastAsia" w:ascii="仿宋" w:hAnsi="仿宋" w:eastAsia="仿宋" w:cs="仿宋"/>
                <w:bCs/>
                <w:spacing w:val="-42"/>
                <w:sz w:val="24"/>
                <w:szCs w:val="24"/>
                <w:highlight w:val="none"/>
              </w:rPr>
              <w:t xml:space="preserve"> 5</w:t>
            </w:r>
            <w:r>
              <w:rPr>
                <w:rFonts w:hint="eastAsia" w:ascii="仿宋" w:hAnsi="仿宋" w:eastAsia="仿宋" w:cs="仿宋"/>
                <w:bCs/>
                <w:spacing w:val="-5"/>
                <w:sz w:val="24"/>
                <w:szCs w:val="24"/>
                <w:highlight w:val="none"/>
              </w:rPr>
              <w:t>分；上述内容描述一般的得</w:t>
            </w:r>
            <w:r>
              <w:rPr>
                <w:rFonts w:hint="eastAsia" w:ascii="仿宋" w:hAnsi="仿宋" w:eastAsia="仿宋" w:cs="仿宋"/>
                <w:bCs/>
                <w:spacing w:val="-48"/>
                <w:sz w:val="24"/>
                <w:szCs w:val="24"/>
                <w:highlight w:val="none"/>
              </w:rPr>
              <w:t xml:space="preserve"> 3</w:t>
            </w:r>
            <w:r>
              <w:rPr>
                <w:rFonts w:hint="eastAsia" w:ascii="仿宋" w:hAnsi="仿宋" w:eastAsia="仿宋" w:cs="仿宋"/>
                <w:bCs/>
                <w:spacing w:val="-5"/>
                <w:sz w:val="24"/>
                <w:szCs w:val="24"/>
                <w:highlight w:val="none"/>
              </w:rPr>
              <w:t>分；上述内容缺失描述</w:t>
            </w:r>
            <w:r>
              <w:rPr>
                <w:rFonts w:hint="eastAsia" w:ascii="仿宋" w:hAnsi="仿宋" w:eastAsia="仿宋" w:cs="仿宋"/>
                <w:bCs/>
                <w:sz w:val="24"/>
                <w:szCs w:val="24"/>
                <w:highlight w:val="none"/>
              </w:rPr>
              <w:t xml:space="preserve"> </w:t>
            </w:r>
            <w:r>
              <w:rPr>
                <w:rFonts w:hint="eastAsia" w:ascii="仿宋" w:hAnsi="仿宋" w:eastAsia="仿宋" w:cs="仿宋"/>
                <w:bCs/>
                <w:spacing w:val="-8"/>
                <w:sz w:val="24"/>
                <w:szCs w:val="24"/>
                <w:highlight w:val="none"/>
              </w:rPr>
              <w:t>不合理的得</w:t>
            </w:r>
            <w:r>
              <w:rPr>
                <w:rFonts w:hint="eastAsia" w:ascii="仿宋" w:hAnsi="仿宋" w:eastAsia="仿宋" w:cs="仿宋"/>
                <w:bCs/>
                <w:spacing w:val="-54"/>
                <w:sz w:val="24"/>
                <w:szCs w:val="24"/>
                <w:highlight w:val="none"/>
              </w:rPr>
              <w:t xml:space="preserve"> </w:t>
            </w:r>
            <w:r>
              <w:rPr>
                <w:rFonts w:hint="eastAsia" w:ascii="仿宋" w:hAnsi="仿宋" w:eastAsia="仿宋" w:cs="仿宋"/>
                <w:bCs/>
                <w:spacing w:val="-8"/>
                <w:sz w:val="24"/>
                <w:szCs w:val="24"/>
                <w:highlight w:val="none"/>
              </w:rPr>
              <w:t>1</w:t>
            </w:r>
            <w:r>
              <w:rPr>
                <w:rFonts w:hint="eastAsia" w:ascii="仿宋" w:hAnsi="仿宋" w:eastAsia="仿宋" w:cs="仿宋"/>
                <w:bCs/>
                <w:spacing w:val="-69"/>
                <w:sz w:val="24"/>
                <w:szCs w:val="24"/>
                <w:highlight w:val="none"/>
              </w:rPr>
              <w:t xml:space="preserve"> </w:t>
            </w:r>
            <w:r>
              <w:rPr>
                <w:rFonts w:hint="eastAsia" w:ascii="仿宋" w:hAnsi="仿宋" w:eastAsia="仿宋" w:cs="仿宋"/>
                <w:bCs/>
                <w:spacing w:val="-8"/>
                <w:sz w:val="24"/>
                <w:szCs w:val="24"/>
                <w:highlight w:val="none"/>
              </w:rPr>
              <w:t>分，未提供质量保证措施及应急保障方案的得</w:t>
            </w:r>
            <w:r>
              <w:rPr>
                <w:rFonts w:hint="eastAsia" w:ascii="仿宋" w:hAnsi="仿宋" w:eastAsia="仿宋" w:cs="仿宋"/>
                <w:bCs/>
                <w:spacing w:val="-71"/>
                <w:sz w:val="24"/>
                <w:szCs w:val="24"/>
                <w:highlight w:val="none"/>
              </w:rPr>
              <w:t xml:space="preserve"> </w:t>
            </w:r>
            <w:r>
              <w:rPr>
                <w:rFonts w:hint="eastAsia" w:ascii="仿宋" w:hAnsi="仿宋" w:eastAsia="仿宋" w:cs="仿宋"/>
                <w:bCs/>
                <w:spacing w:val="-8"/>
                <w:sz w:val="24"/>
                <w:szCs w:val="24"/>
                <w:highlight w:val="none"/>
              </w:rPr>
              <w:t>0</w:t>
            </w:r>
            <w:r>
              <w:rPr>
                <w:rFonts w:hint="eastAsia" w:ascii="仿宋" w:hAnsi="仿宋" w:eastAsia="仿宋" w:cs="仿宋"/>
                <w:bCs/>
                <w:spacing w:val="-67"/>
                <w:sz w:val="24"/>
                <w:szCs w:val="24"/>
                <w:highlight w:val="none"/>
              </w:rPr>
              <w:t xml:space="preserve"> </w:t>
            </w:r>
            <w:r>
              <w:rPr>
                <w:rFonts w:hint="eastAsia" w:ascii="仿宋" w:hAnsi="仿宋" w:eastAsia="仿宋" w:cs="仿宋"/>
                <w:bCs/>
                <w:spacing w:val="-9"/>
                <w:sz w:val="24"/>
                <w:szCs w:val="24"/>
                <w:highlight w:val="none"/>
              </w:rPr>
              <w:t>分。</w:t>
            </w:r>
          </w:p>
        </w:tc>
        <w:tc>
          <w:tcPr>
            <w:tcW w:w="425" w:type="pct"/>
            <w:noWrap/>
            <w:vAlign w:val="center"/>
          </w:tcPr>
          <w:p w14:paraId="3395AAF6">
            <w:pPr>
              <w:widowControl/>
              <w:spacing w:line="360" w:lineRule="exact"/>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5</w:t>
            </w:r>
          </w:p>
        </w:tc>
      </w:tr>
      <w:tr w14:paraId="22E0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40" w:type="pct"/>
            <w:vMerge w:val="continue"/>
            <w:noWrap w:val="0"/>
            <w:vAlign w:val="center"/>
          </w:tcPr>
          <w:p w14:paraId="7311FC7B">
            <w:pPr>
              <w:widowControl/>
              <w:spacing w:line="360" w:lineRule="exact"/>
              <w:jc w:val="left"/>
              <w:rPr>
                <w:rFonts w:hint="eastAsia" w:ascii="仿宋" w:hAnsi="仿宋" w:eastAsia="仿宋" w:cs="仿宋"/>
                <w:bCs/>
                <w:kern w:val="0"/>
                <w:sz w:val="24"/>
                <w:szCs w:val="24"/>
                <w:highlight w:val="none"/>
              </w:rPr>
            </w:pPr>
          </w:p>
        </w:tc>
        <w:tc>
          <w:tcPr>
            <w:tcW w:w="421" w:type="pct"/>
            <w:noWrap w:val="0"/>
            <w:vAlign w:val="center"/>
          </w:tcPr>
          <w:p w14:paraId="2915E8F8">
            <w:pPr>
              <w:widowControl/>
              <w:spacing w:line="360" w:lineRule="exact"/>
              <w:jc w:val="left"/>
              <w:rPr>
                <w:rFonts w:hint="eastAsia" w:ascii="仿宋" w:hAnsi="仿宋" w:eastAsia="仿宋" w:cs="仿宋"/>
                <w:bCs/>
                <w:kern w:val="0"/>
                <w:sz w:val="24"/>
                <w:szCs w:val="24"/>
                <w:highlight w:val="none"/>
              </w:rPr>
            </w:pPr>
          </w:p>
          <w:p w14:paraId="720B1C38">
            <w:pPr>
              <w:rPr>
                <w:highlight w:val="none"/>
              </w:rPr>
            </w:pPr>
            <w:r>
              <w:rPr>
                <w:rFonts w:hint="eastAsia" w:ascii="仿宋" w:hAnsi="仿宋" w:eastAsia="仿宋" w:cs="仿宋"/>
                <w:bCs/>
                <w:kern w:val="0"/>
                <w:sz w:val="24"/>
                <w:szCs w:val="24"/>
                <w:highlight w:val="none"/>
              </w:rPr>
              <w:t>培训</w:t>
            </w:r>
          </w:p>
          <w:p w14:paraId="3A6E6E19">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方案（3分）</w:t>
            </w:r>
          </w:p>
        </w:tc>
        <w:tc>
          <w:tcPr>
            <w:tcW w:w="3811" w:type="pct"/>
            <w:noWrap w:val="0"/>
            <w:vAlign w:val="top"/>
          </w:tcPr>
          <w:p w14:paraId="78A3FD99">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有合理的培训计划，明确给出培训目标、内容、时长、地点等，培训计划内容编写详尽且事宜本项目得3分；有较合理的培训计划，未明确给出培训目标、内容、时长、地点等，培训计划内容编写都符合本项目相关要求得1分；不提供不得分。</w:t>
            </w:r>
          </w:p>
        </w:tc>
        <w:tc>
          <w:tcPr>
            <w:tcW w:w="425" w:type="pct"/>
            <w:noWrap/>
            <w:vAlign w:val="center"/>
          </w:tcPr>
          <w:p w14:paraId="4081C3C2">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w:t>
            </w:r>
          </w:p>
        </w:tc>
      </w:tr>
      <w:tr w14:paraId="696C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40" w:type="pct"/>
            <w:vMerge w:val="continue"/>
            <w:noWrap w:val="0"/>
            <w:vAlign w:val="center"/>
          </w:tcPr>
          <w:p w14:paraId="754FCE77">
            <w:pPr>
              <w:widowControl/>
              <w:spacing w:line="360" w:lineRule="exact"/>
              <w:jc w:val="left"/>
              <w:rPr>
                <w:rFonts w:hint="eastAsia" w:ascii="仿宋" w:hAnsi="仿宋" w:eastAsia="仿宋" w:cs="仿宋"/>
                <w:bCs/>
                <w:kern w:val="0"/>
                <w:sz w:val="24"/>
                <w:szCs w:val="24"/>
                <w:highlight w:val="none"/>
              </w:rPr>
            </w:pPr>
          </w:p>
        </w:tc>
        <w:tc>
          <w:tcPr>
            <w:tcW w:w="421" w:type="pct"/>
            <w:noWrap w:val="0"/>
            <w:vAlign w:val="center"/>
          </w:tcPr>
          <w:p w14:paraId="639259AD">
            <w:pPr>
              <w:widowControl/>
              <w:spacing w:line="360" w:lineRule="exact"/>
              <w:jc w:val="left"/>
              <w:rPr>
                <w:rFonts w:hint="eastAsia" w:ascii="仿宋" w:hAnsi="仿宋" w:eastAsia="仿宋" w:cs="仿宋"/>
                <w:bCs/>
                <w:kern w:val="0"/>
                <w:sz w:val="24"/>
                <w:szCs w:val="24"/>
                <w:highlight w:val="none"/>
              </w:rPr>
            </w:pPr>
          </w:p>
          <w:p w14:paraId="3CD58F0D">
            <w:pPr>
              <w:widowControl/>
              <w:spacing w:line="360" w:lineRule="exact"/>
              <w:jc w:val="left"/>
              <w:rPr>
                <w:rFonts w:hint="eastAsia" w:ascii="仿宋" w:hAnsi="仿宋" w:eastAsia="仿宋" w:cs="仿宋"/>
                <w:bCs/>
                <w:kern w:val="0"/>
                <w:sz w:val="24"/>
                <w:szCs w:val="24"/>
                <w:highlight w:val="none"/>
              </w:rPr>
            </w:pPr>
          </w:p>
          <w:p w14:paraId="69E8BFB7">
            <w:pPr>
              <w:rPr>
                <w:highlight w:val="none"/>
              </w:rPr>
            </w:pPr>
            <w:r>
              <w:rPr>
                <w:rFonts w:hint="eastAsia" w:ascii="仿宋" w:hAnsi="仿宋" w:eastAsia="仿宋" w:cs="仿宋"/>
                <w:bCs/>
                <w:kern w:val="0"/>
                <w:sz w:val="24"/>
                <w:szCs w:val="24"/>
                <w:highlight w:val="none"/>
              </w:rPr>
              <w:t>售后</w:t>
            </w:r>
          </w:p>
          <w:p w14:paraId="06936CA2">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服务（3分）</w:t>
            </w:r>
          </w:p>
        </w:tc>
        <w:tc>
          <w:tcPr>
            <w:tcW w:w="3811" w:type="pct"/>
            <w:noWrap w:val="0"/>
            <w:vAlign w:val="top"/>
          </w:tcPr>
          <w:p w14:paraId="6309FF82">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投标人提供完善的售后服务方案，包含但不限于：（1）售后服务管理制度；（2）服务意识和态度；（3）售后人员分配；（4）应急预案；（5）维护响应时间及现场服务支持能力；（6）培训计划等。售后服务方案完全满足项目需求且进行详细说明的得1分，不完善或不提供的不得分；</w:t>
            </w:r>
          </w:p>
          <w:p w14:paraId="1FD0F9ED">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2、投标人承诺整个项目质保期3年，得1分，不提供不得分； </w:t>
            </w:r>
          </w:p>
          <w:p w14:paraId="0C1C2CD1">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3、在使用产品的过程中，发生故障等，投标人承诺立即响应，技术人员1小时内到达客户现场，3小时内处理故障，若因设备问题无法处理，自行携带备品备件替换，承诺满足得1分。</w:t>
            </w:r>
          </w:p>
        </w:tc>
        <w:tc>
          <w:tcPr>
            <w:tcW w:w="425" w:type="pct"/>
            <w:noWrap/>
            <w:vAlign w:val="center"/>
          </w:tcPr>
          <w:p w14:paraId="6421B08E">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w:t>
            </w:r>
          </w:p>
        </w:tc>
      </w:tr>
      <w:tr w14:paraId="53CF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40" w:type="pct"/>
            <w:vMerge w:val="continue"/>
            <w:noWrap w:val="0"/>
            <w:vAlign w:val="center"/>
          </w:tcPr>
          <w:p w14:paraId="273383BE">
            <w:pPr>
              <w:widowControl/>
              <w:spacing w:line="360" w:lineRule="exact"/>
              <w:jc w:val="left"/>
              <w:rPr>
                <w:rFonts w:hint="eastAsia" w:ascii="仿宋" w:hAnsi="仿宋" w:eastAsia="仿宋" w:cs="仿宋"/>
                <w:bCs/>
                <w:kern w:val="0"/>
                <w:sz w:val="24"/>
                <w:szCs w:val="24"/>
                <w:highlight w:val="none"/>
              </w:rPr>
            </w:pPr>
          </w:p>
        </w:tc>
        <w:tc>
          <w:tcPr>
            <w:tcW w:w="421" w:type="pct"/>
            <w:noWrap w:val="0"/>
            <w:vAlign w:val="center"/>
          </w:tcPr>
          <w:p w14:paraId="67FF2476">
            <w:pPr>
              <w:widowControl/>
              <w:spacing w:line="360" w:lineRule="exact"/>
              <w:jc w:val="left"/>
              <w:rPr>
                <w:rFonts w:hint="eastAsia" w:ascii="仿宋" w:hAnsi="仿宋" w:eastAsia="仿宋" w:cs="仿宋"/>
                <w:bCs/>
                <w:kern w:val="0"/>
                <w:sz w:val="24"/>
                <w:szCs w:val="24"/>
                <w:highlight w:val="none"/>
              </w:rPr>
            </w:pPr>
          </w:p>
          <w:p w14:paraId="24C2742F">
            <w:pPr>
              <w:rPr>
                <w:highlight w:val="none"/>
              </w:rPr>
            </w:pPr>
            <w:bookmarkStart w:id="19" w:name="OLE_LINK23"/>
            <w:r>
              <w:rPr>
                <w:rFonts w:hint="eastAsia" w:ascii="仿宋" w:hAnsi="仿宋" w:eastAsia="仿宋" w:cs="仿宋"/>
                <w:bCs/>
                <w:kern w:val="0"/>
                <w:sz w:val="24"/>
                <w:szCs w:val="24"/>
                <w:highlight w:val="none"/>
              </w:rPr>
              <w:t>参数</w:t>
            </w:r>
          </w:p>
          <w:p w14:paraId="5ED510DD">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响应</w:t>
            </w:r>
            <w:bookmarkEnd w:id="19"/>
            <w:r>
              <w:rPr>
                <w:rFonts w:hint="eastAsia" w:ascii="仿宋" w:hAnsi="仿宋" w:eastAsia="仿宋" w:cs="仿宋"/>
                <w:bCs/>
                <w:kern w:val="0"/>
                <w:sz w:val="24"/>
                <w:szCs w:val="24"/>
                <w:highlight w:val="none"/>
              </w:rPr>
              <w:t>（18分）</w:t>
            </w:r>
          </w:p>
        </w:tc>
        <w:tc>
          <w:tcPr>
            <w:tcW w:w="3811" w:type="pct"/>
            <w:noWrap w:val="0"/>
            <w:vAlign w:val="top"/>
          </w:tcPr>
          <w:p w14:paraId="268DA4E2">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1、所投货物的参数指标完全满足招标文件要求，得3分。</w:t>
            </w:r>
          </w:p>
          <w:p w14:paraId="472145FB">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2、所投货物主要性能指标（即为“</w:t>
            </w:r>
            <w:bookmarkStart w:id="20" w:name="OLE_LINK2"/>
            <w:r>
              <w:rPr>
                <w:rFonts w:hint="eastAsia" w:ascii="仿宋" w:hAnsi="仿宋" w:eastAsia="仿宋" w:cs="仿宋"/>
                <w:bCs/>
                <w:kern w:val="0"/>
                <w:sz w:val="24"/>
                <w:szCs w:val="24"/>
                <w:highlight w:val="none"/>
              </w:rPr>
              <w:t>★</w:t>
            </w:r>
            <w:bookmarkEnd w:id="20"/>
            <w:r>
              <w:rPr>
                <w:rFonts w:hint="eastAsia" w:ascii="仿宋" w:hAnsi="仿宋" w:eastAsia="仿宋" w:cs="仿宋"/>
                <w:bCs/>
                <w:kern w:val="0"/>
                <w:sz w:val="24"/>
                <w:szCs w:val="24"/>
                <w:highlight w:val="none"/>
              </w:rPr>
              <w:t>”项）每提供一项优于采购文件要求的并按采购文件要求能够提供相关证明材料得0.1分，最高得10分，不提供不得分。</w:t>
            </w:r>
          </w:p>
          <w:p w14:paraId="6B8BD1EF">
            <w:pPr>
              <w:widowControl/>
              <w:spacing w:line="360" w:lineRule="exact"/>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3、所投货物重要性能指标（即为“</w:t>
            </w:r>
            <w:bookmarkStart w:id="21" w:name="OLE_LINK3"/>
            <w:r>
              <w:rPr>
                <w:rFonts w:hint="eastAsia" w:ascii="仿宋" w:hAnsi="仿宋" w:eastAsia="仿宋" w:cs="仿宋"/>
                <w:bCs/>
                <w:kern w:val="0"/>
                <w:sz w:val="24"/>
                <w:szCs w:val="24"/>
                <w:highlight w:val="none"/>
              </w:rPr>
              <w:t>▲</w:t>
            </w:r>
            <w:bookmarkEnd w:id="21"/>
            <w:r>
              <w:rPr>
                <w:rFonts w:hint="eastAsia" w:ascii="仿宋" w:hAnsi="仿宋" w:eastAsia="仿宋" w:cs="仿宋"/>
                <w:bCs/>
                <w:kern w:val="0"/>
                <w:sz w:val="24"/>
                <w:szCs w:val="24"/>
                <w:highlight w:val="none"/>
              </w:rPr>
              <w:t>”项）按采购文件要求每提供一项能够提供相关证明材料的得分0.1分，最高得5分，不提供不得分。</w:t>
            </w:r>
          </w:p>
        </w:tc>
        <w:tc>
          <w:tcPr>
            <w:tcW w:w="425" w:type="pct"/>
            <w:noWrap/>
            <w:vAlign w:val="center"/>
          </w:tcPr>
          <w:p w14:paraId="7BF1C291">
            <w:pPr>
              <w:widowControl/>
              <w:spacing w:line="360" w:lineRule="exact"/>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18</w:t>
            </w:r>
          </w:p>
        </w:tc>
      </w:tr>
    </w:tbl>
    <w:p w14:paraId="416C536E">
      <w:pPr>
        <w:widowControl/>
        <w:numPr>
          <w:ilvl w:val="0"/>
          <w:numId w:val="0"/>
        </w:numPr>
        <w:tabs>
          <w:tab w:val="left" w:pos="567"/>
        </w:tabs>
        <w:autoSpaceDE w:val="0"/>
        <w:autoSpaceDN w:val="0"/>
        <w:jc w:val="center"/>
        <w:textAlignment w:val="bottom"/>
        <w:outlineLvl w:val="0"/>
        <w:rPr>
          <w:rFonts w:hint="eastAsia" w:ascii="方正小标宋简体" w:hAnsi="方正小标宋简体" w:eastAsia="方正小标宋简体" w:cs="方正小标宋简体"/>
          <w:b w:val="0"/>
          <w:bCs/>
          <w:color w:val="auto"/>
          <w:sz w:val="40"/>
          <w:szCs w:val="40"/>
          <w:highlight w:val="none"/>
          <w:lang w:eastAsia="zh-CN"/>
        </w:rPr>
      </w:pPr>
    </w:p>
    <w:p w14:paraId="157AD98C">
      <w:pPr>
        <w:widowControl/>
        <w:numPr>
          <w:ilvl w:val="0"/>
          <w:numId w:val="0"/>
        </w:numPr>
        <w:tabs>
          <w:tab w:val="left" w:pos="567"/>
        </w:tabs>
        <w:autoSpaceDE w:val="0"/>
        <w:autoSpaceDN w:val="0"/>
        <w:jc w:val="center"/>
        <w:textAlignment w:val="bottom"/>
        <w:outlineLvl w:val="0"/>
        <w:rPr>
          <w:rFonts w:hint="eastAsia" w:ascii="方正小标宋简体" w:hAnsi="方正小标宋简体" w:eastAsia="方正小标宋简体" w:cs="方正小标宋简体"/>
          <w:b w:val="0"/>
          <w:bCs/>
          <w:color w:val="auto"/>
          <w:sz w:val="40"/>
          <w:szCs w:val="40"/>
          <w:highlight w:val="none"/>
          <w:lang w:eastAsia="zh-CN"/>
        </w:rPr>
      </w:pPr>
    </w:p>
    <w:p w14:paraId="06580A03">
      <w:pPr>
        <w:pStyle w:val="13"/>
        <w:rPr>
          <w:rFonts w:hint="eastAsia" w:ascii="方正小标宋简体" w:hAnsi="方正小标宋简体" w:eastAsia="方正小标宋简体" w:cs="方正小标宋简体"/>
          <w:b w:val="0"/>
          <w:bCs/>
          <w:color w:val="auto"/>
          <w:sz w:val="40"/>
          <w:szCs w:val="40"/>
          <w:highlight w:val="none"/>
          <w:lang w:eastAsia="zh-CN"/>
        </w:rPr>
      </w:pPr>
    </w:p>
    <w:p w14:paraId="72815B59">
      <w:pPr>
        <w:pStyle w:val="13"/>
        <w:rPr>
          <w:rFonts w:hint="eastAsia" w:ascii="方正小标宋简体" w:hAnsi="方正小标宋简体" w:eastAsia="方正小标宋简体" w:cs="方正小标宋简体"/>
          <w:b w:val="0"/>
          <w:bCs/>
          <w:color w:val="auto"/>
          <w:sz w:val="40"/>
          <w:szCs w:val="40"/>
          <w:highlight w:val="none"/>
          <w:lang w:eastAsia="zh-CN"/>
        </w:rPr>
      </w:pPr>
    </w:p>
    <w:p w14:paraId="0ADF4947">
      <w:pPr>
        <w:widowControl/>
        <w:numPr>
          <w:ilvl w:val="0"/>
          <w:numId w:val="0"/>
        </w:numPr>
        <w:tabs>
          <w:tab w:val="left" w:pos="567"/>
        </w:tabs>
        <w:autoSpaceDE w:val="0"/>
        <w:autoSpaceDN w:val="0"/>
        <w:jc w:val="center"/>
        <w:textAlignment w:val="bottom"/>
        <w:outlineLvl w:val="0"/>
        <w:rPr>
          <w:rFonts w:hint="eastAsia" w:ascii="方正小标宋简体" w:hAnsi="方正小标宋简体" w:eastAsia="方正小标宋简体" w:cs="方正小标宋简体"/>
          <w:b w:val="0"/>
          <w:bCs/>
          <w:color w:val="auto"/>
          <w:sz w:val="40"/>
          <w:szCs w:val="40"/>
          <w:highlight w:val="none"/>
        </w:rPr>
      </w:pPr>
      <w:r>
        <w:rPr>
          <w:rFonts w:hint="eastAsia" w:ascii="方正小标宋简体" w:hAnsi="方正小标宋简体" w:eastAsia="方正小标宋简体" w:cs="方正小标宋简体"/>
          <w:b w:val="0"/>
          <w:bCs/>
          <w:color w:val="auto"/>
          <w:sz w:val="40"/>
          <w:szCs w:val="40"/>
          <w:highlight w:val="none"/>
          <w:lang w:eastAsia="zh-CN"/>
        </w:rPr>
        <w:t>第五部分</w:t>
      </w:r>
      <w:r>
        <w:rPr>
          <w:rFonts w:hint="eastAsia" w:ascii="方正小标宋简体" w:hAnsi="方正小标宋简体" w:eastAsia="方正小标宋简体" w:cs="方正小标宋简体"/>
          <w:b w:val="0"/>
          <w:bCs/>
          <w:color w:val="auto"/>
          <w:sz w:val="40"/>
          <w:szCs w:val="40"/>
          <w:highlight w:val="none"/>
        </w:rPr>
        <w:t xml:space="preserve">  </w:t>
      </w:r>
      <w:r>
        <w:rPr>
          <w:rFonts w:hint="eastAsia" w:ascii="方正小标宋简体" w:hAnsi="方正小标宋简体" w:eastAsia="方正小标宋简体" w:cs="方正小标宋简体"/>
          <w:b w:val="0"/>
          <w:bCs/>
          <w:color w:val="auto"/>
          <w:sz w:val="40"/>
          <w:szCs w:val="40"/>
          <w:highlight w:val="none"/>
          <w:lang w:eastAsia="zh-CN"/>
        </w:rPr>
        <w:t>商务部分</w:t>
      </w:r>
    </w:p>
    <w:p w14:paraId="2EBBFE8E">
      <w:pPr>
        <w:widowControl/>
        <w:tabs>
          <w:tab w:val="left" w:pos="567"/>
        </w:tabs>
        <w:autoSpaceDE w:val="0"/>
        <w:autoSpaceDN w:val="0"/>
        <w:jc w:val="center"/>
        <w:textAlignment w:val="bottom"/>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第一章</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合  同  条  款（</w:t>
      </w:r>
      <w:r>
        <w:rPr>
          <w:rFonts w:hint="eastAsia" w:ascii="仿宋" w:hAnsi="仿宋" w:eastAsia="仿宋" w:cs="仿宋"/>
          <w:b/>
          <w:bCs/>
          <w:color w:val="auto"/>
          <w:sz w:val="32"/>
          <w:szCs w:val="32"/>
          <w:highlight w:val="none"/>
          <w:lang w:eastAsia="zh-CN"/>
        </w:rPr>
        <w:t>模板，</w:t>
      </w:r>
      <w:r>
        <w:rPr>
          <w:rFonts w:hint="eastAsia" w:ascii="仿宋" w:hAnsi="仿宋" w:eastAsia="仿宋" w:cs="仿宋"/>
          <w:b/>
          <w:bCs/>
          <w:color w:val="auto"/>
          <w:sz w:val="32"/>
          <w:szCs w:val="32"/>
          <w:highlight w:val="none"/>
          <w:lang w:val="en-US" w:eastAsia="zh-CN"/>
        </w:rPr>
        <w:t>以实际签订为准</w:t>
      </w:r>
      <w:r>
        <w:rPr>
          <w:rFonts w:hint="eastAsia" w:ascii="仿宋" w:hAnsi="仿宋" w:eastAsia="仿宋" w:cs="仿宋"/>
          <w:b/>
          <w:bCs/>
          <w:color w:val="auto"/>
          <w:sz w:val="32"/>
          <w:szCs w:val="32"/>
          <w:highlight w:val="none"/>
        </w:rPr>
        <w:t>）</w:t>
      </w:r>
    </w:p>
    <w:p w14:paraId="50DC4DF1">
      <w:pPr>
        <w:pStyle w:val="22"/>
        <w:rPr>
          <w:rFonts w:hint="eastAsia" w:ascii="仿宋" w:hAnsi="仿宋" w:eastAsia="仿宋" w:cs="仿宋"/>
          <w:color w:val="auto"/>
          <w:sz w:val="28"/>
          <w:szCs w:val="28"/>
          <w:highlight w:val="none"/>
        </w:rPr>
      </w:pPr>
    </w:p>
    <w:p w14:paraId="1C63D3CD">
      <w:pPr>
        <w:spacing w:line="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  方：(买方／业主)</w:t>
      </w:r>
    </w:p>
    <w:p w14:paraId="3879B73E">
      <w:pPr>
        <w:spacing w:line="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方：（投标方）</w:t>
      </w:r>
    </w:p>
    <w:p w14:paraId="3F012EFF">
      <w:pPr>
        <w:spacing w:line="60" w:lineRule="auto"/>
        <w:ind w:firstLine="450" w:firstLineChars="1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根据《中华人民共和国合同法》</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w:t>
      </w:r>
    </w:p>
    <w:p w14:paraId="1C7A74F7">
      <w:pPr>
        <w:pStyle w:val="7"/>
        <w:spacing w:line="60" w:lineRule="auto"/>
        <w:rPr>
          <w:rFonts w:hint="eastAsia" w:ascii="仿宋" w:hAnsi="仿宋" w:eastAsia="仿宋" w:cs="仿宋"/>
          <w:color w:val="auto"/>
          <w:sz w:val="30"/>
          <w:szCs w:val="30"/>
          <w:highlight w:val="none"/>
        </w:rPr>
      </w:pPr>
      <w:r>
        <w:rPr>
          <w:rStyle w:val="46"/>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号 </w:t>
      </w:r>
      <w:r>
        <w:rPr>
          <w:rFonts w:hint="eastAsia" w:ascii="仿宋" w:hAnsi="仿宋" w:eastAsia="仿宋" w:cs="仿宋"/>
          <w:color w:val="auto"/>
          <w:sz w:val="30"/>
          <w:szCs w:val="30"/>
          <w:highlight w:val="none"/>
          <w:lang w:eastAsia="zh-CN"/>
        </w:rPr>
        <w:t>哈密市</w:t>
      </w:r>
      <w:r>
        <w:rPr>
          <w:rFonts w:hint="eastAsia" w:ascii="仿宋" w:hAnsi="仿宋" w:eastAsia="仿宋" w:cs="仿宋"/>
          <w:color w:val="auto"/>
          <w:sz w:val="30"/>
          <w:szCs w:val="30"/>
          <w:highlight w:val="none"/>
        </w:rPr>
        <w:t xml:space="preserve">       的招标结果和招标文件的要求，甲、乙双方经协商确定，甲方向乙方订购</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及其服务，为明确双方责任和权利，特签订本合同，共同遵守。具体条款如下：</w:t>
      </w:r>
    </w:p>
    <w:p w14:paraId="659FD8C4">
      <w:pPr>
        <w:numPr>
          <w:ilvl w:val="0"/>
          <w:numId w:val="0"/>
        </w:numPr>
        <w:spacing w:line="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合同标的</w:t>
      </w:r>
    </w:p>
    <w:p w14:paraId="147DB5BD">
      <w:pPr>
        <w:spacing w:line="60" w:lineRule="auto"/>
        <w:ind w:firstLine="536" w:firstLineChars="200"/>
        <w:rPr>
          <w:rFonts w:hint="eastAsia" w:ascii="仿宋" w:hAnsi="仿宋" w:eastAsia="仿宋" w:cs="仿宋"/>
          <w:color w:val="auto"/>
          <w:spacing w:val="-6"/>
          <w:kern w:val="2"/>
          <w:sz w:val="28"/>
          <w:szCs w:val="28"/>
          <w:highlight w:val="none"/>
          <w:lang w:val="en-US" w:eastAsia="zh-CN" w:bidi="ar-SA"/>
        </w:rPr>
      </w:pPr>
      <w:r>
        <w:rPr>
          <w:rFonts w:hint="eastAsia" w:ascii="仿宋" w:hAnsi="仿宋" w:eastAsia="仿宋" w:cs="仿宋"/>
          <w:color w:val="auto"/>
          <w:spacing w:val="-6"/>
          <w:kern w:val="2"/>
          <w:sz w:val="28"/>
          <w:szCs w:val="28"/>
          <w:highlight w:val="none"/>
          <w:lang w:val="en-US" w:eastAsia="zh-CN" w:bidi="ar-SA"/>
        </w:rPr>
        <w:t>乙方负责向甲方供应下表中所列系统及配套设备及负责安装调试。</w:t>
      </w:r>
    </w:p>
    <w:tbl>
      <w:tblPr>
        <w:tblStyle w:val="17"/>
        <w:tblpPr w:leftFromText="180" w:rightFromText="180" w:vertAnchor="text" w:horzAnchor="page" w:tblpX="1950" w:tblpY="252"/>
        <w:tblOverlap w:val="never"/>
        <w:tblW w:w="0" w:type="auto"/>
        <w:jc w:val="center"/>
        <w:tblLayout w:type="fixed"/>
        <w:tblCellMar>
          <w:top w:w="0" w:type="dxa"/>
          <w:left w:w="108" w:type="dxa"/>
          <w:bottom w:w="0" w:type="dxa"/>
          <w:right w:w="108" w:type="dxa"/>
        </w:tblCellMar>
      </w:tblPr>
      <w:tblGrid>
        <w:gridCol w:w="735"/>
        <w:gridCol w:w="1155"/>
        <w:gridCol w:w="840"/>
        <w:gridCol w:w="787"/>
        <w:gridCol w:w="788"/>
        <w:gridCol w:w="751"/>
        <w:gridCol w:w="1034"/>
        <w:gridCol w:w="735"/>
        <w:gridCol w:w="751"/>
        <w:gridCol w:w="824"/>
      </w:tblGrid>
      <w:tr w14:paraId="056018B5">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6" w:space="0"/>
              <w:right w:val="single" w:color="auto" w:sz="6" w:space="0"/>
            </w:tcBorders>
            <w:noWrap w:val="0"/>
            <w:vAlign w:val="center"/>
          </w:tcPr>
          <w:p w14:paraId="76816490">
            <w:pPr>
              <w:spacing w:line="60" w:lineRule="auto"/>
              <w:ind w:left="-2" w:firstLine="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品名</w:t>
            </w:r>
          </w:p>
        </w:tc>
        <w:tc>
          <w:tcPr>
            <w:tcW w:w="1155" w:type="dxa"/>
            <w:tcBorders>
              <w:top w:val="single" w:color="auto" w:sz="4" w:space="0"/>
              <w:left w:val="nil"/>
              <w:bottom w:val="single" w:color="auto" w:sz="6" w:space="0"/>
              <w:right w:val="single" w:color="auto" w:sz="6" w:space="0"/>
            </w:tcBorders>
            <w:noWrap w:val="0"/>
            <w:vAlign w:val="center"/>
          </w:tcPr>
          <w:p w14:paraId="5B66888A">
            <w:pPr>
              <w:spacing w:line="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规格型号</w:t>
            </w:r>
          </w:p>
          <w:p w14:paraId="336BC555">
            <w:pPr>
              <w:spacing w:line="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/版本号</w:t>
            </w:r>
          </w:p>
        </w:tc>
        <w:tc>
          <w:tcPr>
            <w:tcW w:w="840" w:type="dxa"/>
            <w:tcBorders>
              <w:top w:val="single" w:color="auto" w:sz="4" w:space="0"/>
              <w:left w:val="nil"/>
              <w:bottom w:val="single" w:color="auto" w:sz="6" w:space="0"/>
              <w:right w:val="single" w:color="auto" w:sz="6" w:space="0"/>
            </w:tcBorders>
            <w:noWrap w:val="0"/>
            <w:vAlign w:val="center"/>
          </w:tcPr>
          <w:p w14:paraId="6BE84522">
            <w:pPr>
              <w:spacing w:line="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产地厂家</w:t>
            </w:r>
          </w:p>
        </w:tc>
        <w:tc>
          <w:tcPr>
            <w:tcW w:w="787" w:type="dxa"/>
            <w:tcBorders>
              <w:top w:val="single" w:color="auto" w:sz="4" w:space="0"/>
              <w:left w:val="nil"/>
              <w:bottom w:val="single" w:color="auto" w:sz="6" w:space="0"/>
              <w:right w:val="single" w:color="auto" w:sz="6" w:space="0"/>
            </w:tcBorders>
            <w:noWrap w:val="0"/>
            <w:vAlign w:val="center"/>
          </w:tcPr>
          <w:p w14:paraId="1C19B13F">
            <w:pPr>
              <w:spacing w:line="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788" w:type="dxa"/>
            <w:tcBorders>
              <w:top w:val="single" w:color="auto" w:sz="4" w:space="0"/>
              <w:left w:val="nil"/>
              <w:bottom w:val="single" w:color="auto" w:sz="6" w:space="0"/>
              <w:right w:val="single" w:color="auto" w:sz="6" w:space="0"/>
            </w:tcBorders>
            <w:noWrap w:val="0"/>
            <w:vAlign w:val="center"/>
          </w:tcPr>
          <w:p w14:paraId="33A98B5C">
            <w:pPr>
              <w:spacing w:line="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751" w:type="dxa"/>
            <w:tcBorders>
              <w:top w:val="single" w:color="auto" w:sz="4" w:space="0"/>
              <w:left w:val="nil"/>
              <w:bottom w:val="single" w:color="auto" w:sz="6" w:space="0"/>
              <w:right w:val="single" w:color="auto" w:sz="6" w:space="0"/>
            </w:tcBorders>
            <w:noWrap w:val="0"/>
            <w:vAlign w:val="center"/>
          </w:tcPr>
          <w:p w14:paraId="47AD9603">
            <w:pPr>
              <w:spacing w:line="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w:t>
            </w:r>
          </w:p>
        </w:tc>
        <w:tc>
          <w:tcPr>
            <w:tcW w:w="1034" w:type="dxa"/>
            <w:tcBorders>
              <w:top w:val="single" w:color="auto" w:sz="4" w:space="0"/>
              <w:left w:val="nil"/>
              <w:bottom w:val="single" w:color="auto" w:sz="6" w:space="0"/>
              <w:right w:val="single" w:color="auto" w:sz="6" w:space="0"/>
            </w:tcBorders>
            <w:noWrap w:val="0"/>
            <w:vAlign w:val="center"/>
          </w:tcPr>
          <w:p w14:paraId="09EC6CF5">
            <w:pPr>
              <w:spacing w:line="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总价</w:t>
            </w:r>
          </w:p>
        </w:tc>
        <w:tc>
          <w:tcPr>
            <w:tcW w:w="735" w:type="dxa"/>
            <w:tcBorders>
              <w:top w:val="single" w:color="auto" w:sz="4" w:space="0"/>
              <w:left w:val="nil"/>
              <w:bottom w:val="single" w:color="auto" w:sz="6" w:space="0"/>
              <w:right w:val="single" w:color="auto" w:sz="6" w:space="0"/>
            </w:tcBorders>
            <w:noWrap w:val="0"/>
            <w:vAlign w:val="center"/>
          </w:tcPr>
          <w:p w14:paraId="31C3EB98">
            <w:pPr>
              <w:spacing w:line="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随机配件</w:t>
            </w:r>
          </w:p>
        </w:tc>
        <w:tc>
          <w:tcPr>
            <w:tcW w:w="751" w:type="dxa"/>
            <w:tcBorders>
              <w:top w:val="single" w:color="auto" w:sz="4" w:space="0"/>
              <w:left w:val="nil"/>
              <w:bottom w:val="single" w:color="auto" w:sz="6" w:space="0"/>
              <w:right w:val="single" w:color="auto" w:sz="6" w:space="0"/>
            </w:tcBorders>
            <w:noWrap w:val="0"/>
            <w:vAlign w:val="center"/>
          </w:tcPr>
          <w:p w14:paraId="0AB7AE96">
            <w:pPr>
              <w:spacing w:line="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交货地点</w:t>
            </w:r>
          </w:p>
        </w:tc>
        <w:tc>
          <w:tcPr>
            <w:tcW w:w="824" w:type="dxa"/>
            <w:tcBorders>
              <w:top w:val="single" w:color="auto" w:sz="4" w:space="0"/>
              <w:left w:val="nil"/>
              <w:bottom w:val="single" w:color="auto" w:sz="6" w:space="0"/>
              <w:right w:val="single" w:color="auto" w:sz="4" w:space="0"/>
            </w:tcBorders>
            <w:noWrap w:val="0"/>
            <w:vAlign w:val="center"/>
          </w:tcPr>
          <w:p w14:paraId="0568441D">
            <w:pPr>
              <w:spacing w:line="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交货时间</w:t>
            </w:r>
          </w:p>
        </w:tc>
      </w:tr>
      <w:tr w14:paraId="5AB0E0D3">
        <w:tblPrEx>
          <w:tblCellMar>
            <w:top w:w="0" w:type="dxa"/>
            <w:left w:w="108" w:type="dxa"/>
            <w:bottom w:w="0" w:type="dxa"/>
            <w:right w:w="108" w:type="dxa"/>
          </w:tblCellMar>
        </w:tblPrEx>
        <w:trPr>
          <w:trHeight w:val="514" w:hRule="atLeast"/>
          <w:jc w:val="center"/>
        </w:trPr>
        <w:tc>
          <w:tcPr>
            <w:tcW w:w="735" w:type="dxa"/>
            <w:tcBorders>
              <w:top w:val="single" w:color="auto" w:sz="6" w:space="0"/>
              <w:left w:val="single" w:color="auto" w:sz="4" w:space="0"/>
              <w:bottom w:val="single" w:color="auto" w:sz="6" w:space="0"/>
              <w:right w:val="single" w:color="auto" w:sz="6" w:space="0"/>
            </w:tcBorders>
            <w:noWrap w:val="0"/>
            <w:vAlign w:val="top"/>
          </w:tcPr>
          <w:p w14:paraId="1CE3B486">
            <w:pPr>
              <w:spacing w:line="60" w:lineRule="auto"/>
              <w:rPr>
                <w:rFonts w:hint="eastAsia" w:ascii="仿宋" w:hAnsi="仿宋" w:eastAsia="仿宋" w:cs="仿宋"/>
                <w:color w:val="auto"/>
                <w:sz w:val="24"/>
                <w:szCs w:val="24"/>
                <w:highlight w:val="none"/>
              </w:rPr>
            </w:pPr>
          </w:p>
        </w:tc>
        <w:tc>
          <w:tcPr>
            <w:tcW w:w="1155" w:type="dxa"/>
            <w:tcBorders>
              <w:top w:val="single" w:color="auto" w:sz="6" w:space="0"/>
              <w:left w:val="nil"/>
              <w:bottom w:val="single" w:color="auto" w:sz="6" w:space="0"/>
              <w:right w:val="single" w:color="auto" w:sz="6" w:space="0"/>
            </w:tcBorders>
            <w:noWrap w:val="0"/>
            <w:vAlign w:val="top"/>
          </w:tcPr>
          <w:p w14:paraId="17E169B0">
            <w:pPr>
              <w:spacing w:line="60" w:lineRule="auto"/>
              <w:rPr>
                <w:rFonts w:hint="eastAsia" w:ascii="仿宋" w:hAnsi="仿宋" w:eastAsia="仿宋" w:cs="仿宋"/>
                <w:color w:val="auto"/>
                <w:sz w:val="24"/>
                <w:szCs w:val="24"/>
                <w:highlight w:val="none"/>
              </w:rPr>
            </w:pPr>
          </w:p>
        </w:tc>
        <w:tc>
          <w:tcPr>
            <w:tcW w:w="840" w:type="dxa"/>
            <w:tcBorders>
              <w:top w:val="single" w:color="auto" w:sz="6" w:space="0"/>
              <w:left w:val="nil"/>
              <w:bottom w:val="single" w:color="auto" w:sz="6" w:space="0"/>
              <w:right w:val="single" w:color="auto" w:sz="6" w:space="0"/>
            </w:tcBorders>
            <w:noWrap w:val="0"/>
            <w:vAlign w:val="top"/>
          </w:tcPr>
          <w:p w14:paraId="6C489333">
            <w:pPr>
              <w:spacing w:line="60" w:lineRule="auto"/>
              <w:rPr>
                <w:rFonts w:hint="eastAsia" w:ascii="仿宋" w:hAnsi="仿宋" w:eastAsia="仿宋" w:cs="仿宋"/>
                <w:color w:val="auto"/>
                <w:sz w:val="24"/>
                <w:szCs w:val="24"/>
                <w:highlight w:val="none"/>
              </w:rPr>
            </w:pPr>
          </w:p>
        </w:tc>
        <w:tc>
          <w:tcPr>
            <w:tcW w:w="787" w:type="dxa"/>
            <w:tcBorders>
              <w:top w:val="single" w:color="auto" w:sz="6" w:space="0"/>
              <w:left w:val="nil"/>
              <w:bottom w:val="single" w:color="auto" w:sz="6" w:space="0"/>
              <w:right w:val="single" w:color="auto" w:sz="6" w:space="0"/>
            </w:tcBorders>
            <w:noWrap w:val="0"/>
            <w:vAlign w:val="top"/>
          </w:tcPr>
          <w:p w14:paraId="1264CC73">
            <w:pPr>
              <w:spacing w:line="60" w:lineRule="auto"/>
              <w:rPr>
                <w:rFonts w:hint="eastAsia" w:ascii="仿宋" w:hAnsi="仿宋" w:eastAsia="仿宋" w:cs="仿宋"/>
                <w:color w:val="auto"/>
                <w:sz w:val="24"/>
                <w:szCs w:val="24"/>
                <w:highlight w:val="none"/>
              </w:rPr>
            </w:pPr>
          </w:p>
        </w:tc>
        <w:tc>
          <w:tcPr>
            <w:tcW w:w="788" w:type="dxa"/>
            <w:tcBorders>
              <w:top w:val="single" w:color="auto" w:sz="6" w:space="0"/>
              <w:left w:val="nil"/>
              <w:bottom w:val="single" w:color="auto" w:sz="6" w:space="0"/>
              <w:right w:val="single" w:color="auto" w:sz="6" w:space="0"/>
            </w:tcBorders>
            <w:noWrap w:val="0"/>
            <w:vAlign w:val="top"/>
          </w:tcPr>
          <w:p w14:paraId="0F7BAD76">
            <w:pPr>
              <w:spacing w:line="60" w:lineRule="auto"/>
              <w:rPr>
                <w:rFonts w:hint="eastAsia" w:ascii="仿宋" w:hAnsi="仿宋" w:eastAsia="仿宋" w:cs="仿宋"/>
                <w:color w:val="auto"/>
                <w:sz w:val="24"/>
                <w:szCs w:val="24"/>
                <w:highlight w:val="none"/>
              </w:rPr>
            </w:pPr>
          </w:p>
        </w:tc>
        <w:tc>
          <w:tcPr>
            <w:tcW w:w="751" w:type="dxa"/>
            <w:tcBorders>
              <w:top w:val="single" w:color="auto" w:sz="6" w:space="0"/>
              <w:left w:val="nil"/>
              <w:bottom w:val="single" w:color="auto" w:sz="6" w:space="0"/>
              <w:right w:val="single" w:color="auto" w:sz="6" w:space="0"/>
            </w:tcBorders>
            <w:noWrap w:val="0"/>
            <w:vAlign w:val="top"/>
          </w:tcPr>
          <w:p w14:paraId="06B28135">
            <w:pPr>
              <w:spacing w:line="60" w:lineRule="auto"/>
              <w:rPr>
                <w:rFonts w:hint="eastAsia" w:ascii="仿宋" w:hAnsi="仿宋" w:eastAsia="仿宋" w:cs="仿宋"/>
                <w:color w:val="auto"/>
                <w:sz w:val="24"/>
                <w:szCs w:val="24"/>
                <w:highlight w:val="none"/>
              </w:rPr>
            </w:pPr>
          </w:p>
        </w:tc>
        <w:tc>
          <w:tcPr>
            <w:tcW w:w="1034" w:type="dxa"/>
            <w:tcBorders>
              <w:top w:val="single" w:color="auto" w:sz="6" w:space="0"/>
              <w:left w:val="nil"/>
              <w:bottom w:val="single" w:color="auto" w:sz="6" w:space="0"/>
              <w:right w:val="single" w:color="auto" w:sz="6" w:space="0"/>
            </w:tcBorders>
            <w:noWrap w:val="0"/>
            <w:vAlign w:val="top"/>
          </w:tcPr>
          <w:p w14:paraId="5FEFCCBB">
            <w:pPr>
              <w:spacing w:line="60" w:lineRule="auto"/>
              <w:rPr>
                <w:rFonts w:hint="eastAsia" w:ascii="仿宋" w:hAnsi="仿宋" w:eastAsia="仿宋" w:cs="仿宋"/>
                <w:color w:val="auto"/>
                <w:sz w:val="24"/>
                <w:szCs w:val="24"/>
                <w:highlight w:val="none"/>
              </w:rPr>
            </w:pPr>
          </w:p>
        </w:tc>
        <w:tc>
          <w:tcPr>
            <w:tcW w:w="735" w:type="dxa"/>
            <w:tcBorders>
              <w:top w:val="single" w:color="auto" w:sz="6" w:space="0"/>
              <w:left w:val="nil"/>
              <w:bottom w:val="single" w:color="auto" w:sz="6" w:space="0"/>
              <w:right w:val="single" w:color="auto" w:sz="6" w:space="0"/>
            </w:tcBorders>
            <w:noWrap w:val="0"/>
            <w:vAlign w:val="top"/>
          </w:tcPr>
          <w:p w14:paraId="63B86359">
            <w:pPr>
              <w:spacing w:line="60" w:lineRule="auto"/>
              <w:rPr>
                <w:rFonts w:hint="eastAsia" w:ascii="仿宋" w:hAnsi="仿宋" w:eastAsia="仿宋" w:cs="仿宋"/>
                <w:color w:val="auto"/>
                <w:sz w:val="24"/>
                <w:szCs w:val="24"/>
                <w:highlight w:val="none"/>
              </w:rPr>
            </w:pPr>
          </w:p>
        </w:tc>
        <w:tc>
          <w:tcPr>
            <w:tcW w:w="751" w:type="dxa"/>
            <w:tcBorders>
              <w:top w:val="single" w:color="auto" w:sz="6" w:space="0"/>
              <w:left w:val="nil"/>
              <w:bottom w:val="single" w:color="auto" w:sz="6" w:space="0"/>
              <w:right w:val="single" w:color="auto" w:sz="6" w:space="0"/>
            </w:tcBorders>
            <w:noWrap w:val="0"/>
            <w:vAlign w:val="top"/>
          </w:tcPr>
          <w:p w14:paraId="3D96727D">
            <w:pPr>
              <w:spacing w:line="60" w:lineRule="auto"/>
              <w:rPr>
                <w:rFonts w:hint="eastAsia" w:ascii="仿宋" w:hAnsi="仿宋" w:eastAsia="仿宋" w:cs="仿宋"/>
                <w:color w:val="auto"/>
                <w:sz w:val="24"/>
                <w:szCs w:val="24"/>
                <w:highlight w:val="none"/>
              </w:rPr>
            </w:pPr>
          </w:p>
        </w:tc>
        <w:tc>
          <w:tcPr>
            <w:tcW w:w="824" w:type="dxa"/>
            <w:tcBorders>
              <w:top w:val="single" w:color="auto" w:sz="6" w:space="0"/>
              <w:left w:val="nil"/>
              <w:bottom w:val="single" w:color="auto" w:sz="6" w:space="0"/>
              <w:right w:val="single" w:color="auto" w:sz="4" w:space="0"/>
            </w:tcBorders>
            <w:noWrap w:val="0"/>
            <w:vAlign w:val="top"/>
          </w:tcPr>
          <w:p w14:paraId="64D41AC4">
            <w:pPr>
              <w:spacing w:line="60" w:lineRule="auto"/>
              <w:rPr>
                <w:rFonts w:hint="eastAsia" w:ascii="仿宋" w:hAnsi="仿宋" w:eastAsia="仿宋" w:cs="仿宋"/>
                <w:color w:val="auto"/>
                <w:sz w:val="24"/>
                <w:szCs w:val="24"/>
                <w:highlight w:val="none"/>
              </w:rPr>
            </w:pPr>
          </w:p>
        </w:tc>
      </w:tr>
      <w:tr w14:paraId="1F04BFF9">
        <w:tblPrEx>
          <w:tblCellMar>
            <w:top w:w="0" w:type="dxa"/>
            <w:left w:w="108" w:type="dxa"/>
            <w:bottom w:w="0" w:type="dxa"/>
            <w:right w:w="108" w:type="dxa"/>
          </w:tblCellMar>
        </w:tblPrEx>
        <w:trPr>
          <w:trHeight w:val="560" w:hRule="atLeast"/>
          <w:jc w:val="center"/>
        </w:trPr>
        <w:tc>
          <w:tcPr>
            <w:tcW w:w="735" w:type="dxa"/>
            <w:tcBorders>
              <w:top w:val="single" w:color="auto" w:sz="6" w:space="0"/>
              <w:left w:val="single" w:color="auto" w:sz="4" w:space="0"/>
              <w:bottom w:val="single" w:color="auto" w:sz="4" w:space="0"/>
              <w:right w:val="single" w:color="auto" w:sz="6" w:space="0"/>
            </w:tcBorders>
            <w:noWrap w:val="0"/>
            <w:vAlign w:val="top"/>
          </w:tcPr>
          <w:p w14:paraId="2742F063">
            <w:pPr>
              <w:spacing w:line="60" w:lineRule="auto"/>
              <w:rPr>
                <w:rFonts w:hint="eastAsia" w:ascii="仿宋" w:hAnsi="仿宋" w:eastAsia="仿宋" w:cs="仿宋"/>
                <w:color w:val="auto"/>
                <w:sz w:val="24"/>
                <w:szCs w:val="24"/>
                <w:highlight w:val="none"/>
              </w:rPr>
            </w:pPr>
          </w:p>
        </w:tc>
        <w:tc>
          <w:tcPr>
            <w:tcW w:w="1155" w:type="dxa"/>
            <w:tcBorders>
              <w:top w:val="single" w:color="auto" w:sz="6" w:space="0"/>
              <w:left w:val="nil"/>
              <w:bottom w:val="single" w:color="auto" w:sz="4" w:space="0"/>
              <w:right w:val="single" w:color="auto" w:sz="6" w:space="0"/>
            </w:tcBorders>
            <w:noWrap w:val="0"/>
            <w:vAlign w:val="top"/>
          </w:tcPr>
          <w:p w14:paraId="5F203B2B">
            <w:pPr>
              <w:spacing w:line="60" w:lineRule="auto"/>
              <w:rPr>
                <w:rFonts w:hint="eastAsia" w:ascii="仿宋" w:hAnsi="仿宋" w:eastAsia="仿宋" w:cs="仿宋"/>
                <w:color w:val="auto"/>
                <w:sz w:val="24"/>
                <w:szCs w:val="24"/>
                <w:highlight w:val="none"/>
              </w:rPr>
            </w:pPr>
          </w:p>
        </w:tc>
        <w:tc>
          <w:tcPr>
            <w:tcW w:w="840" w:type="dxa"/>
            <w:tcBorders>
              <w:top w:val="single" w:color="auto" w:sz="6" w:space="0"/>
              <w:left w:val="nil"/>
              <w:bottom w:val="single" w:color="auto" w:sz="4" w:space="0"/>
              <w:right w:val="single" w:color="auto" w:sz="6" w:space="0"/>
            </w:tcBorders>
            <w:noWrap w:val="0"/>
            <w:vAlign w:val="top"/>
          </w:tcPr>
          <w:p w14:paraId="3F5B4798">
            <w:pPr>
              <w:spacing w:line="60" w:lineRule="auto"/>
              <w:rPr>
                <w:rFonts w:hint="eastAsia" w:ascii="仿宋" w:hAnsi="仿宋" w:eastAsia="仿宋" w:cs="仿宋"/>
                <w:color w:val="auto"/>
                <w:sz w:val="24"/>
                <w:szCs w:val="24"/>
                <w:highlight w:val="none"/>
              </w:rPr>
            </w:pPr>
          </w:p>
        </w:tc>
        <w:tc>
          <w:tcPr>
            <w:tcW w:w="787" w:type="dxa"/>
            <w:tcBorders>
              <w:top w:val="single" w:color="auto" w:sz="6" w:space="0"/>
              <w:left w:val="nil"/>
              <w:bottom w:val="single" w:color="auto" w:sz="4" w:space="0"/>
              <w:right w:val="single" w:color="auto" w:sz="6" w:space="0"/>
            </w:tcBorders>
            <w:noWrap w:val="0"/>
            <w:vAlign w:val="top"/>
          </w:tcPr>
          <w:p w14:paraId="5637DC4B">
            <w:pPr>
              <w:spacing w:line="60" w:lineRule="auto"/>
              <w:rPr>
                <w:rFonts w:hint="eastAsia" w:ascii="仿宋" w:hAnsi="仿宋" w:eastAsia="仿宋" w:cs="仿宋"/>
                <w:color w:val="auto"/>
                <w:sz w:val="24"/>
                <w:szCs w:val="24"/>
                <w:highlight w:val="none"/>
              </w:rPr>
            </w:pPr>
          </w:p>
        </w:tc>
        <w:tc>
          <w:tcPr>
            <w:tcW w:w="788" w:type="dxa"/>
            <w:tcBorders>
              <w:top w:val="single" w:color="auto" w:sz="6" w:space="0"/>
              <w:left w:val="nil"/>
              <w:bottom w:val="single" w:color="auto" w:sz="4" w:space="0"/>
              <w:right w:val="single" w:color="auto" w:sz="6" w:space="0"/>
            </w:tcBorders>
            <w:noWrap w:val="0"/>
            <w:vAlign w:val="top"/>
          </w:tcPr>
          <w:p w14:paraId="3373D5EF">
            <w:pPr>
              <w:spacing w:line="60" w:lineRule="auto"/>
              <w:rPr>
                <w:rFonts w:hint="eastAsia" w:ascii="仿宋" w:hAnsi="仿宋" w:eastAsia="仿宋" w:cs="仿宋"/>
                <w:color w:val="auto"/>
                <w:sz w:val="24"/>
                <w:szCs w:val="24"/>
                <w:highlight w:val="none"/>
              </w:rPr>
            </w:pPr>
          </w:p>
        </w:tc>
        <w:tc>
          <w:tcPr>
            <w:tcW w:w="751" w:type="dxa"/>
            <w:tcBorders>
              <w:top w:val="single" w:color="auto" w:sz="6" w:space="0"/>
              <w:left w:val="nil"/>
              <w:bottom w:val="single" w:color="auto" w:sz="4" w:space="0"/>
              <w:right w:val="single" w:color="auto" w:sz="6" w:space="0"/>
            </w:tcBorders>
            <w:noWrap w:val="0"/>
            <w:vAlign w:val="top"/>
          </w:tcPr>
          <w:p w14:paraId="4520C999">
            <w:pPr>
              <w:spacing w:line="60" w:lineRule="auto"/>
              <w:rPr>
                <w:rFonts w:hint="eastAsia" w:ascii="仿宋" w:hAnsi="仿宋" w:eastAsia="仿宋" w:cs="仿宋"/>
                <w:color w:val="auto"/>
                <w:sz w:val="24"/>
                <w:szCs w:val="24"/>
                <w:highlight w:val="none"/>
              </w:rPr>
            </w:pPr>
          </w:p>
        </w:tc>
        <w:tc>
          <w:tcPr>
            <w:tcW w:w="1034" w:type="dxa"/>
            <w:tcBorders>
              <w:top w:val="single" w:color="auto" w:sz="6" w:space="0"/>
              <w:left w:val="nil"/>
              <w:bottom w:val="single" w:color="auto" w:sz="4" w:space="0"/>
              <w:right w:val="single" w:color="auto" w:sz="6" w:space="0"/>
            </w:tcBorders>
            <w:noWrap w:val="0"/>
            <w:vAlign w:val="top"/>
          </w:tcPr>
          <w:p w14:paraId="53570131">
            <w:pPr>
              <w:spacing w:line="60" w:lineRule="auto"/>
              <w:rPr>
                <w:rFonts w:hint="eastAsia" w:ascii="仿宋" w:hAnsi="仿宋" w:eastAsia="仿宋" w:cs="仿宋"/>
                <w:color w:val="auto"/>
                <w:sz w:val="24"/>
                <w:szCs w:val="24"/>
                <w:highlight w:val="none"/>
              </w:rPr>
            </w:pPr>
          </w:p>
        </w:tc>
        <w:tc>
          <w:tcPr>
            <w:tcW w:w="735" w:type="dxa"/>
            <w:tcBorders>
              <w:top w:val="single" w:color="auto" w:sz="6" w:space="0"/>
              <w:left w:val="nil"/>
              <w:bottom w:val="single" w:color="auto" w:sz="4" w:space="0"/>
              <w:right w:val="single" w:color="auto" w:sz="6" w:space="0"/>
            </w:tcBorders>
            <w:noWrap w:val="0"/>
            <w:vAlign w:val="top"/>
          </w:tcPr>
          <w:p w14:paraId="30B6F89A">
            <w:pPr>
              <w:spacing w:line="60" w:lineRule="auto"/>
              <w:rPr>
                <w:rFonts w:hint="eastAsia" w:ascii="仿宋" w:hAnsi="仿宋" w:eastAsia="仿宋" w:cs="仿宋"/>
                <w:color w:val="auto"/>
                <w:sz w:val="24"/>
                <w:szCs w:val="24"/>
                <w:highlight w:val="none"/>
              </w:rPr>
            </w:pPr>
          </w:p>
        </w:tc>
        <w:tc>
          <w:tcPr>
            <w:tcW w:w="751" w:type="dxa"/>
            <w:tcBorders>
              <w:top w:val="single" w:color="auto" w:sz="6" w:space="0"/>
              <w:left w:val="nil"/>
              <w:bottom w:val="single" w:color="auto" w:sz="4" w:space="0"/>
              <w:right w:val="single" w:color="auto" w:sz="6" w:space="0"/>
            </w:tcBorders>
            <w:noWrap w:val="0"/>
            <w:vAlign w:val="top"/>
          </w:tcPr>
          <w:p w14:paraId="30189904">
            <w:pPr>
              <w:spacing w:line="60" w:lineRule="auto"/>
              <w:rPr>
                <w:rFonts w:hint="eastAsia" w:ascii="仿宋" w:hAnsi="仿宋" w:eastAsia="仿宋" w:cs="仿宋"/>
                <w:color w:val="auto"/>
                <w:sz w:val="24"/>
                <w:szCs w:val="24"/>
                <w:highlight w:val="none"/>
              </w:rPr>
            </w:pPr>
          </w:p>
        </w:tc>
        <w:tc>
          <w:tcPr>
            <w:tcW w:w="824" w:type="dxa"/>
            <w:tcBorders>
              <w:top w:val="single" w:color="auto" w:sz="6" w:space="0"/>
              <w:left w:val="nil"/>
              <w:bottom w:val="single" w:color="auto" w:sz="4" w:space="0"/>
              <w:right w:val="single" w:color="auto" w:sz="4" w:space="0"/>
            </w:tcBorders>
            <w:noWrap w:val="0"/>
            <w:vAlign w:val="top"/>
          </w:tcPr>
          <w:p w14:paraId="66136339">
            <w:pPr>
              <w:spacing w:line="60" w:lineRule="auto"/>
              <w:rPr>
                <w:rFonts w:hint="eastAsia" w:ascii="仿宋" w:hAnsi="仿宋" w:eastAsia="仿宋" w:cs="仿宋"/>
                <w:color w:val="auto"/>
                <w:sz w:val="24"/>
                <w:szCs w:val="24"/>
                <w:highlight w:val="none"/>
              </w:rPr>
            </w:pPr>
          </w:p>
        </w:tc>
      </w:tr>
    </w:tbl>
    <w:p w14:paraId="1D4B4691">
      <w:pPr>
        <w:pStyle w:val="22"/>
        <w:rPr>
          <w:rFonts w:hint="eastAsia"/>
          <w:color w:val="auto"/>
          <w:highlight w:val="none"/>
        </w:rPr>
      </w:pPr>
    </w:p>
    <w:p w14:paraId="4303C389">
      <w:pPr>
        <w:spacing w:line="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609D8E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合同总价</w:t>
      </w:r>
    </w:p>
    <w:p w14:paraId="59227880">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总价为：           （大写） ，￥     元，该合同总金额是设计、设备制造、包装、仓储、运输、安装、调试及验收合格之前及保修期与备品备件发生的所有含税费用。本合同执行期间合同总金额不变。</w:t>
      </w:r>
    </w:p>
    <w:p w14:paraId="4E2EE3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合同组成</w:t>
      </w:r>
    </w:p>
    <w:p w14:paraId="6402F958">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详细价格、技术说明及其它有关合同货物的特定信息由合同附件说明。所有附件及本项目的招投标文件、会议纪要、协议等均为本合同不可分割之一部分。</w:t>
      </w:r>
    </w:p>
    <w:p w14:paraId="612BA7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技术要求</w:t>
      </w:r>
    </w:p>
    <w:p w14:paraId="78F0CEB5">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乙方所提供软件及设备，必须符合国家有关规范和甲方的技术要求，并提供设备的厂试测验报告。</w:t>
      </w:r>
    </w:p>
    <w:p w14:paraId="22610B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合同标的包装、交货、安装及验收</w:t>
      </w:r>
    </w:p>
    <w:p w14:paraId="02CA877B">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5.1</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合同设备的包装</w:t>
      </w:r>
    </w:p>
    <w:p w14:paraId="20A354BF">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设备的包装均应有良好的防湿、防锈、防潮、防雨、防腐及防碰撞的措施。凡由于包装不良造成的损失和由此产生的费用均由乙方承担。</w:t>
      </w:r>
    </w:p>
    <w:p w14:paraId="486280D9">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5.2</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合同标的的交货</w:t>
      </w:r>
    </w:p>
    <w:p w14:paraId="1C73D45F">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5.2.1</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乙方交货时间：按甲方要求。</w:t>
      </w:r>
    </w:p>
    <w:p w14:paraId="4AB052FD">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5.2.2  </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乙方交货地点：运输及卸车或安装至甲方指定地点。</w:t>
      </w:r>
    </w:p>
    <w:p w14:paraId="360CDC2A">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5.3</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合同标的的安装</w:t>
      </w:r>
    </w:p>
    <w:p w14:paraId="6B476B3B">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5.3.1</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 xml:space="preserve">  乙方负责合同项下的安装，一切费用由乙方负责。</w:t>
      </w:r>
    </w:p>
    <w:p w14:paraId="2AB96DAF">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5.3.2</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 xml:space="preserve">  乙方安装时须对各安装场地内的其他设备、设施有良好</w:t>
      </w:r>
    </w:p>
    <w:p w14:paraId="2EB3BFFC">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保护措施。</w:t>
      </w:r>
    </w:p>
    <w:p w14:paraId="4EA75BB4">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5.4验收</w:t>
      </w:r>
    </w:p>
    <w:p w14:paraId="1B01F83A">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5.4.1  合同软件安装完成后     个工作日内验收，验收应</w:t>
      </w:r>
    </w:p>
    <w:p w14:paraId="3415835B">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在甲乙双方共同参加下进行。</w:t>
      </w:r>
    </w:p>
    <w:p w14:paraId="059903D1">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5.4.2</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 xml:space="preserve">  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395B270A">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5.4.3</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 xml:space="preserve">  如果合同软件或设备运输和安装过程中因事故造成货物短缺、损坏，乙方应及时安排换装，以保证合同设备安装的成功完成。换货的相关费用由乙方承担。</w:t>
      </w:r>
    </w:p>
    <w:p w14:paraId="61B59D48">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5.5  乙方保证合同项下提供的软件及设备不侵犯任何第三方的专利、商标或版权。否则，乙方须承担对第三方的专利或版权的侵权责任并承担因此而发生的所有费用。</w:t>
      </w:r>
    </w:p>
    <w:p w14:paraId="44C4E1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质量保证及售后服务</w:t>
      </w:r>
    </w:p>
    <w:p w14:paraId="3CEE4D9F">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6.1  乙方保证合同设备是全新、未曾使用过的，其质量、规格及技术特征符合合同附件的要求。</w:t>
      </w:r>
    </w:p>
    <w:p w14:paraId="23AC3AD0">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6.2  合同系统及设备保质保用期为本项目有关部门验收签字之日起不少于  1  年。（详见用户需求书）</w:t>
      </w:r>
    </w:p>
    <w:p w14:paraId="5CB475D6">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6.3.  保质保用期内非因甲方的人为原因而出现产品质量及安装问题，由乙方负责包修、包换或包退，并承担因此而产生的一切费用。乙方应在收到甲方通知后 24小时（详见用户需求书）内派员到现场维修。</w:t>
      </w:r>
    </w:p>
    <w:p w14:paraId="6E413A61">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下列情况乙方不负责免费保修：</w:t>
      </w:r>
    </w:p>
    <w:p w14:paraId="5EFF98E2">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（1）不按照乙方提供的正确使用方法而引致系统或设备故障</w:t>
      </w:r>
    </w:p>
    <w:p w14:paraId="4C1621C2">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损坏；</w:t>
      </w:r>
    </w:p>
    <w:p w14:paraId="0B150994">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（2）擅自修改系统或改装设备；</w:t>
      </w:r>
    </w:p>
    <w:p w14:paraId="483384BA">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（3）各种人为因素或天灾等外来因素造成的损坏。</w:t>
      </w:r>
    </w:p>
    <w:p w14:paraId="3DC3348F">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6.4  因产品的质量问题而发生争议，由质检部门进行质量鉴定。产品符合质量标准的，鉴定费用由甲方承担；产品不符合质量标准的，鉴定费用由乙方承担。</w:t>
      </w:r>
    </w:p>
    <w:p w14:paraId="47497DF3">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6.5  乙方无偿培训甲方维护及维修人员，主要内容为系统及设备的基本结构、性能、主要部件/模块的构造及维护，日常使用与管理，常见故障的排除，紧急情况的处理等，培训地点主要在产品安装现场或按甲方安排。</w:t>
      </w:r>
    </w:p>
    <w:p w14:paraId="467F87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rPr>
        <w:t>付款办法</w:t>
      </w:r>
    </w:p>
    <w:p w14:paraId="2B850913">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7.1  合同每笔款项以人民币转账方式支付。</w:t>
      </w:r>
    </w:p>
    <w:p w14:paraId="138DE7C3">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7.2  付款方式：系统交付经甲方验收合格后，进行使用、维护保养、维修的培训，甲方经验收合格后，中标方提供正式发票，采购方在三十个工作日内支付全部货款的100℅。</w:t>
      </w:r>
    </w:p>
    <w:p w14:paraId="22A383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8、</w:t>
      </w:r>
      <w:r>
        <w:rPr>
          <w:rFonts w:hint="eastAsia" w:ascii="仿宋" w:hAnsi="仿宋" w:eastAsia="仿宋" w:cs="仿宋"/>
          <w:b/>
          <w:bCs/>
          <w:color w:val="auto"/>
          <w:sz w:val="32"/>
          <w:szCs w:val="32"/>
          <w:highlight w:val="none"/>
        </w:rPr>
        <w:t>乙方应派员到甲方指定地点配合工作。</w:t>
      </w:r>
    </w:p>
    <w:p w14:paraId="1EF991F4">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8.1  乙方按甲方提供的合同执行进度计划，再配合甲方及有关单位，以此做好合同执行进度上的配合工作。</w:t>
      </w:r>
    </w:p>
    <w:p w14:paraId="59289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9、不可抗力</w:t>
      </w:r>
    </w:p>
    <w:p w14:paraId="15F7DE60">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9.1</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不可抗力指战争、严重火灾、洪水、台风、地震等或其它双方认定的不可抗力事件。</w:t>
      </w:r>
    </w:p>
    <w:p w14:paraId="258794D8">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9.2</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58E3FA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10、</w:t>
      </w:r>
      <w:r>
        <w:rPr>
          <w:rFonts w:hint="eastAsia" w:ascii="仿宋" w:hAnsi="仿宋" w:eastAsia="仿宋" w:cs="仿宋"/>
          <w:b/>
          <w:bCs/>
          <w:color w:val="auto"/>
          <w:sz w:val="32"/>
          <w:szCs w:val="32"/>
          <w:highlight w:val="none"/>
        </w:rPr>
        <w:t>索赔</w:t>
      </w:r>
    </w:p>
    <w:p w14:paraId="005FBD54">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10.1  如有异议，甲方有权根据有关政府部门的检验结果向乙方提出索赔。</w:t>
      </w:r>
    </w:p>
    <w:p w14:paraId="04E99E84">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10.2  在合同执行期间，如果乙方对甲方提出的索赔和差异负有责任，乙方应按照甲方同意的下列一种或多种方式解决索赔事宜：</w:t>
      </w:r>
    </w:p>
    <w:p w14:paraId="7646B480">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乙方同意退货，并按合同规定的同种货币将货款退还给甲方，并承担由此发生的一切损失和费用。</w:t>
      </w:r>
    </w:p>
    <w:p w14:paraId="40C15BFA">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根据货物低劣程度、损坏程度以及甲方所遭受损失的数额甲乙双方商定降低货物的价格。</w:t>
      </w:r>
    </w:p>
    <w:p w14:paraId="26C83801">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用符合规格、质量和性能要求的新零件、部件或货物来更换有缺陷的部分或修补缺陷的部分，乙方应承担一切费用和风险并负担甲方所发生的一切直接费用。同时，相应延长质量保证期。</w:t>
      </w:r>
    </w:p>
    <w:p w14:paraId="2A7CEC06">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10.3  如果在甲方发出索赔通知后30天内，乙方未作答复，上述索赔应视为已被乙方接受。甲方将从合同款项中扣回索赔金额。如果这些金额不足以补偿索赔金额，甲方有权向乙方提出不足部分的补偿。</w:t>
      </w:r>
    </w:p>
    <w:p w14:paraId="5E50D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11、</w:t>
      </w:r>
      <w:r>
        <w:rPr>
          <w:rFonts w:hint="eastAsia" w:ascii="仿宋" w:hAnsi="仿宋" w:eastAsia="仿宋" w:cs="仿宋"/>
          <w:b/>
          <w:bCs/>
          <w:color w:val="auto"/>
          <w:sz w:val="32"/>
          <w:szCs w:val="32"/>
          <w:highlight w:val="none"/>
        </w:rPr>
        <w:t>违约与处罚</w:t>
      </w:r>
    </w:p>
    <w:p w14:paraId="371EFD7E">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11.1</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 xml:space="preserve"> 甲方应依合同规定时间内，向乙方支付货款，每拖延一天乙方可向甲方加收合同金额的3‰的违约金。</w:t>
      </w:r>
    </w:p>
    <w:p w14:paraId="5CE03BFE">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11.2  乙方未能按时交货，每拖延1天，须向甲方支付合同金额的5‰的违约金。</w:t>
      </w:r>
    </w:p>
    <w:p w14:paraId="391F38E4">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11.3  乙方交付的货物不符合合同规定的，甲方有权拒收，乙方向甲方支付合同金额的5%的违约金。</w:t>
      </w:r>
    </w:p>
    <w:p w14:paraId="021E88F0">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11.4  甲方无正当理由拒收货物的，甲方向乙方支付合同金额的5%的违约金。</w:t>
      </w:r>
    </w:p>
    <w:p w14:paraId="32208821">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11.5  乙方未能在合同规定时间内交付货物，则向甲方支付合同金额的5%的违约金。</w:t>
      </w:r>
    </w:p>
    <w:p w14:paraId="7DB95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12、</w:t>
      </w:r>
      <w:r>
        <w:rPr>
          <w:rFonts w:hint="eastAsia" w:ascii="仿宋" w:hAnsi="仿宋" w:eastAsia="仿宋" w:cs="仿宋"/>
          <w:b/>
          <w:bCs/>
          <w:color w:val="auto"/>
          <w:sz w:val="32"/>
          <w:szCs w:val="32"/>
          <w:highlight w:val="none"/>
        </w:rPr>
        <w:t>合同终止</w:t>
      </w:r>
    </w:p>
    <w:p w14:paraId="6781BD1D">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如果一方严重违反合同，并在收到对方违约通知书后在30天内仍未能改正违约的另一方可立即终止本合同。</w:t>
      </w:r>
    </w:p>
    <w:p w14:paraId="16BE19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13、</w:t>
      </w:r>
      <w:r>
        <w:rPr>
          <w:rFonts w:hint="eastAsia" w:ascii="仿宋" w:hAnsi="仿宋" w:eastAsia="仿宋" w:cs="仿宋"/>
          <w:b/>
          <w:bCs/>
          <w:color w:val="auto"/>
          <w:sz w:val="32"/>
          <w:szCs w:val="32"/>
          <w:highlight w:val="none"/>
        </w:rPr>
        <w:t>法律诉讼</w:t>
      </w:r>
    </w:p>
    <w:p w14:paraId="0EA4CE17">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签约双方在履约中发生争执和分歧，双方应通过友好协商解决，若经协商不能达成协议时，则由合同签订所在地仲裁机构仲裁或向合同签订所在地人民法院提起诉讼（仲裁或诉讼任选一种）。受理期间，双方应继续执行合同其余部分。</w:t>
      </w:r>
    </w:p>
    <w:p w14:paraId="33F2F8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color w:val="auto"/>
          <w:sz w:val="24"/>
          <w:szCs w:val="24"/>
          <w:highlight w:val="none"/>
        </w:rPr>
      </w:pPr>
      <w:r>
        <w:rPr>
          <w:rFonts w:hint="eastAsia" w:ascii="仿宋" w:hAnsi="仿宋" w:eastAsia="仿宋" w:cs="仿宋"/>
          <w:b/>
          <w:bCs/>
          <w:color w:val="auto"/>
          <w:sz w:val="32"/>
          <w:szCs w:val="32"/>
          <w:highlight w:val="none"/>
        </w:rPr>
        <w:t xml:space="preserve"> 14</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其他</w:t>
      </w:r>
    </w:p>
    <w:p w14:paraId="386F150D">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14.1  本合同正本4份，具有同等法律效力，甲方3份，乙方1份。合同自双方签字盖章之日起即时生效。</w:t>
      </w:r>
    </w:p>
    <w:p w14:paraId="0F5E247E">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14.2  本合同末尽事宜，由双方协商处理。 </w:t>
      </w:r>
    </w:p>
    <w:p w14:paraId="03F76959">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p>
    <w:p w14:paraId="09675C02">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甲方：                              乙方：                                                                                                                </w:t>
      </w:r>
    </w:p>
    <w:p w14:paraId="6484CEC9">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法人代表 ：                         法人代表：</w:t>
      </w:r>
    </w:p>
    <w:p w14:paraId="7E726CE3">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地址：                               地址：</w:t>
      </w:r>
    </w:p>
    <w:p w14:paraId="797875CD">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电话：</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 xml:space="preserve">                         电话：</w:t>
      </w:r>
    </w:p>
    <w:p w14:paraId="4CAEC78E">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传真： </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 xml:space="preserve">                         传真： </w:t>
      </w:r>
    </w:p>
    <w:p w14:paraId="4B6C4FB9">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p>
    <w:p w14:paraId="2E63158F">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签约日期：2025年  月  日     </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ab/>
      </w:r>
      <w:r>
        <w:rPr>
          <w:rFonts w:hint="eastAsia" w:ascii="仿宋" w:hAnsi="仿宋" w:eastAsia="仿宋" w:cs="仿宋"/>
          <w:color w:val="auto"/>
          <w:sz w:val="30"/>
          <w:szCs w:val="30"/>
          <w:highlight w:val="none"/>
          <w:lang w:val="en-US" w:eastAsia="zh-CN"/>
        </w:rPr>
        <w:t xml:space="preserve">       </w:t>
      </w:r>
    </w:p>
    <w:p w14:paraId="44B25F89">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签约地点：</w:t>
      </w:r>
    </w:p>
    <w:p w14:paraId="747EF5CA">
      <w:pPr>
        <w:pStyle w:val="47"/>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宋体" w:hAnsi="宋体"/>
          <w:b/>
          <w:color w:val="auto"/>
          <w:highlight w:val="none"/>
        </w:rPr>
      </w:pPr>
      <w:r>
        <w:rPr>
          <w:rFonts w:hint="eastAsia" w:ascii="仿宋" w:hAnsi="仿宋" w:eastAsia="仿宋" w:cs="仿宋"/>
          <w:b/>
          <w:bCs/>
          <w:color w:val="auto"/>
          <w:kern w:val="2"/>
          <w:sz w:val="32"/>
          <w:szCs w:val="32"/>
          <w:highlight w:val="none"/>
          <w:lang w:val="en-US" w:eastAsia="zh-CN" w:bidi="ar-SA"/>
        </w:rPr>
        <w:t>第二章、合同特殊条款</w:t>
      </w:r>
    </w:p>
    <w:p w14:paraId="0C3D6BA5">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合同特殊条款是对合同一般条款的补充和修改，如果两者之间</w:t>
      </w:r>
    </w:p>
    <w:p w14:paraId="15C10C42">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有不一致之处时，应以特殊条款为准。</w:t>
      </w:r>
    </w:p>
    <w:p w14:paraId="6684C1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培训：</w:t>
      </w:r>
    </w:p>
    <w:p w14:paraId="1FC10022">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  卖方的安装调试人员有义务对买方的设备维修人员及使用人员进行培训，使维修人员能对设备进行日常维护和一般性故障的查找及故障的排除，使用人员能够熟练掌握设备的各项功能和操作；</w:t>
      </w:r>
    </w:p>
    <w:p w14:paraId="46F3BD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2、检验</w:t>
      </w:r>
    </w:p>
    <w:p w14:paraId="72A5F796">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2.1　卖方提供的所有货物应符合国际及国内通行的标准，并应附有相应的测试报告和合同证书；</w:t>
      </w:r>
    </w:p>
    <w:p w14:paraId="724BDF8F">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2.2  对于卖方提供的所有货物,买方可按货物的一定比例委托质量监督部门进行抽检，验收会格后，所产生的费用由买方承担，经检验不合格时，所产生的费用由卖方承担。</w:t>
      </w:r>
    </w:p>
    <w:p w14:paraId="4A21AB60">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2.3  具体的国际或国内检验标准按卖方在投标文件中承诺</w:t>
      </w:r>
    </w:p>
    <w:p w14:paraId="4926C70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的并经买方确认的规定执行。</w:t>
      </w:r>
    </w:p>
    <w:p w14:paraId="221126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安装调试</w:t>
      </w:r>
    </w:p>
    <w:p w14:paraId="4EF206D3">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3.1　卖方必须在合同签订后将所有的安装调试条件、需买方配合的事项以书面方式通知买方；</w:t>
      </w:r>
    </w:p>
    <w:p w14:paraId="194F02CA">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3.2　卖方免费负责设备的安装、调试，买方协助开展工作；</w:t>
      </w:r>
    </w:p>
    <w:p w14:paraId="7F4708FB">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3.3  卖方安装调试专家人员应及时到达买方现场，直至安装、调试结束、通过验收；</w:t>
      </w:r>
    </w:p>
    <w:p w14:paraId="242A91B2">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3.4  卖方负责安装调试期间（包括错发或运输中）可能损坏的元器件、测试材料的准备，如因时间关系，买方可以考虑使用随机的易损件进行更换，但卖方应及时给买方补齐（中间产生的任何费用，均由卖方承担）；</w:t>
      </w:r>
    </w:p>
    <w:p w14:paraId="55646D1F">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3.5　上述安装调试完成后，买方按相应的卖方在投标文件中所提供的技术指标进行验收；</w:t>
      </w:r>
    </w:p>
    <w:p w14:paraId="43B0B252">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3.6  卖方如不能按时完成安装、调试工作，应赔偿由此买方造成的所有损失；</w:t>
      </w:r>
    </w:p>
    <w:p w14:paraId="2152ED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4、质量保证</w:t>
      </w:r>
    </w:p>
    <w:p w14:paraId="756D6025">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4.1　因卖方原因造成买方不能按时使用（根据合同有关条款）所购买货物（设备）时，卖方应根据合同规定向买方做出赔偿；</w:t>
      </w:r>
    </w:p>
    <w:p w14:paraId="20B60D5A">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4.2  卖方对合同项下设备提供保修服务，保修期自验收合格双方签字时算起。在保修期内，买方需提供免费的维修零配件。</w:t>
      </w:r>
    </w:p>
    <w:p w14:paraId="37DB78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5、售后服务</w:t>
      </w:r>
    </w:p>
    <w:p w14:paraId="7DA92F97">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5.1  提供给买方详细的设备清单及相应的使用、维修、故障查询手册及电器、电路图；</w:t>
      </w:r>
    </w:p>
    <w:p w14:paraId="7D2ECE11">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5.2  在买方发出要求服务通知的24小时内，卖方指派的服务人员必须到达买方现场，对设备出现的较大问题，解决时间不应超过5个日历日；</w:t>
      </w:r>
    </w:p>
    <w:p w14:paraId="623B8DEA">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5.3　 在保修期内，如设备出现故障，必须在3个日历日内完成维修工作，否则更换新机；</w:t>
      </w:r>
    </w:p>
    <w:p w14:paraId="52C08AB8">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5.4 　提供相应的售后服务承诺（需要设备生产企业协助的部分，须由该生产企业做出相应的服务承诺），并附在投标文件中。</w:t>
      </w:r>
    </w:p>
    <w:p w14:paraId="15AB61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6</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 xml:space="preserve">其他  </w:t>
      </w:r>
    </w:p>
    <w:p w14:paraId="1D4BCD26">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6.1 　投标报价：设备使用地安装调试完成、且验收合格后的交货价</w:t>
      </w:r>
    </w:p>
    <w:p w14:paraId="621F54EA">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6.2 　投标货币：人民币</w:t>
      </w:r>
    </w:p>
    <w:p w14:paraId="746445A5">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6.3 　列出详细的易损件、专用工具的清单，并分项报价（应</w:t>
      </w:r>
    </w:p>
    <w:p w14:paraId="619BD730">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包括在总价内）。清单内容应包括：名称、数量、单价、总价</w:t>
      </w:r>
    </w:p>
    <w:p w14:paraId="56AE6A43">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6.4 　付款币种及方式（见第三章）</w:t>
      </w:r>
    </w:p>
    <w:p w14:paraId="56507707">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6.5 　交货地点：</w:t>
      </w:r>
    </w:p>
    <w:p w14:paraId="26088D54">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6.6   交货时间：年 月 日前</w:t>
      </w:r>
    </w:p>
    <w:p w14:paraId="7F3A931E">
      <w:pPr>
        <w:spacing w:line="500" w:lineRule="exact"/>
        <w:jc w:val="center"/>
        <w:rPr>
          <w:rFonts w:hint="eastAsia" w:ascii="方正小标宋简体" w:hAnsi="方正小标宋简体" w:eastAsia="方正小标宋简体" w:cs="方正小标宋简体"/>
          <w:bCs/>
          <w:sz w:val="40"/>
          <w:szCs w:val="40"/>
          <w:highlight w:val="none"/>
        </w:rPr>
      </w:pPr>
    </w:p>
    <w:p w14:paraId="66BFB990">
      <w:pPr>
        <w:spacing w:line="500" w:lineRule="exact"/>
        <w:jc w:val="center"/>
        <w:rPr>
          <w:rFonts w:hint="eastAsia" w:ascii="方正小标宋简体" w:hAnsi="方正小标宋简体" w:eastAsia="方正小标宋简体" w:cs="方正小标宋简体"/>
          <w:bCs/>
          <w:sz w:val="40"/>
          <w:szCs w:val="40"/>
          <w:highlight w:val="none"/>
        </w:rPr>
      </w:pPr>
    </w:p>
    <w:p w14:paraId="4F260761">
      <w:pPr>
        <w:spacing w:line="500" w:lineRule="exact"/>
        <w:jc w:val="center"/>
        <w:rPr>
          <w:rFonts w:hint="eastAsia" w:ascii="方正小标宋简体" w:hAnsi="方正小标宋简体" w:eastAsia="方正小标宋简体" w:cs="方正小标宋简体"/>
          <w:bCs/>
          <w:sz w:val="40"/>
          <w:szCs w:val="40"/>
          <w:highlight w:val="none"/>
        </w:rPr>
      </w:pPr>
    </w:p>
    <w:p w14:paraId="228A0D4D">
      <w:pPr>
        <w:spacing w:line="500" w:lineRule="exact"/>
        <w:jc w:val="center"/>
        <w:rPr>
          <w:rFonts w:hint="eastAsia" w:ascii="方正小标宋简体" w:hAnsi="方正小标宋简体" w:eastAsia="方正小标宋简体" w:cs="方正小标宋简体"/>
          <w:bCs/>
          <w:sz w:val="40"/>
          <w:szCs w:val="40"/>
          <w:highlight w:val="none"/>
        </w:rPr>
      </w:pPr>
    </w:p>
    <w:p w14:paraId="5E0987F2">
      <w:pPr>
        <w:spacing w:line="500" w:lineRule="exact"/>
        <w:jc w:val="center"/>
        <w:rPr>
          <w:rFonts w:hint="eastAsia" w:ascii="方正小标宋简体" w:hAnsi="方正小标宋简体" w:eastAsia="方正小标宋简体" w:cs="方正小标宋简体"/>
          <w:bCs/>
          <w:sz w:val="40"/>
          <w:szCs w:val="40"/>
          <w:highlight w:val="none"/>
        </w:rPr>
      </w:pPr>
    </w:p>
    <w:p w14:paraId="01388AEE">
      <w:pPr>
        <w:spacing w:line="500" w:lineRule="exact"/>
        <w:jc w:val="center"/>
        <w:rPr>
          <w:rFonts w:hint="eastAsia" w:ascii="方正小标宋简体" w:hAnsi="方正小标宋简体" w:eastAsia="方正小标宋简体" w:cs="方正小标宋简体"/>
          <w:bCs/>
          <w:sz w:val="40"/>
          <w:szCs w:val="40"/>
          <w:highlight w:val="none"/>
        </w:rPr>
      </w:pPr>
    </w:p>
    <w:p w14:paraId="12FFE825">
      <w:pPr>
        <w:spacing w:line="500" w:lineRule="exact"/>
        <w:jc w:val="center"/>
        <w:rPr>
          <w:rFonts w:hint="eastAsia" w:ascii="方正小标宋简体" w:hAnsi="方正小标宋简体" w:eastAsia="方正小标宋简体" w:cs="方正小标宋简体"/>
          <w:bCs/>
          <w:sz w:val="40"/>
          <w:szCs w:val="40"/>
          <w:highlight w:val="none"/>
        </w:rPr>
      </w:pPr>
    </w:p>
    <w:p w14:paraId="523E2114">
      <w:pPr>
        <w:spacing w:line="500" w:lineRule="exact"/>
        <w:jc w:val="center"/>
        <w:rPr>
          <w:rFonts w:hint="eastAsia" w:ascii="方正小标宋简体" w:hAnsi="方正小标宋简体" w:eastAsia="方正小标宋简体" w:cs="方正小标宋简体"/>
          <w:bCs/>
          <w:sz w:val="40"/>
          <w:szCs w:val="40"/>
          <w:highlight w:val="none"/>
        </w:rPr>
      </w:pPr>
    </w:p>
    <w:p w14:paraId="2114FE40">
      <w:pPr>
        <w:pStyle w:val="13"/>
        <w:rPr>
          <w:rFonts w:hint="eastAsia" w:ascii="方正小标宋简体" w:hAnsi="方正小标宋简体" w:eastAsia="方正小标宋简体" w:cs="方正小标宋简体"/>
          <w:bCs/>
          <w:sz w:val="40"/>
          <w:szCs w:val="40"/>
          <w:highlight w:val="none"/>
        </w:rPr>
      </w:pPr>
    </w:p>
    <w:p w14:paraId="3DF34EEC">
      <w:pPr>
        <w:pStyle w:val="13"/>
        <w:rPr>
          <w:rFonts w:hint="eastAsia" w:ascii="方正小标宋简体" w:hAnsi="方正小标宋简体" w:eastAsia="方正小标宋简体" w:cs="方正小标宋简体"/>
          <w:bCs/>
          <w:sz w:val="40"/>
          <w:szCs w:val="40"/>
          <w:highlight w:val="none"/>
        </w:rPr>
      </w:pPr>
    </w:p>
    <w:p w14:paraId="1EEA0C70">
      <w:pPr>
        <w:spacing w:line="500" w:lineRule="exact"/>
        <w:jc w:val="center"/>
        <w:rPr>
          <w:rFonts w:hint="eastAsia" w:ascii="方正小标宋简体" w:hAnsi="方正小标宋简体" w:eastAsia="方正小标宋简体" w:cs="方正小标宋简体"/>
          <w:bCs/>
          <w:sz w:val="40"/>
          <w:szCs w:val="40"/>
          <w:highlight w:val="none"/>
        </w:rPr>
      </w:pPr>
    </w:p>
    <w:p w14:paraId="0E0598FB">
      <w:pPr>
        <w:pStyle w:val="13"/>
        <w:rPr>
          <w:rFonts w:hint="eastAsia" w:ascii="方正小标宋简体" w:hAnsi="方正小标宋简体" w:eastAsia="方正小标宋简体" w:cs="方正小标宋简体"/>
          <w:bCs/>
          <w:sz w:val="40"/>
          <w:szCs w:val="40"/>
          <w:highlight w:val="none"/>
        </w:rPr>
      </w:pPr>
    </w:p>
    <w:p w14:paraId="62ABC5A4">
      <w:pPr>
        <w:pStyle w:val="13"/>
        <w:rPr>
          <w:rFonts w:hint="eastAsia" w:ascii="方正小标宋简体" w:hAnsi="方正小标宋简体" w:eastAsia="方正小标宋简体" w:cs="方正小标宋简体"/>
          <w:bCs/>
          <w:sz w:val="40"/>
          <w:szCs w:val="40"/>
          <w:highlight w:val="none"/>
        </w:rPr>
      </w:pPr>
    </w:p>
    <w:p w14:paraId="1C34C91A">
      <w:pPr>
        <w:pStyle w:val="13"/>
        <w:rPr>
          <w:rFonts w:hint="eastAsia" w:ascii="方正小标宋简体" w:hAnsi="方正小标宋简体" w:eastAsia="方正小标宋简体" w:cs="方正小标宋简体"/>
          <w:bCs/>
          <w:sz w:val="40"/>
          <w:szCs w:val="40"/>
          <w:highlight w:val="none"/>
        </w:rPr>
      </w:pPr>
    </w:p>
    <w:p w14:paraId="48A44898">
      <w:pPr>
        <w:pStyle w:val="13"/>
        <w:rPr>
          <w:rFonts w:hint="eastAsia" w:ascii="方正小标宋简体" w:hAnsi="方正小标宋简体" w:eastAsia="方正小标宋简体" w:cs="方正小标宋简体"/>
          <w:bCs/>
          <w:sz w:val="40"/>
          <w:szCs w:val="40"/>
          <w:highlight w:val="none"/>
        </w:rPr>
      </w:pPr>
    </w:p>
    <w:p w14:paraId="63C2AB44">
      <w:pPr>
        <w:spacing w:line="500" w:lineRule="exact"/>
        <w:jc w:val="center"/>
        <w:rPr>
          <w:rFonts w:hint="eastAsia" w:ascii="方正小标宋简体" w:hAnsi="方正小标宋简体" w:eastAsia="方正小标宋简体" w:cs="方正小标宋简体"/>
          <w:bCs/>
          <w:sz w:val="40"/>
          <w:szCs w:val="40"/>
          <w:highlight w:val="none"/>
        </w:rPr>
      </w:pPr>
    </w:p>
    <w:p w14:paraId="239A076B">
      <w:pPr>
        <w:spacing w:line="500" w:lineRule="exact"/>
        <w:jc w:val="center"/>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第六部分  附　　件</w:t>
      </w:r>
    </w:p>
    <w:p w14:paraId="32439807">
      <w:pPr>
        <w:pStyle w:val="22"/>
        <w:ind w:firstLine="0" w:firstLineChars="0"/>
        <w:rPr>
          <w:highlight w:val="none"/>
        </w:rPr>
      </w:pPr>
    </w:p>
    <w:p w14:paraId="54041D98">
      <w:pPr>
        <w:spacing w:line="520" w:lineRule="exact"/>
        <w:ind w:firstLine="2570" w:firstLineChars="800"/>
        <w:rPr>
          <w:rFonts w:hint="eastAsia" w:ascii="仿宋" w:hAnsi="仿宋" w:eastAsia="仿宋" w:cs="仿宋"/>
          <w:b/>
          <w:sz w:val="32"/>
          <w:highlight w:val="none"/>
        </w:rPr>
      </w:pPr>
      <w:r>
        <w:rPr>
          <w:rFonts w:hint="eastAsia" w:ascii="仿宋" w:hAnsi="仿宋" w:eastAsia="仿宋" w:cs="仿宋"/>
          <w:b/>
          <w:sz w:val="32"/>
          <w:highlight w:val="none"/>
        </w:rPr>
        <w:t>一、投标书编制格式</w:t>
      </w:r>
    </w:p>
    <w:p w14:paraId="1617F1DB">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投标人应按下列格式排列和装订投标文件：</w:t>
      </w:r>
    </w:p>
    <w:p w14:paraId="728A0BE8">
      <w:pPr>
        <w:pStyle w:val="2"/>
        <w:spacing w:line="560" w:lineRule="exact"/>
        <w:ind w:firstLine="643" w:firstLineChars="200"/>
        <w:rPr>
          <w:rFonts w:hint="eastAsia" w:ascii="仿宋" w:hAnsi="仿宋" w:eastAsia="仿宋" w:cs="仿宋"/>
          <w:highlight w:val="none"/>
        </w:rPr>
      </w:pPr>
      <w:r>
        <w:rPr>
          <w:rFonts w:hint="eastAsia" w:ascii="仿宋" w:hAnsi="仿宋" w:eastAsia="仿宋" w:cs="仿宋"/>
          <w:highlight w:val="none"/>
        </w:rPr>
        <w:t>商务技术文件</w:t>
      </w:r>
    </w:p>
    <w:p w14:paraId="5EF16A1D">
      <w:pPr>
        <w:adjustRightInd w:val="0"/>
        <w:snapToGrid w:val="0"/>
        <w:spacing w:line="600" w:lineRule="exact"/>
        <w:ind w:firstLine="602" w:firstLineChars="200"/>
        <w:jc w:val="left"/>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一、资格性自查表</w:t>
      </w:r>
    </w:p>
    <w:p w14:paraId="1CECFB71">
      <w:pPr>
        <w:adjustRightInd w:val="0"/>
        <w:snapToGrid w:val="0"/>
        <w:spacing w:line="600" w:lineRule="exact"/>
        <w:ind w:firstLine="602" w:firstLineChars="200"/>
        <w:jc w:val="left"/>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二、投标函、投标声明</w:t>
      </w:r>
    </w:p>
    <w:p w14:paraId="28F05175">
      <w:pPr>
        <w:adjustRightInd w:val="0"/>
        <w:snapToGrid w:val="0"/>
        <w:spacing w:line="600" w:lineRule="exact"/>
        <w:ind w:firstLine="602" w:firstLineChars="200"/>
        <w:jc w:val="left"/>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三、投标保证金（保函）</w:t>
      </w:r>
    </w:p>
    <w:p w14:paraId="0ED57950">
      <w:pPr>
        <w:adjustRightInd w:val="0"/>
        <w:snapToGrid w:val="0"/>
        <w:spacing w:line="520" w:lineRule="exact"/>
        <w:ind w:firstLine="1200" w:firstLineChars="4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投标保证金（保函）缴纳凭证</w:t>
      </w:r>
    </w:p>
    <w:p w14:paraId="1EAB6047">
      <w:pPr>
        <w:adjustRightInd w:val="0"/>
        <w:snapToGrid w:val="0"/>
        <w:spacing w:line="600" w:lineRule="exact"/>
        <w:ind w:firstLine="602" w:firstLineChars="200"/>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四、投标人的基本情况及资格证明材料</w:t>
      </w:r>
    </w:p>
    <w:p w14:paraId="2E3E42F6">
      <w:pPr>
        <w:adjustRightInd w:val="0"/>
        <w:snapToGrid w:val="0"/>
        <w:spacing w:line="600" w:lineRule="exact"/>
        <w:ind w:firstLine="1200" w:firstLineChars="4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投标人基本情况表</w:t>
      </w:r>
    </w:p>
    <w:p w14:paraId="62664A50">
      <w:pPr>
        <w:adjustRightInd w:val="0"/>
        <w:snapToGrid w:val="0"/>
        <w:spacing w:line="600" w:lineRule="exact"/>
        <w:ind w:firstLine="1200" w:firstLineChars="400"/>
        <w:rPr>
          <w:rFonts w:hint="eastAsia" w:ascii="仿宋" w:hAnsi="仿宋" w:eastAsia="仿宋" w:cs="仿宋"/>
          <w:sz w:val="30"/>
          <w:szCs w:val="30"/>
          <w:highlight w:val="none"/>
        </w:rPr>
      </w:pPr>
      <w:r>
        <w:rPr>
          <w:rFonts w:hint="eastAsia" w:ascii="仿宋" w:hAnsi="仿宋" w:eastAsia="仿宋" w:cs="仿宋"/>
          <w:sz w:val="30"/>
          <w:szCs w:val="30"/>
          <w:highlight w:val="none"/>
        </w:rPr>
        <w:t>信用记录</w:t>
      </w:r>
    </w:p>
    <w:p w14:paraId="308793D4">
      <w:pPr>
        <w:adjustRightInd w:val="0"/>
        <w:snapToGrid w:val="0"/>
        <w:spacing w:line="600" w:lineRule="exact"/>
        <w:ind w:firstLine="1200" w:firstLineChars="400"/>
        <w:rPr>
          <w:rFonts w:hint="eastAsia" w:ascii="仿宋" w:hAnsi="仿宋" w:eastAsia="仿宋" w:cs="仿宋"/>
          <w:sz w:val="30"/>
          <w:szCs w:val="30"/>
          <w:highlight w:val="none"/>
        </w:rPr>
      </w:pPr>
      <w:r>
        <w:rPr>
          <w:rFonts w:hint="eastAsia" w:ascii="仿宋" w:hAnsi="仿宋" w:eastAsia="仿宋" w:cs="仿宋"/>
          <w:sz w:val="30"/>
          <w:szCs w:val="30"/>
          <w:highlight w:val="none"/>
        </w:rPr>
        <w:t>具有履行合同所必需的设备和专业技术能力书面声明</w:t>
      </w:r>
    </w:p>
    <w:p w14:paraId="739DF17A">
      <w:pPr>
        <w:adjustRightInd w:val="0"/>
        <w:snapToGrid w:val="0"/>
        <w:spacing w:line="600" w:lineRule="exact"/>
        <w:ind w:firstLine="1200" w:firstLineChars="400"/>
        <w:rPr>
          <w:rFonts w:hint="eastAsia" w:ascii="仿宋" w:hAnsi="仿宋" w:eastAsia="仿宋" w:cs="仿宋"/>
          <w:sz w:val="30"/>
          <w:szCs w:val="30"/>
          <w:highlight w:val="none"/>
        </w:rPr>
      </w:pPr>
      <w:r>
        <w:rPr>
          <w:rFonts w:hint="eastAsia" w:ascii="仿宋" w:hAnsi="仿宋" w:eastAsia="仿宋" w:cs="仿宋"/>
          <w:sz w:val="30"/>
          <w:szCs w:val="30"/>
          <w:highlight w:val="none"/>
        </w:rPr>
        <w:t>无重大违法记录声明书</w:t>
      </w:r>
    </w:p>
    <w:p w14:paraId="4DBEA5B2">
      <w:pPr>
        <w:adjustRightInd w:val="0"/>
        <w:snapToGrid w:val="0"/>
        <w:spacing w:line="600" w:lineRule="exact"/>
        <w:ind w:firstLine="1200" w:firstLineChars="400"/>
        <w:rPr>
          <w:sz w:val="30"/>
          <w:szCs w:val="30"/>
          <w:highlight w:val="none"/>
        </w:rPr>
      </w:pPr>
      <w:r>
        <w:rPr>
          <w:rFonts w:hint="eastAsia" w:ascii="仿宋" w:hAnsi="仿宋" w:eastAsia="仿宋" w:cs="仿宋"/>
          <w:sz w:val="30"/>
          <w:szCs w:val="30"/>
          <w:highlight w:val="none"/>
        </w:rPr>
        <w:t>投标单位（供应商）反商业贿赂承诺书</w:t>
      </w:r>
    </w:p>
    <w:p w14:paraId="1CE52C68">
      <w:pPr>
        <w:adjustRightInd w:val="0"/>
        <w:snapToGrid w:val="0"/>
        <w:spacing w:line="600" w:lineRule="exact"/>
        <w:ind w:firstLine="602" w:firstLineChars="200"/>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五、项目实施方案</w:t>
      </w:r>
    </w:p>
    <w:p w14:paraId="74B7FA7A">
      <w:pPr>
        <w:autoSpaceDE w:val="0"/>
        <w:autoSpaceDN w:val="0"/>
        <w:adjustRightInd w:val="0"/>
        <w:spacing w:line="600" w:lineRule="exact"/>
        <w:ind w:firstLine="1200" w:firstLineChars="4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项目负责人简历表及拟投入本项目主要成员表</w:t>
      </w:r>
    </w:p>
    <w:p w14:paraId="3457EDCE">
      <w:pPr>
        <w:adjustRightInd w:val="0"/>
        <w:snapToGrid w:val="0"/>
        <w:spacing w:line="600" w:lineRule="exact"/>
        <w:ind w:firstLine="1217" w:firstLineChars="406"/>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项目配备人员表</w:t>
      </w:r>
    </w:p>
    <w:p w14:paraId="79DA8DE1">
      <w:pPr>
        <w:adjustRightInd w:val="0"/>
        <w:snapToGrid w:val="0"/>
        <w:spacing w:line="600" w:lineRule="exact"/>
        <w:ind w:firstLine="1200" w:firstLineChars="4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服务附表</w:t>
      </w:r>
    </w:p>
    <w:p w14:paraId="6FFC062A">
      <w:pPr>
        <w:adjustRightInd w:val="0"/>
        <w:snapToGrid w:val="0"/>
        <w:spacing w:line="600" w:lineRule="exact"/>
        <w:ind w:firstLine="602" w:firstLineChars="200"/>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六、商务条款偏离表</w:t>
      </w:r>
    </w:p>
    <w:p w14:paraId="0C245B80">
      <w:pPr>
        <w:adjustRightInd w:val="0"/>
        <w:snapToGrid w:val="0"/>
        <w:spacing w:line="600" w:lineRule="exact"/>
        <w:ind w:firstLine="602" w:firstLineChars="200"/>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七、技术参数、功能偏离表</w:t>
      </w:r>
    </w:p>
    <w:p w14:paraId="761AE5AA">
      <w:pPr>
        <w:pStyle w:val="9"/>
        <w:adjustRightInd w:val="0"/>
        <w:snapToGrid w:val="0"/>
        <w:spacing w:line="6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八、设备简要说明一览表</w:t>
      </w:r>
    </w:p>
    <w:p w14:paraId="2BF5D961">
      <w:pPr>
        <w:pStyle w:val="9"/>
        <w:adjustRightInd w:val="0"/>
        <w:snapToGrid w:val="0"/>
        <w:spacing w:line="6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九、法人代表授权书格式</w:t>
      </w:r>
    </w:p>
    <w:p w14:paraId="7DF3619F">
      <w:pPr>
        <w:pStyle w:val="9"/>
        <w:adjustRightInd w:val="0"/>
        <w:snapToGrid w:val="0"/>
        <w:spacing w:line="6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十、销售业绩表</w:t>
      </w:r>
    </w:p>
    <w:p w14:paraId="1D3EFB92">
      <w:pPr>
        <w:pStyle w:val="9"/>
        <w:adjustRightInd w:val="0"/>
        <w:snapToGrid w:val="0"/>
        <w:spacing w:line="600" w:lineRule="exact"/>
        <w:ind w:firstLine="602" w:firstLineChars="200"/>
        <w:rPr>
          <w:rFonts w:hint="eastAsia" w:ascii="仿宋" w:hAnsi="仿宋" w:eastAsia="仿宋" w:cs="仿宋"/>
          <w:b/>
          <w:sz w:val="30"/>
          <w:szCs w:val="30"/>
          <w:highlight w:val="none"/>
          <w:lang w:eastAsia="zh-CN"/>
        </w:rPr>
      </w:pPr>
      <w:r>
        <w:rPr>
          <w:rFonts w:hint="eastAsia" w:ascii="仿宋" w:hAnsi="仿宋" w:eastAsia="仿宋" w:cs="仿宋"/>
          <w:b/>
          <w:sz w:val="30"/>
          <w:szCs w:val="30"/>
          <w:highlight w:val="none"/>
        </w:rPr>
        <w:t>十一、中小企业声明函</w:t>
      </w:r>
      <w:r>
        <w:rPr>
          <w:rFonts w:hint="eastAsia" w:ascii="仿宋" w:hAnsi="仿宋" w:eastAsia="仿宋" w:cs="仿宋"/>
          <w:b/>
          <w:sz w:val="30"/>
          <w:szCs w:val="30"/>
          <w:highlight w:val="none"/>
          <w:lang w:eastAsia="zh-CN"/>
        </w:rPr>
        <w:t>（</w:t>
      </w:r>
      <w:r>
        <w:rPr>
          <w:rFonts w:hint="eastAsia" w:ascii="仿宋" w:hAnsi="仿宋" w:eastAsia="仿宋" w:cs="仿宋"/>
          <w:b/>
          <w:sz w:val="30"/>
          <w:szCs w:val="30"/>
          <w:highlight w:val="none"/>
          <w:lang w:val="en-US" w:eastAsia="zh-CN"/>
        </w:rPr>
        <w:t>非中小企业可不提供</w:t>
      </w:r>
      <w:r>
        <w:rPr>
          <w:rFonts w:hint="eastAsia" w:ascii="仿宋" w:hAnsi="仿宋" w:eastAsia="仿宋" w:cs="仿宋"/>
          <w:b/>
          <w:sz w:val="30"/>
          <w:szCs w:val="30"/>
          <w:highlight w:val="none"/>
          <w:lang w:eastAsia="zh-CN"/>
        </w:rPr>
        <w:t>）</w:t>
      </w:r>
    </w:p>
    <w:p w14:paraId="18394AA8">
      <w:pPr>
        <w:pStyle w:val="9"/>
        <w:adjustRightInd w:val="0"/>
        <w:snapToGrid w:val="0"/>
        <w:spacing w:line="6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十二、投标人认为需提供的其他资料</w:t>
      </w:r>
    </w:p>
    <w:p w14:paraId="7C683311">
      <w:pPr>
        <w:pStyle w:val="9"/>
        <w:adjustRightInd w:val="0"/>
        <w:snapToGrid w:val="0"/>
        <w:spacing w:line="600" w:lineRule="exact"/>
        <w:ind w:firstLine="602" w:firstLineChars="200"/>
        <w:rPr>
          <w:rFonts w:hint="eastAsia" w:ascii="仿宋" w:hAnsi="仿宋" w:eastAsia="仿宋" w:cs="仿宋"/>
          <w:b/>
          <w:sz w:val="30"/>
          <w:szCs w:val="30"/>
          <w:highlight w:val="none"/>
        </w:rPr>
      </w:pPr>
    </w:p>
    <w:p w14:paraId="2DCD7869">
      <w:pPr>
        <w:pStyle w:val="9"/>
        <w:adjustRightInd w:val="0"/>
        <w:snapToGrid w:val="0"/>
        <w:spacing w:line="6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报价文件</w:t>
      </w:r>
    </w:p>
    <w:p w14:paraId="5F7B3E97">
      <w:pPr>
        <w:spacing w:line="600" w:lineRule="exact"/>
        <w:ind w:firstLine="602" w:firstLineChars="200"/>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一、开标一览表</w:t>
      </w:r>
    </w:p>
    <w:p w14:paraId="5EB4D4B2">
      <w:pPr>
        <w:spacing w:line="600" w:lineRule="exact"/>
        <w:ind w:firstLine="602" w:firstLineChars="200"/>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二、设备分项报价表</w:t>
      </w:r>
    </w:p>
    <w:p w14:paraId="045A094B">
      <w:pPr>
        <w:spacing w:line="600" w:lineRule="exact"/>
        <w:ind w:firstLine="602" w:firstLineChars="200"/>
        <w:jc w:val="left"/>
        <w:rPr>
          <w:rFonts w:hint="eastAsia" w:ascii="仿宋" w:hAnsi="仿宋" w:eastAsia="仿宋" w:cs="仿宋"/>
          <w:b/>
          <w:sz w:val="30"/>
          <w:szCs w:val="30"/>
          <w:highlight w:val="none"/>
        </w:rPr>
      </w:pPr>
    </w:p>
    <w:p w14:paraId="7E083CAF">
      <w:pPr>
        <w:spacing w:line="6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投标文件必须制作有目录和页码，只接受A4纸张大小的投标文件</w:t>
      </w:r>
    </w:p>
    <w:p w14:paraId="639A498B">
      <w:pPr>
        <w:pStyle w:val="22"/>
        <w:spacing w:line="600" w:lineRule="exact"/>
        <w:ind w:firstLine="0" w:firstLineChars="0"/>
        <w:rPr>
          <w:rFonts w:hint="eastAsia" w:ascii="仿宋" w:hAnsi="仿宋" w:eastAsia="仿宋" w:cs="仿宋"/>
          <w:sz w:val="32"/>
          <w:szCs w:val="32"/>
          <w:highlight w:val="none"/>
        </w:rPr>
      </w:pPr>
    </w:p>
    <w:p w14:paraId="4B8FFAF5">
      <w:pPr>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注：投标文件未按要求制作将作为废标处理</w:t>
      </w:r>
    </w:p>
    <w:p w14:paraId="75067EDD">
      <w:pPr>
        <w:pStyle w:val="13"/>
        <w:rPr>
          <w:rFonts w:hint="eastAsia" w:ascii="仿宋" w:hAnsi="仿宋" w:eastAsia="仿宋" w:cs="仿宋"/>
          <w:b/>
          <w:sz w:val="32"/>
          <w:szCs w:val="32"/>
          <w:highlight w:val="none"/>
        </w:rPr>
      </w:pPr>
    </w:p>
    <w:p w14:paraId="00671DD7">
      <w:pPr>
        <w:pStyle w:val="13"/>
        <w:rPr>
          <w:rFonts w:hint="eastAsia" w:ascii="仿宋" w:hAnsi="仿宋" w:eastAsia="仿宋" w:cs="仿宋"/>
          <w:b/>
          <w:sz w:val="32"/>
          <w:szCs w:val="32"/>
          <w:highlight w:val="none"/>
        </w:rPr>
      </w:pPr>
    </w:p>
    <w:p w14:paraId="681F06F6">
      <w:pPr>
        <w:pStyle w:val="13"/>
        <w:rPr>
          <w:rFonts w:hint="eastAsia" w:ascii="仿宋" w:hAnsi="仿宋" w:eastAsia="仿宋" w:cs="仿宋"/>
          <w:b/>
          <w:sz w:val="32"/>
          <w:szCs w:val="32"/>
          <w:highlight w:val="none"/>
        </w:rPr>
      </w:pPr>
    </w:p>
    <w:p w14:paraId="50DB63E1">
      <w:pPr>
        <w:pStyle w:val="13"/>
        <w:rPr>
          <w:rFonts w:hint="eastAsia" w:ascii="仿宋" w:hAnsi="仿宋" w:eastAsia="仿宋" w:cs="仿宋"/>
          <w:b/>
          <w:sz w:val="32"/>
          <w:szCs w:val="32"/>
          <w:highlight w:val="none"/>
        </w:rPr>
      </w:pPr>
    </w:p>
    <w:p w14:paraId="058C42FC">
      <w:pPr>
        <w:pStyle w:val="13"/>
        <w:rPr>
          <w:rFonts w:hint="eastAsia" w:ascii="仿宋" w:hAnsi="仿宋" w:eastAsia="仿宋" w:cs="仿宋"/>
          <w:b/>
          <w:sz w:val="32"/>
          <w:szCs w:val="32"/>
          <w:highlight w:val="none"/>
        </w:rPr>
      </w:pPr>
    </w:p>
    <w:p w14:paraId="1EB9EF54">
      <w:pPr>
        <w:pStyle w:val="13"/>
        <w:rPr>
          <w:rFonts w:hint="eastAsia" w:ascii="仿宋" w:hAnsi="仿宋" w:eastAsia="仿宋" w:cs="仿宋"/>
          <w:b/>
          <w:sz w:val="32"/>
          <w:szCs w:val="32"/>
          <w:highlight w:val="none"/>
        </w:rPr>
      </w:pPr>
    </w:p>
    <w:p w14:paraId="26FA22DC">
      <w:pPr>
        <w:pStyle w:val="13"/>
        <w:rPr>
          <w:rFonts w:hint="eastAsia" w:ascii="仿宋" w:hAnsi="仿宋" w:eastAsia="仿宋" w:cs="仿宋"/>
          <w:b/>
          <w:sz w:val="32"/>
          <w:szCs w:val="32"/>
          <w:highlight w:val="none"/>
        </w:rPr>
      </w:pPr>
    </w:p>
    <w:p w14:paraId="1DB8A502">
      <w:pPr>
        <w:pStyle w:val="13"/>
        <w:rPr>
          <w:rFonts w:hint="eastAsia" w:ascii="仿宋" w:hAnsi="仿宋" w:eastAsia="仿宋" w:cs="仿宋"/>
          <w:b/>
          <w:sz w:val="32"/>
          <w:szCs w:val="32"/>
          <w:highlight w:val="none"/>
        </w:rPr>
      </w:pPr>
    </w:p>
    <w:p w14:paraId="0E1E2805">
      <w:pPr>
        <w:pStyle w:val="13"/>
        <w:rPr>
          <w:rFonts w:hint="eastAsia" w:ascii="仿宋" w:hAnsi="仿宋" w:eastAsia="仿宋" w:cs="仿宋"/>
          <w:b/>
          <w:sz w:val="32"/>
          <w:szCs w:val="32"/>
          <w:highlight w:val="none"/>
        </w:rPr>
      </w:pPr>
    </w:p>
    <w:p w14:paraId="7E5BCF38">
      <w:pPr>
        <w:pStyle w:val="13"/>
        <w:rPr>
          <w:rFonts w:hint="eastAsia" w:ascii="仿宋" w:hAnsi="仿宋" w:eastAsia="仿宋" w:cs="仿宋"/>
          <w:b/>
          <w:sz w:val="32"/>
          <w:szCs w:val="32"/>
          <w:highlight w:val="none"/>
        </w:rPr>
      </w:pPr>
    </w:p>
    <w:p w14:paraId="69C75504">
      <w:pPr>
        <w:pStyle w:val="13"/>
        <w:rPr>
          <w:rFonts w:hint="eastAsia" w:ascii="仿宋" w:hAnsi="仿宋" w:eastAsia="仿宋" w:cs="仿宋"/>
          <w:b/>
          <w:sz w:val="32"/>
          <w:szCs w:val="32"/>
          <w:highlight w:val="none"/>
        </w:rPr>
      </w:pPr>
    </w:p>
    <w:p w14:paraId="50078455">
      <w:pPr>
        <w:pStyle w:val="13"/>
        <w:rPr>
          <w:rFonts w:hint="eastAsia" w:ascii="仿宋" w:hAnsi="仿宋" w:eastAsia="仿宋" w:cs="仿宋"/>
          <w:b/>
          <w:sz w:val="32"/>
          <w:szCs w:val="32"/>
          <w:highlight w:val="none"/>
        </w:rPr>
      </w:pPr>
    </w:p>
    <w:p w14:paraId="5B79D72B">
      <w:pPr>
        <w:pStyle w:val="13"/>
        <w:rPr>
          <w:rFonts w:hint="eastAsia" w:ascii="仿宋" w:hAnsi="仿宋" w:eastAsia="仿宋" w:cs="仿宋"/>
          <w:b/>
          <w:sz w:val="32"/>
          <w:szCs w:val="32"/>
          <w:highlight w:val="none"/>
        </w:rPr>
      </w:pPr>
    </w:p>
    <w:p w14:paraId="61481773">
      <w:pPr>
        <w:pStyle w:val="13"/>
        <w:rPr>
          <w:rFonts w:hint="eastAsia" w:ascii="仿宋" w:hAnsi="仿宋" w:eastAsia="仿宋" w:cs="仿宋"/>
          <w:b/>
          <w:sz w:val="32"/>
          <w:szCs w:val="32"/>
          <w:highlight w:val="none"/>
        </w:rPr>
      </w:pPr>
    </w:p>
    <w:p w14:paraId="75BE1454">
      <w:pPr>
        <w:pStyle w:val="13"/>
        <w:rPr>
          <w:rFonts w:hint="eastAsia" w:ascii="仿宋" w:hAnsi="仿宋" w:eastAsia="仿宋" w:cs="仿宋"/>
          <w:b/>
          <w:sz w:val="32"/>
          <w:szCs w:val="32"/>
          <w:highlight w:val="none"/>
        </w:rPr>
      </w:pPr>
    </w:p>
    <w:p w14:paraId="52890B5E">
      <w:pPr>
        <w:pStyle w:val="13"/>
        <w:rPr>
          <w:rFonts w:hint="eastAsia" w:ascii="仿宋" w:hAnsi="仿宋" w:eastAsia="仿宋" w:cs="仿宋"/>
          <w:b/>
          <w:sz w:val="32"/>
          <w:szCs w:val="32"/>
          <w:highlight w:val="none"/>
        </w:rPr>
      </w:pPr>
    </w:p>
    <w:p w14:paraId="70DD7035">
      <w:pPr>
        <w:spacing w:line="520" w:lineRule="exact"/>
        <w:ind w:firstLine="2570" w:firstLineChars="800"/>
        <w:rPr>
          <w:rFonts w:hint="eastAsia" w:ascii="仿宋" w:hAnsi="仿宋" w:eastAsia="仿宋" w:cs="仿宋"/>
          <w:b/>
          <w:sz w:val="32"/>
          <w:szCs w:val="22"/>
          <w:highlight w:val="none"/>
        </w:rPr>
      </w:pPr>
      <w:r>
        <w:rPr>
          <w:rFonts w:hint="eastAsia" w:ascii="仿宋" w:hAnsi="仿宋" w:eastAsia="仿宋" w:cs="仿宋"/>
          <w:b/>
          <w:sz w:val="32"/>
          <w:szCs w:val="22"/>
          <w:highlight w:val="none"/>
        </w:rPr>
        <w:t>二、有关附件格式范本</w:t>
      </w:r>
    </w:p>
    <w:p w14:paraId="77611E1F">
      <w:pPr>
        <w:adjustRightInd w:val="0"/>
        <w:snapToGrid w:val="0"/>
        <w:spacing w:line="360" w:lineRule="auto"/>
        <w:jc w:val="center"/>
        <w:outlineLvl w:val="1"/>
        <w:rPr>
          <w:rFonts w:hint="eastAsia" w:ascii="仿宋" w:hAnsi="仿宋" w:eastAsia="仿宋" w:cs="仿宋"/>
          <w:b/>
          <w:sz w:val="32"/>
          <w:szCs w:val="32"/>
          <w:highlight w:val="none"/>
        </w:rPr>
      </w:pPr>
    </w:p>
    <w:p w14:paraId="59483509">
      <w:pPr>
        <w:adjustRightInd w:val="0"/>
        <w:snapToGrid w:val="0"/>
        <w:spacing w:line="360" w:lineRule="auto"/>
        <w:ind w:firstLine="2570" w:firstLineChars="800"/>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（一）资格性自查表</w:t>
      </w:r>
    </w:p>
    <w:p w14:paraId="755BDE45">
      <w:pPr>
        <w:spacing w:line="400" w:lineRule="exact"/>
        <w:rPr>
          <w:rFonts w:hint="eastAsia" w:ascii="宋体" w:hAnsi="宋体"/>
          <w:b/>
          <w:szCs w:val="21"/>
          <w:highlight w:val="none"/>
        </w:rPr>
      </w:pPr>
    </w:p>
    <w:tbl>
      <w:tblPr>
        <w:tblStyle w:val="17"/>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951"/>
        <w:gridCol w:w="1620"/>
      </w:tblGrid>
      <w:tr w14:paraId="56A2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4552B9E8">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5951" w:type="dxa"/>
            <w:vAlign w:val="center"/>
          </w:tcPr>
          <w:p w14:paraId="39B8E09E">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审查因素</w:t>
            </w:r>
          </w:p>
        </w:tc>
        <w:tc>
          <w:tcPr>
            <w:tcW w:w="1620" w:type="dxa"/>
            <w:vAlign w:val="center"/>
          </w:tcPr>
          <w:p w14:paraId="189F98CC">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投标文件中</w:t>
            </w:r>
          </w:p>
          <w:p w14:paraId="7D0412B6">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对应页码</w:t>
            </w:r>
          </w:p>
        </w:tc>
      </w:tr>
      <w:tr w14:paraId="5047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D3CC00D">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5951" w:type="dxa"/>
            <w:vAlign w:val="center"/>
          </w:tcPr>
          <w:p w14:paraId="1B0905C0">
            <w:pPr>
              <w:topLinePunct/>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符合《中华人民共和国政府采购法》第二十二条规定</w:t>
            </w:r>
          </w:p>
        </w:tc>
        <w:tc>
          <w:tcPr>
            <w:tcW w:w="1620" w:type="dxa"/>
            <w:vAlign w:val="center"/>
          </w:tcPr>
          <w:p w14:paraId="1D17AF66">
            <w:pPr>
              <w:topLinePunct/>
              <w:spacing w:line="440" w:lineRule="exact"/>
              <w:jc w:val="center"/>
              <w:rPr>
                <w:rFonts w:hint="eastAsia" w:ascii="仿宋" w:hAnsi="仿宋" w:eastAsia="仿宋" w:cs="仿宋"/>
                <w:sz w:val="24"/>
                <w:szCs w:val="24"/>
                <w:highlight w:val="none"/>
              </w:rPr>
            </w:pPr>
          </w:p>
        </w:tc>
      </w:tr>
      <w:tr w14:paraId="4140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ABAEACF">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5951" w:type="dxa"/>
            <w:vAlign w:val="center"/>
          </w:tcPr>
          <w:p w14:paraId="59F5F8A4">
            <w:pPr>
              <w:topLinePunct/>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授权委托书、法人身份证明，企业资质</w:t>
            </w:r>
          </w:p>
        </w:tc>
        <w:tc>
          <w:tcPr>
            <w:tcW w:w="1620" w:type="dxa"/>
            <w:vAlign w:val="center"/>
          </w:tcPr>
          <w:p w14:paraId="54DC493A">
            <w:pPr>
              <w:topLinePunct/>
              <w:spacing w:line="440" w:lineRule="exact"/>
              <w:jc w:val="center"/>
              <w:rPr>
                <w:rFonts w:hint="eastAsia" w:ascii="仿宋" w:hAnsi="仿宋" w:eastAsia="仿宋" w:cs="仿宋"/>
                <w:sz w:val="24"/>
                <w:szCs w:val="24"/>
                <w:highlight w:val="none"/>
              </w:rPr>
            </w:pPr>
          </w:p>
        </w:tc>
      </w:tr>
      <w:tr w14:paraId="00D7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D284294">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5951" w:type="dxa"/>
            <w:vAlign w:val="center"/>
          </w:tcPr>
          <w:p w14:paraId="5BE5B982">
            <w:pPr>
              <w:topLinePunct/>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投标声明</w:t>
            </w:r>
          </w:p>
        </w:tc>
        <w:tc>
          <w:tcPr>
            <w:tcW w:w="1620" w:type="dxa"/>
            <w:vAlign w:val="center"/>
          </w:tcPr>
          <w:p w14:paraId="115453F0">
            <w:pPr>
              <w:topLinePunct/>
              <w:spacing w:line="440" w:lineRule="exact"/>
              <w:jc w:val="center"/>
              <w:rPr>
                <w:rFonts w:hint="eastAsia" w:ascii="仿宋" w:hAnsi="仿宋" w:eastAsia="仿宋" w:cs="仿宋"/>
                <w:sz w:val="24"/>
                <w:szCs w:val="24"/>
                <w:highlight w:val="none"/>
              </w:rPr>
            </w:pPr>
          </w:p>
        </w:tc>
      </w:tr>
      <w:tr w14:paraId="2D27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D74C7DE">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5951" w:type="dxa"/>
            <w:vAlign w:val="center"/>
          </w:tcPr>
          <w:p w14:paraId="6BA1DA81">
            <w:pPr>
              <w:topLinePunct/>
              <w:spacing w:line="440" w:lineRule="exact"/>
              <w:rPr>
                <w:rFonts w:hint="eastAsia" w:ascii="仿宋" w:hAnsi="仿宋" w:eastAsia="仿宋" w:cs="仿宋"/>
                <w:sz w:val="24"/>
                <w:szCs w:val="24"/>
                <w:highlight w:val="none"/>
              </w:rPr>
            </w:pPr>
            <w:r>
              <w:rPr>
                <w:rFonts w:hint="eastAsia" w:ascii="仿宋" w:hAnsi="仿宋" w:eastAsia="仿宋" w:cs="仿宋"/>
                <w:bCs/>
                <w:sz w:val="24"/>
                <w:szCs w:val="24"/>
                <w:highlight w:val="none"/>
              </w:rPr>
              <w:t>良好的商业信誉和健全的财务会计制度</w:t>
            </w:r>
          </w:p>
        </w:tc>
        <w:tc>
          <w:tcPr>
            <w:tcW w:w="1620" w:type="dxa"/>
            <w:vAlign w:val="center"/>
          </w:tcPr>
          <w:p w14:paraId="212BD77B">
            <w:pPr>
              <w:topLinePunct/>
              <w:spacing w:line="440" w:lineRule="exact"/>
              <w:jc w:val="center"/>
              <w:rPr>
                <w:rFonts w:hint="eastAsia" w:ascii="仿宋" w:hAnsi="仿宋" w:eastAsia="仿宋" w:cs="仿宋"/>
                <w:sz w:val="24"/>
                <w:szCs w:val="24"/>
                <w:highlight w:val="none"/>
              </w:rPr>
            </w:pPr>
          </w:p>
        </w:tc>
      </w:tr>
      <w:tr w14:paraId="684C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B4B9E47">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5951" w:type="dxa"/>
            <w:vAlign w:val="center"/>
          </w:tcPr>
          <w:p w14:paraId="421089C0">
            <w:pPr>
              <w:topLinePunct/>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税务登记证复印件或依法缴纳税收证明</w:t>
            </w:r>
          </w:p>
        </w:tc>
        <w:tc>
          <w:tcPr>
            <w:tcW w:w="1620" w:type="dxa"/>
            <w:vAlign w:val="center"/>
          </w:tcPr>
          <w:p w14:paraId="3484503A">
            <w:pPr>
              <w:topLinePunct/>
              <w:spacing w:line="440" w:lineRule="exact"/>
              <w:jc w:val="center"/>
              <w:rPr>
                <w:rFonts w:hint="eastAsia" w:ascii="仿宋" w:hAnsi="仿宋" w:eastAsia="仿宋" w:cs="仿宋"/>
                <w:sz w:val="24"/>
                <w:szCs w:val="24"/>
                <w:highlight w:val="none"/>
              </w:rPr>
            </w:pPr>
          </w:p>
        </w:tc>
      </w:tr>
      <w:tr w14:paraId="7C40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3394B80">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5951" w:type="dxa"/>
            <w:vAlign w:val="center"/>
          </w:tcPr>
          <w:p w14:paraId="7542935E">
            <w:pPr>
              <w:topLinePunct/>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社会保险登记证或社保机构出具的近半年内任一月社保缴纳证明</w:t>
            </w:r>
          </w:p>
        </w:tc>
        <w:tc>
          <w:tcPr>
            <w:tcW w:w="1620" w:type="dxa"/>
            <w:vAlign w:val="center"/>
          </w:tcPr>
          <w:p w14:paraId="5AFE089A">
            <w:pPr>
              <w:topLinePunct/>
              <w:spacing w:line="440" w:lineRule="exact"/>
              <w:jc w:val="center"/>
              <w:rPr>
                <w:rFonts w:hint="eastAsia" w:ascii="仿宋" w:hAnsi="仿宋" w:eastAsia="仿宋" w:cs="仿宋"/>
                <w:sz w:val="24"/>
                <w:szCs w:val="24"/>
                <w:highlight w:val="none"/>
              </w:rPr>
            </w:pPr>
          </w:p>
        </w:tc>
      </w:tr>
      <w:tr w14:paraId="3E2D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04FF8EA">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5951" w:type="dxa"/>
            <w:vAlign w:val="center"/>
          </w:tcPr>
          <w:p w14:paraId="1B04EB67">
            <w:pPr>
              <w:topLinePunct/>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交纳投标保证金证明</w:t>
            </w:r>
          </w:p>
        </w:tc>
        <w:tc>
          <w:tcPr>
            <w:tcW w:w="1620" w:type="dxa"/>
            <w:vAlign w:val="center"/>
          </w:tcPr>
          <w:p w14:paraId="532C7469">
            <w:pPr>
              <w:topLinePunct/>
              <w:spacing w:line="440" w:lineRule="exact"/>
              <w:jc w:val="center"/>
              <w:rPr>
                <w:rFonts w:hint="eastAsia" w:ascii="仿宋" w:hAnsi="仿宋" w:eastAsia="仿宋" w:cs="仿宋"/>
                <w:sz w:val="24"/>
                <w:szCs w:val="24"/>
                <w:highlight w:val="none"/>
              </w:rPr>
            </w:pPr>
          </w:p>
        </w:tc>
      </w:tr>
    </w:tbl>
    <w:p w14:paraId="07DBE4C8">
      <w:pPr>
        <w:rPr>
          <w:rFonts w:hint="eastAsia" w:ascii="宋体" w:hAnsi="宋体"/>
          <w:szCs w:val="21"/>
          <w:highlight w:val="none"/>
        </w:rPr>
      </w:pPr>
    </w:p>
    <w:p w14:paraId="10ED98CD">
      <w:pPr>
        <w:rPr>
          <w:rFonts w:hint="eastAsia" w:ascii="宋体" w:hAnsi="宋体"/>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Cs w:val="21"/>
          <w:highlight w:val="none"/>
        </w:rPr>
        <w:t>★注：以上资料复印件必须加盖投标人单位公章并</w:t>
      </w:r>
      <w:r>
        <w:rPr>
          <w:rFonts w:ascii="宋体" w:hAnsi="宋体"/>
          <w:b/>
          <w:szCs w:val="21"/>
          <w:highlight w:val="none"/>
        </w:rPr>
        <w:t>附在投标文件中</w:t>
      </w:r>
    </w:p>
    <w:p w14:paraId="31FD5A83">
      <w:pPr>
        <w:adjustRightInd w:val="0"/>
        <w:snapToGrid w:val="0"/>
        <w:spacing w:line="360" w:lineRule="auto"/>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（二）投 标 函</w:t>
      </w:r>
    </w:p>
    <w:p w14:paraId="6A68E8B5">
      <w:pPr>
        <w:pStyle w:val="22"/>
        <w:ind w:firstLine="420"/>
        <w:rPr>
          <w:highlight w:val="none"/>
        </w:rPr>
      </w:pPr>
    </w:p>
    <w:p w14:paraId="62A374A5">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致：哈密市公共资源交易服务中心:</w:t>
      </w:r>
    </w:p>
    <w:p w14:paraId="0C35965C">
      <w:pPr>
        <w:spacing w:line="4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根据贵方为</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rPr>
        <w:t>项目招标的投标邀请</w:t>
      </w:r>
      <w:r>
        <w:rPr>
          <w:rFonts w:hint="eastAsia" w:ascii="仿宋" w:hAnsi="仿宋" w:eastAsia="仿宋" w:cs="仿宋"/>
          <w:sz w:val="28"/>
          <w:szCs w:val="28"/>
          <w:highlight w:val="none"/>
          <w:u w:val="single"/>
        </w:rPr>
        <w:t xml:space="preserve">（招标编号） </w:t>
      </w:r>
      <w:r>
        <w:rPr>
          <w:rFonts w:hint="eastAsia" w:ascii="仿宋" w:hAnsi="仿宋" w:eastAsia="仿宋" w:cs="仿宋"/>
          <w:sz w:val="28"/>
          <w:szCs w:val="28"/>
          <w:highlight w:val="none"/>
        </w:rPr>
        <w:t>，签字代表</w:t>
      </w:r>
      <w:r>
        <w:rPr>
          <w:rFonts w:hint="eastAsia" w:ascii="仿宋" w:hAnsi="仿宋" w:eastAsia="仿宋" w:cs="仿宋"/>
          <w:sz w:val="28"/>
          <w:szCs w:val="28"/>
          <w:highlight w:val="none"/>
          <w:u w:val="single"/>
        </w:rPr>
        <w:t>（姓名、职务）</w:t>
      </w:r>
      <w:r>
        <w:rPr>
          <w:rFonts w:hint="eastAsia" w:ascii="仿宋" w:hAnsi="仿宋" w:eastAsia="仿宋" w:cs="仿宋"/>
          <w:sz w:val="28"/>
          <w:szCs w:val="28"/>
          <w:highlight w:val="none"/>
        </w:rPr>
        <w:t>经正式授权并代表投标人</w:t>
      </w:r>
      <w:r>
        <w:rPr>
          <w:rFonts w:hint="eastAsia" w:ascii="仿宋" w:hAnsi="仿宋" w:eastAsia="仿宋" w:cs="仿宋"/>
          <w:sz w:val="28"/>
          <w:szCs w:val="28"/>
          <w:highlight w:val="none"/>
          <w:u w:val="single"/>
        </w:rPr>
        <w:t>（投标人名称、地址）</w:t>
      </w:r>
      <w:r>
        <w:rPr>
          <w:rFonts w:hint="eastAsia" w:ascii="仿宋" w:hAnsi="仿宋" w:eastAsia="仿宋" w:cs="仿宋"/>
          <w:sz w:val="28"/>
          <w:szCs w:val="28"/>
          <w:highlight w:val="none"/>
        </w:rPr>
        <w:t>提交下述文件。</w:t>
      </w:r>
    </w:p>
    <w:p w14:paraId="5E950533">
      <w:pPr>
        <w:numPr>
          <w:ilvl w:val="0"/>
          <w:numId w:val="9"/>
        </w:num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开标一览表</w:t>
      </w:r>
    </w:p>
    <w:p w14:paraId="0D0D1E42">
      <w:pPr>
        <w:numPr>
          <w:ilvl w:val="0"/>
          <w:numId w:val="9"/>
        </w:num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投标分项报价表</w:t>
      </w:r>
    </w:p>
    <w:p w14:paraId="7B412FF8">
      <w:pPr>
        <w:numPr>
          <w:ilvl w:val="0"/>
          <w:numId w:val="9"/>
        </w:num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规格、技术参数、功能偏离表</w:t>
      </w:r>
    </w:p>
    <w:p w14:paraId="7909826E">
      <w:pPr>
        <w:numPr>
          <w:ilvl w:val="0"/>
          <w:numId w:val="9"/>
        </w:num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商务条款偏离表</w:t>
      </w:r>
    </w:p>
    <w:p w14:paraId="5AD6FE32">
      <w:pPr>
        <w:numPr>
          <w:ilvl w:val="0"/>
          <w:numId w:val="9"/>
        </w:num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按招标文件投标人须知、技术规格要求及其他要求提供有关文件</w:t>
      </w:r>
    </w:p>
    <w:p w14:paraId="559B5D40">
      <w:pPr>
        <w:numPr>
          <w:ilvl w:val="0"/>
          <w:numId w:val="9"/>
        </w:num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w:t>
      </w:r>
    </w:p>
    <w:p w14:paraId="5CDCEDE4">
      <w:pPr>
        <w:numPr>
          <w:ilvl w:val="0"/>
          <w:numId w:val="9"/>
        </w:num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投标保证金（保函）金额为</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w:t>
      </w:r>
    </w:p>
    <w:p w14:paraId="2721E056">
      <w:pPr>
        <w:spacing w:line="4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据此函，签字代表宣布并同意如下：</w:t>
      </w:r>
    </w:p>
    <w:p w14:paraId="76AEE072">
      <w:pPr>
        <w:spacing w:line="4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1、投标方将按招标文件的规定履行合同责任和义务；</w:t>
      </w:r>
    </w:p>
    <w:p w14:paraId="32D4520B">
      <w:pPr>
        <w:spacing w:line="4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2、投标方已详细阅读并理解了招标文件的全部，包括修改文件（如有的话）。我们完全理解并同意放弃对这方面有不明及误解的权利。</w:t>
      </w:r>
    </w:p>
    <w:p w14:paraId="1E53BFEC">
      <w:pPr>
        <w:spacing w:line="4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3、本投标有效期自开标之日起</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个日历日。</w:t>
      </w:r>
    </w:p>
    <w:p w14:paraId="6D57124D">
      <w:pPr>
        <w:spacing w:line="4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4、在规定的开标时间后，如果在投标有效期内撤回投标，同意投标保证金将被贵方没收。</w:t>
      </w:r>
    </w:p>
    <w:p w14:paraId="080452A6">
      <w:pPr>
        <w:spacing w:line="4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5、投标人同意提供按照贵方可能要求的与其投标有关的一切数据或资料，完全理解贵方不一定接受最低价的投标或收到的任何投标的约定。</w:t>
      </w:r>
    </w:p>
    <w:p w14:paraId="215CEDC0">
      <w:pPr>
        <w:spacing w:line="40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6、与本投标有关的一切正式往来信函请寄：</w:t>
      </w:r>
    </w:p>
    <w:p w14:paraId="5BB4DF06">
      <w:pPr>
        <w:spacing w:line="400" w:lineRule="exact"/>
        <w:ind w:firstLine="28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邮编：</w:t>
      </w:r>
      <w:r>
        <w:rPr>
          <w:rFonts w:hint="eastAsia" w:ascii="仿宋" w:hAnsi="仿宋" w:eastAsia="仿宋" w:cs="仿宋"/>
          <w:sz w:val="28"/>
          <w:szCs w:val="28"/>
          <w:highlight w:val="none"/>
          <w:u w:val="single"/>
        </w:rPr>
        <w:t>　　　　   　　　　　</w:t>
      </w:r>
    </w:p>
    <w:p w14:paraId="1E059523">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电　　　　　 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w:t>
      </w:r>
    </w:p>
    <w:p w14:paraId="1818E4A0">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投标人代表签字：</w:t>
      </w:r>
      <w:r>
        <w:rPr>
          <w:rFonts w:hint="eastAsia" w:ascii="仿宋" w:hAnsi="仿宋" w:eastAsia="仿宋" w:cs="仿宋"/>
          <w:sz w:val="28"/>
          <w:szCs w:val="28"/>
          <w:highlight w:val="none"/>
          <w:u w:val="single"/>
        </w:rPr>
        <w:t>　　　　　　　　　　　　　</w:t>
      </w:r>
    </w:p>
    <w:p w14:paraId="1ABAB0FD">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投 标 人 名 称：</w:t>
      </w:r>
      <w:r>
        <w:rPr>
          <w:rFonts w:hint="eastAsia" w:ascii="仿宋" w:hAnsi="仿宋" w:eastAsia="仿宋" w:cs="仿宋"/>
          <w:sz w:val="28"/>
          <w:szCs w:val="28"/>
          <w:highlight w:val="none"/>
          <w:u w:val="single"/>
        </w:rPr>
        <w:t>　      　　　　　　　　　</w:t>
      </w:r>
    </w:p>
    <w:p w14:paraId="409D7DDC">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公          章：</w:t>
      </w:r>
      <w:r>
        <w:rPr>
          <w:rFonts w:hint="eastAsia" w:ascii="仿宋" w:hAnsi="仿宋" w:eastAsia="仿宋" w:cs="仿宋"/>
          <w:sz w:val="28"/>
          <w:szCs w:val="28"/>
          <w:highlight w:val="none"/>
          <w:u w:val="single"/>
        </w:rPr>
        <w:t>　　　　　　　　　　　　　</w:t>
      </w:r>
    </w:p>
    <w:p w14:paraId="1E27BFFB">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20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D1894B9">
      <w:pPr>
        <w:adjustRightInd w:val="0"/>
        <w:snapToGrid w:val="0"/>
        <w:spacing w:line="360" w:lineRule="auto"/>
        <w:jc w:val="center"/>
        <w:outlineLvl w:val="1"/>
        <w:rPr>
          <w:rFonts w:hint="eastAsia" w:ascii="仿宋" w:hAnsi="仿宋" w:eastAsia="仿宋" w:cs="仿宋"/>
          <w:b/>
          <w:sz w:val="32"/>
          <w:szCs w:val="32"/>
          <w:highlight w:val="none"/>
        </w:rPr>
      </w:pPr>
      <w:r>
        <w:rPr>
          <w:rFonts w:hint="eastAsia" w:ascii="宋体" w:hAnsi="宋体"/>
          <w:b/>
          <w:sz w:val="30"/>
          <w:highlight w:val="none"/>
        </w:rPr>
        <w:t xml:space="preserve">       </w:t>
      </w:r>
      <w:r>
        <w:rPr>
          <w:rFonts w:hint="eastAsia" w:ascii="仿宋" w:hAnsi="仿宋" w:eastAsia="仿宋" w:cs="仿宋"/>
          <w:b/>
          <w:sz w:val="32"/>
          <w:szCs w:val="32"/>
          <w:highlight w:val="none"/>
        </w:rPr>
        <w:t xml:space="preserve">             </w:t>
      </w:r>
    </w:p>
    <w:p w14:paraId="0F668EEF">
      <w:pPr>
        <w:adjustRightInd w:val="0"/>
        <w:snapToGrid w:val="0"/>
        <w:spacing w:line="360" w:lineRule="auto"/>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（三）关于资格的声明函</w:t>
      </w:r>
    </w:p>
    <w:p w14:paraId="1C8E79C9">
      <w:pPr>
        <w:pStyle w:val="7"/>
        <w:spacing w:line="400" w:lineRule="exact"/>
        <w:rPr>
          <w:rFonts w:hint="eastAsia" w:ascii="宋体" w:hAnsi="宋体" w:eastAsia="宋体"/>
          <w:sz w:val="24"/>
          <w:highlight w:val="none"/>
        </w:rPr>
      </w:pPr>
    </w:p>
    <w:p w14:paraId="4A50BE81">
      <w:pPr>
        <w:pStyle w:val="7"/>
        <w:spacing w:line="400" w:lineRule="exact"/>
        <w:ind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致哈密市公共资源交易服务中心：</w:t>
      </w:r>
    </w:p>
    <w:p w14:paraId="544531DD">
      <w:pPr>
        <w:pStyle w:val="7"/>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关于贵方 年月日 招标公告关于“　　　　　　　　”的招标项目，本签字人愿意参加投标，并有能力提供  （项目名称） 项目中的（包号及货物名称）招标货物及相关服务，并保证所提交的所有文件和说明是真实和准确的。</w:t>
      </w:r>
    </w:p>
    <w:p w14:paraId="42430487">
      <w:pPr>
        <w:pStyle w:val="7"/>
        <w:spacing w:line="400" w:lineRule="exact"/>
        <w:rPr>
          <w:rFonts w:hint="eastAsia" w:ascii="仿宋" w:hAnsi="仿宋" w:eastAsia="仿宋" w:cs="仿宋"/>
          <w:sz w:val="28"/>
          <w:szCs w:val="28"/>
          <w:highlight w:val="none"/>
        </w:rPr>
      </w:pPr>
    </w:p>
    <w:p w14:paraId="1223F881">
      <w:pPr>
        <w:pStyle w:val="7"/>
        <w:spacing w:line="400" w:lineRule="exact"/>
        <w:rPr>
          <w:rFonts w:hint="eastAsia" w:ascii="仿宋" w:hAnsi="仿宋" w:eastAsia="仿宋" w:cs="仿宋"/>
          <w:sz w:val="28"/>
          <w:szCs w:val="28"/>
          <w:highlight w:val="none"/>
        </w:rPr>
      </w:pPr>
    </w:p>
    <w:p w14:paraId="7223ABB5">
      <w:pPr>
        <w:pStyle w:val="7"/>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　　</w:t>
      </w:r>
    </w:p>
    <w:p w14:paraId="025D59BA">
      <w:pPr>
        <w:pStyle w:val="7"/>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授权签署本资格文件人：</w:t>
      </w:r>
    </w:p>
    <w:p w14:paraId="4FA70F2D">
      <w:pPr>
        <w:pStyle w:val="8"/>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被授权人姓名、职务：</w:t>
      </w:r>
    </w:p>
    <w:p w14:paraId="68E64E81">
      <w:pPr>
        <w:pStyle w:val="8"/>
        <w:rPr>
          <w:rFonts w:hint="eastAsia" w:ascii="仿宋" w:hAnsi="仿宋" w:eastAsia="仿宋" w:cs="仿宋"/>
          <w:sz w:val="28"/>
          <w:szCs w:val="28"/>
          <w:highlight w:val="none"/>
        </w:rPr>
      </w:pPr>
    </w:p>
    <w:p w14:paraId="1B392058">
      <w:pPr>
        <w:pStyle w:val="8"/>
        <w:rPr>
          <w:rFonts w:hint="eastAsia" w:ascii="仿宋" w:hAnsi="仿宋" w:eastAsia="仿宋" w:cs="仿宋"/>
          <w:sz w:val="28"/>
          <w:szCs w:val="28"/>
          <w:highlight w:val="none"/>
        </w:rPr>
      </w:pPr>
    </w:p>
    <w:p w14:paraId="07C3BCDD">
      <w:pPr>
        <w:pStyle w:val="8"/>
        <w:rPr>
          <w:rFonts w:hint="eastAsia" w:ascii="仿宋" w:hAnsi="仿宋" w:eastAsia="仿宋" w:cs="仿宋"/>
          <w:sz w:val="28"/>
          <w:szCs w:val="28"/>
          <w:highlight w:val="none"/>
        </w:rPr>
      </w:pPr>
    </w:p>
    <w:p w14:paraId="23A1BBC7">
      <w:pPr>
        <w:pStyle w:val="7"/>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传真：　　　　　　            　　　　　　　　　　　　　</w:t>
      </w:r>
    </w:p>
    <w:p w14:paraId="45DA78DC">
      <w:pPr>
        <w:pStyle w:val="7"/>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　　　　　　　　　　　　　电话：　　　　　　　　</w:t>
      </w:r>
    </w:p>
    <w:p w14:paraId="22825BEA">
      <w:pPr>
        <w:pStyle w:val="7"/>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盖章：</w:t>
      </w:r>
    </w:p>
    <w:p w14:paraId="4D7C7BF4">
      <w:pPr>
        <w:pStyle w:val="9"/>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w:t>
      </w:r>
    </w:p>
    <w:p w14:paraId="4F9C059B">
      <w:pPr>
        <w:pStyle w:val="9"/>
        <w:jc w:val="center"/>
        <w:rPr>
          <w:rFonts w:hint="eastAsia" w:ascii="仿宋" w:hAnsi="仿宋" w:eastAsia="仿宋" w:cs="仿宋"/>
          <w:sz w:val="28"/>
          <w:szCs w:val="28"/>
          <w:highlight w:val="none"/>
        </w:rPr>
      </w:pPr>
    </w:p>
    <w:p w14:paraId="4719D0B2">
      <w:pPr>
        <w:pStyle w:val="9"/>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p w14:paraId="773DC383">
      <w:pPr>
        <w:jc w:val="center"/>
        <w:rPr>
          <w:rFonts w:hint="eastAsia" w:ascii="宋体" w:hAnsi="宋体"/>
          <w:b/>
          <w:sz w:val="30"/>
          <w:highlight w:val="none"/>
        </w:rPr>
      </w:pPr>
    </w:p>
    <w:p w14:paraId="2DDDFABD">
      <w:pPr>
        <w:spacing w:line="360" w:lineRule="exact"/>
        <w:rPr>
          <w:rFonts w:hint="eastAsia" w:ascii="宋体" w:hAnsi="宋体"/>
          <w:b/>
          <w:highlight w:val="none"/>
        </w:rPr>
      </w:pPr>
    </w:p>
    <w:p w14:paraId="4370E244">
      <w:pPr>
        <w:adjustRightInd w:val="0"/>
        <w:snapToGrid w:val="0"/>
        <w:spacing w:line="360" w:lineRule="auto"/>
        <w:jc w:val="center"/>
        <w:outlineLvl w:val="1"/>
        <w:rPr>
          <w:rFonts w:hint="eastAsia" w:ascii="宋体" w:hAnsi="宋体"/>
          <w:b/>
          <w:sz w:val="28"/>
          <w:szCs w:val="28"/>
          <w:highlight w:val="none"/>
        </w:rPr>
      </w:pPr>
    </w:p>
    <w:p w14:paraId="72AB5A73">
      <w:pPr>
        <w:adjustRightInd w:val="0"/>
        <w:snapToGrid w:val="0"/>
        <w:spacing w:line="360" w:lineRule="auto"/>
        <w:jc w:val="center"/>
        <w:outlineLvl w:val="1"/>
        <w:rPr>
          <w:rFonts w:hint="eastAsia" w:ascii="宋体" w:hAnsi="宋体"/>
          <w:b/>
          <w:sz w:val="28"/>
          <w:szCs w:val="28"/>
          <w:highlight w:val="none"/>
        </w:rPr>
      </w:pPr>
    </w:p>
    <w:p w14:paraId="041F992F">
      <w:pPr>
        <w:pStyle w:val="13"/>
        <w:rPr>
          <w:highlight w:val="none"/>
        </w:rPr>
      </w:pPr>
    </w:p>
    <w:p w14:paraId="3961396E">
      <w:pPr>
        <w:adjustRightInd w:val="0"/>
        <w:snapToGrid w:val="0"/>
        <w:spacing w:line="360" w:lineRule="auto"/>
        <w:jc w:val="center"/>
        <w:outlineLvl w:val="1"/>
        <w:rPr>
          <w:rFonts w:hint="eastAsia" w:ascii="宋体" w:hAnsi="宋体"/>
          <w:b/>
          <w:sz w:val="28"/>
          <w:szCs w:val="28"/>
          <w:highlight w:val="none"/>
        </w:rPr>
      </w:pPr>
    </w:p>
    <w:p w14:paraId="13AAF5E9">
      <w:pPr>
        <w:adjustRightInd w:val="0"/>
        <w:snapToGrid w:val="0"/>
        <w:spacing w:line="360" w:lineRule="auto"/>
        <w:jc w:val="center"/>
        <w:outlineLvl w:val="1"/>
        <w:rPr>
          <w:rFonts w:hint="eastAsia" w:ascii="宋体" w:hAnsi="宋体"/>
          <w:b/>
          <w:sz w:val="28"/>
          <w:szCs w:val="28"/>
          <w:highlight w:val="none"/>
        </w:rPr>
      </w:pPr>
    </w:p>
    <w:p w14:paraId="231E5C79">
      <w:pPr>
        <w:adjustRightInd w:val="0"/>
        <w:snapToGrid w:val="0"/>
        <w:spacing w:line="360" w:lineRule="auto"/>
        <w:jc w:val="center"/>
        <w:outlineLvl w:val="1"/>
        <w:rPr>
          <w:rFonts w:hint="eastAsia" w:ascii="宋体" w:hAnsi="宋体"/>
          <w:b/>
          <w:sz w:val="28"/>
          <w:szCs w:val="28"/>
          <w:highlight w:val="none"/>
        </w:rPr>
      </w:pPr>
    </w:p>
    <w:p w14:paraId="7730E2F3">
      <w:pPr>
        <w:adjustRightInd w:val="0"/>
        <w:snapToGrid w:val="0"/>
        <w:spacing w:line="360" w:lineRule="auto"/>
        <w:outlineLvl w:val="1"/>
        <w:rPr>
          <w:rFonts w:hint="eastAsia" w:ascii="仿宋" w:hAnsi="仿宋" w:eastAsia="仿宋" w:cs="仿宋"/>
          <w:b/>
          <w:sz w:val="32"/>
          <w:szCs w:val="32"/>
          <w:highlight w:val="none"/>
        </w:rPr>
      </w:pPr>
    </w:p>
    <w:p w14:paraId="3E22DBA5">
      <w:pPr>
        <w:adjustRightInd w:val="0"/>
        <w:snapToGrid w:val="0"/>
        <w:spacing w:line="360" w:lineRule="auto"/>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（四）投标保证金（保函）</w:t>
      </w:r>
    </w:p>
    <w:p w14:paraId="2DEED982">
      <w:pPr>
        <w:rPr>
          <w:rFonts w:hint="eastAsia" w:ascii="宋体" w:hAnsi="宋体"/>
          <w:highlight w:val="none"/>
        </w:rPr>
      </w:pPr>
    </w:p>
    <w:p w14:paraId="5D9D9D1E">
      <w:pPr>
        <w:rPr>
          <w:rFonts w:hint="eastAsia" w:ascii="宋体" w:hAnsi="宋体"/>
          <w:b/>
          <w:sz w:val="30"/>
          <w:highlight w:val="none"/>
        </w:rPr>
      </w:pPr>
    </w:p>
    <w:p w14:paraId="6CAF1E9E">
      <w:pPr>
        <w:rPr>
          <w:rFonts w:hint="eastAsia" w:ascii="宋体" w:hAnsi="宋体"/>
          <w:b/>
          <w:sz w:val="30"/>
          <w:highlight w:val="none"/>
        </w:rPr>
      </w:pPr>
    </w:p>
    <w:p w14:paraId="51C930A5">
      <w:pPr>
        <w:rPr>
          <w:rFonts w:hint="eastAsia" w:ascii="宋体" w:hAnsi="宋体"/>
          <w:b/>
          <w:sz w:val="30"/>
          <w:highlight w:val="none"/>
        </w:rPr>
      </w:pPr>
    </w:p>
    <w:p w14:paraId="5550BD1E">
      <w:pPr>
        <w:rPr>
          <w:rFonts w:hint="eastAsia" w:ascii="宋体" w:hAnsi="宋体"/>
          <w:b/>
          <w:sz w:val="30"/>
          <w:highlight w:val="none"/>
        </w:rPr>
      </w:pPr>
    </w:p>
    <w:p w14:paraId="6C6EFED7">
      <w:pPr>
        <w:rPr>
          <w:rFonts w:hint="eastAsia" w:ascii="宋体" w:hAnsi="宋体"/>
          <w:b/>
          <w:sz w:val="30"/>
          <w:highlight w:val="none"/>
        </w:rPr>
      </w:pPr>
    </w:p>
    <w:p w14:paraId="10C3F6B7">
      <w:pPr>
        <w:rPr>
          <w:rFonts w:hint="eastAsia" w:ascii="宋体" w:hAnsi="宋体"/>
          <w:b/>
          <w:sz w:val="30"/>
          <w:highlight w:val="none"/>
        </w:rPr>
      </w:pPr>
    </w:p>
    <w:p w14:paraId="14C11A43">
      <w:pPr>
        <w:adjustRightInd w:val="0"/>
        <w:snapToGrid w:val="0"/>
        <w:spacing w:line="360" w:lineRule="auto"/>
        <w:jc w:val="center"/>
        <w:outlineLvl w:val="1"/>
        <w:rPr>
          <w:rFonts w:hint="eastAsia" w:ascii="宋体" w:hAnsi="宋体"/>
          <w:b/>
          <w:sz w:val="30"/>
          <w:highlight w:val="none"/>
        </w:rPr>
      </w:pPr>
    </w:p>
    <w:p w14:paraId="372FB65E">
      <w:pPr>
        <w:adjustRightInd w:val="0"/>
        <w:snapToGrid w:val="0"/>
        <w:spacing w:line="360" w:lineRule="auto"/>
        <w:jc w:val="center"/>
        <w:outlineLvl w:val="1"/>
        <w:rPr>
          <w:rFonts w:hint="eastAsia" w:ascii="宋体" w:hAnsi="宋体"/>
          <w:b/>
          <w:sz w:val="30"/>
          <w:highlight w:val="none"/>
        </w:rPr>
      </w:pPr>
    </w:p>
    <w:p w14:paraId="74135CDA">
      <w:pPr>
        <w:adjustRightInd w:val="0"/>
        <w:snapToGrid w:val="0"/>
        <w:spacing w:line="360" w:lineRule="auto"/>
        <w:jc w:val="center"/>
        <w:outlineLvl w:val="1"/>
        <w:rPr>
          <w:rFonts w:hint="eastAsia" w:ascii="宋体" w:hAnsi="宋体"/>
          <w:b/>
          <w:sz w:val="30"/>
          <w:highlight w:val="none"/>
        </w:rPr>
      </w:pPr>
    </w:p>
    <w:p w14:paraId="2037F266">
      <w:pPr>
        <w:adjustRightInd w:val="0"/>
        <w:snapToGrid w:val="0"/>
        <w:spacing w:line="360" w:lineRule="auto"/>
        <w:jc w:val="center"/>
        <w:outlineLvl w:val="1"/>
        <w:rPr>
          <w:rFonts w:hint="eastAsia" w:ascii="宋体" w:hAnsi="宋体"/>
          <w:b/>
          <w:sz w:val="30"/>
          <w:highlight w:val="none"/>
        </w:rPr>
      </w:pPr>
    </w:p>
    <w:p w14:paraId="1E99B5A2">
      <w:pPr>
        <w:adjustRightInd w:val="0"/>
        <w:snapToGrid w:val="0"/>
        <w:spacing w:line="360" w:lineRule="auto"/>
        <w:jc w:val="center"/>
        <w:outlineLvl w:val="1"/>
        <w:rPr>
          <w:rFonts w:hint="eastAsia" w:ascii="宋体" w:hAnsi="宋体"/>
          <w:b/>
          <w:sz w:val="30"/>
          <w:highlight w:val="none"/>
        </w:rPr>
      </w:pPr>
    </w:p>
    <w:p w14:paraId="1470580A">
      <w:pPr>
        <w:adjustRightInd w:val="0"/>
        <w:snapToGrid w:val="0"/>
        <w:spacing w:line="360" w:lineRule="auto"/>
        <w:jc w:val="center"/>
        <w:outlineLvl w:val="1"/>
        <w:rPr>
          <w:rFonts w:hint="eastAsia" w:ascii="宋体" w:hAnsi="宋体"/>
          <w:b/>
          <w:sz w:val="30"/>
          <w:highlight w:val="none"/>
        </w:rPr>
      </w:pPr>
    </w:p>
    <w:p w14:paraId="18328F6C">
      <w:pPr>
        <w:adjustRightInd w:val="0"/>
        <w:snapToGrid w:val="0"/>
        <w:spacing w:line="360" w:lineRule="auto"/>
        <w:jc w:val="center"/>
        <w:outlineLvl w:val="1"/>
        <w:rPr>
          <w:rFonts w:hint="eastAsia" w:ascii="宋体" w:hAnsi="宋体"/>
          <w:b/>
          <w:sz w:val="30"/>
          <w:highlight w:val="none"/>
        </w:rPr>
      </w:pPr>
    </w:p>
    <w:p w14:paraId="73772B57">
      <w:pPr>
        <w:adjustRightInd w:val="0"/>
        <w:snapToGrid w:val="0"/>
        <w:spacing w:line="360" w:lineRule="auto"/>
        <w:jc w:val="center"/>
        <w:outlineLvl w:val="1"/>
        <w:rPr>
          <w:rFonts w:hint="eastAsia" w:ascii="宋体" w:hAnsi="宋体"/>
          <w:b/>
          <w:sz w:val="30"/>
          <w:highlight w:val="none"/>
        </w:rPr>
      </w:pPr>
    </w:p>
    <w:p w14:paraId="77C602AE">
      <w:pPr>
        <w:adjustRightInd w:val="0"/>
        <w:snapToGrid w:val="0"/>
        <w:spacing w:line="360" w:lineRule="auto"/>
        <w:jc w:val="center"/>
        <w:outlineLvl w:val="1"/>
        <w:rPr>
          <w:rFonts w:hint="eastAsia" w:ascii="宋体" w:hAnsi="宋体"/>
          <w:b/>
          <w:sz w:val="30"/>
          <w:highlight w:val="none"/>
        </w:rPr>
      </w:pPr>
    </w:p>
    <w:p w14:paraId="09A3911B">
      <w:pPr>
        <w:adjustRightInd w:val="0"/>
        <w:snapToGrid w:val="0"/>
        <w:spacing w:line="360" w:lineRule="auto"/>
        <w:jc w:val="center"/>
        <w:outlineLvl w:val="1"/>
        <w:rPr>
          <w:rFonts w:hint="eastAsia" w:ascii="宋体" w:hAnsi="宋体"/>
          <w:b/>
          <w:sz w:val="30"/>
          <w:highlight w:val="none"/>
        </w:rPr>
      </w:pPr>
    </w:p>
    <w:p w14:paraId="5627DF22">
      <w:pPr>
        <w:pStyle w:val="13"/>
        <w:rPr>
          <w:rFonts w:hint="eastAsia" w:ascii="宋体" w:hAnsi="宋体"/>
          <w:b/>
          <w:sz w:val="30"/>
          <w:highlight w:val="none"/>
        </w:rPr>
      </w:pPr>
    </w:p>
    <w:p w14:paraId="008E1DDA">
      <w:pPr>
        <w:pStyle w:val="13"/>
        <w:rPr>
          <w:rFonts w:hint="eastAsia" w:ascii="宋体" w:hAnsi="宋体"/>
          <w:b/>
          <w:sz w:val="30"/>
          <w:highlight w:val="none"/>
        </w:rPr>
      </w:pPr>
    </w:p>
    <w:p w14:paraId="695AE14E">
      <w:pPr>
        <w:pStyle w:val="13"/>
        <w:rPr>
          <w:rFonts w:hint="eastAsia" w:ascii="宋体" w:hAnsi="宋体"/>
          <w:b/>
          <w:sz w:val="30"/>
          <w:highlight w:val="none"/>
        </w:rPr>
      </w:pPr>
    </w:p>
    <w:p w14:paraId="6F0E215B">
      <w:pPr>
        <w:pStyle w:val="13"/>
        <w:rPr>
          <w:rFonts w:hint="eastAsia" w:ascii="宋体" w:hAnsi="宋体"/>
          <w:b/>
          <w:sz w:val="30"/>
          <w:highlight w:val="none"/>
        </w:rPr>
      </w:pPr>
    </w:p>
    <w:p w14:paraId="27A26E47">
      <w:pPr>
        <w:pStyle w:val="13"/>
        <w:rPr>
          <w:rFonts w:hint="eastAsia" w:ascii="宋体" w:hAnsi="宋体"/>
          <w:b/>
          <w:sz w:val="30"/>
          <w:highlight w:val="none"/>
        </w:rPr>
      </w:pPr>
    </w:p>
    <w:p w14:paraId="2BA705CF">
      <w:pPr>
        <w:pStyle w:val="13"/>
        <w:rPr>
          <w:rFonts w:hint="eastAsia" w:ascii="宋体" w:hAnsi="宋体"/>
          <w:b/>
          <w:sz w:val="30"/>
          <w:highlight w:val="none"/>
        </w:rPr>
      </w:pPr>
    </w:p>
    <w:p w14:paraId="3748ED2B">
      <w:pPr>
        <w:adjustRightInd w:val="0"/>
        <w:snapToGrid w:val="0"/>
        <w:spacing w:line="360" w:lineRule="auto"/>
        <w:outlineLvl w:val="1"/>
        <w:rPr>
          <w:rFonts w:hint="eastAsia" w:ascii="宋体" w:hAnsi="宋体"/>
          <w:b/>
          <w:sz w:val="30"/>
          <w:highlight w:val="none"/>
        </w:rPr>
      </w:pPr>
    </w:p>
    <w:p w14:paraId="3B7D5C6E">
      <w:pPr>
        <w:pStyle w:val="6"/>
        <w:rPr>
          <w:highlight w:val="none"/>
        </w:rPr>
      </w:pPr>
    </w:p>
    <w:p w14:paraId="629D6BAB">
      <w:pPr>
        <w:adjustRightInd w:val="0"/>
        <w:snapToGrid w:val="0"/>
        <w:spacing w:line="360" w:lineRule="auto"/>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（五）投标人的基本情况及资格证明材料</w:t>
      </w:r>
    </w:p>
    <w:p w14:paraId="11D3AC9E">
      <w:pPr>
        <w:adjustRightInd w:val="0"/>
        <w:snapToGrid w:val="0"/>
        <w:spacing w:before="156" w:beforeLines="50" w:line="360" w:lineRule="auto"/>
        <w:rPr>
          <w:rFonts w:hint="eastAsia" w:ascii="仿宋" w:hAnsi="仿宋" w:eastAsia="仿宋" w:cs="仿宋"/>
          <w:sz w:val="28"/>
          <w:szCs w:val="28"/>
          <w:highlight w:val="none"/>
        </w:rPr>
      </w:pPr>
    </w:p>
    <w:p w14:paraId="1FFFA524">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一、基本资格条件</w:t>
      </w:r>
    </w:p>
    <w:p w14:paraId="5C34EA8D">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1）营业执照 </w:t>
      </w:r>
    </w:p>
    <w:p w14:paraId="4A851A2B">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投标人须具有良好的商业信誉和健全的财务会计制度，须提供提供开标前上一年度的经第三方审计的年度财务报告；如供应商新成立的，则提供成立至今的月或季度财务状况报告；如审计报告未出具，可提供开户银行的资信证明</w:t>
      </w:r>
    </w:p>
    <w:p w14:paraId="54D8D97D">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3）企业资质</w:t>
      </w:r>
    </w:p>
    <w:p w14:paraId="7C41E8D9">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4）社会保险登记证或社保机构出具的近半年内任一月社保缴纳证明（如营业执照已改为“五证合一”新证的可不提供社保登记证）</w:t>
      </w:r>
    </w:p>
    <w:p w14:paraId="7888174B">
      <w:pPr>
        <w:spacing w:line="360" w:lineRule="auto"/>
        <w:rPr>
          <w:rFonts w:hint="eastAsia" w:ascii="仿宋" w:hAnsi="仿宋" w:eastAsia="仿宋" w:cs="仿宋"/>
          <w:sz w:val="28"/>
          <w:szCs w:val="28"/>
          <w:highlight w:val="none"/>
        </w:rPr>
      </w:pPr>
    </w:p>
    <w:p w14:paraId="397943E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注：1、以上复印件均须在投标文件中提供，需要加盖投标人原章。</w:t>
      </w:r>
    </w:p>
    <w:p w14:paraId="58C862A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2、依法免税或不需要缴纳社会保障资金的供应商，应提供相应文件证明其依法免税或不需要缴纳社会保障资金。</w:t>
      </w:r>
    </w:p>
    <w:p w14:paraId="50CACAD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3、部分其他组织和自然人，没有经审计的财务报告，可以提供银行出具的资信证明。</w:t>
      </w:r>
    </w:p>
    <w:p w14:paraId="63656301">
      <w:pPr>
        <w:spacing w:line="360" w:lineRule="auto"/>
        <w:ind w:firstLine="560" w:firstLineChars="200"/>
        <w:rPr>
          <w:rFonts w:hint="eastAsia" w:ascii="仿宋" w:hAnsi="仿宋" w:eastAsia="仿宋" w:cs="仿宋"/>
          <w:sz w:val="28"/>
          <w:szCs w:val="28"/>
          <w:highlight w:val="none"/>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highlight w:val="none"/>
        </w:rPr>
        <w:t>4、部分其他组织和自然人，没有单位统一缴纳社保的，可以提供单位法人代表及备授权委托人个人的由社保机构出具的近半年内任一月社保缴纳证明。</w:t>
      </w:r>
    </w:p>
    <w:p w14:paraId="3783314F">
      <w:pPr>
        <w:adjustRightInd w:val="0"/>
        <w:snapToGrid w:val="0"/>
        <w:spacing w:line="360" w:lineRule="auto"/>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（六）投标人基本情况表</w:t>
      </w:r>
    </w:p>
    <w:p w14:paraId="46454372">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盖投标人单位章</w:t>
      </w:r>
    </w:p>
    <w:tbl>
      <w:tblPr>
        <w:tblStyle w:val="17"/>
        <w:tblW w:w="9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03"/>
        <w:gridCol w:w="406"/>
        <w:gridCol w:w="403"/>
        <w:gridCol w:w="878"/>
        <w:gridCol w:w="1542"/>
        <w:gridCol w:w="71"/>
        <w:gridCol w:w="1543"/>
        <w:gridCol w:w="806"/>
        <w:gridCol w:w="683"/>
        <w:gridCol w:w="1939"/>
      </w:tblGrid>
      <w:tr w14:paraId="7F0D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686F1CC1">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4437" w:type="dxa"/>
            <w:gridSpan w:val="5"/>
            <w:vAlign w:val="center"/>
          </w:tcPr>
          <w:p w14:paraId="625E2B56">
            <w:pPr>
              <w:topLinePunct/>
              <w:spacing w:line="440" w:lineRule="exact"/>
              <w:jc w:val="center"/>
              <w:rPr>
                <w:rFonts w:hint="eastAsia" w:ascii="仿宋" w:hAnsi="仿宋" w:eastAsia="仿宋" w:cs="仿宋"/>
                <w:sz w:val="24"/>
                <w:szCs w:val="24"/>
                <w:highlight w:val="none"/>
              </w:rPr>
            </w:pPr>
          </w:p>
        </w:tc>
        <w:tc>
          <w:tcPr>
            <w:tcW w:w="1489" w:type="dxa"/>
            <w:gridSpan w:val="2"/>
            <w:vAlign w:val="center"/>
          </w:tcPr>
          <w:p w14:paraId="5C27218B">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939" w:type="dxa"/>
            <w:vAlign w:val="center"/>
          </w:tcPr>
          <w:p w14:paraId="17636037">
            <w:pPr>
              <w:topLinePunct/>
              <w:spacing w:line="440" w:lineRule="exact"/>
              <w:jc w:val="center"/>
              <w:rPr>
                <w:rFonts w:hint="eastAsia" w:ascii="仿宋" w:hAnsi="仿宋" w:eastAsia="仿宋" w:cs="仿宋"/>
                <w:sz w:val="24"/>
                <w:szCs w:val="24"/>
                <w:highlight w:val="none"/>
              </w:rPr>
            </w:pPr>
          </w:p>
        </w:tc>
      </w:tr>
      <w:tr w14:paraId="2EE6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69F4F082">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组织机构代码</w:t>
            </w:r>
          </w:p>
        </w:tc>
        <w:tc>
          <w:tcPr>
            <w:tcW w:w="4437" w:type="dxa"/>
            <w:gridSpan w:val="5"/>
            <w:vAlign w:val="center"/>
          </w:tcPr>
          <w:p w14:paraId="2BADE01F">
            <w:pPr>
              <w:topLinePunct/>
              <w:spacing w:line="440" w:lineRule="exact"/>
              <w:jc w:val="center"/>
              <w:rPr>
                <w:rFonts w:hint="eastAsia" w:ascii="仿宋" w:hAnsi="仿宋" w:eastAsia="仿宋" w:cs="仿宋"/>
                <w:sz w:val="24"/>
                <w:szCs w:val="24"/>
                <w:highlight w:val="none"/>
              </w:rPr>
            </w:pPr>
          </w:p>
        </w:tc>
        <w:tc>
          <w:tcPr>
            <w:tcW w:w="1489" w:type="dxa"/>
            <w:gridSpan w:val="2"/>
            <w:vAlign w:val="center"/>
          </w:tcPr>
          <w:p w14:paraId="0F57587A">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1939" w:type="dxa"/>
            <w:vAlign w:val="center"/>
          </w:tcPr>
          <w:p w14:paraId="519277F9">
            <w:pPr>
              <w:topLinePunct/>
              <w:spacing w:line="440" w:lineRule="exact"/>
              <w:jc w:val="center"/>
              <w:rPr>
                <w:rFonts w:hint="eastAsia" w:ascii="仿宋" w:hAnsi="仿宋" w:eastAsia="仿宋" w:cs="仿宋"/>
                <w:sz w:val="24"/>
                <w:szCs w:val="24"/>
                <w:highlight w:val="none"/>
              </w:rPr>
            </w:pPr>
          </w:p>
        </w:tc>
      </w:tr>
      <w:tr w14:paraId="640D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507DDAB2">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p>
        </w:tc>
        <w:tc>
          <w:tcPr>
            <w:tcW w:w="4437" w:type="dxa"/>
            <w:gridSpan w:val="5"/>
            <w:vAlign w:val="center"/>
          </w:tcPr>
          <w:p w14:paraId="2DA1EA03">
            <w:pPr>
              <w:topLinePunct/>
              <w:spacing w:line="440" w:lineRule="exact"/>
              <w:jc w:val="center"/>
              <w:rPr>
                <w:rFonts w:hint="eastAsia" w:ascii="仿宋" w:hAnsi="仿宋" w:eastAsia="仿宋" w:cs="仿宋"/>
                <w:sz w:val="24"/>
                <w:szCs w:val="24"/>
                <w:highlight w:val="none"/>
              </w:rPr>
            </w:pPr>
          </w:p>
        </w:tc>
        <w:tc>
          <w:tcPr>
            <w:tcW w:w="1489" w:type="dxa"/>
            <w:gridSpan w:val="2"/>
            <w:vAlign w:val="center"/>
          </w:tcPr>
          <w:p w14:paraId="5DA9AAFF">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1939" w:type="dxa"/>
            <w:vAlign w:val="center"/>
          </w:tcPr>
          <w:p w14:paraId="425E348E">
            <w:pPr>
              <w:topLinePunct/>
              <w:spacing w:line="440" w:lineRule="exact"/>
              <w:jc w:val="center"/>
              <w:rPr>
                <w:rFonts w:hint="eastAsia" w:ascii="仿宋" w:hAnsi="仿宋" w:eastAsia="仿宋" w:cs="仿宋"/>
                <w:sz w:val="24"/>
                <w:szCs w:val="24"/>
                <w:highlight w:val="none"/>
              </w:rPr>
            </w:pPr>
          </w:p>
        </w:tc>
      </w:tr>
      <w:tr w14:paraId="5561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4F36A383">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上年营业收入</w:t>
            </w:r>
          </w:p>
        </w:tc>
        <w:tc>
          <w:tcPr>
            <w:tcW w:w="4437" w:type="dxa"/>
            <w:gridSpan w:val="5"/>
            <w:vAlign w:val="center"/>
          </w:tcPr>
          <w:p w14:paraId="41BFD533">
            <w:pPr>
              <w:topLinePunct/>
              <w:spacing w:line="440" w:lineRule="exact"/>
              <w:jc w:val="center"/>
              <w:rPr>
                <w:rFonts w:hint="eastAsia" w:ascii="仿宋" w:hAnsi="仿宋" w:eastAsia="仿宋" w:cs="仿宋"/>
                <w:sz w:val="24"/>
                <w:szCs w:val="24"/>
                <w:highlight w:val="none"/>
              </w:rPr>
            </w:pPr>
          </w:p>
        </w:tc>
        <w:tc>
          <w:tcPr>
            <w:tcW w:w="1489" w:type="dxa"/>
            <w:gridSpan w:val="2"/>
            <w:vAlign w:val="center"/>
          </w:tcPr>
          <w:p w14:paraId="2B246FF0">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员工总人数</w:t>
            </w:r>
          </w:p>
        </w:tc>
        <w:tc>
          <w:tcPr>
            <w:tcW w:w="1939" w:type="dxa"/>
            <w:vAlign w:val="center"/>
          </w:tcPr>
          <w:p w14:paraId="094A6EA8">
            <w:pPr>
              <w:topLinePunct/>
              <w:spacing w:line="440" w:lineRule="exact"/>
              <w:jc w:val="center"/>
              <w:rPr>
                <w:rFonts w:hint="eastAsia" w:ascii="仿宋" w:hAnsi="仿宋" w:eastAsia="仿宋" w:cs="仿宋"/>
                <w:sz w:val="24"/>
                <w:szCs w:val="24"/>
                <w:highlight w:val="none"/>
              </w:rPr>
            </w:pPr>
          </w:p>
        </w:tc>
      </w:tr>
      <w:tr w14:paraId="43DD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37A194F5">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固定电话</w:t>
            </w:r>
          </w:p>
        </w:tc>
        <w:tc>
          <w:tcPr>
            <w:tcW w:w="4437" w:type="dxa"/>
            <w:gridSpan w:val="5"/>
            <w:vAlign w:val="center"/>
          </w:tcPr>
          <w:p w14:paraId="3441351C">
            <w:pPr>
              <w:topLinePunct/>
              <w:spacing w:line="440" w:lineRule="exact"/>
              <w:jc w:val="center"/>
              <w:rPr>
                <w:rFonts w:hint="eastAsia" w:ascii="仿宋" w:hAnsi="仿宋" w:eastAsia="仿宋" w:cs="仿宋"/>
                <w:sz w:val="24"/>
                <w:szCs w:val="24"/>
                <w:highlight w:val="none"/>
              </w:rPr>
            </w:pPr>
          </w:p>
        </w:tc>
        <w:tc>
          <w:tcPr>
            <w:tcW w:w="1489" w:type="dxa"/>
            <w:gridSpan w:val="2"/>
            <w:vAlign w:val="center"/>
          </w:tcPr>
          <w:p w14:paraId="1A5A22AA">
            <w:pPr>
              <w:topLinePunct/>
              <w:spacing w:line="440" w:lineRule="exact"/>
              <w:jc w:val="center"/>
              <w:rPr>
                <w:rFonts w:hint="eastAsia" w:ascii="仿宋" w:hAnsi="仿宋" w:eastAsia="仿宋" w:cs="仿宋"/>
                <w:sz w:val="24"/>
                <w:szCs w:val="24"/>
                <w:highlight w:val="none"/>
              </w:rPr>
            </w:pPr>
          </w:p>
        </w:tc>
        <w:tc>
          <w:tcPr>
            <w:tcW w:w="1939" w:type="dxa"/>
            <w:vAlign w:val="center"/>
          </w:tcPr>
          <w:p w14:paraId="7AAA9488">
            <w:pPr>
              <w:topLinePunct/>
              <w:spacing w:line="440" w:lineRule="exact"/>
              <w:jc w:val="center"/>
              <w:rPr>
                <w:rFonts w:hint="eastAsia" w:ascii="仿宋" w:hAnsi="仿宋" w:eastAsia="仿宋" w:cs="仿宋"/>
                <w:sz w:val="24"/>
                <w:szCs w:val="24"/>
                <w:highlight w:val="none"/>
              </w:rPr>
            </w:pPr>
          </w:p>
        </w:tc>
      </w:tr>
      <w:tr w14:paraId="02F8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restart"/>
            <w:vAlign w:val="center"/>
          </w:tcPr>
          <w:p w14:paraId="1C79CAD5">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w:t>
            </w:r>
          </w:p>
        </w:tc>
        <w:tc>
          <w:tcPr>
            <w:tcW w:w="2290" w:type="dxa"/>
            <w:gridSpan w:val="4"/>
            <w:vAlign w:val="center"/>
          </w:tcPr>
          <w:p w14:paraId="4C88AB16">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注册号码</w:t>
            </w:r>
          </w:p>
        </w:tc>
        <w:tc>
          <w:tcPr>
            <w:tcW w:w="1613" w:type="dxa"/>
            <w:gridSpan w:val="2"/>
            <w:vAlign w:val="center"/>
          </w:tcPr>
          <w:p w14:paraId="0031C69E">
            <w:pPr>
              <w:topLinePunct/>
              <w:spacing w:line="440" w:lineRule="exact"/>
              <w:jc w:val="center"/>
              <w:rPr>
                <w:rFonts w:hint="eastAsia" w:ascii="仿宋" w:hAnsi="仿宋" w:eastAsia="仿宋" w:cs="仿宋"/>
                <w:sz w:val="24"/>
                <w:szCs w:val="24"/>
                <w:highlight w:val="none"/>
              </w:rPr>
            </w:pPr>
          </w:p>
        </w:tc>
        <w:tc>
          <w:tcPr>
            <w:tcW w:w="1543" w:type="dxa"/>
            <w:vAlign w:val="center"/>
          </w:tcPr>
          <w:p w14:paraId="40E54016">
            <w:pPr>
              <w:topLinePunct/>
              <w:spacing w:line="440" w:lineRule="exact"/>
              <w:ind w:firstLine="120" w:firstLine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428" w:type="dxa"/>
            <w:gridSpan w:val="3"/>
            <w:vAlign w:val="center"/>
          </w:tcPr>
          <w:p w14:paraId="2BB613C0">
            <w:pPr>
              <w:topLinePunct/>
              <w:spacing w:line="440" w:lineRule="exact"/>
              <w:ind w:firstLine="120" w:firstLineChars="50"/>
              <w:jc w:val="center"/>
              <w:rPr>
                <w:rFonts w:hint="eastAsia" w:ascii="仿宋" w:hAnsi="仿宋" w:eastAsia="仿宋" w:cs="仿宋"/>
                <w:sz w:val="24"/>
                <w:szCs w:val="24"/>
                <w:highlight w:val="none"/>
              </w:rPr>
            </w:pPr>
          </w:p>
        </w:tc>
      </w:tr>
      <w:tr w14:paraId="4736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7D7D559B">
            <w:pPr>
              <w:topLinePunct/>
              <w:spacing w:line="440" w:lineRule="exact"/>
              <w:jc w:val="center"/>
              <w:rPr>
                <w:rFonts w:hint="eastAsia" w:ascii="仿宋" w:hAnsi="仿宋" w:eastAsia="仿宋" w:cs="仿宋"/>
                <w:sz w:val="24"/>
                <w:szCs w:val="24"/>
                <w:highlight w:val="none"/>
              </w:rPr>
            </w:pPr>
          </w:p>
        </w:tc>
        <w:tc>
          <w:tcPr>
            <w:tcW w:w="2290" w:type="dxa"/>
            <w:gridSpan w:val="4"/>
            <w:vAlign w:val="center"/>
          </w:tcPr>
          <w:p w14:paraId="5F0BC668">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发证机关</w:t>
            </w:r>
          </w:p>
        </w:tc>
        <w:tc>
          <w:tcPr>
            <w:tcW w:w="1613" w:type="dxa"/>
            <w:gridSpan w:val="2"/>
            <w:vAlign w:val="center"/>
          </w:tcPr>
          <w:p w14:paraId="73EE4060">
            <w:pPr>
              <w:topLinePunct/>
              <w:spacing w:line="440" w:lineRule="exact"/>
              <w:jc w:val="center"/>
              <w:rPr>
                <w:rFonts w:hint="eastAsia" w:ascii="仿宋" w:hAnsi="仿宋" w:eastAsia="仿宋" w:cs="仿宋"/>
                <w:sz w:val="24"/>
                <w:szCs w:val="24"/>
                <w:highlight w:val="none"/>
              </w:rPr>
            </w:pPr>
          </w:p>
        </w:tc>
        <w:tc>
          <w:tcPr>
            <w:tcW w:w="1543" w:type="dxa"/>
            <w:vAlign w:val="center"/>
          </w:tcPr>
          <w:p w14:paraId="24B92D23">
            <w:pPr>
              <w:topLinePunct/>
              <w:spacing w:line="440" w:lineRule="exact"/>
              <w:ind w:firstLine="120" w:firstLine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发证日期</w:t>
            </w:r>
          </w:p>
        </w:tc>
        <w:tc>
          <w:tcPr>
            <w:tcW w:w="3428" w:type="dxa"/>
            <w:gridSpan w:val="3"/>
            <w:vAlign w:val="center"/>
          </w:tcPr>
          <w:p w14:paraId="51BCC6A0">
            <w:pPr>
              <w:topLinePunct/>
              <w:spacing w:line="440" w:lineRule="exact"/>
              <w:ind w:firstLine="120" w:firstLineChars="50"/>
              <w:jc w:val="center"/>
              <w:rPr>
                <w:rFonts w:hint="eastAsia" w:ascii="仿宋" w:hAnsi="仿宋" w:eastAsia="仿宋" w:cs="仿宋"/>
                <w:sz w:val="24"/>
                <w:szCs w:val="24"/>
                <w:highlight w:val="none"/>
              </w:rPr>
            </w:pPr>
          </w:p>
        </w:tc>
      </w:tr>
      <w:tr w14:paraId="4792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5CBEA5C2">
            <w:pPr>
              <w:topLinePunct/>
              <w:spacing w:line="440" w:lineRule="exact"/>
              <w:jc w:val="center"/>
              <w:rPr>
                <w:rFonts w:hint="eastAsia" w:ascii="仿宋" w:hAnsi="仿宋" w:eastAsia="仿宋" w:cs="仿宋"/>
                <w:sz w:val="24"/>
                <w:szCs w:val="24"/>
                <w:highlight w:val="none"/>
              </w:rPr>
            </w:pPr>
          </w:p>
        </w:tc>
        <w:tc>
          <w:tcPr>
            <w:tcW w:w="2290" w:type="dxa"/>
            <w:gridSpan w:val="4"/>
            <w:vAlign w:val="center"/>
          </w:tcPr>
          <w:p w14:paraId="34C04E1F">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营业范围（主营）</w:t>
            </w:r>
          </w:p>
        </w:tc>
        <w:tc>
          <w:tcPr>
            <w:tcW w:w="6584" w:type="dxa"/>
            <w:gridSpan w:val="6"/>
            <w:vAlign w:val="center"/>
          </w:tcPr>
          <w:p w14:paraId="6A3FF714">
            <w:pPr>
              <w:topLinePunct/>
              <w:spacing w:line="440" w:lineRule="exact"/>
              <w:ind w:firstLine="120" w:firstLineChars="50"/>
              <w:jc w:val="center"/>
              <w:rPr>
                <w:rFonts w:hint="eastAsia" w:ascii="仿宋" w:hAnsi="仿宋" w:eastAsia="仿宋" w:cs="仿宋"/>
                <w:sz w:val="24"/>
                <w:szCs w:val="24"/>
                <w:highlight w:val="none"/>
              </w:rPr>
            </w:pPr>
          </w:p>
        </w:tc>
      </w:tr>
      <w:tr w14:paraId="1467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2966425C">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基本账户开户行</w:t>
            </w:r>
          </w:p>
        </w:tc>
        <w:tc>
          <w:tcPr>
            <w:tcW w:w="6584" w:type="dxa"/>
            <w:gridSpan w:val="6"/>
            <w:vAlign w:val="center"/>
          </w:tcPr>
          <w:p w14:paraId="7D10F5B1">
            <w:pPr>
              <w:topLinePunct/>
              <w:spacing w:line="440" w:lineRule="exact"/>
              <w:jc w:val="center"/>
              <w:rPr>
                <w:rFonts w:hint="eastAsia" w:ascii="仿宋" w:hAnsi="仿宋" w:eastAsia="仿宋" w:cs="仿宋"/>
                <w:sz w:val="24"/>
                <w:szCs w:val="24"/>
                <w:highlight w:val="none"/>
              </w:rPr>
            </w:pPr>
          </w:p>
        </w:tc>
      </w:tr>
      <w:tr w14:paraId="2BE9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1D54459B">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银行帐号</w:t>
            </w:r>
          </w:p>
        </w:tc>
        <w:tc>
          <w:tcPr>
            <w:tcW w:w="6584" w:type="dxa"/>
            <w:gridSpan w:val="6"/>
            <w:vAlign w:val="center"/>
          </w:tcPr>
          <w:p w14:paraId="39D68CE0">
            <w:pPr>
              <w:topLinePunct/>
              <w:spacing w:line="440" w:lineRule="exact"/>
              <w:jc w:val="center"/>
              <w:rPr>
                <w:rFonts w:hint="eastAsia" w:ascii="仿宋" w:hAnsi="仿宋" w:eastAsia="仿宋" w:cs="仿宋"/>
                <w:sz w:val="24"/>
                <w:szCs w:val="24"/>
                <w:highlight w:val="none"/>
              </w:rPr>
            </w:pPr>
          </w:p>
        </w:tc>
      </w:tr>
      <w:tr w14:paraId="69C0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64E6219A">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资质能力</w:t>
            </w:r>
          </w:p>
        </w:tc>
      </w:tr>
      <w:tr w14:paraId="13C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A18F8D7">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资质名称</w:t>
            </w:r>
          </w:p>
        </w:tc>
        <w:tc>
          <w:tcPr>
            <w:tcW w:w="2420" w:type="dxa"/>
            <w:gridSpan w:val="2"/>
            <w:vAlign w:val="center"/>
          </w:tcPr>
          <w:p w14:paraId="7059A34A">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等级</w:t>
            </w:r>
          </w:p>
        </w:tc>
        <w:tc>
          <w:tcPr>
            <w:tcW w:w="2420" w:type="dxa"/>
            <w:gridSpan w:val="3"/>
            <w:vAlign w:val="center"/>
          </w:tcPr>
          <w:p w14:paraId="2CAB7109">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发证机关</w:t>
            </w:r>
          </w:p>
        </w:tc>
        <w:tc>
          <w:tcPr>
            <w:tcW w:w="2622" w:type="dxa"/>
            <w:gridSpan w:val="2"/>
            <w:vAlign w:val="center"/>
          </w:tcPr>
          <w:p w14:paraId="633A8E12">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有效期</w:t>
            </w:r>
          </w:p>
        </w:tc>
      </w:tr>
      <w:tr w14:paraId="7C32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72DAC7C">
            <w:pPr>
              <w:topLinePunct/>
              <w:spacing w:line="440" w:lineRule="exact"/>
              <w:jc w:val="center"/>
              <w:rPr>
                <w:rFonts w:hint="eastAsia" w:ascii="仿宋" w:hAnsi="仿宋" w:eastAsia="仿宋" w:cs="仿宋"/>
                <w:sz w:val="24"/>
                <w:szCs w:val="24"/>
                <w:highlight w:val="none"/>
              </w:rPr>
            </w:pPr>
          </w:p>
        </w:tc>
        <w:tc>
          <w:tcPr>
            <w:tcW w:w="2420" w:type="dxa"/>
            <w:gridSpan w:val="2"/>
            <w:vAlign w:val="center"/>
          </w:tcPr>
          <w:p w14:paraId="2A09CF72">
            <w:pPr>
              <w:topLinePunct/>
              <w:spacing w:line="440" w:lineRule="exact"/>
              <w:jc w:val="center"/>
              <w:rPr>
                <w:rFonts w:hint="eastAsia" w:ascii="仿宋" w:hAnsi="仿宋" w:eastAsia="仿宋" w:cs="仿宋"/>
                <w:sz w:val="24"/>
                <w:szCs w:val="24"/>
                <w:highlight w:val="none"/>
              </w:rPr>
            </w:pPr>
          </w:p>
        </w:tc>
        <w:tc>
          <w:tcPr>
            <w:tcW w:w="2420" w:type="dxa"/>
            <w:gridSpan w:val="3"/>
            <w:vAlign w:val="center"/>
          </w:tcPr>
          <w:p w14:paraId="13AD898A">
            <w:pPr>
              <w:topLinePunct/>
              <w:spacing w:line="440" w:lineRule="exact"/>
              <w:jc w:val="center"/>
              <w:rPr>
                <w:rFonts w:hint="eastAsia" w:ascii="仿宋" w:hAnsi="仿宋" w:eastAsia="仿宋" w:cs="仿宋"/>
                <w:sz w:val="24"/>
                <w:szCs w:val="24"/>
                <w:highlight w:val="none"/>
              </w:rPr>
            </w:pPr>
          </w:p>
        </w:tc>
        <w:tc>
          <w:tcPr>
            <w:tcW w:w="2622" w:type="dxa"/>
            <w:gridSpan w:val="2"/>
            <w:vAlign w:val="center"/>
          </w:tcPr>
          <w:p w14:paraId="4D1A47D2">
            <w:pPr>
              <w:topLinePunct/>
              <w:spacing w:line="440" w:lineRule="exact"/>
              <w:jc w:val="center"/>
              <w:rPr>
                <w:rFonts w:hint="eastAsia" w:ascii="仿宋" w:hAnsi="仿宋" w:eastAsia="仿宋" w:cs="仿宋"/>
                <w:sz w:val="24"/>
                <w:szCs w:val="24"/>
                <w:highlight w:val="none"/>
              </w:rPr>
            </w:pPr>
          </w:p>
        </w:tc>
      </w:tr>
      <w:tr w14:paraId="5BF6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526C9CE4">
            <w:pPr>
              <w:topLinePunct/>
              <w:spacing w:line="440" w:lineRule="exact"/>
              <w:jc w:val="center"/>
              <w:rPr>
                <w:rFonts w:hint="eastAsia" w:ascii="仿宋" w:hAnsi="仿宋" w:eastAsia="仿宋" w:cs="仿宋"/>
                <w:sz w:val="24"/>
                <w:szCs w:val="24"/>
                <w:highlight w:val="none"/>
              </w:rPr>
            </w:pPr>
          </w:p>
        </w:tc>
        <w:tc>
          <w:tcPr>
            <w:tcW w:w="2420" w:type="dxa"/>
            <w:gridSpan w:val="2"/>
            <w:vAlign w:val="center"/>
          </w:tcPr>
          <w:p w14:paraId="119A21F1">
            <w:pPr>
              <w:topLinePunct/>
              <w:spacing w:line="440" w:lineRule="exact"/>
              <w:jc w:val="center"/>
              <w:rPr>
                <w:rFonts w:hint="eastAsia" w:ascii="仿宋" w:hAnsi="仿宋" w:eastAsia="仿宋" w:cs="仿宋"/>
                <w:sz w:val="24"/>
                <w:szCs w:val="24"/>
                <w:highlight w:val="none"/>
              </w:rPr>
            </w:pPr>
          </w:p>
        </w:tc>
        <w:tc>
          <w:tcPr>
            <w:tcW w:w="2420" w:type="dxa"/>
            <w:gridSpan w:val="3"/>
            <w:vAlign w:val="center"/>
          </w:tcPr>
          <w:p w14:paraId="20D7195F">
            <w:pPr>
              <w:topLinePunct/>
              <w:spacing w:line="440" w:lineRule="exact"/>
              <w:jc w:val="center"/>
              <w:rPr>
                <w:rFonts w:hint="eastAsia" w:ascii="仿宋" w:hAnsi="仿宋" w:eastAsia="仿宋" w:cs="仿宋"/>
                <w:sz w:val="24"/>
                <w:szCs w:val="24"/>
                <w:highlight w:val="none"/>
              </w:rPr>
            </w:pPr>
          </w:p>
        </w:tc>
        <w:tc>
          <w:tcPr>
            <w:tcW w:w="2622" w:type="dxa"/>
            <w:gridSpan w:val="2"/>
            <w:vAlign w:val="center"/>
          </w:tcPr>
          <w:p w14:paraId="46D5137A">
            <w:pPr>
              <w:topLinePunct/>
              <w:spacing w:line="440" w:lineRule="exact"/>
              <w:jc w:val="center"/>
              <w:rPr>
                <w:rFonts w:hint="eastAsia" w:ascii="仿宋" w:hAnsi="仿宋" w:eastAsia="仿宋" w:cs="仿宋"/>
                <w:sz w:val="24"/>
                <w:szCs w:val="24"/>
                <w:highlight w:val="none"/>
              </w:rPr>
            </w:pPr>
          </w:p>
        </w:tc>
      </w:tr>
      <w:tr w14:paraId="7781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3832387D">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投标人近三年项目业绩</w:t>
            </w:r>
          </w:p>
        </w:tc>
      </w:tr>
      <w:tr w14:paraId="08D6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4D5EE18C">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项目业绩名称</w:t>
            </w:r>
          </w:p>
        </w:tc>
        <w:tc>
          <w:tcPr>
            <w:tcW w:w="2420" w:type="dxa"/>
            <w:gridSpan w:val="2"/>
            <w:vAlign w:val="center"/>
          </w:tcPr>
          <w:p w14:paraId="621D4E78">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项目地点、起止时间</w:t>
            </w:r>
          </w:p>
        </w:tc>
        <w:tc>
          <w:tcPr>
            <w:tcW w:w="2420" w:type="dxa"/>
            <w:gridSpan w:val="3"/>
            <w:vAlign w:val="center"/>
          </w:tcPr>
          <w:p w14:paraId="3B23BCA1">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合同内容、金额</w:t>
            </w:r>
          </w:p>
        </w:tc>
        <w:tc>
          <w:tcPr>
            <w:tcW w:w="2622" w:type="dxa"/>
            <w:gridSpan w:val="2"/>
            <w:vAlign w:val="center"/>
          </w:tcPr>
          <w:p w14:paraId="5FBE2AD7">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甲方联系人及电话</w:t>
            </w:r>
          </w:p>
        </w:tc>
      </w:tr>
      <w:tr w14:paraId="771E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616BED88">
            <w:pPr>
              <w:topLinePunct/>
              <w:spacing w:line="440" w:lineRule="exact"/>
              <w:jc w:val="center"/>
              <w:rPr>
                <w:rFonts w:hint="eastAsia" w:ascii="仿宋" w:hAnsi="仿宋" w:eastAsia="仿宋" w:cs="仿宋"/>
                <w:sz w:val="24"/>
                <w:szCs w:val="24"/>
                <w:highlight w:val="none"/>
              </w:rPr>
            </w:pPr>
          </w:p>
        </w:tc>
        <w:tc>
          <w:tcPr>
            <w:tcW w:w="2420" w:type="dxa"/>
            <w:gridSpan w:val="2"/>
            <w:vAlign w:val="center"/>
          </w:tcPr>
          <w:p w14:paraId="3541109B">
            <w:pPr>
              <w:topLinePunct/>
              <w:spacing w:line="440" w:lineRule="exact"/>
              <w:jc w:val="center"/>
              <w:rPr>
                <w:rFonts w:hint="eastAsia" w:ascii="仿宋" w:hAnsi="仿宋" w:eastAsia="仿宋" w:cs="仿宋"/>
                <w:sz w:val="24"/>
                <w:szCs w:val="24"/>
                <w:highlight w:val="none"/>
              </w:rPr>
            </w:pPr>
          </w:p>
        </w:tc>
        <w:tc>
          <w:tcPr>
            <w:tcW w:w="2420" w:type="dxa"/>
            <w:gridSpan w:val="3"/>
            <w:vAlign w:val="center"/>
          </w:tcPr>
          <w:p w14:paraId="42812DC0">
            <w:pPr>
              <w:topLinePunct/>
              <w:spacing w:line="440" w:lineRule="exact"/>
              <w:jc w:val="center"/>
              <w:rPr>
                <w:rFonts w:hint="eastAsia" w:ascii="仿宋" w:hAnsi="仿宋" w:eastAsia="仿宋" w:cs="仿宋"/>
                <w:sz w:val="24"/>
                <w:szCs w:val="24"/>
                <w:highlight w:val="none"/>
              </w:rPr>
            </w:pPr>
          </w:p>
        </w:tc>
        <w:tc>
          <w:tcPr>
            <w:tcW w:w="2622" w:type="dxa"/>
            <w:gridSpan w:val="2"/>
            <w:vAlign w:val="center"/>
          </w:tcPr>
          <w:p w14:paraId="4C8C198C">
            <w:pPr>
              <w:topLinePunct/>
              <w:spacing w:line="440" w:lineRule="exact"/>
              <w:jc w:val="center"/>
              <w:rPr>
                <w:rFonts w:hint="eastAsia" w:ascii="仿宋" w:hAnsi="仿宋" w:eastAsia="仿宋" w:cs="仿宋"/>
                <w:sz w:val="24"/>
                <w:szCs w:val="24"/>
                <w:highlight w:val="none"/>
              </w:rPr>
            </w:pPr>
          </w:p>
        </w:tc>
      </w:tr>
      <w:tr w14:paraId="79DC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426ABDE5">
            <w:pPr>
              <w:topLinePunct/>
              <w:spacing w:line="440" w:lineRule="exact"/>
              <w:jc w:val="center"/>
              <w:rPr>
                <w:rFonts w:hint="eastAsia" w:ascii="仿宋" w:hAnsi="仿宋" w:eastAsia="仿宋" w:cs="仿宋"/>
                <w:sz w:val="24"/>
                <w:szCs w:val="24"/>
                <w:highlight w:val="none"/>
              </w:rPr>
            </w:pPr>
          </w:p>
        </w:tc>
        <w:tc>
          <w:tcPr>
            <w:tcW w:w="2420" w:type="dxa"/>
            <w:gridSpan w:val="2"/>
            <w:vAlign w:val="center"/>
          </w:tcPr>
          <w:p w14:paraId="4B4F1A8B">
            <w:pPr>
              <w:topLinePunct/>
              <w:spacing w:line="440" w:lineRule="exact"/>
              <w:jc w:val="center"/>
              <w:rPr>
                <w:rFonts w:hint="eastAsia" w:ascii="仿宋" w:hAnsi="仿宋" w:eastAsia="仿宋" w:cs="仿宋"/>
                <w:sz w:val="24"/>
                <w:szCs w:val="24"/>
                <w:highlight w:val="none"/>
              </w:rPr>
            </w:pPr>
          </w:p>
        </w:tc>
        <w:tc>
          <w:tcPr>
            <w:tcW w:w="2420" w:type="dxa"/>
            <w:gridSpan w:val="3"/>
            <w:vAlign w:val="center"/>
          </w:tcPr>
          <w:p w14:paraId="7EBDD0DE">
            <w:pPr>
              <w:topLinePunct/>
              <w:spacing w:line="440" w:lineRule="exact"/>
              <w:jc w:val="center"/>
              <w:rPr>
                <w:rFonts w:hint="eastAsia" w:ascii="仿宋" w:hAnsi="仿宋" w:eastAsia="仿宋" w:cs="仿宋"/>
                <w:sz w:val="24"/>
                <w:szCs w:val="24"/>
                <w:highlight w:val="none"/>
              </w:rPr>
            </w:pPr>
          </w:p>
        </w:tc>
        <w:tc>
          <w:tcPr>
            <w:tcW w:w="2622" w:type="dxa"/>
            <w:gridSpan w:val="2"/>
            <w:vAlign w:val="center"/>
          </w:tcPr>
          <w:p w14:paraId="6B6EAE27">
            <w:pPr>
              <w:topLinePunct/>
              <w:spacing w:line="440" w:lineRule="exact"/>
              <w:jc w:val="center"/>
              <w:rPr>
                <w:rFonts w:hint="eastAsia" w:ascii="仿宋" w:hAnsi="仿宋" w:eastAsia="仿宋" w:cs="仿宋"/>
                <w:sz w:val="24"/>
                <w:szCs w:val="24"/>
                <w:highlight w:val="none"/>
              </w:rPr>
            </w:pPr>
          </w:p>
        </w:tc>
      </w:tr>
      <w:tr w14:paraId="70AD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94B72E8">
            <w:pPr>
              <w:topLinePunct/>
              <w:spacing w:line="440" w:lineRule="exact"/>
              <w:jc w:val="center"/>
              <w:rPr>
                <w:rFonts w:hint="eastAsia" w:ascii="仿宋" w:hAnsi="仿宋" w:eastAsia="仿宋" w:cs="仿宋"/>
                <w:sz w:val="24"/>
                <w:szCs w:val="24"/>
                <w:highlight w:val="none"/>
              </w:rPr>
            </w:pPr>
          </w:p>
        </w:tc>
        <w:tc>
          <w:tcPr>
            <w:tcW w:w="2420" w:type="dxa"/>
            <w:gridSpan w:val="2"/>
            <w:vAlign w:val="center"/>
          </w:tcPr>
          <w:p w14:paraId="683F2A85">
            <w:pPr>
              <w:topLinePunct/>
              <w:spacing w:line="440" w:lineRule="exact"/>
              <w:jc w:val="center"/>
              <w:rPr>
                <w:rFonts w:hint="eastAsia" w:ascii="仿宋" w:hAnsi="仿宋" w:eastAsia="仿宋" w:cs="仿宋"/>
                <w:sz w:val="24"/>
                <w:szCs w:val="24"/>
                <w:highlight w:val="none"/>
              </w:rPr>
            </w:pPr>
          </w:p>
        </w:tc>
        <w:tc>
          <w:tcPr>
            <w:tcW w:w="2420" w:type="dxa"/>
            <w:gridSpan w:val="3"/>
            <w:vAlign w:val="center"/>
          </w:tcPr>
          <w:p w14:paraId="2878AF60">
            <w:pPr>
              <w:topLinePunct/>
              <w:spacing w:line="440" w:lineRule="exact"/>
              <w:jc w:val="center"/>
              <w:rPr>
                <w:rFonts w:hint="eastAsia" w:ascii="仿宋" w:hAnsi="仿宋" w:eastAsia="仿宋" w:cs="仿宋"/>
                <w:sz w:val="24"/>
                <w:szCs w:val="24"/>
                <w:highlight w:val="none"/>
              </w:rPr>
            </w:pPr>
          </w:p>
        </w:tc>
        <w:tc>
          <w:tcPr>
            <w:tcW w:w="2622" w:type="dxa"/>
            <w:gridSpan w:val="2"/>
            <w:vAlign w:val="center"/>
          </w:tcPr>
          <w:p w14:paraId="5FDA9C1B">
            <w:pPr>
              <w:topLinePunct/>
              <w:spacing w:line="440" w:lineRule="exact"/>
              <w:jc w:val="center"/>
              <w:rPr>
                <w:rFonts w:hint="eastAsia" w:ascii="仿宋" w:hAnsi="仿宋" w:eastAsia="仿宋" w:cs="仿宋"/>
                <w:sz w:val="24"/>
                <w:szCs w:val="24"/>
                <w:highlight w:val="none"/>
              </w:rPr>
            </w:pPr>
          </w:p>
        </w:tc>
      </w:tr>
      <w:tr w14:paraId="6303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409" w:type="dxa"/>
            <w:gridSpan w:val="2"/>
            <w:vAlign w:val="center"/>
          </w:tcPr>
          <w:p w14:paraId="2F275D40">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8271" w:type="dxa"/>
            <w:gridSpan w:val="9"/>
            <w:vAlign w:val="center"/>
          </w:tcPr>
          <w:p w14:paraId="3118FDE2">
            <w:pPr>
              <w:topLinePunct/>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1、后附项目业绩证明材料</w:t>
            </w:r>
          </w:p>
        </w:tc>
      </w:tr>
    </w:tbl>
    <w:p w14:paraId="407B5A87">
      <w:pPr>
        <w:adjustRightInd w:val="0"/>
        <w:snapToGrid w:val="0"/>
        <w:spacing w:line="360" w:lineRule="auto"/>
        <w:jc w:val="center"/>
        <w:rPr>
          <w:rFonts w:hint="eastAsia" w:ascii="仿宋" w:hAnsi="仿宋" w:eastAsia="仿宋" w:cs="仿宋"/>
          <w:sz w:val="24"/>
          <w:szCs w:val="24"/>
          <w:highlight w:val="none"/>
        </w:rPr>
      </w:pPr>
    </w:p>
    <w:p w14:paraId="6103D242">
      <w:pPr>
        <w:autoSpaceDE w:val="0"/>
        <w:autoSpaceDN w:val="0"/>
        <w:adjustRightInd w:val="0"/>
        <w:jc w:val="center"/>
        <w:rPr>
          <w:rFonts w:hint="eastAsia" w:ascii="宋体" w:hAnsi="宋体"/>
          <w:kern w:val="0"/>
          <w:sz w:val="28"/>
          <w:szCs w:val="28"/>
          <w:highlight w:val="none"/>
        </w:rPr>
      </w:pPr>
      <w:r>
        <w:rPr>
          <w:rFonts w:ascii="宋体" w:hAnsi="宋体"/>
          <w:b/>
          <w:highlight w:val="none"/>
        </w:rPr>
        <w:br w:type="page"/>
      </w:r>
      <w:r>
        <w:rPr>
          <w:rFonts w:hint="eastAsia" w:ascii="仿宋" w:hAnsi="仿宋" w:eastAsia="仿宋" w:cs="仿宋"/>
          <w:b/>
          <w:sz w:val="32"/>
          <w:szCs w:val="32"/>
          <w:highlight w:val="none"/>
        </w:rPr>
        <w:t>（七）信用记录</w:t>
      </w:r>
    </w:p>
    <w:p w14:paraId="1E144977">
      <w:pPr>
        <w:widowControl/>
        <w:adjustRightInd w:val="0"/>
        <w:snapToGrid w:val="0"/>
        <w:spacing w:line="360" w:lineRule="auto"/>
        <w:ind w:firstLine="444" w:firstLineChars="200"/>
        <w:jc w:val="center"/>
        <w:rPr>
          <w:rFonts w:hint="eastAsia" w:ascii="宋体" w:hAnsi="宋体" w:cs="宋体"/>
          <w:spacing w:val="6"/>
          <w:kern w:val="0"/>
          <w:szCs w:val="21"/>
          <w:highlight w:val="none"/>
        </w:rPr>
      </w:pPr>
    </w:p>
    <w:p w14:paraId="2C7358D4">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（复印件并加盖投标单位公章）</w:t>
      </w:r>
    </w:p>
    <w:p w14:paraId="134EB3C0">
      <w:pPr>
        <w:adjustRightInd w:val="0"/>
        <w:snapToGrid w:val="0"/>
        <w:spacing w:line="360" w:lineRule="auto"/>
        <w:jc w:val="left"/>
        <w:rPr>
          <w:rFonts w:hint="eastAsia" w:ascii="仿宋" w:hAnsi="仿宋" w:eastAsia="仿宋" w:cs="仿宋"/>
          <w:sz w:val="28"/>
          <w:szCs w:val="28"/>
          <w:highlight w:val="none"/>
        </w:rPr>
      </w:pPr>
    </w:p>
    <w:p w14:paraId="3E4FBA66">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投标人须符合《关于在政府采购活动中查询及使用信用记录有关问题的通知》的相关要求，即具有良好的信用记录。</w:t>
      </w:r>
    </w:p>
    <w:p w14:paraId="540E444C">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投标人须提供本单位近3年“信用中国”网站（www.creditchina.gov.cn）及中国政府采购网（www.ccgp.gov.cn）已公布的信用记录查询截图。</w:t>
      </w:r>
    </w:p>
    <w:p w14:paraId="1708BDE0">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截图含1）被列入失信被执行人</w:t>
      </w:r>
    </w:p>
    <w:p w14:paraId="0A250669">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2）重大税收违法案件当事人名单的供应商</w:t>
      </w:r>
    </w:p>
    <w:p w14:paraId="57C817D7">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3）列入政府采购严重违法失信行为记录名单</w:t>
      </w:r>
    </w:p>
    <w:p w14:paraId="41EE6C5D">
      <w:pPr>
        <w:adjustRightInd w:val="0"/>
        <w:snapToGrid w:val="0"/>
        <w:spacing w:line="360" w:lineRule="auto"/>
        <w:jc w:val="left"/>
        <w:rPr>
          <w:rFonts w:hint="eastAsia" w:ascii="仿宋" w:hAnsi="仿宋" w:eastAsia="仿宋" w:cs="仿宋"/>
          <w:sz w:val="28"/>
          <w:szCs w:val="28"/>
          <w:highlight w:val="none"/>
        </w:rPr>
      </w:pPr>
    </w:p>
    <w:p w14:paraId="2CDAB4D9">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例如：网站搜索页输入投标单位名称，截图查询结果。</w:t>
      </w:r>
    </w:p>
    <w:p w14:paraId="62C595BF">
      <w:pPr>
        <w:pStyle w:val="22"/>
        <w:ind w:firstLine="560"/>
        <w:rPr>
          <w:rFonts w:hint="eastAsia" w:ascii="仿宋" w:hAnsi="仿宋" w:eastAsia="仿宋" w:cs="仿宋"/>
          <w:kern w:val="2"/>
          <w:sz w:val="28"/>
          <w:szCs w:val="28"/>
          <w:highlight w:val="none"/>
        </w:rPr>
      </w:pPr>
    </w:p>
    <w:p w14:paraId="1532411E">
      <w:pPr>
        <w:rPr>
          <w:rFonts w:hint="eastAsia" w:ascii="仿宋" w:hAnsi="仿宋" w:eastAsia="仿宋" w:cs="仿宋"/>
          <w:sz w:val="28"/>
          <w:szCs w:val="28"/>
          <w:highlight w:val="none"/>
        </w:rPr>
      </w:pPr>
    </w:p>
    <w:p w14:paraId="2D32754A">
      <w:pPr>
        <w:pStyle w:val="22"/>
        <w:ind w:firstLine="560"/>
        <w:rPr>
          <w:rFonts w:hint="eastAsia" w:ascii="仿宋" w:hAnsi="仿宋" w:eastAsia="仿宋" w:cs="仿宋"/>
          <w:kern w:val="2"/>
          <w:sz w:val="28"/>
          <w:szCs w:val="28"/>
          <w:highlight w:val="none"/>
        </w:rPr>
      </w:pPr>
    </w:p>
    <w:p w14:paraId="7C7630D2">
      <w:pPr>
        <w:rPr>
          <w:rFonts w:hint="eastAsia" w:ascii="仿宋" w:hAnsi="仿宋" w:eastAsia="仿宋" w:cs="仿宋"/>
          <w:sz w:val="28"/>
          <w:szCs w:val="28"/>
          <w:highlight w:val="none"/>
        </w:rPr>
      </w:pPr>
    </w:p>
    <w:p w14:paraId="4C654B85">
      <w:pPr>
        <w:pStyle w:val="22"/>
        <w:ind w:firstLine="560"/>
        <w:rPr>
          <w:rFonts w:hint="eastAsia" w:ascii="仿宋" w:hAnsi="仿宋" w:eastAsia="仿宋" w:cs="仿宋"/>
          <w:kern w:val="2"/>
          <w:sz w:val="28"/>
          <w:szCs w:val="28"/>
          <w:highlight w:val="none"/>
        </w:rPr>
      </w:pPr>
    </w:p>
    <w:p w14:paraId="7C726CEC">
      <w:pPr>
        <w:rPr>
          <w:rFonts w:hint="eastAsia" w:ascii="仿宋" w:hAnsi="仿宋" w:eastAsia="仿宋" w:cs="仿宋"/>
          <w:sz w:val="28"/>
          <w:szCs w:val="28"/>
          <w:highlight w:val="none"/>
        </w:rPr>
      </w:pPr>
    </w:p>
    <w:p w14:paraId="0420118A">
      <w:pPr>
        <w:pStyle w:val="22"/>
        <w:ind w:firstLine="560"/>
        <w:rPr>
          <w:rFonts w:hint="eastAsia" w:ascii="仿宋" w:hAnsi="仿宋" w:eastAsia="仿宋" w:cs="仿宋"/>
          <w:kern w:val="2"/>
          <w:sz w:val="28"/>
          <w:szCs w:val="28"/>
          <w:highlight w:val="none"/>
        </w:rPr>
      </w:pPr>
    </w:p>
    <w:p w14:paraId="39A3796D">
      <w:pPr>
        <w:rPr>
          <w:rFonts w:hint="eastAsia" w:ascii="仿宋" w:hAnsi="仿宋" w:eastAsia="仿宋" w:cs="仿宋"/>
          <w:sz w:val="28"/>
          <w:szCs w:val="28"/>
          <w:highlight w:val="none"/>
        </w:rPr>
      </w:pPr>
    </w:p>
    <w:p w14:paraId="2385DB8B">
      <w:pPr>
        <w:pStyle w:val="22"/>
        <w:ind w:firstLine="560"/>
        <w:rPr>
          <w:rFonts w:hint="eastAsia" w:ascii="仿宋" w:hAnsi="仿宋" w:eastAsia="仿宋" w:cs="仿宋"/>
          <w:kern w:val="2"/>
          <w:sz w:val="28"/>
          <w:szCs w:val="28"/>
          <w:highlight w:val="none"/>
        </w:rPr>
      </w:pPr>
    </w:p>
    <w:p w14:paraId="37BF0BFD">
      <w:pPr>
        <w:rPr>
          <w:rFonts w:hint="eastAsia" w:ascii="仿宋" w:hAnsi="仿宋" w:eastAsia="仿宋" w:cs="仿宋"/>
          <w:sz w:val="28"/>
          <w:szCs w:val="28"/>
          <w:highlight w:val="none"/>
        </w:rPr>
      </w:pPr>
    </w:p>
    <w:p w14:paraId="3CE672EC">
      <w:pPr>
        <w:rPr>
          <w:rFonts w:hint="eastAsia" w:ascii="仿宋" w:hAnsi="仿宋" w:eastAsia="仿宋" w:cs="仿宋"/>
          <w:sz w:val="28"/>
          <w:szCs w:val="28"/>
          <w:highlight w:val="none"/>
        </w:rPr>
      </w:pPr>
    </w:p>
    <w:p w14:paraId="58445530">
      <w:pPr>
        <w:pStyle w:val="22"/>
        <w:ind w:firstLine="560"/>
        <w:rPr>
          <w:rFonts w:hint="eastAsia" w:ascii="仿宋" w:hAnsi="仿宋" w:eastAsia="仿宋" w:cs="仿宋"/>
          <w:kern w:val="2"/>
          <w:sz w:val="28"/>
          <w:szCs w:val="28"/>
          <w:highlight w:val="none"/>
        </w:rPr>
      </w:pPr>
    </w:p>
    <w:p w14:paraId="2BF84D5F">
      <w:pPr>
        <w:rPr>
          <w:highlight w:val="none"/>
        </w:rPr>
      </w:pPr>
    </w:p>
    <w:p w14:paraId="1AF76792">
      <w:pPr>
        <w:pStyle w:val="22"/>
        <w:ind w:firstLine="444"/>
        <w:rPr>
          <w:rFonts w:hint="eastAsia" w:hAnsi="宋体"/>
          <w:b/>
          <w:sz w:val="30"/>
          <w:highlight w:val="none"/>
        </w:rPr>
      </w:pPr>
      <w:r>
        <w:rPr>
          <w:rFonts w:hint="eastAsia" w:hAnsi="宋体" w:cs="宋体"/>
          <w:spacing w:val="6"/>
          <w:szCs w:val="21"/>
          <w:highlight w:val="none"/>
        </w:rPr>
        <w:t xml:space="preserve"> </w:t>
      </w:r>
    </w:p>
    <w:p w14:paraId="14DEEF54">
      <w:pPr>
        <w:numPr>
          <w:ilvl w:val="0"/>
          <w:numId w:val="10"/>
        </w:numPr>
        <w:autoSpaceDE w:val="0"/>
        <w:autoSpaceDN w:val="0"/>
        <w:adjustRightInd w:val="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具有履行合同所必需的设备和专业技术能力书面声明</w:t>
      </w:r>
    </w:p>
    <w:p w14:paraId="75F43D0B">
      <w:pPr>
        <w:pStyle w:val="22"/>
        <w:ind w:firstLine="0" w:firstLineChars="0"/>
        <w:rPr>
          <w:highlight w:val="none"/>
        </w:rPr>
      </w:pPr>
    </w:p>
    <w:p w14:paraId="79784683">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致：                   （采购人）：</w:t>
      </w:r>
    </w:p>
    <w:p w14:paraId="255584D3">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名称）郑重声明，我公司具有良好的商业信誉，具有履行合同所必需的设备和专业技术能力，并随时接受采购人、采购代理机构的检查验证，符合《政府采购法》规定的投标人资格条件。我方对以上声明负全部法律责任。</w:t>
      </w:r>
    </w:p>
    <w:p w14:paraId="21267163">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6C342D00">
      <w:pPr>
        <w:adjustRightInd w:val="0"/>
        <w:snapToGrid w:val="0"/>
        <w:spacing w:line="360" w:lineRule="auto"/>
        <w:jc w:val="left"/>
        <w:rPr>
          <w:rFonts w:hint="eastAsia" w:ascii="仿宋" w:hAnsi="仿宋" w:eastAsia="仿宋" w:cs="仿宋"/>
          <w:sz w:val="28"/>
          <w:szCs w:val="28"/>
          <w:highlight w:val="none"/>
        </w:rPr>
      </w:pPr>
    </w:p>
    <w:p w14:paraId="76EB93D2">
      <w:pPr>
        <w:adjustRightInd w:val="0"/>
        <w:snapToGrid w:val="0"/>
        <w:spacing w:line="360" w:lineRule="auto"/>
        <w:jc w:val="left"/>
        <w:rPr>
          <w:rFonts w:hint="eastAsia" w:ascii="仿宋" w:hAnsi="仿宋" w:eastAsia="仿宋" w:cs="仿宋"/>
          <w:sz w:val="28"/>
          <w:szCs w:val="28"/>
          <w:highlight w:val="none"/>
        </w:rPr>
      </w:pPr>
    </w:p>
    <w:p w14:paraId="3E07BBD5">
      <w:pPr>
        <w:adjustRightInd w:val="0"/>
        <w:snapToGrid w:val="0"/>
        <w:spacing w:line="360" w:lineRule="auto"/>
        <w:jc w:val="left"/>
        <w:rPr>
          <w:rFonts w:hint="eastAsia" w:ascii="仿宋" w:hAnsi="仿宋" w:eastAsia="仿宋" w:cs="仿宋"/>
          <w:sz w:val="28"/>
          <w:szCs w:val="28"/>
          <w:highlight w:val="none"/>
        </w:rPr>
      </w:pPr>
    </w:p>
    <w:p w14:paraId="43D370A4">
      <w:pPr>
        <w:adjustRightInd w:val="0"/>
        <w:snapToGrid w:val="0"/>
        <w:spacing w:line="360" w:lineRule="auto"/>
        <w:ind w:firstLine="5600" w:firstLineChars="20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（投标人公章）</w:t>
      </w:r>
    </w:p>
    <w:p w14:paraId="6FB374E2">
      <w:pPr>
        <w:adjustRightInd w:val="0"/>
        <w:snapToGrid w:val="0"/>
        <w:spacing w:line="360" w:lineRule="auto"/>
        <w:ind w:firstLine="5600" w:firstLineChars="20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p w14:paraId="49EE100C">
      <w:pPr>
        <w:pStyle w:val="22"/>
        <w:ind w:firstLine="602"/>
        <w:rPr>
          <w:rFonts w:hint="eastAsia" w:hAnsi="宋体"/>
          <w:b/>
          <w:sz w:val="30"/>
          <w:highlight w:val="none"/>
        </w:rPr>
      </w:pPr>
    </w:p>
    <w:p w14:paraId="5A0E9751">
      <w:pPr>
        <w:autoSpaceDE w:val="0"/>
        <w:autoSpaceDN w:val="0"/>
        <w:adjustRightInd w:val="0"/>
        <w:jc w:val="center"/>
        <w:rPr>
          <w:rFonts w:hint="eastAsia" w:ascii="仿宋" w:hAnsi="仿宋" w:eastAsia="仿宋" w:cs="仿宋"/>
          <w:b/>
          <w:sz w:val="32"/>
          <w:szCs w:val="32"/>
          <w:highlight w:val="none"/>
        </w:rPr>
      </w:pPr>
    </w:p>
    <w:p w14:paraId="451931C2">
      <w:pPr>
        <w:autoSpaceDE w:val="0"/>
        <w:autoSpaceDN w:val="0"/>
        <w:adjustRightInd w:val="0"/>
        <w:jc w:val="center"/>
        <w:rPr>
          <w:rFonts w:hint="eastAsia" w:ascii="仿宋" w:hAnsi="仿宋" w:eastAsia="仿宋" w:cs="仿宋"/>
          <w:b/>
          <w:sz w:val="32"/>
          <w:szCs w:val="32"/>
          <w:highlight w:val="none"/>
        </w:rPr>
      </w:pPr>
    </w:p>
    <w:p w14:paraId="5672E363">
      <w:pPr>
        <w:autoSpaceDE w:val="0"/>
        <w:autoSpaceDN w:val="0"/>
        <w:adjustRightInd w:val="0"/>
        <w:jc w:val="center"/>
        <w:rPr>
          <w:rFonts w:hint="eastAsia" w:ascii="仿宋" w:hAnsi="仿宋" w:eastAsia="仿宋" w:cs="仿宋"/>
          <w:b/>
          <w:sz w:val="32"/>
          <w:szCs w:val="32"/>
          <w:highlight w:val="none"/>
        </w:rPr>
      </w:pPr>
    </w:p>
    <w:p w14:paraId="0BA58363">
      <w:pPr>
        <w:autoSpaceDE w:val="0"/>
        <w:autoSpaceDN w:val="0"/>
        <w:adjustRightInd w:val="0"/>
        <w:jc w:val="center"/>
        <w:rPr>
          <w:rFonts w:hint="eastAsia" w:ascii="仿宋" w:hAnsi="仿宋" w:eastAsia="仿宋" w:cs="仿宋"/>
          <w:b/>
          <w:sz w:val="32"/>
          <w:szCs w:val="32"/>
          <w:highlight w:val="none"/>
        </w:rPr>
      </w:pPr>
    </w:p>
    <w:p w14:paraId="3251E893">
      <w:pPr>
        <w:autoSpaceDE w:val="0"/>
        <w:autoSpaceDN w:val="0"/>
        <w:adjustRightInd w:val="0"/>
        <w:jc w:val="center"/>
        <w:rPr>
          <w:rFonts w:hint="eastAsia" w:ascii="仿宋" w:hAnsi="仿宋" w:eastAsia="仿宋" w:cs="仿宋"/>
          <w:b/>
          <w:sz w:val="32"/>
          <w:szCs w:val="32"/>
          <w:highlight w:val="none"/>
        </w:rPr>
      </w:pPr>
    </w:p>
    <w:p w14:paraId="44EDC6AA">
      <w:pPr>
        <w:autoSpaceDE w:val="0"/>
        <w:autoSpaceDN w:val="0"/>
        <w:adjustRightInd w:val="0"/>
        <w:jc w:val="center"/>
        <w:rPr>
          <w:rFonts w:hint="eastAsia" w:ascii="仿宋" w:hAnsi="仿宋" w:eastAsia="仿宋" w:cs="仿宋"/>
          <w:b/>
          <w:sz w:val="32"/>
          <w:szCs w:val="32"/>
          <w:highlight w:val="none"/>
        </w:rPr>
      </w:pPr>
    </w:p>
    <w:p w14:paraId="69F7B34D">
      <w:pPr>
        <w:autoSpaceDE w:val="0"/>
        <w:autoSpaceDN w:val="0"/>
        <w:adjustRightInd w:val="0"/>
        <w:jc w:val="center"/>
        <w:rPr>
          <w:rFonts w:hint="eastAsia" w:ascii="仿宋" w:hAnsi="仿宋" w:eastAsia="仿宋" w:cs="仿宋"/>
          <w:b/>
          <w:sz w:val="32"/>
          <w:szCs w:val="32"/>
          <w:highlight w:val="none"/>
        </w:rPr>
      </w:pPr>
    </w:p>
    <w:p w14:paraId="0274AAA4">
      <w:pPr>
        <w:autoSpaceDE w:val="0"/>
        <w:autoSpaceDN w:val="0"/>
        <w:adjustRightInd w:val="0"/>
        <w:jc w:val="center"/>
        <w:rPr>
          <w:rFonts w:hint="eastAsia" w:ascii="仿宋" w:hAnsi="仿宋" w:eastAsia="仿宋" w:cs="仿宋"/>
          <w:b/>
          <w:sz w:val="32"/>
          <w:szCs w:val="32"/>
          <w:highlight w:val="none"/>
        </w:rPr>
      </w:pPr>
    </w:p>
    <w:p w14:paraId="34F55999">
      <w:pPr>
        <w:pStyle w:val="13"/>
        <w:rPr>
          <w:rFonts w:hint="eastAsia" w:ascii="仿宋" w:hAnsi="仿宋" w:eastAsia="仿宋" w:cs="仿宋"/>
          <w:b/>
          <w:sz w:val="32"/>
          <w:szCs w:val="32"/>
          <w:highlight w:val="none"/>
        </w:rPr>
      </w:pPr>
    </w:p>
    <w:p w14:paraId="1CEF7E35">
      <w:pPr>
        <w:pStyle w:val="13"/>
        <w:rPr>
          <w:rFonts w:hint="eastAsia" w:ascii="仿宋" w:hAnsi="仿宋" w:eastAsia="仿宋" w:cs="仿宋"/>
          <w:b/>
          <w:sz w:val="32"/>
          <w:szCs w:val="32"/>
          <w:highlight w:val="none"/>
        </w:rPr>
      </w:pPr>
    </w:p>
    <w:p w14:paraId="49D21ECD">
      <w:pPr>
        <w:pStyle w:val="13"/>
        <w:rPr>
          <w:rFonts w:hint="eastAsia" w:ascii="仿宋" w:hAnsi="仿宋" w:eastAsia="仿宋" w:cs="仿宋"/>
          <w:b/>
          <w:sz w:val="32"/>
          <w:szCs w:val="32"/>
          <w:highlight w:val="none"/>
        </w:rPr>
      </w:pPr>
    </w:p>
    <w:p w14:paraId="45C6DE96">
      <w:pPr>
        <w:pStyle w:val="13"/>
        <w:rPr>
          <w:rFonts w:hint="eastAsia" w:ascii="仿宋" w:hAnsi="仿宋" w:eastAsia="仿宋" w:cs="仿宋"/>
          <w:b/>
          <w:sz w:val="32"/>
          <w:szCs w:val="32"/>
          <w:highlight w:val="none"/>
        </w:rPr>
      </w:pPr>
    </w:p>
    <w:p w14:paraId="2B55614C">
      <w:pPr>
        <w:autoSpaceDE w:val="0"/>
        <w:autoSpaceDN w:val="0"/>
        <w:adjustRightInd w:val="0"/>
        <w:rPr>
          <w:rFonts w:hint="eastAsia" w:ascii="仿宋" w:hAnsi="仿宋" w:eastAsia="仿宋" w:cs="仿宋"/>
          <w:b/>
          <w:sz w:val="32"/>
          <w:szCs w:val="32"/>
          <w:highlight w:val="none"/>
        </w:rPr>
      </w:pPr>
    </w:p>
    <w:p w14:paraId="6F3B98BE">
      <w:pPr>
        <w:autoSpaceDE w:val="0"/>
        <w:autoSpaceDN w:val="0"/>
        <w:adjustRightInd w:val="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（九）无重大违法记录声明书</w:t>
      </w:r>
    </w:p>
    <w:p w14:paraId="51A2D845">
      <w:pPr>
        <w:widowControl/>
        <w:adjustRightInd w:val="0"/>
        <w:snapToGrid w:val="0"/>
        <w:spacing w:line="360" w:lineRule="auto"/>
        <w:jc w:val="center"/>
        <w:rPr>
          <w:rFonts w:hint="eastAsia" w:ascii="宋体" w:hAnsi="宋体"/>
          <w:szCs w:val="21"/>
          <w:highlight w:val="none"/>
        </w:rPr>
      </w:pPr>
    </w:p>
    <w:p w14:paraId="62CF9908">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（采购人）         ：</w:t>
      </w:r>
    </w:p>
    <w:p w14:paraId="1231C31C">
      <w:pPr>
        <w:adjustRightInd w:val="0"/>
        <w:snapToGrid w:val="0"/>
        <w:spacing w:line="360" w:lineRule="auto"/>
        <w:jc w:val="left"/>
        <w:rPr>
          <w:rFonts w:hint="eastAsia" w:ascii="仿宋" w:hAnsi="仿宋" w:eastAsia="仿宋" w:cs="仿宋"/>
          <w:sz w:val="28"/>
          <w:szCs w:val="28"/>
          <w:highlight w:val="none"/>
        </w:rPr>
      </w:pPr>
    </w:p>
    <w:p w14:paraId="26D0E8CF">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我公司参与                          （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76921043">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050479BC">
      <w:pPr>
        <w:adjustRightInd w:val="0"/>
        <w:snapToGrid w:val="0"/>
        <w:spacing w:line="360" w:lineRule="auto"/>
        <w:jc w:val="left"/>
        <w:rPr>
          <w:rFonts w:hint="eastAsia" w:ascii="仿宋" w:hAnsi="仿宋" w:eastAsia="仿宋" w:cs="仿宋"/>
          <w:sz w:val="28"/>
          <w:szCs w:val="28"/>
          <w:highlight w:val="none"/>
        </w:rPr>
      </w:pPr>
    </w:p>
    <w:p w14:paraId="51B7DD6A">
      <w:pPr>
        <w:adjustRightInd w:val="0"/>
        <w:snapToGrid w:val="0"/>
        <w:spacing w:line="360" w:lineRule="auto"/>
        <w:ind w:firstLine="3920" w:firstLineChars="14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投标人名称（盖单位章）：                 </w:t>
      </w:r>
    </w:p>
    <w:p w14:paraId="7F7350BB">
      <w:pPr>
        <w:adjustRightInd w:val="0"/>
        <w:snapToGrid w:val="0"/>
        <w:spacing w:line="360" w:lineRule="auto"/>
        <w:ind w:firstLine="3920" w:firstLineChars="14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3F75F755">
      <w:pPr>
        <w:adjustRightInd w:val="0"/>
        <w:snapToGrid w:val="0"/>
        <w:spacing w:line="360" w:lineRule="auto"/>
        <w:ind w:firstLine="3640" w:firstLineChars="13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    期：              年   月   日</w:t>
      </w:r>
    </w:p>
    <w:p w14:paraId="3A398EAB">
      <w:pPr>
        <w:adjustRightInd w:val="0"/>
        <w:snapToGrid w:val="0"/>
        <w:spacing w:line="360" w:lineRule="auto"/>
        <w:jc w:val="left"/>
        <w:rPr>
          <w:rFonts w:hint="eastAsia" w:ascii="仿宋" w:hAnsi="仿宋" w:eastAsia="仿宋" w:cs="仿宋"/>
          <w:sz w:val="28"/>
          <w:szCs w:val="28"/>
          <w:highlight w:val="none"/>
        </w:rPr>
      </w:pPr>
    </w:p>
    <w:p w14:paraId="2780BB58">
      <w:pPr>
        <w:adjustRightInd w:val="0"/>
        <w:snapToGrid w:val="0"/>
        <w:spacing w:line="360" w:lineRule="auto"/>
        <w:jc w:val="left"/>
        <w:rPr>
          <w:rFonts w:hint="eastAsia" w:ascii="仿宋" w:hAnsi="仿宋" w:eastAsia="仿宋" w:cs="仿宋"/>
          <w:sz w:val="28"/>
          <w:szCs w:val="28"/>
          <w:highlight w:val="none"/>
        </w:rPr>
      </w:pPr>
    </w:p>
    <w:p w14:paraId="08F49554">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附注：▲本声明书格式不得修改，不提交本声明书按无效标处理。</w:t>
      </w:r>
    </w:p>
    <w:p w14:paraId="7BDFFA30">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近三年：成立三年以上的，为提交首次投标文件截止时间前三年内；成立不足三年的，为实际时间。</w:t>
      </w:r>
    </w:p>
    <w:p w14:paraId="1134E46A">
      <w:pPr>
        <w:pStyle w:val="22"/>
        <w:ind w:firstLine="0" w:firstLineChars="0"/>
        <w:rPr>
          <w:rFonts w:hint="eastAsia" w:hAnsi="宋体"/>
          <w:b/>
          <w:sz w:val="30"/>
          <w:highlight w:val="none"/>
        </w:rPr>
      </w:pPr>
    </w:p>
    <w:p w14:paraId="5B558F40">
      <w:pPr>
        <w:autoSpaceDE w:val="0"/>
        <w:autoSpaceDN w:val="0"/>
        <w:adjustRightInd w:val="0"/>
        <w:rPr>
          <w:rFonts w:hint="eastAsia" w:ascii="仿宋" w:hAnsi="仿宋" w:eastAsia="仿宋" w:cs="仿宋"/>
          <w:b/>
          <w:sz w:val="32"/>
          <w:szCs w:val="32"/>
          <w:highlight w:val="none"/>
        </w:rPr>
      </w:pPr>
    </w:p>
    <w:p w14:paraId="5D072F24">
      <w:pPr>
        <w:autoSpaceDE w:val="0"/>
        <w:autoSpaceDN w:val="0"/>
        <w:adjustRightInd w:val="0"/>
        <w:rPr>
          <w:rFonts w:hint="eastAsia" w:ascii="仿宋" w:hAnsi="仿宋" w:eastAsia="仿宋" w:cs="仿宋"/>
          <w:b/>
          <w:sz w:val="32"/>
          <w:szCs w:val="32"/>
          <w:highlight w:val="none"/>
        </w:rPr>
      </w:pPr>
    </w:p>
    <w:p w14:paraId="1530DF9D">
      <w:pPr>
        <w:autoSpaceDE w:val="0"/>
        <w:autoSpaceDN w:val="0"/>
        <w:adjustRightInd w:val="0"/>
        <w:rPr>
          <w:rFonts w:hint="eastAsia" w:ascii="仿宋" w:hAnsi="仿宋" w:eastAsia="仿宋" w:cs="仿宋"/>
          <w:b/>
          <w:sz w:val="32"/>
          <w:szCs w:val="32"/>
          <w:highlight w:val="none"/>
        </w:rPr>
      </w:pPr>
    </w:p>
    <w:p w14:paraId="61F666E7">
      <w:pPr>
        <w:pStyle w:val="6"/>
        <w:rPr>
          <w:rFonts w:hint="eastAsia" w:ascii="仿宋" w:hAnsi="仿宋" w:eastAsia="仿宋" w:cs="仿宋"/>
          <w:b/>
          <w:sz w:val="32"/>
          <w:szCs w:val="32"/>
          <w:highlight w:val="none"/>
        </w:rPr>
      </w:pPr>
    </w:p>
    <w:p w14:paraId="272BD7DB">
      <w:pPr>
        <w:rPr>
          <w:rFonts w:hint="eastAsia" w:ascii="仿宋" w:hAnsi="仿宋" w:eastAsia="仿宋" w:cs="仿宋"/>
          <w:b/>
          <w:sz w:val="32"/>
          <w:szCs w:val="32"/>
          <w:highlight w:val="none"/>
        </w:rPr>
      </w:pPr>
    </w:p>
    <w:p w14:paraId="6401A115">
      <w:pPr>
        <w:pStyle w:val="6"/>
        <w:rPr>
          <w:highlight w:val="none"/>
        </w:rPr>
      </w:pPr>
    </w:p>
    <w:p w14:paraId="1EA29CFA">
      <w:pPr>
        <w:autoSpaceDE w:val="0"/>
        <w:autoSpaceDN w:val="0"/>
        <w:adjustRightInd w:val="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（十）投标单位（供应商）反商业贿赂承诺书</w:t>
      </w:r>
    </w:p>
    <w:p w14:paraId="467144B4">
      <w:pPr>
        <w:pStyle w:val="22"/>
        <w:ind w:firstLine="0" w:firstLineChars="0"/>
        <w:rPr>
          <w:highlight w:val="none"/>
        </w:rPr>
      </w:pPr>
    </w:p>
    <w:p w14:paraId="37DD2E76">
      <w:pPr>
        <w:adjustRightInd w:val="0"/>
        <w:snapToGrid w:val="0"/>
        <w:spacing w:line="360" w:lineRule="auto"/>
        <w:jc w:val="left"/>
        <w:rPr>
          <w:rFonts w:hint="eastAsia" w:ascii="仿宋" w:hAnsi="仿宋" w:eastAsia="仿宋" w:cs="仿宋"/>
          <w:sz w:val="28"/>
          <w:szCs w:val="28"/>
          <w:highlight w:val="none"/>
        </w:rPr>
      </w:pPr>
      <w:r>
        <w:rPr>
          <w:rFonts w:hint="eastAsia" w:ascii="宋体" w:hAnsi="宋体" w:cs="宋体"/>
          <w:b/>
          <w:bCs/>
          <w:sz w:val="24"/>
          <w:szCs w:val="24"/>
          <w:highlight w:val="none"/>
        </w:rPr>
        <w:t> </w:t>
      </w:r>
      <w:r>
        <w:rPr>
          <w:rFonts w:hint="eastAsia" w:ascii="宋体" w:hAnsi="宋体" w:cs="宋体"/>
          <w:sz w:val="28"/>
          <w:szCs w:val="28"/>
          <w:highlight w:val="none"/>
        </w:rPr>
        <w:t> </w:t>
      </w:r>
      <w:r>
        <w:rPr>
          <w:rFonts w:hint="eastAsia" w:ascii="仿宋" w:hAnsi="仿宋" w:eastAsia="仿宋" w:cs="仿宋"/>
          <w:sz w:val="28"/>
          <w:szCs w:val="28"/>
          <w:highlight w:val="none"/>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69737846">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公司法人代表（签字并加盖公章）：</w:t>
      </w:r>
    </w:p>
    <w:p w14:paraId="204BE490">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法人授权代表（签字）：</w:t>
      </w:r>
    </w:p>
    <w:p w14:paraId="266AFB11">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项目经办人（签字）：</w:t>
      </w:r>
    </w:p>
    <w:p w14:paraId="786DAD6E">
      <w:pPr>
        <w:pStyle w:val="22"/>
        <w:ind w:firstLine="560"/>
        <w:rPr>
          <w:sz w:val="28"/>
          <w:szCs w:val="28"/>
          <w:highlight w:val="none"/>
        </w:rPr>
      </w:pPr>
    </w:p>
    <w:p w14:paraId="5D7D6A84">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日期：</w:t>
      </w:r>
    </w:p>
    <w:p w14:paraId="45A72015">
      <w:pPr>
        <w:rPr>
          <w:rFonts w:hint="eastAsia" w:ascii="宋体" w:hAnsi="宋体"/>
          <w:b/>
          <w:sz w:val="30"/>
          <w:highlight w:val="none"/>
        </w:rPr>
      </w:pPr>
    </w:p>
    <w:p w14:paraId="23EEB91F">
      <w:pPr>
        <w:pStyle w:val="22"/>
        <w:ind w:firstLine="602"/>
        <w:rPr>
          <w:rFonts w:hint="eastAsia" w:hAnsi="宋体"/>
          <w:b/>
          <w:sz w:val="30"/>
          <w:highlight w:val="none"/>
        </w:rPr>
      </w:pPr>
    </w:p>
    <w:p w14:paraId="76F57D37">
      <w:pPr>
        <w:rPr>
          <w:rFonts w:hint="eastAsia" w:ascii="宋体" w:hAnsi="宋体"/>
          <w:b/>
          <w:sz w:val="30"/>
          <w:highlight w:val="none"/>
        </w:rPr>
      </w:pPr>
    </w:p>
    <w:p w14:paraId="03A46C19">
      <w:pPr>
        <w:pStyle w:val="22"/>
        <w:ind w:firstLine="602"/>
        <w:rPr>
          <w:rFonts w:hint="eastAsia" w:hAnsi="宋体"/>
          <w:b/>
          <w:sz w:val="30"/>
          <w:highlight w:val="none"/>
        </w:rPr>
      </w:pPr>
    </w:p>
    <w:p w14:paraId="055FD060">
      <w:pPr>
        <w:rPr>
          <w:highlight w:val="none"/>
        </w:rPr>
      </w:pPr>
    </w:p>
    <w:p w14:paraId="4CD59C37">
      <w:pPr>
        <w:pStyle w:val="6"/>
        <w:rPr>
          <w:highlight w:val="none"/>
        </w:rPr>
      </w:pPr>
    </w:p>
    <w:p w14:paraId="0AF865EC">
      <w:pPr>
        <w:rPr>
          <w:highlight w:val="none"/>
        </w:rPr>
      </w:pPr>
    </w:p>
    <w:p w14:paraId="130DD394">
      <w:pPr>
        <w:pStyle w:val="6"/>
        <w:rPr>
          <w:highlight w:val="none"/>
        </w:rPr>
      </w:pPr>
    </w:p>
    <w:p w14:paraId="4120C891">
      <w:pPr>
        <w:rPr>
          <w:highlight w:val="none"/>
        </w:rPr>
      </w:pPr>
    </w:p>
    <w:p w14:paraId="514CCCFC">
      <w:pPr>
        <w:pStyle w:val="6"/>
        <w:rPr>
          <w:highlight w:val="none"/>
        </w:rPr>
      </w:pPr>
    </w:p>
    <w:p w14:paraId="320BFB43">
      <w:pPr>
        <w:rPr>
          <w:highlight w:val="none"/>
        </w:rPr>
      </w:pPr>
    </w:p>
    <w:p w14:paraId="5072503B">
      <w:pPr>
        <w:pStyle w:val="6"/>
        <w:rPr>
          <w:highlight w:val="none"/>
        </w:rPr>
      </w:pPr>
    </w:p>
    <w:p w14:paraId="61515932">
      <w:pPr>
        <w:rPr>
          <w:highlight w:val="none"/>
        </w:rPr>
      </w:pPr>
    </w:p>
    <w:p w14:paraId="623BA2F3">
      <w:pPr>
        <w:rPr>
          <w:highlight w:val="none"/>
        </w:rPr>
      </w:pPr>
    </w:p>
    <w:p w14:paraId="64AB5AB3">
      <w:pPr>
        <w:autoSpaceDE w:val="0"/>
        <w:autoSpaceDN w:val="0"/>
        <w:adjustRightInd w:val="0"/>
        <w:rPr>
          <w:rFonts w:hint="eastAsia" w:ascii="仿宋" w:hAnsi="仿宋" w:eastAsia="仿宋" w:cs="仿宋"/>
          <w:b/>
          <w:sz w:val="32"/>
          <w:szCs w:val="32"/>
          <w:highlight w:val="none"/>
        </w:rPr>
      </w:pPr>
    </w:p>
    <w:p w14:paraId="079E0355">
      <w:pPr>
        <w:autoSpaceDE w:val="0"/>
        <w:autoSpaceDN w:val="0"/>
        <w:adjustRightInd w:val="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（十一）项目实施方案</w:t>
      </w:r>
    </w:p>
    <w:p w14:paraId="1A1E4B39">
      <w:pPr>
        <w:topLinePunct/>
        <w:spacing w:line="440" w:lineRule="exact"/>
        <w:rPr>
          <w:rFonts w:hint="eastAsia" w:ascii="宋体" w:hAnsi="宋体"/>
          <w:szCs w:val="21"/>
          <w:highlight w:val="none"/>
        </w:rPr>
      </w:pPr>
    </w:p>
    <w:p w14:paraId="4ECA7EA3">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包括：</w:t>
      </w:r>
    </w:p>
    <w:p w14:paraId="1D1934B0">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（1）投标产品详细清单，详细列明所投项目主要采购清单，完整配置方案及技术指标，项目的核心产品必须明确所投规格型号及具体技术指标。</w:t>
      </w:r>
    </w:p>
    <w:p w14:paraId="2B32FA8F">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（2）对本项目系统总体要求的理解</w:t>
      </w:r>
    </w:p>
    <w:p w14:paraId="2122488F">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（3）投标人建议的安装、调试、验收方法或方案；</w:t>
      </w:r>
    </w:p>
    <w:p w14:paraId="17570700">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（4）质量保证措施；</w:t>
      </w:r>
    </w:p>
    <w:p w14:paraId="141E4B59">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（5）项目实施人员一览表（包括人员数量及专业）、设备投入计划及措施</w:t>
      </w:r>
    </w:p>
    <w:p w14:paraId="7DF67E31">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（6）技术服务、技术培训、售后服务说明，保修、服务响应时间、修复时间、应急处理等售后计划措施</w:t>
      </w:r>
    </w:p>
    <w:p w14:paraId="33F1E759">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（7）售后专业技术人员配置等（本项目服务区域）</w:t>
      </w:r>
    </w:p>
    <w:p w14:paraId="66BDCAE8">
      <w:pPr>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（8）投标人需要说明的其他内容（未尽事宜可按评分细则部分制作）</w:t>
      </w:r>
    </w:p>
    <w:p w14:paraId="78C64F2F">
      <w:pPr>
        <w:pStyle w:val="22"/>
        <w:ind w:firstLine="420"/>
        <w:rPr>
          <w:rFonts w:hint="eastAsia" w:hAnsi="宋体"/>
          <w:highlight w:val="none"/>
        </w:rPr>
      </w:pPr>
    </w:p>
    <w:p w14:paraId="155583CD">
      <w:pPr>
        <w:rPr>
          <w:highlight w:val="none"/>
        </w:rPr>
      </w:pPr>
    </w:p>
    <w:p w14:paraId="691F0AD4">
      <w:pPr>
        <w:pStyle w:val="3"/>
        <w:rPr>
          <w:highlight w:val="none"/>
        </w:rPr>
      </w:pPr>
    </w:p>
    <w:p w14:paraId="52E6EB51">
      <w:pPr>
        <w:pStyle w:val="4"/>
        <w:rPr>
          <w:highlight w:val="none"/>
        </w:rPr>
      </w:pPr>
    </w:p>
    <w:p w14:paraId="32E48179">
      <w:pPr>
        <w:rPr>
          <w:highlight w:val="none"/>
        </w:rPr>
      </w:pPr>
    </w:p>
    <w:p w14:paraId="4A0D77DC">
      <w:pPr>
        <w:autoSpaceDE w:val="0"/>
        <w:autoSpaceDN w:val="0"/>
        <w:adjustRightInd w:val="0"/>
        <w:jc w:val="center"/>
        <w:rPr>
          <w:rFonts w:hint="eastAsia" w:ascii="仿宋" w:hAnsi="仿宋" w:eastAsia="仿宋" w:cs="仿宋"/>
          <w:b/>
          <w:sz w:val="32"/>
          <w:szCs w:val="32"/>
          <w:highlight w:val="none"/>
        </w:rPr>
      </w:pPr>
    </w:p>
    <w:p w14:paraId="3E373E30">
      <w:pPr>
        <w:pStyle w:val="13"/>
        <w:rPr>
          <w:rFonts w:hint="eastAsia" w:ascii="仿宋" w:hAnsi="仿宋" w:eastAsia="仿宋" w:cs="仿宋"/>
          <w:b/>
          <w:sz w:val="32"/>
          <w:szCs w:val="32"/>
          <w:highlight w:val="none"/>
        </w:rPr>
      </w:pPr>
    </w:p>
    <w:p w14:paraId="47EB3D61">
      <w:pPr>
        <w:pStyle w:val="13"/>
        <w:rPr>
          <w:rFonts w:hint="eastAsia" w:ascii="仿宋" w:hAnsi="仿宋" w:eastAsia="仿宋" w:cs="仿宋"/>
          <w:b/>
          <w:sz w:val="32"/>
          <w:szCs w:val="32"/>
          <w:highlight w:val="none"/>
        </w:rPr>
      </w:pPr>
    </w:p>
    <w:p w14:paraId="3ED1B5B2">
      <w:pPr>
        <w:pStyle w:val="13"/>
        <w:rPr>
          <w:rFonts w:hint="eastAsia" w:ascii="仿宋" w:hAnsi="仿宋" w:eastAsia="仿宋" w:cs="仿宋"/>
          <w:b/>
          <w:sz w:val="32"/>
          <w:szCs w:val="32"/>
          <w:highlight w:val="none"/>
        </w:rPr>
      </w:pPr>
    </w:p>
    <w:p w14:paraId="38A7D160">
      <w:pPr>
        <w:pStyle w:val="13"/>
        <w:rPr>
          <w:rFonts w:hint="eastAsia" w:ascii="仿宋" w:hAnsi="仿宋" w:eastAsia="仿宋" w:cs="仿宋"/>
          <w:b/>
          <w:sz w:val="32"/>
          <w:szCs w:val="32"/>
          <w:highlight w:val="none"/>
        </w:rPr>
      </w:pPr>
    </w:p>
    <w:p w14:paraId="3A261CF6">
      <w:pPr>
        <w:pStyle w:val="13"/>
        <w:rPr>
          <w:rFonts w:hint="eastAsia" w:ascii="仿宋" w:hAnsi="仿宋" w:eastAsia="仿宋" w:cs="仿宋"/>
          <w:b/>
          <w:sz w:val="32"/>
          <w:szCs w:val="32"/>
          <w:highlight w:val="none"/>
        </w:rPr>
      </w:pPr>
    </w:p>
    <w:p w14:paraId="662F8D6F">
      <w:pPr>
        <w:pStyle w:val="13"/>
        <w:rPr>
          <w:rFonts w:hint="eastAsia" w:ascii="仿宋" w:hAnsi="仿宋" w:eastAsia="仿宋" w:cs="仿宋"/>
          <w:b/>
          <w:sz w:val="32"/>
          <w:szCs w:val="32"/>
          <w:highlight w:val="none"/>
        </w:rPr>
      </w:pPr>
    </w:p>
    <w:p w14:paraId="6BEE9276">
      <w:pPr>
        <w:pStyle w:val="13"/>
        <w:rPr>
          <w:rFonts w:hint="eastAsia" w:ascii="仿宋" w:hAnsi="仿宋" w:eastAsia="仿宋" w:cs="仿宋"/>
          <w:b/>
          <w:sz w:val="32"/>
          <w:szCs w:val="32"/>
          <w:highlight w:val="none"/>
        </w:rPr>
      </w:pPr>
    </w:p>
    <w:p w14:paraId="7ADFD591">
      <w:pPr>
        <w:pStyle w:val="13"/>
        <w:rPr>
          <w:rFonts w:hint="eastAsia" w:ascii="仿宋" w:hAnsi="仿宋" w:eastAsia="仿宋" w:cs="仿宋"/>
          <w:b/>
          <w:sz w:val="32"/>
          <w:szCs w:val="32"/>
          <w:highlight w:val="none"/>
        </w:rPr>
      </w:pPr>
    </w:p>
    <w:p w14:paraId="12B6BBB9">
      <w:pPr>
        <w:pStyle w:val="13"/>
        <w:rPr>
          <w:rFonts w:hint="eastAsia" w:ascii="仿宋" w:hAnsi="仿宋" w:eastAsia="仿宋" w:cs="仿宋"/>
          <w:b/>
          <w:sz w:val="32"/>
          <w:szCs w:val="32"/>
          <w:highlight w:val="none"/>
        </w:rPr>
      </w:pPr>
    </w:p>
    <w:p w14:paraId="7E5DE416">
      <w:pPr>
        <w:autoSpaceDE w:val="0"/>
        <w:autoSpaceDN w:val="0"/>
        <w:adjustRightInd w:val="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（十二）项目负责人简历表及拟投入本项目主要成员表</w:t>
      </w:r>
    </w:p>
    <w:p w14:paraId="2DB955F5">
      <w:pPr>
        <w:pStyle w:val="48"/>
        <w:rPr>
          <w:rFonts w:hint="eastAsia" w:ascii="仿宋" w:hAnsi="仿宋" w:eastAsia="仿宋" w:cs="仿宋"/>
          <w:sz w:val="28"/>
          <w:szCs w:val="28"/>
          <w:highlight w:val="none"/>
        </w:rPr>
      </w:pPr>
    </w:p>
    <w:p w14:paraId="20A41C56">
      <w:pPr>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1、项目负责人简历表</w:t>
      </w:r>
    </w:p>
    <w:p w14:paraId="1C03EAD0">
      <w:pPr>
        <w:pStyle w:val="48"/>
        <w:rPr>
          <w:rFonts w:hint="eastAsia"/>
          <w:highlight w:val="none"/>
        </w:rPr>
      </w:pPr>
    </w:p>
    <w:tbl>
      <w:tblPr>
        <w:tblStyle w:val="17"/>
        <w:tblW w:w="9047" w:type="dxa"/>
        <w:jc w:val="center"/>
        <w:tblLayout w:type="fixed"/>
        <w:tblCellMar>
          <w:top w:w="0" w:type="dxa"/>
          <w:left w:w="108" w:type="dxa"/>
          <w:bottom w:w="0" w:type="dxa"/>
          <w:right w:w="108" w:type="dxa"/>
        </w:tblCellMar>
      </w:tblPr>
      <w:tblGrid>
        <w:gridCol w:w="1228"/>
        <w:gridCol w:w="1969"/>
        <w:gridCol w:w="224"/>
        <w:gridCol w:w="959"/>
        <w:gridCol w:w="787"/>
        <w:gridCol w:w="1638"/>
        <w:gridCol w:w="2242"/>
      </w:tblGrid>
      <w:tr w14:paraId="22DA96C6">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651597FA">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193" w:type="dxa"/>
            <w:gridSpan w:val="2"/>
            <w:tcBorders>
              <w:top w:val="single" w:color="auto" w:sz="6" w:space="0"/>
              <w:left w:val="single" w:color="auto" w:sz="6" w:space="0"/>
              <w:bottom w:val="single" w:color="auto" w:sz="6" w:space="0"/>
              <w:right w:val="single" w:color="auto" w:sz="6" w:space="0"/>
            </w:tcBorders>
          </w:tcPr>
          <w:p w14:paraId="61F2F86B">
            <w:pPr>
              <w:spacing w:line="440" w:lineRule="exact"/>
              <w:jc w:val="center"/>
              <w:rPr>
                <w:rFonts w:hint="eastAsia" w:ascii="仿宋" w:hAnsi="仿宋" w:eastAsia="仿宋" w:cs="仿宋"/>
                <w:sz w:val="24"/>
                <w:szCs w:val="24"/>
                <w:highlight w:val="none"/>
              </w:rPr>
            </w:pPr>
          </w:p>
        </w:tc>
        <w:tc>
          <w:tcPr>
            <w:tcW w:w="959" w:type="dxa"/>
            <w:tcBorders>
              <w:top w:val="single" w:color="auto" w:sz="6" w:space="0"/>
              <w:left w:val="single" w:color="auto" w:sz="6" w:space="0"/>
              <w:bottom w:val="single" w:color="auto" w:sz="6" w:space="0"/>
              <w:right w:val="single" w:color="auto" w:sz="6" w:space="0"/>
            </w:tcBorders>
          </w:tcPr>
          <w:p w14:paraId="5B70F8D3">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年龄</w:t>
            </w:r>
          </w:p>
        </w:tc>
        <w:tc>
          <w:tcPr>
            <w:tcW w:w="787" w:type="dxa"/>
            <w:tcBorders>
              <w:top w:val="single" w:color="auto" w:sz="6" w:space="0"/>
              <w:left w:val="single" w:color="auto" w:sz="6" w:space="0"/>
              <w:bottom w:val="single" w:color="auto" w:sz="6" w:space="0"/>
              <w:right w:val="single" w:color="auto" w:sz="6" w:space="0"/>
            </w:tcBorders>
          </w:tcPr>
          <w:p w14:paraId="40008DEA">
            <w:pPr>
              <w:spacing w:line="440" w:lineRule="exact"/>
              <w:jc w:val="center"/>
              <w:rPr>
                <w:rFonts w:hint="eastAsia" w:ascii="仿宋" w:hAnsi="仿宋" w:eastAsia="仿宋" w:cs="仿宋"/>
                <w:sz w:val="24"/>
                <w:szCs w:val="24"/>
                <w:highlight w:val="none"/>
              </w:rPr>
            </w:pPr>
          </w:p>
        </w:tc>
        <w:tc>
          <w:tcPr>
            <w:tcW w:w="1638" w:type="dxa"/>
            <w:tcBorders>
              <w:top w:val="single" w:color="auto" w:sz="6" w:space="0"/>
              <w:left w:val="single" w:color="auto" w:sz="6" w:space="0"/>
              <w:bottom w:val="single" w:color="auto" w:sz="6" w:space="0"/>
              <w:right w:val="single" w:color="auto" w:sz="6" w:space="0"/>
            </w:tcBorders>
          </w:tcPr>
          <w:p w14:paraId="76F6EBE9">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p>
        </w:tc>
        <w:tc>
          <w:tcPr>
            <w:tcW w:w="2242" w:type="dxa"/>
            <w:tcBorders>
              <w:top w:val="single" w:color="auto" w:sz="6" w:space="0"/>
              <w:left w:val="single" w:color="auto" w:sz="6" w:space="0"/>
              <w:bottom w:val="single" w:color="auto" w:sz="6" w:space="0"/>
              <w:right w:val="single" w:color="auto" w:sz="6" w:space="0"/>
            </w:tcBorders>
          </w:tcPr>
          <w:p w14:paraId="33D01DEF">
            <w:pPr>
              <w:spacing w:line="440" w:lineRule="exact"/>
              <w:jc w:val="center"/>
              <w:rPr>
                <w:rFonts w:hint="eastAsia" w:ascii="仿宋" w:hAnsi="仿宋" w:eastAsia="仿宋" w:cs="仿宋"/>
                <w:sz w:val="24"/>
                <w:szCs w:val="24"/>
                <w:highlight w:val="none"/>
              </w:rPr>
            </w:pPr>
          </w:p>
        </w:tc>
      </w:tr>
      <w:tr w14:paraId="3A8FB8B4">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tcPr>
          <w:p w14:paraId="42AB5E65">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毕业学校</w:t>
            </w:r>
          </w:p>
        </w:tc>
        <w:tc>
          <w:tcPr>
            <w:tcW w:w="3939" w:type="dxa"/>
            <w:gridSpan w:val="4"/>
            <w:tcBorders>
              <w:top w:val="single" w:color="auto" w:sz="6" w:space="0"/>
              <w:left w:val="single" w:color="auto" w:sz="6" w:space="0"/>
              <w:bottom w:val="single" w:color="auto" w:sz="6" w:space="0"/>
              <w:right w:val="single" w:color="auto" w:sz="6" w:space="0"/>
            </w:tcBorders>
          </w:tcPr>
          <w:p w14:paraId="77272D5F">
            <w:pPr>
              <w:spacing w:line="440" w:lineRule="exact"/>
              <w:jc w:val="center"/>
              <w:rPr>
                <w:rFonts w:hint="eastAsia" w:ascii="仿宋" w:hAnsi="仿宋" w:eastAsia="仿宋" w:cs="仿宋"/>
                <w:sz w:val="24"/>
                <w:szCs w:val="24"/>
                <w:highlight w:val="none"/>
              </w:rPr>
            </w:pPr>
          </w:p>
        </w:tc>
        <w:tc>
          <w:tcPr>
            <w:tcW w:w="1638" w:type="dxa"/>
            <w:tcBorders>
              <w:top w:val="single" w:color="auto" w:sz="6" w:space="0"/>
              <w:left w:val="single" w:color="auto" w:sz="6" w:space="0"/>
              <w:bottom w:val="single" w:color="auto" w:sz="6" w:space="0"/>
              <w:right w:val="single" w:color="auto" w:sz="6" w:space="0"/>
            </w:tcBorders>
          </w:tcPr>
          <w:p w14:paraId="7D0FAC2A">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242" w:type="dxa"/>
            <w:tcBorders>
              <w:top w:val="single" w:color="auto" w:sz="6" w:space="0"/>
              <w:left w:val="single" w:color="auto" w:sz="6" w:space="0"/>
              <w:bottom w:val="single" w:color="auto" w:sz="6" w:space="0"/>
              <w:right w:val="single" w:color="auto" w:sz="6" w:space="0"/>
            </w:tcBorders>
          </w:tcPr>
          <w:p w14:paraId="58BFD3AB">
            <w:pPr>
              <w:spacing w:line="440" w:lineRule="exact"/>
              <w:jc w:val="center"/>
              <w:rPr>
                <w:rFonts w:hint="eastAsia" w:ascii="仿宋" w:hAnsi="仿宋" w:eastAsia="仿宋" w:cs="仿宋"/>
                <w:sz w:val="24"/>
                <w:szCs w:val="24"/>
                <w:highlight w:val="none"/>
              </w:rPr>
            </w:pPr>
          </w:p>
        </w:tc>
      </w:tr>
      <w:tr w14:paraId="63F24789">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00EDBB54">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学位</w:t>
            </w:r>
          </w:p>
        </w:tc>
        <w:tc>
          <w:tcPr>
            <w:tcW w:w="2193" w:type="dxa"/>
            <w:gridSpan w:val="2"/>
            <w:tcBorders>
              <w:top w:val="single" w:color="auto" w:sz="6" w:space="0"/>
              <w:left w:val="single" w:color="auto" w:sz="6" w:space="0"/>
              <w:bottom w:val="single" w:color="auto" w:sz="6" w:space="0"/>
              <w:right w:val="single" w:color="auto" w:sz="6" w:space="0"/>
            </w:tcBorders>
          </w:tcPr>
          <w:p w14:paraId="206ADE45">
            <w:pPr>
              <w:spacing w:line="440" w:lineRule="exact"/>
              <w:jc w:val="center"/>
              <w:rPr>
                <w:rFonts w:hint="eastAsia" w:ascii="仿宋" w:hAnsi="仿宋" w:eastAsia="仿宋" w:cs="仿宋"/>
                <w:sz w:val="24"/>
                <w:szCs w:val="24"/>
                <w:highlight w:val="none"/>
              </w:rPr>
            </w:pPr>
          </w:p>
        </w:tc>
        <w:tc>
          <w:tcPr>
            <w:tcW w:w="959" w:type="dxa"/>
            <w:tcBorders>
              <w:top w:val="single" w:color="auto" w:sz="6" w:space="0"/>
              <w:left w:val="single" w:color="auto" w:sz="6" w:space="0"/>
              <w:bottom w:val="single" w:color="auto" w:sz="6" w:space="0"/>
              <w:right w:val="single" w:color="auto" w:sz="6" w:space="0"/>
            </w:tcBorders>
          </w:tcPr>
          <w:p w14:paraId="48720A8C">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787" w:type="dxa"/>
            <w:tcBorders>
              <w:top w:val="single" w:color="auto" w:sz="6" w:space="0"/>
              <w:left w:val="single" w:color="auto" w:sz="6" w:space="0"/>
              <w:bottom w:val="single" w:color="auto" w:sz="6" w:space="0"/>
              <w:right w:val="single" w:color="auto" w:sz="6" w:space="0"/>
            </w:tcBorders>
          </w:tcPr>
          <w:p w14:paraId="22B16D5E">
            <w:pPr>
              <w:spacing w:line="440" w:lineRule="exact"/>
              <w:jc w:val="center"/>
              <w:rPr>
                <w:rFonts w:hint="eastAsia" w:ascii="仿宋" w:hAnsi="仿宋" w:eastAsia="仿宋" w:cs="仿宋"/>
                <w:sz w:val="24"/>
                <w:szCs w:val="24"/>
                <w:highlight w:val="none"/>
              </w:rPr>
            </w:pPr>
          </w:p>
        </w:tc>
        <w:tc>
          <w:tcPr>
            <w:tcW w:w="1638" w:type="dxa"/>
            <w:tcBorders>
              <w:top w:val="single" w:color="auto" w:sz="6" w:space="0"/>
              <w:left w:val="single" w:color="auto" w:sz="6" w:space="0"/>
              <w:bottom w:val="single" w:color="auto" w:sz="6" w:space="0"/>
              <w:right w:val="single" w:color="auto" w:sz="6" w:space="0"/>
            </w:tcBorders>
          </w:tcPr>
          <w:p w14:paraId="2BA5D97E">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务</w:t>
            </w:r>
          </w:p>
        </w:tc>
        <w:tc>
          <w:tcPr>
            <w:tcW w:w="2242" w:type="dxa"/>
            <w:tcBorders>
              <w:top w:val="single" w:color="auto" w:sz="6" w:space="0"/>
              <w:left w:val="single" w:color="auto" w:sz="6" w:space="0"/>
              <w:bottom w:val="single" w:color="auto" w:sz="6" w:space="0"/>
              <w:right w:val="single" w:color="auto" w:sz="6" w:space="0"/>
            </w:tcBorders>
          </w:tcPr>
          <w:p w14:paraId="3BF59EBE">
            <w:pPr>
              <w:spacing w:line="440" w:lineRule="exact"/>
              <w:jc w:val="center"/>
              <w:rPr>
                <w:rFonts w:hint="eastAsia" w:ascii="仿宋" w:hAnsi="仿宋" w:eastAsia="仿宋" w:cs="仿宋"/>
                <w:sz w:val="24"/>
                <w:szCs w:val="24"/>
                <w:highlight w:val="none"/>
              </w:rPr>
            </w:pPr>
          </w:p>
        </w:tc>
      </w:tr>
      <w:tr w14:paraId="4022572A">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tcPr>
          <w:p w14:paraId="43D47D23">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tcPr>
          <w:p w14:paraId="1D8BBAC2">
            <w:pPr>
              <w:spacing w:line="440" w:lineRule="exact"/>
              <w:jc w:val="center"/>
              <w:rPr>
                <w:rFonts w:hint="eastAsia" w:ascii="仿宋" w:hAnsi="仿宋" w:eastAsia="仿宋" w:cs="仿宋"/>
                <w:sz w:val="24"/>
                <w:szCs w:val="24"/>
                <w:highlight w:val="none"/>
              </w:rPr>
            </w:pPr>
          </w:p>
        </w:tc>
        <w:tc>
          <w:tcPr>
            <w:tcW w:w="1638" w:type="dxa"/>
            <w:tcBorders>
              <w:top w:val="single" w:color="auto" w:sz="6" w:space="0"/>
              <w:left w:val="single" w:color="auto" w:sz="6" w:space="0"/>
              <w:bottom w:val="single" w:color="auto" w:sz="6" w:space="0"/>
              <w:right w:val="single" w:color="auto" w:sz="6" w:space="0"/>
            </w:tcBorders>
            <w:vAlign w:val="center"/>
          </w:tcPr>
          <w:p w14:paraId="13B4229A">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服务时间</w:t>
            </w:r>
          </w:p>
        </w:tc>
        <w:tc>
          <w:tcPr>
            <w:tcW w:w="2242" w:type="dxa"/>
            <w:tcBorders>
              <w:top w:val="single" w:color="auto" w:sz="6" w:space="0"/>
              <w:left w:val="single" w:color="auto" w:sz="6" w:space="0"/>
              <w:bottom w:val="single" w:color="auto" w:sz="6" w:space="0"/>
              <w:right w:val="single" w:color="auto" w:sz="6" w:space="0"/>
            </w:tcBorders>
          </w:tcPr>
          <w:p w14:paraId="6021B7F9">
            <w:pPr>
              <w:spacing w:line="440" w:lineRule="exact"/>
              <w:jc w:val="center"/>
              <w:rPr>
                <w:rFonts w:hint="eastAsia" w:ascii="仿宋" w:hAnsi="仿宋" w:eastAsia="仿宋" w:cs="仿宋"/>
                <w:sz w:val="24"/>
                <w:szCs w:val="24"/>
                <w:highlight w:val="none"/>
              </w:rPr>
            </w:pPr>
          </w:p>
        </w:tc>
      </w:tr>
      <w:tr w14:paraId="5E2DD888">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tcPr>
          <w:p w14:paraId="403F588F">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注册证书及注册号</w:t>
            </w:r>
          </w:p>
        </w:tc>
        <w:tc>
          <w:tcPr>
            <w:tcW w:w="1969" w:type="dxa"/>
            <w:tcBorders>
              <w:top w:val="single" w:color="auto" w:sz="6" w:space="0"/>
              <w:left w:val="single" w:color="auto" w:sz="6" w:space="0"/>
              <w:bottom w:val="single" w:color="auto" w:sz="6" w:space="0"/>
              <w:right w:val="single" w:color="auto" w:sz="6" w:space="0"/>
            </w:tcBorders>
          </w:tcPr>
          <w:p w14:paraId="4D3BCAB6">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970" w:type="dxa"/>
            <w:gridSpan w:val="3"/>
            <w:tcBorders>
              <w:top w:val="single" w:color="auto" w:sz="6" w:space="0"/>
              <w:left w:val="single" w:color="auto" w:sz="6" w:space="0"/>
              <w:bottom w:val="single" w:color="auto" w:sz="6" w:space="0"/>
              <w:right w:val="single" w:color="auto" w:sz="6" w:space="0"/>
            </w:tcBorders>
          </w:tcPr>
          <w:p w14:paraId="0E181BBE">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证书名</w:t>
            </w:r>
          </w:p>
        </w:tc>
        <w:tc>
          <w:tcPr>
            <w:tcW w:w="1638" w:type="dxa"/>
            <w:tcBorders>
              <w:top w:val="single" w:color="auto" w:sz="6" w:space="0"/>
              <w:left w:val="single" w:color="auto" w:sz="6" w:space="0"/>
              <w:bottom w:val="single" w:color="auto" w:sz="6" w:space="0"/>
              <w:right w:val="single" w:color="auto" w:sz="6" w:space="0"/>
            </w:tcBorders>
            <w:vAlign w:val="center"/>
          </w:tcPr>
          <w:p w14:paraId="064CB3AE">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证书号</w:t>
            </w:r>
          </w:p>
        </w:tc>
        <w:tc>
          <w:tcPr>
            <w:tcW w:w="2242" w:type="dxa"/>
            <w:tcBorders>
              <w:top w:val="single" w:color="auto" w:sz="6" w:space="0"/>
              <w:left w:val="single" w:color="auto" w:sz="6" w:space="0"/>
              <w:bottom w:val="single" w:color="auto" w:sz="6" w:space="0"/>
              <w:right w:val="single" w:color="auto" w:sz="6" w:space="0"/>
            </w:tcBorders>
          </w:tcPr>
          <w:p w14:paraId="7E6D75ED">
            <w:pPr>
              <w:spacing w:line="440" w:lineRule="exact"/>
              <w:jc w:val="center"/>
              <w:rPr>
                <w:rFonts w:hint="eastAsia" w:ascii="仿宋" w:hAnsi="仿宋" w:eastAsia="仿宋" w:cs="仿宋"/>
                <w:sz w:val="24"/>
                <w:szCs w:val="24"/>
                <w:highlight w:val="none"/>
              </w:rPr>
            </w:pPr>
          </w:p>
        </w:tc>
      </w:tr>
      <w:tr w14:paraId="61628329">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01465BC1">
            <w:pPr>
              <w:spacing w:line="440" w:lineRule="exact"/>
              <w:jc w:val="center"/>
              <w:rPr>
                <w:rFonts w:hint="eastAsia" w:ascii="仿宋" w:hAnsi="仿宋" w:eastAsia="仿宋" w:cs="仿宋"/>
                <w:sz w:val="24"/>
                <w:szCs w:val="24"/>
                <w:highlight w:val="none"/>
              </w:rPr>
            </w:pPr>
          </w:p>
        </w:tc>
        <w:tc>
          <w:tcPr>
            <w:tcW w:w="1969" w:type="dxa"/>
            <w:tcBorders>
              <w:top w:val="single" w:color="auto" w:sz="6" w:space="0"/>
              <w:left w:val="single" w:color="auto" w:sz="6" w:space="0"/>
              <w:bottom w:val="single" w:color="auto" w:sz="6" w:space="0"/>
              <w:right w:val="single" w:color="auto" w:sz="6" w:space="0"/>
            </w:tcBorders>
          </w:tcPr>
          <w:p w14:paraId="16403DE6">
            <w:pPr>
              <w:spacing w:line="440" w:lineRule="exact"/>
              <w:jc w:val="center"/>
              <w:rPr>
                <w:rFonts w:hint="eastAsia" w:ascii="仿宋" w:hAnsi="仿宋" w:eastAsia="仿宋" w:cs="仿宋"/>
                <w:sz w:val="24"/>
                <w:szCs w:val="24"/>
                <w:highlight w:val="none"/>
              </w:rPr>
            </w:pPr>
          </w:p>
        </w:tc>
        <w:tc>
          <w:tcPr>
            <w:tcW w:w="1970" w:type="dxa"/>
            <w:gridSpan w:val="3"/>
            <w:tcBorders>
              <w:top w:val="single" w:color="auto" w:sz="6" w:space="0"/>
              <w:left w:val="single" w:color="auto" w:sz="6" w:space="0"/>
              <w:bottom w:val="single" w:color="auto" w:sz="6" w:space="0"/>
              <w:right w:val="single" w:color="auto" w:sz="6" w:space="0"/>
            </w:tcBorders>
          </w:tcPr>
          <w:p w14:paraId="68D2D244">
            <w:pPr>
              <w:spacing w:line="440" w:lineRule="exact"/>
              <w:jc w:val="center"/>
              <w:rPr>
                <w:rFonts w:hint="eastAsia" w:ascii="仿宋" w:hAnsi="仿宋" w:eastAsia="仿宋" w:cs="仿宋"/>
                <w:sz w:val="24"/>
                <w:szCs w:val="24"/>
                <w:highlight w:val="none"/>
              </w:rPr>
            </w:pPr>
          </w:p>
        </w:tc>
        <w:tc>
          <w:tcPr>
            <w:tcW w:w="1638" w:type="dxa"/>
            <w:tcBorders>
              <w:top w:val="single" w:color="auto" w:sz="6" w:space="0"/>
              <w:left w:val="single" w:color="auto" w:sz="6" w:space="0"/>
              <w:bottom w:val="single" w:color="auto" w:sz="6" w:space="0"/>
              <w:right w:val="single" w:color="auto" w:sz="6" w:space="0"/>
            </w:tcBorders>
            <w:vAlign w:val="center"/>
          </w:tcPr>
          <w:p w14:paraId="62A7DB1F">
            <w:pPr>
              <w:spacing w:line="440" w:lineRule="exact"/>
              <w:jc w:val="center"/>
              <w:rPr>
                <w:rFonts w:hint="eastAsia" w:ascii="仿宋" w:hAnsi="仿宋" w:eastAsia="仿宋" w:cs="仿宋"/>
                <w:sz w:val="24"/>
                <w:szCs w:val="24"/>
                <w:highlight w:val="none"/>
              </w:rPr>
            </w:pPr>
          </w:p>
        </w:tc>
        <w:tc>
          <w:tcPr>
            <w:tcW w:w="2242" w:type="dxa"/>
            <w:tcBorders>
              <w:top w:val="single" w:color="auto" w:sz="6" w:space="0"/>
              <w:left w:val="single" w:color="auto" w:sz="6" w:space="0"/>
              <w:bottom w:val="single" w:color="auto" w:sz="6" w:space="0"/>
              <w:right w:val="single" w:color="auto" w:sz="6" w:space="0"/>
            </w:tcBorders>
          </w:tcPr>
          <w:p w14:paraId="22A677D1">
            <w:pPr>
              <w:spacing w:line="440" w:lineRule="exact"/>
              <w:jc w:val="center"/>
              <w:rPr>
                <w:rFonts w:hint="eastAsia" w:ascii="仿宋" w:hAnsi="仿宋" w:eastAsia="仿宋" w:cs="仿宋"/>
                <w:sz w:val="24"/>
                <w:szCs w:val="24"/>
                <w:highlight w:val="none"/>
              </w:rPr>
            </w:pPr>
          </w:p>
        </w:tc>
      </w:tr>
      <w:tr w14:paraId="12A92C86">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75AF777A">
            <w:pPr>
              <w:spacing w:line="440" w:lineRule="exact"/>
              <w:jc w:val="center"/>
              <w:rPr>
                <w:rFonts w:hint="eastAsia" w:ascii="仿宋" w:hAnsi="仿宋" w:eastAsia="仿宋" w:cs="仿宋"/>
                <w:sz w:val="24"/>
                <w:szCs w:val="24"/>
                <w:highlight w:val="none"/>
              </w:rPr>
            </w:pPr>
          </w:p>
        </w:tc>
        <w:tc>
          <w:tcPr>
            <w:tcW w:w="1969" w:type="dxa"/>
            <w:tcBorders>
              <w:top w:val="single" w:color="auto" w:sz="6" w:space="0"/>
              <w:left w:val="single" w:color="auto" w:sz="6" w:space="0"/>
              <w:bottom w:val="single" w:color="auto" w:sz="6" w:space="0"/>
              <w:right w:val="single" w:color="auto" w:sz="6" w:space="0"/>
            </w:tcBorders>
          </w:tcPr>
          <w:p w14:paraId="4D3AED43">
            <w:pPr>
              <w:spacing w:line="440" w:lineRule="exact"/>
              <w:jc w:val="center"/>
              <w:rPr>
                <w:rFonts w:hint="eastAsia" w:ascii="仿宋" w:hAnsi="仿宋" w:eastAsia="仿宋" w:cs="仿宋"/>
                <w:sz w:val="24"/>
                <w:szCs w:val="24"/>
                <w:highlight w:val="none"/>
              </w:rPr>
            </w:pPr>
          </w:p>
        </w:tc>
        <w:tc>
          <w:tcPr>
            <w:tcW w:w="1970" w:type="dxa"/>
            <w:gridSpan w:val="3"/>
            <w:tcBorders>
              <w:top w:val="single" w:color="auto" w:sz="6" w:space="0"/>
              <w:left w:val="single" w:color="auto" w:sz="6" w:space="0"/>
              <w:bottom w:val="single" w:color="auto" w:sz="6" w:space="0"/>
              <w:right w:val="single" w:color="auto" w:sz="6" w:space="0"/>
            </w:tcBorders>
          </w:tcPr>
          <w:p w14:paraId="3790AB22">
            <w:pPr>
              <w:spacing w:line="440" w:lineRule="exact"/>
              <w:jc w:val="center"/>
              <w:rPr>
                <w:rFonts w:hint="eastAsia" w:ascii="仿宋" w:hAnsi="仿宋" w:eastAsia="仿宋" w:cs="仿宋"/>
                <w:sz w:val="24"/>
                <w:szCs w:val="24"/>
                <w:highlight w:val="none"/>
              </w:rPr>
            </w:pPr>
          </w:p>
        </w:tc>
        <w:tc>
          <w:tcPr>
            <w:tcW w:w="1638" w:type="dxa"/>
            <w:tcBorders>
              <w:top w:val="single" w:color="auto" w:sz="6" w:space="0"/>
              <w:left w:val="single" w:color="auto" w:sz="6" w:space="0"/>
              <w:bottom w:val="single" w:color="auto" w:sz="6" w:space="0"/>
              <w:right w:val="single" w:color="auto" w:sz="6" w:space="0"/>
            </w:tcBorders>
            <w:vAlign w:val="center"/>
          </w:tcPr>
          <w:p w14:paraId="7DF7A626">
            <w:pPr>
              <w:spacing w:line="440" w:lineRule="exact"/>
              <w:jc w:val="center"/>
              <w:rPr>
                <w:rFonts w:hint="eastAsia" w:ascii="仿宋" w:hAnsi="仿宋" w:eastAsia="仿宋" w:cs="仿宋"/>
                <w:sz w:val="24"/>
                <w:szCs w:val="24"/>
                <w:highlight w:val="none"/>
              </w:rPr>
            </w:pPr>
          </w:p>
        </w:tc>
        <w:tc>
          <w:tcPr>
            <w:tcW w:w="2242" w:type="dxa"/>
            <w:tcBorders>
              <w:top w:val="single" w:color="auto" w:sz="6" w:space="0"/>
              <w:left w:val="single" w:color="auto" w:sz="6" w:space="0"/>
              <w:bottom w:val="single" w:color="auto" w:sz="6" w:space="0"/>
              <w:right w:val="single" w:color="auto" w:sz="6" w:space="0"/>
            </w:tcBorders>
          </w:tcPr>
          <w:p w14:paraId="337DBCE0">
            <w:pPr>
              <w:spacing w:line="440" w:lineRule="exact"/>
              <w:jc w:val="center"/>
              <w:rPr>
                <w:rFonts w:hint="eastAsia" w:ascii="仿宋" w:hAnsi="仿宋" w:eastAsia="仿宋" w:cs="仿宋"/>
                <w:sz w:val="24"/>
                <w:szCs w:val="24"/>
                <w:highlight w:val="none"/>
              </w:rPr>
            </w:pPr>
          </w:p>
        </w:tc>
      </w:tr>
      <w:tr w14:paraId="7AFF3355">
        <w:tblPrEx>
          <w:tblCellMar>
            <w:top w:w="0" w:type="dxa"/>
            <w:left w:w="108" w:type="dxa"/>
            <w:bottom w:w="0" w:type="dxa"/>
            <w:right w:w="108" w:type="dxa"/>
          </w:tblCellMar>
        </w:tblPrEx>
        <w:trPr>
          <w:trHeight w:val="1220"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14:paraId="3C52D1E4">
            <w:pPr>
              <w:spacing w:line="440" w:lineRule="exact"/>
              <w:jc w:val="center"/>
              <w:rPr>
                <w:rFonts w:hint="eastAsia" w:ascii="仿宋" w:hAnsi="仿宋" w:eastAsia="仿宋" w:cs="仿宋"/>
                <w:sz w:val="24"/>
                <w:szCs w:val="24"/>
                <w:highlight w:val="none"/>
              </w:rPr>
            </w:pPr>
          </w:p>
          <w:p w14:paraId="71024CE1">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主要经历</w:t>
            </w:r>
          </w:p>
          <w:p w14:paraId="6D7CD7C7">
            <w:pPr>
              <w:spacing w:line="440" w:lineRule="exact"/>
              <w:jc w:val="center"/>
              <w:rPr>
                <w:rFonts w:hint="eastAsia" w:ascii="仿宋" w:hAnsi="仿宋" w:eastAsia="仿宋" w:cs="仿宋"/>
                <w:sz w:val="24"/>
                <w:szCs w:val="24"/>
                <w:highlight w:val="none"/>
              </w:rPr>
            </w:pPr>
          </w:p>
        </w:tc>
        <w:tc>
          <w:tcPr>
            <w:tcW w:w="7819" w:type="dxa"/>
            <w:gridSpan w:val="6"/>
            <w:tcBorders>
              <w:top w:val="single" w:color="auto" w:sz="6" w:space="0"/>
              <w:left w:val="single" w:color="auto" w:sz="6" w:space="0"/>
              <w:bottom w:val="single" w:color="auto" w:sz="6" w:space="0"/>
              <w:right w:val="single" w:color="auto" w:sz="6" w:space="0"/>
            </w:tcBorders>
          </w:tcPr>
          <w:p w14:paraId="71AEF1AA">
            <w:pPr>
              <w:spacing w:line="440" w:lineRule="exact"/>
              <w:jc w:val="center"/>
              <w:rPr>
                <w:rFonts w:hint="eastAsia" w:ascii="仿宋" w:hAnsi="仿宋" w:eastAsia="仿宋" w:cs="仿宋"/>
                <w:sz w:val="24"/>
                <w:szCs w:val="24"/>
                <w:highlight w:val="none"/>
              </w:rPr>
            </w:pPr>
          </w:p>
        </w:tc>
      </w:tr>
      <w:tr w14:paraId="75BB4A4E">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1466CB88">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c>
          <w:tcPr>
            <w:tcW w:w="3152" w:type="dxa"/>
            <w:gridSpan w:val="3"/>
            <w:tcBorders>
              <w:top w:val="single" w:color="auto" w:sz="6" w:space="0"/>
              <w:left w:val="single" w:color="auto" w:sz="6" w:space="0"/>
              <w:bottom w:val="single" w:color="auto" w:sz="6" w:space="0"/>
              <w:right w:val="single" w:color="auto" w:sz="6" w:space="0"/>
            </w:tcBorders>
          </w:tcPr>
          <w:p w14:paraId="071D148A">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tcPr>
          <w:p w14:paraId="12F01697">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担任何职务</w:t>
            </w:r>
          </w:p>
        </w:tc>
        <w:tc>
          <w:tcPr>
            <w:tcW w:w="2242" w:type="dxa"/>
            <w:tcBorders>
              <w:top w:val="single" w:color="auto" w:sz="6" w:space="0"/>
              <w:left w:val="single" w:color="auto" w:sz="6" w:space="0"/>
              <w:bottom w:val="single" w:color="auto" w:sz="6" w:space="0"/>
              <w:right w:val="single" w:color="auto" w:sz="6" w:space="0"/>
            </w:tcBorders>
          </w:tcPr>
          <w:p w14:paraId="07538FA1">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0730EFAC">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2F2F0D77">
            <w:pPr>
              <w:spacing w:line="440" w:lineRule="exact"/>
              <w:jc w:val="center"/>
              <w:rPr>
                <w:rFonts w:hint="eastAsia" w:ascii="仿宋" w:hAnsi="仿宋" w:eastAsia="仿宋" w:cs="仿宋"/>
                <w:sz w:val="24"/>
                <w:szCs w:val="24"/>
                <w:highlight w:val="none"/>
              </w:rPr>
            </w:pPr>
          </w:p>
        </w:tc>
        <w:tc>
          <w:tcPr>
            <w:tcW w:w="3152" w:type="dxa"/>
            <w:gridSpan w:val="3"/>
            <w:tcBorders>
              <w:top w:val="single" w:color="auto" w:sz="6" w:space="0"/>
              <w:left w:val="single" w:color="auto" w:sz="6" w:space="0"/>
              <w:bottom w:val="single" w:color="auto" w:sz="6" w:space="0"/>
              <w:right w:val="single" w:color="auto" w:sz="6" w:space="0"/>
            </w:tcBorders>
          </w:tcPr>
          <w:p w14:paraId="48788ED4">
            <w:pPr>
              <w:spacing w:line="440" w:lineRule="exact"/>
              <w:jc w:val="center"/>
              <w:rPr>
                <w:rFonts w:hint="eastAsia" w:ascii="仿宋" w:hAnsi="仿宋" w:eastAsia="仿宋" w:cs="仿宋"/>
                <w:sz w:val="24"/>
                <w:szCs w:val="24"/>
                <w:highlight w:val="none"/>
              </w:rPr>
            </w:pPr>
          </w:p>
        </w:tc>
        <w:tc>
          <w:tcPr>
            <w:tcW w:w="2425" w:type="dxa"/>
            <w:gridSpan w:val="2"/>
            <w:tcBorders>
              <w:top w:val="single" w:color="auto" w:sz="6" w:space="0"/>
              <w:left w:val="single" w:color="auto" w:sz="6" w:space="0"/>
              <w:bottom w:val="single" w:color="auto" w:sz="6" w:space="0"/>
              <w:right w:val="single" w:color="auto" w:sz="6" w:space="0"/>
            </w:tcBorders>
          </w:tcPr>
          <w:p w14:paraId="5D81AB6C">
            <w:pPr>
              <w:spacing w:line="440" w:lineRule="exact"/>
              <w:jc w:val="center"/>
              <w:rPr>
                <w:rFonts w:hint="eastAsia" w:ascii="仿宋" w:hAnsi="仿宋" w:eastAsia="仿宋" w:cs="仿宋"/>
                <w:sz w:val="24"/>
                <w:szCs w:val="24"/>
                <w:highlight w:val="none"/>
              </w:rPr>
            </w:pPr>
          </w:p>
        </w:tc>
        <w:tc>
          <w:tcPr>
            <w:tcW w:w="2242" w:type="dxa"/>
            <w:tcBorders>
              <w:top w:val="single" w:color="auto" w:sz="6" w:space="0"/>
              <w:left w:val="single" w:color="auto" w:sz="6" w:space="0"/>
              <w:bottom w:val="single" w:color="auto" w:sz="6" w:space="0"/>
              <w:right w:val="single" w:color="auto" w:sz="6" w:space="0"/>
            </w:tcBorders>
          </w:tcPr>
          <w:p w14:paraId="644254B5">
            <w:pPr>
              <w:spacing w:line="440" w:lineRule="exact"/>
              <w:jc w:val="center"/>
              <w:rPr>
                <w:rFonts w:hint="eastAsia" w:ascii="仿宋" w:hAnsi="仿宋" w:eastAsia="仿宋" w:cs="仿宋"/>
                <w:sz w:val="24"/>
                <w:szCs w:val="24"/>
                <w:highlight w:val="none"/>
              </w:rPr>
            </w:pPr>
          </w:p>
        </w:tc>
      </w:tr>
      <w:tr w14:paraId="016D50E9">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463E0D6C">
            <w:pPr>
              <w:spacing w:line="440" w:lineRule="exact"/>
              <w:jc w:val="center"/>
              <w:rPr>
                <w:rFonts w:hint="eastAsia" w:ascii="仿宋" w:hAnsi="仿宋" w:eastAsia="仿宋" w:cs="仿宋"/>
                <w:sz w:val="24"/>
                <w:szCs w:val="24"/>
                <w:highlight w:val="none"/>
              </w:rPr>
            </w:pPr>
          </w:p>
        </w:tc>
        <w:tc>
          <w:tcPr>
            <w:tcW w:w="3152" w:type="dxa"/>
            <w:gridSpan w:val="3"/>
            <w:tcBorders>
              <w:top w:val="single" w:color="auto" w:sz="6" w:space="0"/>
              <w:left w:val="single" w:color="auto" w:sz="6" w:space="0"/>
              <w:bottom w:val="single" w:color="auto" w:sz="6" w:space="0"/>
              <w:right w:val="single" w:color="auto" w:sz="6" w:space="0"/>
            </w:tcBorders>
          </w:tcPr>
          <w:p w14:paraId="5F1A3C8E">
            <w:pPr>
              <w:spacing w:line="440" w:lineRule="exact"/>
              <w:jc w:val="center"/>
              <w:rPr>
                <w:rFonts w:hint="eastAsia" w:ascii="仿宋" w:hAnsi="仿宋" w:eastAsia="仿宋" w:cs="仿宋"/>
                <w:sz w:val="24"/>
                <w:szCs w:val="24"/>
                <w:highlight w:val="none"/>
              </w:rPr>
            </w:pPr>
          </w:p>
        </w:tc>
        <w:tc>
          <w:tcPr>
            <w:tcW w:w="2425" w:type="dxa"/>
            <w:gridSpan w:val="2"/>
            <w:tcBorders>
              <w:top w:val="single" w:color="auto" w:sz="6" w:space="0"/>
              <w:left w:val="single" w:color="auto" w:sz="6" w:space="0"/>
              <w:bottom w:val="single" w:color="auto" w:sz="6" w:space="0"/>
              <w:right w:val="single" w:color="auto" w:sz="6" w:space="0"/>
            </w:tcBorders>
          </w:tcPr>
          <w:p w14:paraId="513DEF1D">
            <w:pPr>
              <w:spacing w:line="440" w:lineRule="exact"/>
              <w:jc w:val="center"/>
              <w:rPr>
                <w:rFonts w:hint="eastAsia" w:ascii="仿宋" w:hAnsi="仿宋" w:eastAsia="仿宋" w:cs="仿宋"/>
                <w:sz w:val="24"/>
                <w:szCs w:val="24"/>
                <w:highlight w:val="none"/>
              </w:rPr>
            </w:pPr>
          </w:p>
        </w:tc>
        <w:tc>
          <w:tcPr>
            <w:tcW w:w="2242" w:type="dxa"/>
            <w:tcBorders>
              <w:top w:val="single" w:color="auto" w:sz="6" w:space="0"/>
              <w:left w:val="single" w:color="auto" w:sz="6" w:space="0"/>
              <w:bottom w:val="single" w:color="auto" w:sz="6" w:space="0"/>
              <w:right w:val="single" w:color="auto" w:sz="6" w:space="0"/>
            </w:tcBorders>
          </w:tcPr>
          <w:p w14:paraId="190CD52B">
            <w:pPr>
              <w:spacing w:line="440" w:lineRule="exact"/>
              <w:jc w:val="center"/>
              <w:rPr>
                <w:rFonts w:hint="eastAsia" w:ascii="仿宋" w:hAnsi="仿宋" w:eastAsia="仿宋" w:cs="仿宋"/>
                <w:sz w:val="24"/>
                <w:szCs w:val="24"/>
                <w:highlight w:val="none"/>
              </w:rPr>
            </w:pPr>
          </w:p>
        </w:tc>
      </w:tr>
    </w:tbl>
    <w:p w14:paraId="17338681">
      <w:pPr>
        <w:jc w:val="center"/>
        <w:rPr>
          <w:rFonts w:hint="eastAsia" w:ascii="仿宋" w:hAnsi="仿宋" w:eastAsia="仿宋" w:cs="仿宋"/>
          <w:sz w:val="24"/>
          <w:szCs w:val="24"/>
          <w:highlight w:val="none"/>
        </w:rPr>
      </w:pPr>
    </w:p>
    <w:p w14:paraId="06BDBD9E">
      <w:pPr>
        <w:pStyle w:val="48"/>
        <w:ind w:left="0" w:firstLine="0"/>
        <w:rPr>
          <w:rFonts w:hint="eastAsia"/>
          <w:highlight w:val="none"/>
        </w:rPr>
      </w:pPr>
    </w:p>
    <w:p w14:paraId="772D0285">
      <w:pPr>
        <w:autoSpaceDE w:val="0"/>
        <w:autoSpaceDN w:val="0"/>
        <w:adjustRightInd w:val="0"/>
        <w:jc w:val="center"/>
        <w:rPr>
          <w:rFonts w:hint="eastAsia" w:ascii="仿宋" w:hAnsi="仿宋" w:eastAsia="仿宋" w:cs="仿宋"/>
          <w:b/>
          <w:sz w:val="32"/>
          <w:szCs w:val="32"/>
          <w:highlight w:val="none"/>
        </w:rPr>
      </w:pPr>
    </w:p>
    <w:p w14:paraId="582E7B9F">
      <w:pPr>
        <w:pStyle w:val="13"/>
        <w:rPr>
          <w:rFonts w:hint="eastAsia" w:ascii="仿宋" w:hAnsi="仿宋" w:eastAsia="仿宋" w:cs="仿宋"/>
          <w:b/>
          <w:sz w:val="32"/>
          <w:szCs w:val="32"/>
          <w:highlight w:val="none"/>
        </w:rPr>
      </w:pPr>
    </w:p>
    <w:p w14:paraId="79E5C63E">
      <w:pPr>
        <w:pStyle w:val="13"/>
        <w:rPr>
          <w:rFonts w:hint="eastAsia" w:ascii="仿宋" w:hAnsi="仿宋" w:eastAsia="仿宋" w:cs="仿宋"/>
          <w:b/>
          <w:sz w:val="32"/>
          <w:szCs w:val="32"/>
          <w:highlight w:val="none"/>
        </w:rPr>
      </w:pPr>
    </w:p>
    <w:p w14:paraId="1E2A5BA6">
      <w:pPr>
        <w:pStyle w:val="13"/>
        <w:rPr>
          <w:rFonts w:hint="eastAsia" w:ascii="仿宋" w:hAnsi="仿宋" w:eastAsia="仿宋" w:cs="仿宋"/>
          <w:b/>
          <w:sz w:val="32"/>
          <w:szCs w:val="32"/>
          <w:highlight w:val="none"/>
        </w:rPr>
      </w:pPr>
    </w:p>
    <w:p w14:paraId="3EFB1C8F">
      <w:pPr>
        <w:pStyle w:val="13"/>
        <w:rPr>
          <w:rFonts w:hint="eastAsia" w:ascii="仿宋" w:hAnsi="仿宋" w:eastAsia="仿宋" w:cs="仿宋"/>
          <w:b/>
          <w:sz w:val="32"/>
          <w:szCs w:val="32"/>
          <w:highlight w:val="none"/>
        </w:rPr>
      </w:pPr>
    </w:p>
    <w:p w14:paraId="3A8D6BA4">
      <w:pPr>
        <w:pStyle w:val="13"/>
        <w:rPr>
          <w:rFonts w:hint="eastAsia" w:ascii="仿宋" w:hAnsi="仿宋" w:eastAsia="仿宋" w:cs="仿宋"/>
          <w:b/>
          <w:sz w:val="32"/>
          <w:szCs w:val="32"/>
          <w:highlight w:val="none"/>
        </w:rPr>
      </w:pPr>
    </w:p>
    <w:p w14:paraId="06D12F95">
      <w:pPr>
        <w:pStyle w:val="13"/>
        <w:rPr>
          <w:rFonts w:hint="eastAsia" w:ascii="仿宋" w:hAnsi="仿宋" w:eastAsia="仿宋" w:cs="仿宋"/>
          <w:b/>
          <w:sz w:val="32"/>
          <w:szCs w:val="32"/>
          <w:highlight w:val="none"/>
        </w:rPr>
      </w:pPr>
    </w:p>
    <w:p w14:paraId="74382FAF">
      <w:pPr>
        <w:pStyle w:val="13"/>
        <w:rPr>
          <w:rFonts w:hint="eastAsia" w:ascii="仿宋" w:hAnsi="仿宋" w:eastAsia="仿宋" w:cs="仿宋"/>
          <w:b/>
          <w:sz w:val="32"/>
          <w:szCs w:val="32"/>
          <w:highlight w:val="none"/>
        </w:rPr>
      </w:pPr>
    </w:p>
    <w:p w14:paraId="6B1242D3">
      <w:pPr>
        <w:pStyle w:val="13"/>
        <w:rPr>
          <w:rFonts w:hint="eastAsia" w:ascii="仿宋" w:hAnsi="仿宋" w:eastAsia="仿宋" w:cs="仿宋"/>
          <w:b/>
          <w:sz w:val="32"/>
          <w:szCs w:val="32"/>
          <w:highlight w:val="none"/>
        </w:rPr>
      </w:pPr>
    </w:p>
    <w:p w14:paraId="2360B4C7">
      <w:pPr>
        <w:pStyle w:val="13"/>
        <w:rPr>
          <w:rFonts w:hint="eastAsia" w:ascii="仿宋" w:hAnsi="仿宋" w:eastAsia="仿宋" w:cs="仿宋"/>
          <w:b/>
          <w:sz w:val="32"/>
          <w:szCs w:val="32"/>
          <w:highlight w:val="none"/>
        </w:rPr>
      </w:pPr>
    </w:p>
    <w:p w14:paraId="3096676B">
      <w:pPr>
        <w:autoSpaceDE w:val="0"/>
        <w:autoSpaceDN w:val="0"/>
        <w:adjustRightInd w:val="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（十三）项目配备人员表</w:t>
      </w:r>
    </w:p>
    <w:tbl>
      <w:tblPr>
        <w:tblStyle w:val="17"/>
        <w:tblpPr w:leftFromText="180" w:rightFromText="180" w:vertAnchor="text" w:horzAnchor="margin" w:tblpY="255"/>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05"/>
        <w:gridCol w:w="2130"/>
        <w:gridCol w:w="2028"/>
        <w:gridCol w:w="1880"/>
        <w:gridCol w:w="2095"/>
      </w:tblGrid>
      <w:tr w14:paraId="0CFE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02" w:type="dxa"/>
            <w:vAlign w:val="center"/>
          </w:tcPr>
          <w:p w14:paraId="0C85D6B1">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05" w:type="dxa"/>
            <w:vAlign w:val="center"/>
          </w:tcPr>
          <w:p w14:paraId="6A572773">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2130" w:type="dxa"/>
            <w:vAlign w:val="center"/>
          </w:tcPr>
          <w:p w14:paraId="7F952B5A">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性别</w:t>
            </w:r>
          </w:p>
        </w:tc>
        <w:tc>
          <w:tcPr>
            <w:tcW w:w="2028" w:type="dxa"/>
            <w:vAlign w:val="center"/>
          </w:tcPr>
          <w:p w14:paraId="445E3BD6">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职称</w:t>
            </w:r>
          </w:p>
        </w:tc>
        <w:tc>
          <w:tcPr>
            <w:tcW w:w="1880" w:type="dxa"/>
            <w:vAlign w:val="center"/>
          </w:tcPr>
          <w:p w14:paraId="1DEB8197">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岗位</w:t>
            </w:r>
          </w:p>
        </w:tc>
        <w:tc>
          <w:tcPr>
            <w:tcW w:w="2095" w:type="dxa"/>
            <w:vAlign w:val="center"/>
          </w:tcPr>
          <w:p w14:paraId="6A2BBB96">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从事该岗位</w:t>
            </w:r>
          </w:p>
          <w:p w14:paraId="1CFEB9C9">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时间</w:t>
            </w:r>
          </w:p>
        </w:tc>
      </w:tr>
      <w:tr w14:paraId="1516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02" w:type="dxa"/>
          </w:tcPr>
          <w:p w14:paraId="3C11B4D2">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05" w:type="dxa"/>
          </w:tcPr>
          <w:p w14:paraId="1E55416D">
            <w:pPr>
              <w:spacing w:line="440" w:lineRule="exact"/>
              <w:jc w:val="center"/>
              <w:rPr>
                <w:rFonts w:hint="eastAsia" w:ascii="仿宋" w:hAnsi="仿宋" w:eastAsia="仿宋" w:cs="仿宋"/>
                <w:sz w:val="24"/>
                <w:highlight w:val="none"/>
              </w:rPr>
            </w:pPr>
          </w:p>
        </w:tc>
        <w:tc>
          <w:tcPr>
            <w:tcW w:w="2130" w:type="dxa"/>
          </w:tcPr>
          <w:p w14:paraId="6C9BA310">
            <w:pPr>
              <w:spacing w:line="440" w:lineRule="exact"/>
              <w:jc w:val="center"/>
              <w:rPr>
                <w:rFonts w:hint="eastAsia" w:ascii="仿宋" w:hAnsi="仿宋" w:eastAsia="仿宋" w:cs="仿宋"/>
                <w:sz w:val="24"/>
                <w:highlight w:val="none"/>
              </w:rPr>
            </w:pPr>
          </w:p>
        </w:tc>
        <w:tc>
          <w:tcPr>
            <w:tcW w:w="2028" w:type="dxa"/>
          </w:tcPr>
          <w:p w14:paraId="0113BD04">
            <w:pPr>
              <w:spacing w:line="440" w:lineRule="exact"/>
              <w:jc w:val="center"/>
              <w:rPr>
                <w:rFonts w:hint="eastAsia" w:ascii="仿宋" w:hAnsi="仿宋" w:eastAsia="仿宋" w:cs="仿宋"/>
                <w:sz w:val="24"/>
                <w:highlight w:val="none"/>
              </w:rPr>
            </w:pPr>
          </w:p>
        </w:tc>
        <w:tc>
          <w:tcPr>
            <w:tcW w:w="1880" w:type="dxa"/>
          </w:tcPr>
          <w:p w14:paraId="6869BEDD">
            <w:pPr>
              <w:spacing w:line="440" w:lineRule="exact"/>
              <w:jc w:val="center"/>
              <w:rPr>
                <w:rFonts w:hint="eastAsia" w:ascii="仿宋" w:hAnsi="仿宋" w:eastAsia="仿宋" w:cs="仿宋"/>
                <w:sz w:val="24"/>
                <w:highlight w:val="none"/>
              </w:rPr>
            </w:pPr>
          </w:p>
        </w:tc>
        <w:tc>
          <w:tcPr>
            <w:tcW w:w="2095" w:type="dxa"/>
          </w:tcPr>
          <w:p w14:paraId="525C064C">
            <w:pPr>
              <w:spacing w:line="440" w:lineRule="exact"/>
              <w:jc w:val="center"/>
              <w:rPr>
                <w:rFonts w:hint="eastAsia" w:ascii="仿宋" w:hAnsi="仿宋" w:eastAsia="仿宋" w:cs="仿宋"/>
                <w:sz w:val="24"/>
                <w:highlight w:val="none"/>
              </w:rPr>
            </w:pPr>
          </w:p>
        </w:tc>
      </w:tr>
      <w:tr w14:paraId="31B9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02" w:type="dxa"/>
          </w:tcPr>
          <w:p w14:paraId="7A00CED6">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205" w:type="dxa"/>
          </w:tcPr>
          <w:p w14:paraId="3A2852BC">
            <w:pPr>
              <w:spacing w:line="440" w:lineRule="exact"/>
              <w:jc w:val="center"/>
              <w:rPr>
                <w:rFonts w:hint="eastAsia" w:ascii="仿宋" w:hAnsi="仿宋" w:eastAsia="仿宋" w:cs="仿宋"/>
                <w:sz w:val="24"/>
                <w:highlight w:val="none"/>
              </w:rPr>
            </w:pPr>
          </w:p>
        </w:tc>
        <w:tc>
          <w:tcPr>
            <w:tcW w:w="2130" w:type="dxa"/>
          </w:tcPr>
          <w:p w14:paraId="41E9201B">
            <w:pPr>
              <w:spacing w:line="440" w:lineRule="exact"/>
              <w:jc w:val="center"/>
              <w:rPr>
                <w:rFonts w:hint="eastAsia" w:ascii="仿宋" w:hAnsi="仿宋" w:eastAsia="仿宋" w:cs="仿宋"/>
                <w:sz w:val="24"/>
                <w:highlight w:val="none"/>
              </w:rPr>
            </w:pPr>
          </w:p>
        </w:tc>
        <w:tc>
          <w:tcPr>
            <w:tcW w:w="2028" w:type="dxa"/>
          </w:tcPr>
          <w:p w14:paraId="38532673">
            <w:pPr>
              <w:spacing w:line="440" w:lineRule="exact"/>
              <w:jc w:val="center"/>
              <w:rPr>
                <w:rFonts w:hint="eastAsia" w:ascii="仿宋" w:hAnsi="仿宋" w:eastAsia="仿宋" w:cs="仿宋"/>
                <w:sz w:val="24"/>
                <w:highlight w:val="none"/>
              </w:rPr>
            </w:pPr>
          </w:p>
        </w:tc>
        <w:tc>
          <w:tcPr>
            <w:tcW w:w="1880" w:type="dxa"/>
          </w:tcPr>
          <w:p w14:paraId="7A558A25">
            <w:pPr>
              <w:spacing w:line="440" w:lineRule="exact"/>
              <w:jc w:val="center"/>
              <w:rPr>
                <w:rFonts w:hint="eastAsia" w:ascii="仿宋" w:hAnsi="仿宋" w:eastAsia="仿宋" w:cs="仿宋"/>
                <w:sz w:val="24"/>
                <w:highlight w:val="none"/>
              </w:rPr>
            </w:pPr>
          </w:p>
        </w:tc>
        <w:tc>
          <w:tcPr>
            <w:tcW w:w="2095" w:type="dxa"/>
          </w:tcPr>
          <w:p w14:paraId="645A7312">
            <w:pPr>
              <w:spacing w:line="440" w:lineRule="exact"/>
              <w:jc w:val="center"/>
              <w:rPr>
                <w:rFonts w:hint="eastAsia" w:ascii="仿宋" w:hAnsi="仿宋" w:eastAsia="仿宋" w:cs="仿宋"/>
                <w:sz w:val="24"/>
                <w:highlight w:val="none"/>
              </w:rPr>
            </w:pPr>
          </w:p>
        </w:tc>
      </w:tr>
      <w:tr w14:paraId="637C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02" w:type="dxa"/>
          </w:tcPr>
          <w:p w14:paraId="0960ACF5">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205" w:type="dxa"/>
          </w:tcPr>
          <w:p w14:paraId="1F690A4B">
            <w:pPr>
              <w:spacing w:line="440" w:lineRule="exact"/>
              <w:jc w:val="center"/>
              <w:rPr>
                <w:rFonts w:hint="eastAsia" w:ascii="仿宋" w:hAnsi="仿宋" w:eastAsia="仿宋" w:cs="仿宋"/>
                <w:sz w:val="24"/>
                <w:highlight w:val="none"/>
              </w:rPr>
            </w:pPr>
          </w:p>
        </w:tc>
        <w:tc>
          <w:tcPr>
            <w:tcW w:w="2130" w:type="dxa"/>
          </w:tcPr>
          <w:p w14:paraId="15545A80">
            <w:pPr>
              <w:spacing w:line="440" w:lineRule="exact"/>
              <w:jc w:val="center"/>
              <w:rPr>
                <w:rFonts w:hint="eastAsia" w:ascii="仿宋" w:hAnsi="仿宋" w:eastAsia="仿宋" w:cs="仿宋"/>
                <w:sz w:val="24"/>
                <w:highlight w:val="none"/>
              </w:rPr>
            </w:pPr>
          </w:p>
        </w:tc>
        <w:tc>
          <w:tcPr>
            <w:tcW w:w="2028" w:type="dxa"/>
          </w:tcPr>
          <w:p w14:paraId="0736CA60">
            <w:pPr>
              <w:spacing w:line="440" w:lineRule="exact"/>
              <w:jc w:val="center"/>
              <w:rPr>
                <w:rFonts w:hint="eastAsia" w:ascii="仿宋" w:hAnsi="仿宋" w:eastAsia="仿宋" w:cs="仿宋"/>
                <w:sz w:val="24"/>
                <w:highlight w:val="none"/>
              </w:rPr>
            </w:pPr>
          </w:p>
        </w:tc>
        <w:tc>
          <w:tcPr>
            <w:tcW w:w="1880" w:type="dxa"/>
          </w:tcPr>
          <w:p w14:paraId="2AD0587B">
            <w:pPr>
              <w:spacing w:line="440" w:lineRule="exact"/>
              <w:jc w:val="center"/>
              <w:rPr>
                <w:rFonts w:hint="eastAsia" w:ascii="仿宋" w:hAnsi="仿宋" w:eastAsia="仿宋" w:cs="仿宋"/>
                <w:sz w:val="24"/>
                <w:highlight w:val="none"/>
              </w:rPr>
            </w:pPr>
          </w:p>
        </w:tc>
        <w:tc>
          <w:tcPr>
            <w:tcW w:w="2095" w:type="dxa"/>
          </w:tcPr>
          <w:p w14:paraId="476CE494">
            <w:pPr>
              <w:spacing w:line="440" w:lineRule="exact"/>
              <w:jc w:val="center"/>
              <w:rPr>
                <w:rFonts w:hint="eastAsia" w:ascii="仿宋" w:hAnsi="仿宋" w:eastAsia="仿宋" w:cs="仿宋"/>
                <w:sz w:val="24"/>
                <w:highlight w:val="none"/>
              </w:rPr>
            </w:pPr>
          </w:p>
        </w:tc>
      </w:tr>
      <w:tr w14:paraId="58B5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802" w:type="dxa"/>
          </w:tcPr>
          <w:p w14:paraId="435D15A1">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1205" w:type="dxa"/>
          </w:tcPr>
          <w:p w14:paraId="52F5D97C">
            <w:pPr>
              <w:spacing w:line="440" w:lineRule="exact"/>
              <w:jc w:val="center"/>
              <w:rPr>
                <w:rFonts w:hint="eastAsia" w:ascii="仿宋" w:hAnsi="仿宋" w:eastAsia="仿宋" w:cs="仿宋"/>
                <w:sz w:val="24"/>
                <w:highlight w:val="none"/>
              </w:rPr>
            </w:pPr>
          </w:p>
        </w:tc>
        <w:tc>
          <w:tcPr>
            <w:tcW w:w="2130" w:type="dxa"/>
          </w:tcPr>
          <w:p w14:paraId="5222DB49">
            <w:pPr>
              <w:spacing w:line="440" w:lineRule="exact"/>
              <w:jc w:val="center"/>
              <w:rPr>
                <w:rFonts w:hint="eastAsia" w:ascii="仿宋" w:hAnsi="仿宋" w:eastAsia="仿宋" w:cs="仿宋"/>
                <w:sz w:val="24"/>
                <w:highlight w:val="none"/>
              </w:rPr>
            </w:pPr>
          </w:p>
        </w:tc>
        <w:tc>
          <w:tcPr>
            <w:tcW w:w="2028" w:type="dxa"/>
          </w:tcPr>
          <w:p w14:paraId="136B6194">
            <w:pPr>
              <w:spacing w:line="440" w:lineRule="exact"/>
              <w:jc w:val="center"/>
              <w:rPr>
                <w:rFonts w:hint="eastAsia" w:ascii="仿宋" w:hAnsi="仿宋" w:eastAsia="仿宋" w:cs="仿宋"/>
                <w:sz w:val="24"/>
                <w:highlight w:val="none"/>
              </w:rPr>
            </w:pPr>
          </w:p>
        </w:tc>
        <w:tc>
          <w:tcPr>
            <w:tcW w:w="1880" w:type="dxa"/>
          </w:tcPr>
          <w:p w14:paraId="373CD1A3">
            <w:pPr>
              <w:spacing w:line="440" w:lineRule="exact"/>
              <w:jc w:val="center"/>
              <w:rPr>
                <w:rFonts w:hint="eastAsia" w:ascii="仿宋" w:hAnsi="仿宋" w:eastAsia="仿宋" w:cs="仿宋"/>
                <w:sz w:val="24"/>
                <w:highlight w:val="none"/>
              </w:rPr>
            </w:pPr>
          </w:p>
        </w:tc>
        <w:tc>
          <w:tcPr>
            <w:tcW w:w="2095" w:type="dxa"/>
          </w:tcPr>
          <w:p w14:paraId="10E033C4">
            <w:pPr>
              <w:spacing w:line="440" w:lineRule="exact"/>
              <w:jc w:val="center"/>
              <w:rPr>
                <w:rFonts w:hint="eastAsia" w:ascii="仿宋" w:hAnsi="仿宋" w:eastAsia="仿宋" w:cs="仿宋"/>
                <w:sz w:val="24"/>
                <w:highlight w:val="none"/>
              </w:rPr>
            </w:pPr>
          </w:p>
        </w:tc>
      </w:tr>
    </w:tbl>
    <w:p w14:paraId="6A0FED87">
      <w:pPr>
        <w:autoSpaceDE w:val="0"/>
        <w:autoSpaceDN w:val="0"/>
        <w:adjustRightInd w:val="0"/>
        <w:snapToGrid w:val="0"/>
        <w:spacing w:line="240" w:lineRule="atLeast"/>
        <w:rPr>
          <w:rFonts w:hint="eastAsia" w:ascii="仿宋" w:hAnsi="仿宋" w:eastAsia="仿宋" w:cs="仿宋"/>
          <w:bCs/>
          <w:spacing w:val="10"/>
          <w:sz w:val="28"/>
          <w:szCs w:val="28"/>
          <w:highlight w:val="none"/>
        </w:rPr>
      </w:pPr>
    </w:p>
    <w:p w14:paraId="7A641028">
      <w:pPr>
        <w:autoSpaceDE w:val="0"/>
        <w:autoSpaceDN w:val="0"/>
        <w:adjustRightInd w:val="0"/>
        <w:snapToGrid w:val="0"/>
        <w:spacing w:line="240" w:lineRule="atLeast"/>
        <w:rPr>
          <w:rFonts w:hint="eastAsia" w:ascii="仿宋" w:hAnsi="仿宋" w:eastAsia="仿宋" w:cs="仿宋"/>
          <w:bCs/>
          <w:spacing w:val="10"/>
          <w:sz w:val="28"/>
          <w:szCs w:val="28"/>
          <w:highlight w:val="none"/>
        </w:rPr>
      </w:pPr>
      <w:r>
        <w:rPr>
          <w:rFonts w:hint="eastAsia" w:ascii="仿宋" w:hAnsi="仿宋" w:eastAsia="仿宋" w:cs="仿宋"/>
          <w:bCs/>
          <w:spacing w:val="10"/>
          <w:sz w:val="28"/>
          <w:szCs w:val="28"/>
          <w:highlight w:val="none"/>
        </w:rPr>
        <w:t>注：（十二）（十三）两表后应附（</w:t>
      </w:r>
      <w:r>
        <w:rPr>
          <w:rFonts w:hint="eastAsia" w:ascii="仿宋" w:hAnsi="仿宋" w:eastAsia="仿宋" w:cs="仿宋"/>
          <w:bCs/>
          <w:sz w:val="28"/>
          <w:szCs w:val="28"/>
          <w:highlight w:val="none"/>
        </w:rPr>
        <w:t>复印件并加盖公章的）的</w:t>
      </w:r>
      <w:r>
        <w:rPr>
          <w:rFonts w:hint="eastAsia" w:ascii="仿宋" w:hAnsi="仿宋" w:eastAsia="仿宋" w:cs="仿宋"/>
          <w:bCs/>
          <w:spacing w:val="10"/>
          <w:sz w:val="28"/>
          <w:szCs w:val="28"/>
          <w:highlight w:val="none"/>
        </w:rPr>
        <w:t xml:space="preserve"> </w:t>
      </w:r>
    </w:p>
    <w:p w14:paraId="380810C9">
      <w:pPr>
        <w:numPr>
          <w:ilvl w:val="0"/>
          <w:numId w:val="11"/>
        </w:numPr>
        <w:autoSpaceDE w:val="0"/>
        <w:autoSpaceDN w:val="0"/>
        <w:adjustRightInd w:val="0"/>
        <w:snapToGrid w:val="0"/>
        <w:spacing w:line="240" w:lineRule="atLeast"/>
        <w:rPr>
          <w:rFonts w:hint="eastAsia" w:ascii="仿宋" w:hAnsi="仿宋" w:eastAsia="仿宋" w:cs="仿宋"/>
          <w:bCs/>
          <w:spacing w:val="10"/>
          <w:sz w:val="28"/>
          <w:szCs w:val="28"/>
          <w:highlight w:val="none"/>
        </w:rPr>
      </w:pPr>
      <w:r>
        <w:rPr>
          <w:rFonts w:hint="eastAsia" w:ascii="仿宋" w:hAnsi="仿宋" w:eastAsia="仿宋" w:cs="仿宋"/>
          <w:bCs/>
          <w:spacing w:val="10"/>
          <w:sz w:val="28"/>
          <w:szCs w:val="28"/>
          <w:highlight w:val="none"/>
        </w:rPr>
        <w:t>职称证书复印件（如有）；</w:t>
      </w:r>
    </w:p>
    <w:p w14:paraId="75C52D05">
      <w:pPr>
        <w:numPr>
          <w:ilvl w:val="0"/>
          <w:numId w:val="11"/>
        </w:numPr>
        <w:autoSpaceDE w:val="0"/>
        <w:autoSpaceDN w:val="0"/>
        <w:adjustRightInd w:val="0"/>
        <w:snapToGrid w:val="0"/>
        <w:spacing w:line="240" w:lineRule="atLeast"/>
        <w:rPr>
          <w:rFonts w:hint="eastAsia" w:ascii="仿宋" w:hAnsi="仿宋" w:eastAsia="仿宋" w:cs="仿宋"/>
          <w:bCs/>
          <w:spacing w:val="10"/>
          <w:sz w:val="28"/>
          <w:szCs w:val="28"/>
          <w:highlight w:val="none"/>
        </w:rPr>
      </w:pPr>
      <w:r>
        <w:rPr>
          <w:rFonts w:hint="eastAsia" w:ascii="仿宋" w:hAnsi="仿宋" w:eastAsia="仿宋" w:cs="仿宋"/>
          <w:bCs/>
          <w:spacing w:val="10"/>
          <w:sz w:val="28"/>
          <w:szCs w:val="28"/>
          <w:highlight w:val="none"/>
        </w:rPr>
        <w:t>身份证复印件；</w:t>
      </w:r>
    </w:p>
    <w:p w14:paraId="649E4CBB">
      <w:pPr>
        <w:numPr>
          <w:ilvl w:val="0"/>
          <w:numId w:val="11"/>
        </w:numPr>
        <w:autoSpaceDE w:val="0"/>
        <w:autoSpaceDN w:val="0"/>
        <w:adjustRightInd w:val="0"/>
        <w:snapToGrid w:val="0"/>
        <w:spacing w:line="240" w:lineRule="atLeast"/>
        <w:rPr>
          <w:rFonts w:hint="eastAsia" w:ascii="仿宋" w:hAnsi="仿宋" w:eastAsia="仿宋" w:cs="仿宋"/>
          <w:bCs/>
          <w:spacing w:val="10"/>
          <w:sz w:val="28"/>
          <w:szCs w:val="28"/>
          <w:highlight w:val="none"/>
        </w:rPr>
      </w:pPr>
      <w:r>
        <w:rPr>
          <w:rFonts w:hint="eastAsia" w:ascii="仿宋" w:hAnsi="仿宋" w:eastAsia="仿宋" w:cs="仿宋"/>
          <w:bCs/>
          <w:sz w:val="28"/>
          <w:szCs w:val="28"/>
          <w:highlight w:val="none"/>
        </w:rPr>
        <w:t>具有国家规定相关执业资格证书复印件（如有）</w:t>
      </w:r>
      <w:r>
        <w:rPr>
          <w:rFonts w:hint="eastAsia" w:ascii="仿宋" w:hAnsi="仿宋" w:eastAsia="仿宋" w:cs="仿宋"/>
          <w:bCs/>
          <w:spacing w:val="10"/>
          <w:sz w:val="28"/>
          <w:szCs w:val="28"/>
          <w:highlight w:val="none"/>
        </w:rPr>
        <w:t>；</w:t>
      </w:r>
    </w:p>
    <w:p w14:paraId="43788C0B">
      <w:pPr>
        <w:autoSpaceDE w:val="0"/>
        <w:autoSpaceDN w:val="0"/>
        <w:adjustRightInd w:val="0"/>
        <w:snapToGrid w:val="0"/>
        <w:spacing w:line="240" w:lineRule="atLeast"/>
        <w:rPr>
          <w:rFonts w:hint="eastAsia" w:ascii="仿宋" w:hAnsi="仿宋" w:eastAsia="仿宋" w:cs="仿宋"/>
          <w:bCs/>
          <w:kern w:val="1"/>
          <w:sz w:val="28"/>
          <w:szCs w:val="28"/>
          <w:highlight w:val="none"/>
        </w:rPr>
      </w:pPr>
      <w:r>
        <w:rPr>
          <w:rFonts w:hint="eastAsia" w:ascii="仿宋" w:hAnsi="仿宋" w:eastAsia="仿宋" w:cs="仿宋"/>
          <w:bCs/>
          <w:spacing w:val="10"/>
          <w:sz w:val="28"/>
          <w:szCs w:val="28"/>
          <w:highlight w:val="none"/>
        </w:rPr>
        <w:t>4</w:t>
      </w:r>
      <w:r>
        <w:rPr>
          <w:rFonts w:hint="eastAsia" w:ascii="仿宋" w:hAnsi="仿宋" w:eastAsia="仿宋" w:cs="仿宋"/>
          <w:bCs/>
          <w:kern w:val="1"/>
          <w:sz w:val="28"/>
          <w:szCs w:val="28"/>
          <w:highlight w:val="none"/>
        </w:rPr>
        <w:t>、提供所在单位缴纳的个人社保凭证证明材料复印件。</w:t>
      </w:r>
    </w:p>
    <w:p w14:paraId="7AC4FCDE">
      <w:pPr>
        <w:autoSpaceDE w:val="0"/>
        <w:autoSpaceDN w:val="0"/>
        <w:adjustRightInd w:val="0"/>
        <w:snapToGrid w:val="0"/>
        <w:spacing w:line="240" w:lineRule="atLeast"/>
        <w:ind w:firstLine="280" w:firstLineChars="1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特别要求：</w:t>
      </w:r>
      <w:r>
        <w:rPr>
          <w:rFonts w:hint="eastAsia" w:ascii="仿宋" w:hAnsi="仿宋" w:eastAsia="仿宋" w:cs="仿宋"/>
          <w:bCs/>
          <w:kern w:val="1"/>
          <w:sz w:val="28"/>
          <w:szCs w:val="28"/>
          <w:highlight w:val="none"/>
        </w:rPr>
        <w:t>拟投入本项目的工作人员须满足本项目的工作要求，在合同履行过程中，中标人须根据本项目的实际需求或招标人的进度要求，对人员进行合理的增加，费用均包含在投标报价中。</w:t>
      </w:r>
    </w:p>
    <w:p w14:paraId="243BC216">
      <w:pPr>
        <w:spacing w:line="440" w:lineRule="exact"/>
        <w:rPr>
          <w:rFonts w:hint="eastAsia" w:ascii="宋体" w:hAnsi="宋体" w:cs="宋体"/>
          <w:b/>
          <w:sz w:val="30"/>
          <w:szCs w:val="30"/>
          <w:highlight w:val="none"/>
        </w:rPr>
      </w:pPr>
    </w:p>
    <w:p w14:paraId="77799EB0">
      <w:pPr>
        <w:pStyle w:val="13"/>
        <w:rPr>
          <w:rFonts w:hint="eastAsia" w:ascii="宋体" w:hAnsi="宋体" w:cs="宋体"/>
          <w:b/>
          <w:sz w:val="30"/>
          <w:szCs w:val="30"/>
          <w:highlight w:val="none"/>
        </w:rPr>
      </w:pPr>
    </w:p>
    <w:p w14:paraId="424DD90B">
      <w:pPr>
        <w:pStyle w:val="13"/>
        <w:rPr>
          <w:rFonts w:hint="eastAsia" w:ascii="宋体" w:hAnsi="宋体" w:cs="宋体"/>
          <w:b/>
          <w:sz w:val="30"/>
          <w:szCs w:val="30"/>
          <w:highlight w:val="none"/>
        </w:rPr>
      </w:pPr>
    </w:p>
    <w:p w14:paraId="78A6B20D">
      <w:pPr>
        <w:pStyle w:val="13"/>
        <w:rPr>
          <w:rFonts w:hint="eastAsia" w:ascii="宋体" w:hAnsi="宋体" w:cs="宋体"/>
          <w:b/>
          <w:sz w:val="30"/>
          <w:szCs w:val="30"/>
          <w:highlight w:val="none"/>
        </w:rPr>
      </w:pPr>
    </w:p>
    <w:p w14:paraId="50FB34CD">
      <w:pPr>
        <w:pStyle w:val="13"/>
        <w:rPr>
          <w:rFonts w:hint="eastAsia" w:ascii="宋体" w:hAnsi="宋体" w:cs="宋体"/>
          <w:b/>
          <w:sz w:val="30"/>
          <w:szCs w:val="30"/>
          <w:highlight w:val="none"/>
        </w:rPr>
      </w:pPr>
    </w:p>
    <w:p w14:paraId="4F5FDCE8">
      <w:pPr>
        <w:pStyle w:val="13"/>
        <w:rPr>
          <w:rFonts w:hint="eastAsia" w:ascii="宋体" w:hAnsi="宋体" w:cs="宋体"/>
          <w:b/>
          <w:sz w:val="30"/>
          <w:szCs w:val="30"/>
          <w:highlight w:val="none"/>
        </w:rPr>
      </w:pPr>
    </w:p>
    <w:p w14:paraId="106D040C">
      <w:pPr>
        <w:pStyle w:val="13"/>
        <w:rPr>
          <w:rFonts w:hint="eastAsia" w:ascii="宋体" w:hAnsi="宋体" w:cs="宋体"/>
          <w:b/>
          <w:sz w:val="30"/>
          <w:szCs w:val="30"/>
          <w:highlight w:val="none"/>
        </w:rPr>
      </w:pPr>
    </w:p>
    <w:p w14:paraId="191E7E84">
      <w:pPr>
        <w:pStyle w:val="13"/>
        <w:rPr>
          <w:rFonts w:hint="eastAsia" w:ascii="宋体" w:hAnsi="宋体" w:cs="宋体"/>
          <w:b/>
          <w:sz w:val="30"/>
          <w:szCs w:val="30"/>
          <w:highlight w:val="none"/>
        </w:rPr>
      </w:pPr>
    </w:p>
    <w:p w14:paraId="106F5CCA">
      <w:pPr>
        <w:pStyle w:val="13"/>
        <w:rPr>
          <w:rFonts w:hint="eastAsia" w:ascii="宋体" w:hAnsi="宋体" w:cs="宋体"/>
          <w:b/>
          <w:sz w:val="30"/>
          <w:szCs w:val="30"/>
          <w:highlight w:val="none"/>
        </w:rPr>
      </w:pPr>
    </w:p>
    <w:p w14:paraId="6740E705">
      <w:pPr>
        <w:pStyle w:val="13"/>
        <w:rPr>
          <w:rFonts w:hint="eastAsia" w:ascii="宋体" w:hAnsi="宋体" w:cs="宋体"/>
          <w:b/>
          <w:sz w:val="30"/>
          <w:szCs w:val="30"/>
          <w:highlight w:val="none"/>
        </w:rPr>
      </w:pPr>
    </w:p>
    <w:p w14:paraId="03798CE4">
      <w:pPr>
        <w:pStyle w:val="13"/>
        <w:rPr>
          <w:rFonts w:hint="eastAsia" w:ascii="宋体" w:hAnsi="宋体" w:cs="宋体"/>
          <w:b/>
          <w:sz w:val="30"/>
          <w:szCs w:val="30"/>
          <w:highlight w:val="none"/>
        </w:rPr>
      </w:pPr>
    </w:p>
    <w:p w14:paraId="6155954D">
      <w:pPr>
        <w:pStyle w:val="13"/>
        <w:rPr>
          <w:rFonts w:hint="eastAsia" w:ascii="宋体" w:hAnsi="宋体" w:cs="宋体"/>
          <w:b/>
          <w:sz w:val="30"/>
          <w:szCs w:val="30"/>
          <w:highlight w:val="none"/>
        </w:rPr>
      </w:pPr>
    </w:p>
    <w:p w14:paraId="78FEC67F">
      <w:pPr>
        <w:pStyle w:val="13"/>
        <w:rPr>
          <w:rFonts w:hint="eastAsia" w:ascii="宋体" w:hAnsi="宋体" w:cs="宋体"/>
          <w:b/>
          <w:sz w:val="30"/>
          <w:szCs w:val="30"/>
          <w:highlight w:val="none"/>
        </w:rPr>
      </w:pPr>
    </w:p>
    <w:p w14:paraId="2F5A3F63">
      <w:pPr>
        <w:pStyle w:val="13"/>
        <w:rPr>
          <w:rFonts w:hint="eastAsia" w:ascii="宋体" w:hAnsi="宋体" w:cs="宋体"/>
          <w:b/>
          <w:sz w:val="30"/>
          <w:szCs w:val="30"/>
          <w:highlight w:val="none"/>
        </w:rPr>
      </w:pPr>
    </w:p>
    <w:p w14:paraId="66D89B04">
      <w:pPr>
        <w:pStyle w:val="13"/>
        <w:rPr>
          <w:rFonts w:hint="eastAsia" w:ascii="宋体" w:hAnsi="宋体" w:cs="宋体"/>
          <w:b/>
          <w:sz w:val="30"/>
          <w:szCs w:val="30"/>
          <w:highlight w:val="none"/>
        </w:rPr>
      </w:pPr>
    </w:p>
    <w:p w14:paraId="25E9BD5D">
      <w:pPr>
        <w:pStyle w:val="13"/>
        <w:rPr>
          <w:rFonts w:hint="eastAsia" w:ascii="宋体" w:hAnsi="宋体" w:cs="宋体"/>
          <w:b/>
          <w:sz w:val="30"/>
          <w:szCs w:val="30"/>
          <w:highlight w:val="none"/>
        </w:rPr>
      </w:pPr>
    </w:p>
    <w:p w14:paraId="6AB41514">
      <w:pPr>
        <w:pStyle w:val="13"/>
        <w:rPr>
          <w:rFonts w:hint="eastAsia" w:ascii="宋体" w:hAnsi="宋体" w:cs="宋体"/>
          <w:b/>
          <w:sz w:val="30"/>
          <w:szCs w:val="30"/>
          <w:highlight w:val="none"/>
        </w:rPr>
      </w:pPr>
    </w:p>
    <w:p w14:paraId="04784ADF">
      <w:pPr>
        <w:autoSpaceDE w:val="0"/>
        <w:autoSpaceDN w:val="0"/>
        <w:adjustRightInd w:val="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（十四）服务附表</w:t>
      </w:r>
    </w:p>
    <w:p w14:paraId="2CC7974E">
      <w:pPr>
        <w:topLinePunct/>
        <w:spacing w:line="440" w:lineRule="exact"/>
        <w:rPr>
          <w:rFonts w:hint="eastAsia" w:ascii="宋体" w:hAnsi="宋体"/>
          <w:b/>
          <w:szCs w:val="21"/>
          <w:highlight w:val="none"/>
        </w:rPr>
      </w:pPr>
    </w:p>
    <w:p w14:paraId="4DDF8289">
      <w:pPr>
        <w:topLinePunct/>
        <w:spacing w:line="440" w:lineRule="exact"/>
        <w:rPr>
          <w:rFonts w:hint="eastAsia" w:ascii="仿宋" w:hAnsi="仿宋" w:eastAsia="仿宋" w:cs="仿宋"/>
          <w:bCs/>
          <w:sz w:val="28"/>
          <w:szCs w:val="28"/>
          <w:highlight w:val="none"/>
          <w:u w:val="single"/>
        </w:rPr>
      </w:pPr>
      <w:r>
        <w:rPr>
          <w:rFonts w:hint="eastAsia" w:ascii="仿宋" w:hAnsi="仿宋" w:eastAsia="仿宋" w:cs="仿宋"/>
          <w:bCs/>
          <w:sz w:val="28"/>
          <w:szCs w:val="28"/>
          <w:highlight w:val="none"/>
        </w:rPr>
        <w:t>项目编号：</w:t>
      </w:r>
      <w:r>
        <w:rPr>
          <w:rFonts w:hint="eastAsia" w:ascii="仿宋" w:hAnsi="仿宋" w:eastAsia="仿宋" w:cs="仿宋"/>
          <w:bCs/>
          <w:sz w:val="28"/>
          <w:szCs w:val="28"/>
          <w:highlight w:val="none"/>
          <w:u w:val="single"/>
        </w:rPr>
        <w:t xml:space="preserve">                           </w:t>
      </w:r>
    </w:p>
    <w:p w14:paraId="3C42137A">
      <w:pPr>
        <w:topLinePunct/>
        <w:spacing w:line="44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投标人名称：</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 xml:space="preserve">         </w:t>
      </w:r>
    </w:p>
    <w:tbl>
      <w:tblPr>
        <w:tblStyle w:val="17"/>
        <w:tblW w:w="10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649"/>
        <w:gridCol w:w="219"/>
        <w:gridCol w:w="1650"/>
        <w:gridCol w:w="807"/>
        <w:gridCol w:w="1370"/>
        <w:gridCol w:w="2346"/>
      </w:tblGrid>
      <w:tr w14:paraId="14E22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77B021AF">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服务网点名称</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6AECA436">
            <w:pPr>
              <w:snapToGrid w:val="0"/>
              <w:spacing w:before="50" w:after="239" w:afterLines="50" w:line="400" w:lineRule="exact"/>
              <w:jc w:val="center"/>
              <w:rPr>
                <w:rFonts w:hint="eastAsia" w:ascii="仿宋" w:hAnsi="仿宋" w:eastAsia="仿宋" w:cs="仿宋"/>
                <w:sz w:val="24"/>
                <w:szCs w:val="24"/>
                <w:highlight w:val="none"/>
              </w:rPr>
            </w:pPr>
          </w:p>
        </w:tc>
        <w:tc>
          <w:tcPr>
            <w:tcW w:w="2346" w:type="dxa"/>
            <w:vMerge w:val="restart"/>
            <w:tcBorders>
              <w:top w:val="single" w:color="auto" w:sz="4" w:space="0"/>
              <w:left w:val="single" w:color="auto" w:sz="4" w:space="0"/>
              <w:bottom w:val="single" w:color="auto" w:sz="4" w:space="0"/>
              <w:right w:val="single" w:color="auto" w:sz="4" w:space="0"/>
            </w:tcBorders>
            <w:vAlign w:val="center"/>
          </w:tcPr>
          <w:p w14:paraId="01B817A9">
            <w:pPr>
              <w:snapToGrid w:val="0"/>
              <w:spacing w:before="50" w:after="239" w:afterLines="50"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6A95B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64BC0959">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4558BCAE">
            <w:pPr>
              <w:snapToGrid w:val="0"/>
              <w:spacing w:before="50" w:after="239" w:afterLines="50" w:line="400" w:lineRule="exact"/>
              <w:jc w:val="center"/>
              <w:rPr>
                <w:rFonts w:hint="eastAsia" w:ascii="仿宋" w:hAnsi="仿宋" w:eastAsia="仿宋" w:cs="仿宋"/>
                <w:sz w:val="24"/>
                <w:szCs w:val="24"/>
                <w:highlight w:val="none"/>
              </w:rPr>
            </w:pPr>
          </w:p>
        </w:tc>
        <w:tc>
          <w:tcPr>
            <w:tcW w:w="2346" w:type="dxa"/>
            <w:vMerge w:val="continue"/>
            <w:tcBorders>
              <w:top w:val="single" w:color="auto" w:sz="4" w:space="0"/>
              <w:left w:val="single" w:color="auto" w:sz="4" w:space="0"/>
              <w:bottom w:val="single" w:color="auto" w:sz="4" w:space="0"/>
              <w:right w:val="single" w:color="auto" w:sz="4" w:space="0"/>
            </w:tcBorders>
            <w:vAlign w:val="center"/>
          </w:tcPr>
          <w:p w14:paraId="6E5EDB51">
            <w:pPr>
              <w:jc w:val="center"/>
              <w:rPr>
                <w:rFonts w:hint="eastAsia" w:ascii="仿宋" w:hAnsi="仿宋" w:eastAsia="仿宋" w:cs="仿宋"/>
                <w:sz w:val="24"/>
                <w:szCs w:val="24"/>
                <w:highlight w:val="none"/>
              </w:rPr>
            </w:pPr>
          </w:p>
        </w:tc>
      </w:tr>
      <w:tr w14:paraId="1B167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4FD62F35">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注册资本金</w:t>
            </w:r>
          </w:p>
        </w:tc>
        <w:tc>
          <w:tcPr>
            <w:tcW w:w="1649" w:type="dxa"/>
            <w:tcBorders>
              <w:top w:val="single" w:color="auto" w:sz="4" w:space="0"/>
              <w:left w:val="single" w:color="auto" w:sz="4" w:space="0"/>
              <w:bottom w:val="single" w:color="auto" w:sz="4" w:space="0"/>
              <w:right w:val="single" w:color="auto" w:sz="4" w:space="0"/>
            </w:tcBorders>
          </w:tcPr>
          <w:p w14:paraId="2B35154E">
            <w:pPr>
              <w:snapToGrid w:val="0"/>
              <w:spacing w:before="50" w:after="239" w:afterLines="50" w:line="400" w:lineRule="exact"/>
              <w:jc w:val="left"/>
              <w:rPr>
                <w:rFonts w:hint="eastAsia" w:ascii="仿宋" w:hAnsi="仿宋" w:eastAsia="仿宋" w:cs="仿宋"/>
                <w:sz w:val="24"/>
                <w:szCs w:val="24"/>
                <w:highlight w:val="none"/>
              </w:rPr>
            </w:pPr>
          </w:p>
        </w:tc>
        <w:tc>
          <w:tcPr>
            <w:tcW w:w="2676" w:type="dxa"/>
            <w:gridSpan w:val="3"/>
            <w:tcBorders>
              <w:top w:val="single" w:color="auto" w:sz="4" w:space="0"/>
              <w:left w:val="single" w:color="auto" w:sz="4" w:space="0"/>
              <w:bottom w:val="single" w:color="auto" w:sz="4" w:space="0"/>
              <w:right w:val="single" w:color="auto" w:sz="4" w:space="0"/>
            </w:tcBorders>
          </w:tcPr>
          <w:p w14:paraId="313680CA">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其中：投标人出资比例</w:t>
            </w:r>
          </w:p>
        </w:tc>
        <w:tc>
          <w:tcPr>
            <w:tcW w:w="1370" w:type="dxa"/>
            <w:tcBorders>
              <w:top w:val="single" w:color="auto" w:sz="4" w:space="0"/>
              <w:left w:val="single" w:color="auto" w:sz="4" w:space="0"/>
              <w:bottom w:val="single" w:color="auto" w:sz="4" w:space="0"/>
              <w:right w:val="single" w:color="auto" w:sz="4" w:space="0"/>
            </w:tcBorders>
          </w:tcPr>
          <w:p w14:paraId="02E7B441">
            <w:pPr>
              <w:snapToGrid w:val="0"/>
              <w:spacing w:before="50" w:after="239" w:afterLines="50" w:line="400" w:lineRule="exact"/>
              <w:jc w:val="left"/>
              <w:rPr>
                <w:rFonts w:hint="eastAsia" w:ascii="仿宋" w:hAnsi="仿宋" w:eastAsia="仿宋" w:cs="仿宋"/>
                <w:sz w:val="24"/>
                <w:szCs w:val="24"/>
                <w:highlight w:val="none"/>
              </w:rPr>
            </w:pPr>
          </w:p>
        </w:tc>
        <w:tc>
          <w:tcPr>
            <w:tcW w:w="2346" w:type="dxa"/>
            <w:vMerge w:val="restart"/>
            <w:tcBorders>
              <w:top w:val="single" w:color="auto" w:sz="4" w:space="0"/>
              <w:left w:val="single" w:color="auto" w:sz="4" w:space="0"/>
              <w:right w:val="single" w:color="auto" w:sz="4" w:space="0"/>
            </w:tcBorders>
            <w:vAlign w:val="center"/>
          </w:tcPr>
          <w:p w14:paraId="0A303FEB">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提供相关证明材料（如：营业执照或租房合同等）</w:t>
            </w:r>
          </w:p>
        </w:tc>
      </w:tr>
      <w:tr w14:paraId="0982F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75CBE44F">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员工总人数</w:t>
            </w:r>
          </w:p>
        </w:tc>
        <w:tc>
          <w:tcPr>
            <w:tcW w:w="1649" w:type="dxa"/>
            <w:tcBorders>
              <w:top w:val="single" w:color="auto" w:sz="4" w:space="0"/>
              <w:left w:val="single" w:color="auto" w:sz="4" w:space="0"/>
              <w:bottom w:val="single" w:color="auto" w:sz="4" w:space="0"/>
              <w:right w:val="single" w:color="auto" w:sz="4" w:space="0"/>
            </w:tcBorders>
          </w:tcPr>
          <w:p w14:paraId="444ED3FB">
            <w:pPr>
              <w:snapToGrid w:val="0"/>
              <w:spacing w:before="50" w:after="239" w:afterLines="50" w:line="400" w:lineRule="exact"/>
              <w:jc w:val="left"/>
              <w:rPr>
                <w:rFonts w:hint="eastAsia" w:ascii="仿宋" w:hAnsi="仿宋" w:eastAsia="仿宋" w:cs="仿宋"/>
                <w:sz w:val="24"/>
                <w:szCs w:val="24"/>
                <w:highlight w:val="none"/>
              </w:rPr>
            </w:pPr>
          </w:p>
        </w:tc>
        <w:tc>
          <w:tcPr>
            <w:tcW w:w="2676" w:type="dxa"/>
            <w:gridSpan w:val="3"/>
            <w:tcBorders>
              <w:top w:val="single" w:color="auto" w:sz="4" w:space="0"/>
              <w:left w:val="single" w:color="auto" w:sz="4" w:space="0"/>
              <w:bottom w:val="single" w:color="auto" w:sz="4" w:space="0"/>
              <w:right w:val="single" w:color="auto" w:sz="4" w:space="0"/>
            </w:tcBorders>
          </w:tcPr>
          <w:p w14:paraId="090AE0E8">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其中：技术人员数</w:t>
            </w:r>
          </w:p>
        </w:tc>
        <w:tc>
          <w:tcPr>
            <w:tcW w:w="1370" w:type="dxa"/>
            <w:tcBorders>
              <w:top w:val="single" w:color="auto" w:sz="4" w:space="0"/>
              <w:left w:val="single" w:color="auto" w:sz="4" w:space="0"/>
              <w:bottom w:val="single" w:color="auto" w:sz="4" w:space="0"/>
              <w:right w:val="single" w:color="auto" w:sz="4" w:space="0"/>
            </w:tcBorders>
          </w:tcPr>
          <w:p w14:paraId="25E1D286">
            <w:pPr>
              <w:snapToGrid w:val="0"/>
              <w:spacing w:before="50" w:after="239" w:afterLines="50" w:line="400" w:lineRule="exact"/>
              <w:jc w:val="left"/>
              <w:rPr>
                <w:rFonts w:hint="eastAsia" w:ascii="仿宋" w:hAnsi="仿宋" w:eastAsia="仿宋" w:cs="仿宋"/>
                <w:sz w:val="24"/>
                <w:szCs w:val="24"/>
                <w:highlight w:val="none"/>
              </w:rPr>
            </w:pPr>
          </w:p>
        </w:tc>
        <w:tc>
          <w:tcPr>
            <w:tcW w:w="2346" w:type="dxa"/>
            <w:vMerge w:val="continue"/>
            <w:tcBorders>
              <w:left w:val="single" w:color="auto" w:sz="4" w:space="0"/>
              <w:right w:val="single" w:color="auto" w:sz="4" w:space="0"/>
            </w:tcBorders>
            <w:vAlign w:val="center"/>
          </w:tcPr>
          <w:p w14:paraId="68D920E8">
            <w:pPr>
              <w:snapToGrid w:val="0"/>
              <w:spacing w:before="50" w:after="239" w:afterLines="50" w:line="400" w:lineRule="exact"/>
              <w:rPr>
                <w:rFonts w:hint="eastAsia" w:ascii="仿宋" w:hAnsi="仿宋" w:eastAsia="仿宋" w:cs="仿宋"/>
                <w:sz w:val="24"/>
                <w:szCs w:val="24"/>
                <w:highlight w:val="none"/>
              </w:rPr>
            </w:pPr>
          </w:p>
        </w:tc>
      </w:tr>
      <w:tr w14:paraId="43F61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0F4381F5">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经营期限</w:t>
            </w:r>
          </w:p>
        </w:tc>
        <w:tc>
          <w:tcPr>
            <w:tcW w:w="5695" w:type="dxa"/>
            <w:gridSpan w:val="5"/>
            <w:tcBorders>
              <w:top w:val="single" w:color="auto" w:sz="4" w:space="0"/>
              <w:left w:val="single" w:color="auto" w:sz="4" w:space="0"/>
              <w:bottom w:val="single" w:color="auto" w:sz="4" w:space="0"/>
              <w:right w:val="single" w:color="auto" w:sz="4" w:space="0"/>
            </w:tcBorders>
          </w:tcPr>
          <w:p w14:paraId="65ABABD3">
            <w:pPr>
              <w:snapToGrid w:val="0"/>
              <w:spacing w:before="50" w:after="239" w:afterLines="50" w:line="400" w:lineRule="exact"/>
              <w:jc w:val="left"/>
              <w:rPr>
                <w:rFonts w:hint="eastAsia" w:ascii="仿宋" w:hAnsi="仿宋" w:eastAsia="仿宋" w:cs="仿宋"/>
                <w:sz w:val="24"/>
                <w:szCs w:val="24"/>
                <w:highlight w:val="none"/>
              </w:rPr>
            </w:pPr>
          </w:p>
        </w:tc>
        <w:tc>
          <w:tcPr>
            <w:tcW w:w="2346" w:type="dxa"/>
            <w:vMerge w:val="continue"/>
            <w:tcBorders>
              <w:left w:val="single" w:color="auto" w:sz="4" w:space="0"/>
              <w:bottom w:val="single" w:color="auto" w:sz="4" w:space="0"/>
              <w:right w:val="single" w:color="auto" w:sz="4" w:space="0"/>
            </w:tcBorders>
            <w:vAlign w:val="center"/>
          </w:tcPr>
          <w:p w14:paraId="1065CF6F">
            <w:pPr>
              <w:snapToGrid w:val="0"/>
              <w:spacing w:before="50" w:after="239" w:afterLines="50" w:line="400" w:lineRule="exact"/>
              <w:rPr>
                <w:rFonts w:hint="eastAsia" w:ascii="仿宋" w:hAnsi="仿宋" w:eastAsia="仿宋" w:cs="仿宋"/>
                <w:sz w:val="24"/>
                <w:szCs w:val="24"/>
                <w:highlight w:val="none"/>
              </w:rPr>
            </w:pPr>
          </w:p>
        </w:tc>
      </w:tr>
      <w:tr w14:paraId="153C3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4F5F2622">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售后服务协议</w:t>
            </w:r>
          </w:p>
        </w:tc>
        <w:tc>
          <w:tcPr>
            <w:tcW w:w="5695" w:type="dxa"/>
            <w:gridSpan w:val="5"/>
            <w:tcBorders>
              <w:top w:val="single" w:color="auto" w:sz="4" w:space="0"/>
              <w:left w:val="single" w:color="auto" w:sz="4" w:space="0"/>
              <w:bottom w:val="single" w:color="auto" w:sz="4" w:space="0"/>
              <w:right w:val="single" w:color="auto" w:sz="4" w:space="0"/>
            </w:tcBorders>
          </w:tcPr>
          <w:p w14:paraId="03CE4671">
            <w:pPr>
              <w:snapToGrid w:val="0"/>
              <w:spacing w:before="50" w:after="239" w:afterLines="50" w:line="400" w:lineRule="exact"/>
              <w:jc w:val="left"/>
              <w:rPr>
                <w:rFonts w:hint="eastAsia" w:ascii="仿宋" w:hAnsi="仿宋" w:eastAsia="仿宋" w:cs="仿宋"/>
                <w:sz w:val="24"/>
                <w:szCs w:val="24"/>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7B31D683">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提供相关证明材料</w:t>
            </w:r>
          </w:p>
        </w:tc>
      </w:tr>
      <w:tr w14:paraId="5B42E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B383E9A">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售后服务内容</w:t>
            </w:r>
          </w:p>
        </w:tc>
        <w:tc>
          <w:tcPr>
            <w:tcW w:w="5695" w:type="dxa"/>
            <w:gridSpan w:val="5"/>
            <w:tcBorders>
              <w:top w:val="single" w:color="auto" w:sz="4" w:space="0"/>
              <w:left w:val="single" w:color="auto" w:sz="4" w:space="0"/>
              <w:bottom w:val="single" w:color="auto" w:sz="4" w:space="0"/>
              <w:right w:val="single" w:color="auto" w:sz="4" w:space="0"/>
            </w:tcBorders>
          </w:tcPr>
          <w:p w14:paraId="250D2D53">
            <w:pPr>
              <w:snapToGrid w:val="0"/>
              <w:spacing w:before="50" w:after="239" w:afterLines="50" w:line="400" w:lineRule="exact"/>
              <w:jc w:val="left"/>
              <w:rPr>
                <w:rFonts w:hint="eastAsia" w:ascii="仿宋" w:hAnsi="仿宋" w:eastAsia="仿宋" w:cs="仿宋"/>
                <w:sz w:val="24"/>
                <w:szCs w:val="24"/>
                <w:highlight w:val="none"/>
              </w:rPr>
            </w:pPr>
          </w:p>
        </w:tc>
        <w:tc>
          <w:tcPr>
            <w:tcW w:w="2346" w:type="dxa"/>
            <w:vMerge w:val="restart"/>
            <w:tcBorders>
              <w:top w:val="single" w:color="auto" w:sz="4" w:space="0"/>
              <w:left w:val="single" w:color="auto" w:sz="4" w:space="0"/>
              <w:right w:val="single" w:color="auto" w:sz="4" w:space="0"/>
            </w:tcBorders>
            <w:vAlign w:val="center"/>
          </w:tcPr>
          <w:p w14:paraId="1E218DFB">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此部分内容做附件进行详细说明</w:t>
            </w:r>
          </w:p>
        </w:tc>
      </w:tr>
      <w:tr w14:paraId="5F711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186208E">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服务承诺</w:t>
            </w:r>
          </w:p>
        </w:tc>
        <w:tc>
          <w:tcPr>
            <w:tcW w:w="5695" w:type="dxa"/>
            <w:gridSpan w:val="5"/>
            <w:tcBorders>
              <w:top w:val="single" w:color="auto" w:sz="4" w:space="0"/>
              <w:left w:val="single" w:color="auto" w:sz="4" w:space="0"/>
              <w:bottom w:val="single" w:color="auto" w:sz="4" w:space="0"/>
              <w:right w:val="single" w:color="auto" w:sz="4" w:space="0"/>
            </w:tcBorders>
          </w:tcPr>
          <w:p w14:paraId="33B4019B">
            <w:pPr>
              <w:snapToGrid w:val="0"/>
              <w:spacing w:before="50" w:after="239" w:afterLines="50" w:line="400" w:lineRule="exact"/>
              <w:jc w:val="left"/>
              <w:rPr>
                <w:rFonts w:hint="eastAsia" w:ascii="仿宋" w:hAnsi="仿宋" w:eastAsia="仿宋" w:cs="仿宋"/>
                <w:sz w:val="24"/>
                <w:szCs w:val="24"/>
                <w:highlight w:val="none"/>
              </w:rPr>
            </w:pPr>
          </w:p>
        </w:tc>
        <w:tc>
          <w:tcPr>
            <w:tcW w:w="2346" w:type="dxa"/>
            <w:vMerge w:val="continue"/>
            <w:tcBorders>
              <w:left w:val="single" w:color="auto" w:sz="4" w:space="0"/>
              <w:bottom w:val="single" w:color="auto" w:sz="4" w:space="0"/>
              <w:right w:val="single" w:color="auto" w:sz="4" w:space="0"/>
            </w:tcBorders>
            <w:vAlign w:val="center"/>
          </w:tcPr>
          <w:p w14:paraId="68B68910">
            <w:pPr>
              <w:snapToGrid w:val="0"/>
              <w:spacing w:before="50" w:after="239" w:afterLines="50" w:line="400" w:lineRule="exact"/>
              <w:rPr>
                <w:rFonts w:hint="eastAsia" w:ascii="仿宋" w:hAnsi="仿宋" w:eastAsia="仿宋" w:cs="仿宋"/>
                <w:sz w:val="24"/>
                <w:szCs w:val="24"/>
                <w:highlight w:val="none"/>
              </w:rPr>
            </w:pPr>
          </w:p>
        </w:tc>
      </w:tr>
      <w:tr w14:paraId="06B9F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62035C46">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工作业绩</w:t>
            </w:r>
          </w:p>
        </w:tc>
        <w:tc>
          <w:tcPr>
            <w:tcW w:w="5695" w:type="dxa"/>
            <w:gridSpan w:val="5"/>
            <w:tcBorders>
              <w:top w:val="single" w:color="auto" w:sz="4" w:space="0"/>
              <w:left w:val="single" w:color="auto" w:sz="4" w:space="0"/>
              <w:bottom w:val="single" w:color="auto" w:sz="4" w:space="0"/>
              <w:right w:val="single" w:color="auto" w:sz="4" w:space="0"/>
            </w:tcBorders>
          </w:tcPr>
          <w:p w14:paraId="675068BB">
            <w:pPr>
              <w:snapToGrid w:val="0"/>
              <w:spacing w:before="50" w:after="239" w:afterLines="50" w:line="400" w:lineRule="exact"/>
              <w:jc w:val="left"/>
              <w:rPr>
                <w:rFonts w:hint="eastAsia" w:ascii="仿宋" w:hAnsi="仿宋" w:eastAsia="仿宋" w:cs="仿宋"/>
                <w:sz w:val="24"/>
                <w:szCs w:val="24"/>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1A96AE0E">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提供相关证明材料</w:t>
            </w:r>
          </w:p>
        </w:tc>
      </w:tr>
      <w:tr w14:paraId="38E33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16F0FEDE">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业务咨询电话</w:t>
            </w:r>
          </w:p>
        </w:tc>
        <w:tc>
          <w:tcPr>
            <w:tcW w:w="1868" w:type="dxa"/>
            <w:gridSpan w:val="2"/>
            <w:tcBorders>
              <w:top w:val="single" w:color="auto" w:sz="4" w:space="0"/>
              <w:left w:val="single" w:color="auto" w:sz="4" w:space="0"/>
              <w:bottom w:val="single" w:color="auto" w:sz="4" w:space="0"/>
              <w:right w:val="single" w:color="auto" w:sz="2" w:space="0"/>
            </w:tcBorders>
          </w:tcPr>
          <w:p w14:paraId="29CB2DB5">
            <w:pPr>
              <w:snapToGrid w:val="0"/>
              <w:spacing w:before="50" w:after="239" w:afterLines="50" w:line="400" w:lineRule="exact"/>
              <w:jc w:val="left"/>
              <w:rPr>
                <w:rFonts w:hint="eastAsia" w:ascii="仿宋" w:hAnsi="仿宋" w:eastAsia="仿宋" w:cs="仿宋"/>
                <w:sz w:val="24"/>
                <w:szCs w:val="24"/>
                <w:highlight w:val="none"/>
              </w:rPr>
            </w:pPr>
          </w:p>
        </w:tc>
        <w:tc>
          <w:tcPr>
            <w:tcW w:w="1650" w:type="dxa"/>
            <w:tcBorders>
              <w:top w:val="single" w:color="auto" w:sz="4" w:space="0"/>
              <w:left w:val="single" w:color="auto" w:sz="2" w:space="0"/>
              <w:bottom w:val="single" w:color="auto" w:sz="4" w:space="0"/>
              <w:right w:val="single" w:color="auto" w:sz="2" w:space="0"/>
            </w:tcBorders>
          </w:tcPr>
          <w:p w14:paraId="3304BB28">
            <w:pPr>
              <w:snapToGrid w:val="0"/>
              <w:spacing w:before="50" w:after="239" w:afterLines="50" w:line="40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传 真</w:t>
            </w:r>
          </w:p>
        </w:tc>
        <w:tc>
          <w:tcPr>
            <w:tcW w:w="2177" w:type="dxa"/>
            <w:gridSpan w:val="2"/>
            <w:tcBorders>
              <w:top w:val="single" w:color="auto" w:sz="4" w:space="0"/>
              <w:left w:val="single" w:color="auto" w:sz="2" w:space="0"/>
              <w:bottom w:val="single" w:color="auto" w:sz="4" w:space="0"/>
              <w:right w:val="single" w:color="auto" w:sz="2" w:space="0"/>
            </w:tcBorders>
          </w:tcPr>
          <w:p w14:paraId="15E9A5DF">
            <w:pPr>
              <w:snapToGrid w:val="0"/>
              <w:spacing w:before="50" w:after="239" w:afterLines="50" w:line="400" w:lineRule="exact"/>
              <w:jc w:val="left"/>
              <w:rPr>
                <w:rFonts w:hint="eastAsia" w:ascii="仿宋" w:hAnsi="仿宋" w:eastAsia="仿宋" w:cs="仿宋"/>
                <w:sz w:val="24"/>
                <w:szCs w:val="24"/>
                <w:highlight w:val="none"/>
              </w:rPr>
            </w:pPr>
          </w:p>
        </w:tc>
        <w:tc>
          <w:tcPr>
            <w:tcW w:w="2346" w:type="dxa"/>
            <w:vMerge w:val="restart"/>
            <w:tcBorders>
              <w:top w:val="single" w:color="auto" w:sz="4" w:space="0"/>
              <w:left w:val="single" w:color="auto" w:sz="2" w:space="0"/>
              <w:right w:val="single" w:color="auto" w:sz="4" w:space="0"/>
            </w:tcBorders>
            <w:vAlign w:val="center"/>
          </w:tcPr>
          <w:p w14:paraId="34717A08">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附人员身份证等相关证件</w:t>
            </w:r>
          </w:p>
        </w:tc>
      </w:tr>
      <w:tr w14:paraId="75B15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979" w:type="dxa"/>
            <w:tcBorders>
              <w:top w:val="single" w:color="auto" w:sz="4" w:space="0"/>
              <w:left w:val="single" w:color="auto" w:sz="4" w:space="0"/>
              <w:bottom w:val="single" w:color="auto" w:sz="4" w:space="0"/>
              <w:right w:val="single" w:color="auto" w:sz="4" w:space="0"/>
            </w:tcBorders>
            <w:vAlign w:val="center"/>
          </w:tcPr>
          <w:p w14:paraId="13893969">
            <w:pPr>
              <w:snapToGrid w:val="0"/>
              <w:spacing w:before="50" w:after="239"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负责人</w:t>
            </w:r>
          </w:p>
        </w:tc>
        <w:tc>
          <w:tcPr>
            <w:tcW w:w="1868" w:type="dxa"/>
            <w:gridSpan w:val="2"/>
            <w:tcBorders>
              <w:top w:val="single" w:color="auto" w:sz="4" w:space="0"/>
              <w:left w:val="single" w:color="auto" w:sz="4" w:space="0"/>
              <w:bottom w:val="single" w:color="auto" w:sz="4" w:space="0"/>
              <w:right w:val="single" w:color="auto" w:sz="2" w:space="0"/>
            </w:tcBorders>
          </w:tcPr>
          <w:p w14:paraId="039615A7">
            <w:pPr>
              <w:snapToGrid w:val="0"/>
              <w:spacing w:before="50" w:after="239" w:afterLines="50" w:line="400" w:lineRule="exact"/>
              <w:jc w:val="left"/>
              <w:rPr>
                <w:rFonts w:hint="eastAsia" w:ascii="仿宋" w:hAnsi="仿宋" w:eastAsia="仿宋" w:cs="仿宋"/>
                <w:sz w:val="24"/>
                <w:szCs w:val="24"/>
                <w:highlight w:val="none"/>
              </w:rPr>
            </w:pPr>
          </w:p>
        </w:tc>
        <w:tc>
          <w:tcPr>
            <w:tcW w:w="1650" w:type="dxa"/>
            <w:tcBorders>
              <w:top w:val="single" w:color="auto" w:sz="4" w:space="0"/>
              <w:left w:val="single" w:color="auto" w:sz="2" w:space="0"/>
              <w:bottom w:val="single" w:color="auto" w:sz="4" w:space="0"/>
              <w:right w:val="single" w:color="auto" w:sz="2" w:space="0"/>
            </w:tcBorders>
          </w:tcPr>
          <w:p w14:paraId="0D947FCB">
            <w:pPr>
              <w:snapToGrid w:val="0"/>
              <w:spacing w:before="50" w:after="239" w:afterLines="50"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177" w:type="dxa"/>
            <w:gridSpan w:val="2"/>
            <w:tcBorders>
              <w:top w:val="single" w:color="auto" w:sz="4" w:space="0"/>
              <w:left w:val="single" w:color="auto" w:sz="2" w:space="0"/>
              <w:bottom w:val="single" w:color="auto" w:sz="4" w:space="0"/>
              <w:right w:val="single" w:color="auto" w:sz="2" w:space="0"/>
            </w:tcBorders>
          </w:tcPr>
          <w:p w14:paraId="0B550EFE">
            <w:pPr>
              <w:snapToGrid w:val="0"/>
              <w:spacing w:before="50" w:after="239" w:afterLines="50" w:line="400" w:lineRule="exact"/>
              <w:jc w:val="left"/>
              <w:rPr>
                <w:rFonts w:hint="eastAsia" w:ascii="仿宋" w:hAnsi="仿宋" w:eastAsia="仿宋" w:cs="仿宋"/>
                <w:sz w:val="24"/>
                <w:szCs w:val="24"/>
                <w:highlight w:val="none"/>
              </w:rPr>
            </w:pPr>
          </w:p>
        </w:tc>
        <w:tc>
          <w:tcPr>
            <w:tcW w:w="2346" w:type="dxa"/>
            <w:vMerge w:val="continue"/>
            <w:tcBorders>
              <w:left w:val="single" w:color="auto" w:sz="2" w:space="0"/>
              <w:bottom w:val="single" w:color="auto" w:sz="4" w:space="0"/>
              <w:right w:val="single" w:color="auto" w:sz="4" w:space="0"/>
            </w:tcBorders>
          </w:tcPr>
          <w:p w14:paraId="1AD043F9">
            <w:pPr>
              <w:snapToGrid w:val="0"/>
              <w:spacing w:before="50" w:after="239" w:afterLines="50" w:line="400" w:lineRule="exact"/>
              <w:jc w:val="left"/>
              <w:rPr>
                <w:rFonts w:hint="eastAsia" w:ascii="仿宋" w:hAnsi="仿宋" w:eastAsia="仿宋" w:cs="仿宋"/>
                <w:sz w:val="24"/>
                <w:szCs w:val="24"/>
                <w:highlight w:val="none"/>
              </w:rPr>
            </w:pPr>
          </w:p>
        </w:tc>
      </w:tr>
    </w:tbl>
    <w:p w14:paraId="607803D5">
      <w:pPr>
        <w:spacing w:line="440" w:lineRule="exact"/>
        <w:jc w:val="right"/>
        <w:rPr>
          <w:rFonts w:hint="eastAsia" w:ascii="仿宋" w:hAnsi="仿宋" w:eastAsia="仿宋" w:cs="仿宋"/>
          <w:sz w:val="24"/>
          <w:szCs w:val="24"/>
          <w:highlight w:val="none"/>
        </w:rPr>
      </w:pPr>
    </w:p>
    <w:p w14:paraId="0FC2457B">
      <w:pPr>
        <w:pStyle w:val="10"/>
        <w:adjustRightInd w:val="0"/>
        <w:snapToGrid w:val="0"/>
        <w:spacing w:line="360" w:lineRule="auto"/>
        <w:rPr>
          <w:rFonts w:hint="eastAsia" w:ascii="仿宋" w:hAnsi="仿宋" w:eastAsia="仿宋" w:cs="仿宋"/>
          <w:bCs/>
          <w:sz w:val="28"/>
          <w:szCs w:val="28"/>
          <w:highlight w:val="non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1E85EDF6">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法定代表人或其委托代理人(签字)：</w:t>
      </w:r>
      <w:r>
        <w:rPr>
          <w:rFonts w:hint="eastAsia" w:ascii="仿宋" w:hAnsi="仿宋" w:eastAsia="仿宋" w:cs="仿宋"/>
          <w:sz w:val="28"/>
          <w:szCs w:val="28"/>
          <w:highlight w:val="none"/>
          <w:u w:val="single"/>
        </w:rPr>
        <w:t xml:space="preserve">                   </w:t>
      </w:r>
    </w:p>
    <w:p w14:paraId="2734DE3A">
      <w:pPr>
        <w:pStyle w:val="22"/>
        <w:ind w:firstLine="560"/>
        <w:rPr>
          <w:sz w:val="28"/>
          <w:szCs w:val="28"/>
          <w:highlight w:val="none"/>
        </w:rPr>
      </w:pPr>
    </w:p>
    <w:p w14:paraId="16FA73C8">
      <w:pPr>
        <w:ind w:firstLine="2800" w:firstLineChars="1000"/>
        <w:rPr>
          <w:rFonts w:hint="eastAsia" w:ascii="宋体" w:hAnsi="宋体" w:cs="宋体"/>
          <w:b/>
          <w:sz w:val="30"/>
          <w:szCs w:val="30"/>
          <w:highlight w:val="none"/>
        </w:rPr>
      </w:pPr>
      <w:r>
        <w:rPr>
          <w:rFonts w:hint="eastAsia" w:ascii="仿宋" w:hAnsi="仿宋" w:eastAsia="仿宋" w:cs="仿宋"/>
          <w:sz w:val="28"/>
          <w:szCs w:val="28"/>
          <w:highlight w:val="none"/>
        </w:rPr>
        <w:t xml:space="preserve">日          期：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年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日</w:t>
      </w:r>
      <w:r>
        <w:rPr>
          <w:rFonts w:ascii="宋体" w:hAnsi="宋体"/>
          <w:sz w:val="28"/>
          <w:szCs w:val="28"/>
          <w:highlight w:val="none"/>
        </w:rPr>
        <w:br w:type="page"/>
      </w:r>
    </w:p>
    <w:p w14:paraId="4B4046D2">
      <w:pPr>
        <w:ind w:firstLine="3000" w:firstLineChars="1000"/>
        <w:rPr>
          <w:rFonts w:hint="eastAsia" w:ascii="仿宋" w:hAnsi="仿宋" w:eastAsia="仿宋" w:cs="仿宋"/>
          <w:b/>
          <w:sz w:val="32"/>
          <w:szCs w:val="32"/>
          <w:highlight w:val="none"/>
        </w:rPr>
      </w:pPr>
      <w:r>
        <w:rPr>
          <w:rFonts w:hint="eastAsia" w:ascii="宋体" w:hAnsi="宋体" w:cs="宋体"/>
          <w:b/>
          <w:sz w:val="30"/>
          <w:szCs w:val="30"/>
          <w:highlight w:val="none"/>
        </w:rPr>
        <w:t xml:space="preserve"> </w:t>
      </w:r>
      <w:r>
        <w:rPr>
          <w:rFonts w:hint="eastAsia" w:ascii="仿宋" w:hAnsi="仿宋" w:eastAsia="仿宋" w:cs="仿宋"/>
          <w:b/>
          <w:sz w:val="32"/>
          <w:szCs w:val="32"/>
          <w:highlight w:val="none"/>
        </w:rPr>
        <w:t>（十五）商务条款偏离表</w:t>
      </w:r>
    </w:p>
    <w:p w14:paraId="66DC16A1">
      <w:pPr>
        <w:pStyle w:val="22"/>
        <w:ind w:firstLine="420"/>
        <w:rPr>
          <w:highlight w:val="none"/>
        </w:rPr>
      </w:pPr>
    </w:p>
    <w:p w14:paraId="32520070">
      <w:pP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rPr>
        <w:t>　　　　　　　　　　　</w:t>
      </w:r>
    </w:p>
    <w:tbl>
      <w:tblPr>
        <w:tblStyle w:val="17"/>
        <w:tblW w:w="985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60"/>
        <w:gridCol w:w="2880"/>
        <w:gridCol w:w="2520"/>
        <w:gridCol w:w="2160"/>
      </w:tblGrid>
      <w:tr w14:paraId="668B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35" w:type="dxa"/>
            <w:vAlign w:val="center"/>
          </w:tcPr>
          <w:p w14:paraId="389E257D">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60" w:type="dxa"/>
            <w:vAlign w:val="center"/>
          </w:tcPr>
          <w:p w14:paraId="6DC616CB">
            <w:pPr>
              <w:jc w:val="center"/>
              <w:rPr>
                <w:rFonts w:hint="eastAsia" w:ascii="仿宋" w:hAnsi="仿宋" w:eastAsia="仿宋" w:cs="仿宋"/>
                <w:sz w:val="24"/>
                <w:highlight w:val="none"/>
              </w:rPr>
            </w:pPr>
            <w:r>
              <w:rPr>
                <w:rFonts w:hint="eastAsia" w:ascii="仿宋" w:hAnsi="仿宋" w:eastAsia="仿宋" w:cs="仿宋"/>
                <w:sz w:val="24"/>
                <w:highlight w:val="none"/>
              </w:rPr>
              <w:t>招标文件</w:t>
            </w:r>
          </w:p>
          <w:p w14:paraId="05D6E841">
            <w:pPr>
              <w:jc w:val="center"/>
              <w:rPr>
                <w:rFonts w:hint="eastAsia" w:ascii="仿宋" w:hAnsi="仿宋" w:eastAsia="仿宋" w:cs="仿宋"/>
                <w:sz w:val="24"/>
                <w:highlight w:val="none"/>
              </w:rPr>
            </w:pPr>
            <w:r>
              <w:rPr>
                <w:rFonts w:hint="eastAsia" w:ascii="仿宋" w:hAnsi="仿宋" w:eastAsia="仿宋" w:cs="仿宋"/>
                <w:sz w:val="24"/>
                <w:highlight w:val="none"/>
              </w:rPr>
              <w:t>条目号</w:t>
            </w:r>
          </w:p>
        </w:tc>
        <w:tc>
          <w:tcPr>
            <w:tcW w:w="2880" w:type="dxa"/>
            <w:vAlign w:val="center"/>
          </w:tcPr>
          <w:p w14:paraId="080A9DAE">
            <w:pPr>
              <w:jc w:val="center"/>
              <w:rPr>
                <w:rFonts w:hint="eastAsia" w:ascii="仿宋" w:hAnsi="仿宋" w:eastAsia="仿宋" w:cs="仿宋"/>
                <w:sz w:val="24"/>
                <w:highlight w:val="none"/>
              </w:rPr>
            </w:pPr>
            <w:r>
              <w:rPr>
                <w:rFonts w:hint="eastAsia" w:ascii="仿宋" w:hAnsi="仿宋" w:eastAsia="仿宋" w:cs="仿宋"/>
                <w:sz w:val="24"/>
                <w:highlight w:val="none"/>
              </w:rPr>
              <w:t>招标文件的商务条款</w:t>
            </w:r>
          </w:p>
        </w:tc>
        <w:tc>
          <w:tcPr>
            <w:tcW w:w="2520" w:type="dxa"/>
            <w:vAlign w:val="center"/>
          </w:tcPr>
          <w:p w14:paraId="0D47AE03">
            <w:pPr>
              <w:jc w:val="center"/>
              <w:rPr>
                <w:rFonts w:hint="eastAsia" w:ascii="仿宋" w:hAnsi="仿宋" w:eastAsia="仿宋" w:cs="仿宋"/>
                <w:sz w:val="24"/>
                <w:highlight w:val="none"/>
              </w:rPr>
            </w:pPr>
            <w:r>
              <w:rPr>
                <w:rFonts w:hint="eastAsia" w:ascii="仿宋" w:hAnsi="仿宋" w:eastAsia="仿宋" w:cs="仿宋"/>
                <w:sz w:val="24"/>
                <w:highlight w:val="none"/>
              </w:rPr>
              <w:t>投标文件的商务条款</w:t>
            </w:r>
          </w:p>
        </w:tc>
        <w:tc>
          <w:tcPr>
            <w:tcW w:w="2160" w:type="dxa"/>
            <w:vAlign w:val="center"/>
          </w:tcPr>
          <w:p w14:paraId="3D2A68EA">
            <w:pPr>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14:paraId="438F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035" w:type="dxa"/>
          </w:tcPr>
          <w:p w14:paraId="793C8C91">
            <w:pPr>
              <w:rPr>
                <w:rFonts w:hint="eastAsia" w:ascii="仿宋" w:hAnsi="仿宋" w:eastAsia="仿宋" w:cs="仿宋"/>
                <w:sz w:val="24"/>
                <w:highlight w:val="none"/>
              </w:rPr>
            </w:pPr>
          </w:p>
          <w:p w14:paraId="4D27203A">
            <w:pPr>
              <w:rPr>
                <w:rFonts w:hint="eastAsia" w:ascii="仿宋" w:hAnsi="仿宋" w:eastAsia="仿宋" w:cs="仿宋"/>
                <w:sz w:val="24"/>
                <w:highlight w:val="none"/>
              </w:rPr>
            </w:pPr>
          </w:p>
        </w:tc>
        <w:tc>
          <w:tcPr>
            <w:tcW w:w="1260" w:type="dxa"/>
          </w:tcPr>
          <w:p w14:paraId="0BC4C835">
            <w:pPr>
              <w:widowControl/>
              <w:jc w:val="left"/>
              <w:rPr>
                <w:rFonts w:hint="eastAsia" w:ascii="仿宋" w:hAnsi="仿宋" w:eastAsia="仿宋" w:cs="仿宋"/>
                <w:sz w:val="24"/>
                <w:highlight w:val="none"/>
              </w:rPr>
            </w:pPr>
          </w:p>
          <w:p w14:paraId="7B6C7063">
            <w:pPr>
              <w:rPr>
                <w:rFonts w:hint="eastAsia" w:ascii="仿宋" w:hAnsi="仿宋" w:eastAsia="仿宋" w:cs="仿宋"/>
                <w:sz w:val="24"/>
                <w:highlight w:val="none"/>
              </w:rPr>
            </w:pPr>
          </w:p>
        </w:tc>
        <w:tc>
          <w:tcPr>
            <w:tcW w:w="2880" w:type="dxa"/>
          </w:tcPr>
          <w:p w14:paraId="595D6B36">
            <w:pPr>
              <w:rPr>
                <w:rFonts w:hint="eastAsia" w:ascii="仿宋" w:hAnsi="仿宋" w:eastAsia="仿宋" w:cs="仿宋"/>
                <w:sz w:val="24"/>
                <w:highlight w:val="none"/>
              </w:rPr>
            </w:pPr>
          </w:p>
        </w:tc>
        <w:tc>
          <w:tcPr>
            <w:tcW w:w="2520" w:type="dxa"/>
          </w:tcPr>
          <w:p w14:paraId="437F1159">
            <w:pPr>
              <w:rPr>
                <w:rFonts w:hint="eastAsia" w:ascii="仿宋" w:hAnsi="仿宋" w:eastAsia="仿宋" w:cs="仿宋"/>
                <w:sz w:val="24"/>
                <w:highlight w:val="none"/>
              </w:rPr>
            </w:pPr>
          </w:p>
        </w:tc>
        <w:tc>
          <w:tcPr>
            <w:tcW w:w="2160" w:type="dxa"/>
          </w:tcPr>
          <w:p w14:paraId="6E6CEF96">
            <w:pPr>
              <w:rPr>
                <w:rFonts w:hint="eastAsia" w:ascii="仿宋" w:hAnsi="仿宋" w:eastAsia="仿宋" w:cs="仿宋"/>
                <w:sz w:val="24"/>
                <w:highlight w:val="none"/>
              </w:rPr>
            </w:pPr>
          </w:p>
        </w:tc>
      </w:tr>
      <w:tr w14:paraId="5306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35" w:type="dxa"/>
          </w:tcPr>
          <w:p w14:paraId="593166D3">
            <w:pPr>
              <w:rPr>
                <w:rFonts w:hint="eastAsia" w:ascii="仿宋" w:hAnsi="仿宋" w:eastAsia="仿宋" w:cs="仿宋"/>
                <w:sz w:val="24"/>
                <w:highlight w:val="none"/>
              </w:rPr>
            </w:pPr>
          </w:p>
          <w:p w14:paraId="7A9B385A">
            <w:pPr>
              <w:rPr>
                <w:rFonts w:hint="eastAsia" w:ascii="仿宋" w:hAnsi="仿宋" w:eastAsia="仿宋" w:cs="仿宋"/>
                <w:sz w:val="24"/>
                <w:highlight w:val="none"/>
              </w:rPr>
            </w:pPr>
          </w:p>
        </w:tc>
        <w:tc>
          <w:tcPr>
            <w:tcW w:w="1260" w:type="dxa"/>
          </w:tcPr>
          <w:p w14:paraId="5BFFB6C3">
            <w:pPr>
              <w:widowControl/>
              <w:jc w:val="left"/>
              <w:rPr>
                <w:rFonts w:hint="eastAsia" w:ascii="仿宋" w:hAnsi="仿宋" w:eastAsia="仿宋" w:cs="仿宋"/>
                <w:sz w:val="24"/>
                <w:highlight w:val="none"/>
              </w:rPr>
            </w:pPr>
          </w:p>
          <w:p w14:paraId="0470FA6C">
            <w:pPr>
              <w:rPr>
                <w:rFonts w:hint="eastAsia" w:ascii="仿宋" w:hAnsi="仿宋" w:eastAsia="仿宋" w:cs="仿宋"/>
                <w:sz w:val="24"/>
                <w:highlight w:val="none"/>
              </w:rPr>
            </w:pPr>
          </w:p>
        </w:tc>
        <w:tc>
          <w:tcPr>
            <w:tcW w:w="2880" w:type="dxa"/>
          </w:tcPr>
          <w:p w14:paraId="14338B6D">
            <w:pPr>
              <w:rPr>
                <w:rFonts w:hint="eastAsia" w:ascii="仿宋" w:hAnsi="仿宋" w:eastAsia="仿宋" w:cs="仿宋"/>
                <w:sz w:val="24"/>
                <w:highlight w:val="none"/>
              </w:rPr>
            </w:pPr>
          </w:p>
        </w:tc>
        <w:tc>
          <w:tcPr>
            <w:tcW w:w="2520" w:type="dxa"/>
          </w:tcPr>
          <w:p w14:paraId="3EBACD9C">
            <w:pPr>
              <w:rPr>
                <w:rFonts w:hint="eastAsia" w:ascii="仿宋" w:hAnsi="仿宋" w:eastAsia="仿宋" w:cs="仿宋"/>
                <w:sz w:val="24"/>
                <w:highlight w:val="none"/>
              </w:rPr>
            </w:pPr>
          </w:p>
        </w:tc>
        <w:tc>
          <w:tcPr>
            <w:tcW w:w="2160" w:type="dxa"/>
          </w:tcPr>
          <w:p w14:paraId="426F2803">
            <w:pPr>
              <w:rPr>
                <w:rFonts w:hint="eastAsia" w:ascii="仿宋" w:hAnsi="仿宋" w:eastAsia="仿宋" w:cs="仿宋"/>
                <w:sz w:val="24"/>
                <w:highlight w:val="none"/>
              </w:rPr>
            </w:pPr>
          </w:p>
        </w:tc>
      </w:tr>
      <w:tr w14:paraId="00C6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016EB272">
            <w:pPr>
              <w:rPr>
                <w:rFonts w:hint="eastAsia" w:ascii="宋体" w:hAnsi="宋体"/>
                <w:sz w:val="24"/>
                <w:highlight w:val="none"/>
              </w:rPr>
            </w:pPr>
          </w:p>
          <w:p w14:paraId="247B85D6">
            <w:pPr>
              <w:rPr>
                <w:rFonts w:hint="eastAsia" w:ascii="宋体" w:hAnsi="宋体"/>
                <w:sz w:val="24"/>
                <w:highlight w:val="none"/>
              </w:rPr>
            </w:pPr>
          </w:p>
        </w:tc>
        <w:tc>
          <w:tcPr>
            <w:tcW w:w="1260" w:type="dxa"/>
          </w:tcPr>
          <w:p w14:paraId="73C89411">
            <w:pPr>
              <w:widowControl/>
              <w:jc w:val="left"/>
              <w:rPr>
                <w:rFonts w:hint="eastAsia" w:ascii="宋体" w:hAnsi="宋体"/>
                <w:sz w:val="24"/>
                <w:highlight w:val="none"/>
              </w:rPr>
            </w:pPr>
          </w:p>
          <w:p w14:paraId="122BECCB">
            <w:pPr>
              <w:rPr>
                <w:rFonts w:hint="eastAsia" w:ascii="宋体" w:hAnsi="宋体"/>
                <w:sz w:val="24"/>
                <w:highlight w:val="none"/>
              </w:rPr>
            </w:pPr>
          </w:p>
        </w:tc>
        <w:tc>
          <w:tcPr>
            <w:tcW w:w="2880" w:type="dxa"/>
          </w:tcPr>
          <w:p w14:paraId="126D008C">
            <w:pPr>
              <w:rPr>
                <w:rFonts w:hint="eastAsia" w:ascii="宋体" w:hAnsi="宋体"/>
                <w:sz w:val="24"/>
                <w:highlight w:val="none"/>
              </w:rPr>
            </w:pPr>
          </w:p>
        </w:tc>
        <w:tc>
          <w:tcPr>
            <w:tcW w:w="2520" w:type="dxa"/>
          </w:tcPr>
          <w:p w14:paraId="00C65CFE">
            <w:pPr>
              <w:rPr>
                <w:rFonts w:hint="eastAsia" w:ascii="宋体" w:hAnsi="宋体"/>
                <w:sz w:val="24"/>
                <w:highlight w:val="none"/>
              </w:rPr>
            </w:pPr>
          </w:p>
        </w:tc>
        <w:tc>
          <w:tcPr>
            <w:tcW w:w="2160" w:type="dxa"/>
          </w:tcPr>
          <w:p w14:paraId="698A143A">
            <w:pPr>
              <w:rPr>
                <w:rFonts w:hint="eastAsia" w:ascii="宋体" w:hAnsi="宋体"/>
                <w:sz w:val="24"/>
                <w:highlight w:val="none"/>
              </w:rPr>
            </w:pPr>
          </w:p>
        </w:tc>
      </w:tr>
      <w:tr w14:paraId="27F4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5F396A7A">
            <w:pPr>
              <w:rPr>
                <w:rFonts w:hint="eastAsia" w:ascii="宋体" w:hAnsi="宋体"/>
                <w:sz w:val="24"/>
                <w:highlight w:val="none"/>
              </w:rPr>
            </w:pPr>
          </w:p>
          <w:p w14:paraId="1E8C2FA0">
            <w:pPr>
              <w:rPr>
                <w:rFonts w:hint="eastAsia" w:ascii="宋体" w:hAnsi="宋体"/>
                <w:sz w:val="24"/>
                <w:highlight w:val="none"/>
              </w:rPr>
            </w:pPr>
          </w:p>
        </w:tc>
        <w:tc>
          <w:tcPr>
            <w:tcW w:w="1260" w:type="dxa"/>
          </w:tcPr>
          <w:p w14:paraId="781257BF">
            <w:pPr>
              <w:widowControl/>
              <w:jc w:val="left"/>
              <w:rPr>
                <w:rFonts w:hint="eastAsia" w:ascii="宋体" w:hAnsi="宋体"/>
                <w:sz w:val="24"/>
                <w:highlight w:val="none"/>
              </w:rPr>
            </w:pPr>
          </w:p>
          <w:p w14:paraId="2019F2D3">
            <w:pPr>
              <w:rPr>
                <w:rFonts w:hint="eastAsia" w:ascii="宋体" w:hAnsi="宋体"/>
                <w:sz w:val="24"/>
                <w:highlight w:val="none"/>
              </w:rPr>
            </w:pPr>
          </w:p>
        </w:tc>
        <w:tc>
          <w:tcPr>
            <w:tcW w:w="2880" w:type="dxa"/>
          </w:tcPr>
          <w:p w14:paraId="6815BB5B">
            <w:pPr>
              <w:rPr>
                <w:rFonts w:hint="eastAsia" w:ascii="宋体" w:hAnsi="宋体"/>
                <w:sz w:val="24"/>
                <w:highlight w:val="none"/>
              </w:rPr>
            </w:pPr>
          </w:p>
        </w:tc>
        <w:tc>
          <w:tcPr>
            <w:tcW w:w="2520" w:type="dxa"/>
          </w:tcPr>
          <w:p w14:paraId="67E836B1">
            <w:pPr>
              <w:rPr>
                <w:rFonts w:hint="eastAsia" w:ascii="宋体" w:hAnsi="宋体"/>
                <w:sz w:val="24"/>
                <w:highlight w:val="none"/>
              </w:rPr>
            </w:pPr>
          </w:p>
        </w:tc>
        <w:tc>
          <w:tcPr>
            <w:tcW w:w="2160" w:type="dxa"/>
          </w:tcPr>
          <w:p w14:paraId="215B8E05">
            <w:pPr>
              <w:rPr>
                <w:rFonts w:hint="eastAsia" w:ascii="宋体" w:hAnsi="宋体"/>
                <w:sz w:val="24"/>
                <w:highlight w:val="none"/>
              </w:rPr>
            </w:pPr>
          </w:p>
        </w:tc>
      </w:tr>
      <w:tr w14:paraId="63B2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035" w:type="dxa"/>
          </w:tcPr>
          <w:p w14:paraId="05B2602A">
            <w:pPr>
              <w:rPr>
                <w:rFonts w:hint="eastAsia" w:ascii="宋体" w:hAnsi="宋体"/>
                <w:sz w:val="24"/>
                <w:highlight w:val="none"/>
              </w:rPr>
            </w:pPr>
          </w:p>
          <w:p w14:paraId="78B73E30">
            <w:pPr>
              <w:rPr>
                <w:rFonts w:hint="eastAsia" w:ascii="宋体" w:hAnsi="宋体"/>
                <w:sz w:val="24"/>
                <w:highlight w:val="none"/>
              </w:rPr>
            </w:pPr>
          </w:p>
        </w:tc>
        <w:tc>
          <w:tcPr>
            <w:tcW w:w="1260" w:type="dxa"/>
          </w:tcPr>
          <w:p w14:paraId="7101D771">
            <w:pPr>
              <w:widowControl/>
              <w:jc w:val="left"/>
              <w:rPr>
                <w:rFonts w:hint="eastAsia" w:ascii="宋体" w:hAnsi="宋体"/>
                <w:sz w:val="24"/>
                <w:highlight w:val="none"/>
              </w:rPr>
            </w:pPr>
          </w:p>
          <w:p w14:paraId="0FA412DD">
            <w:pPr>
              <w:rPr>
                <w:rFonts w:hint="eastAsia" w:ascii="宋体" w:hAnsi="宋体"/>
                <w:sz w:val="24"/>
                <w:highlight w:val="none"/>
              </w:rPr>
            </w:pPr>
          </w:p>
        </w:tc>
        <w:tc>
          <w:tcPr>
            <w:tcW w:w="2880" w:type="dxa"/>
          </w:tcPr>
          <w:p w14:paraId="75D66FAB">
            <w:pPr>
              <w:rPr>
                <w:rFonts w:hint="eastAsia" w:ascii="宋体" w:hAnsi="宋体"/>
                <w:sz w:val="24"/>
                <w:highlight w:val="none"/>
              </w:rPr>
            </w:pPr>
          </w:p>
        </w:tc>
        <w:tc>
          <w:tcPr>
            <w:tcW w:w="2520" w:type="dxa"/>
          </w:tcPr>
          <w:p w14:paraId="6D1877E1">
            <w:pPr>
              <w:rPr>
                <w:rFonts w:hint="eastAsia" w:ascii="宋体" w:hAnsi="宋体"/>
                <w:sz w:val="24"/>
                <w:highlight w:val="none"/>
              </w:rPr>
            </w:pPr>
          </w:p>
        </w:tc>
        <w:tc>
          <w:tcPr>
            <w:tcW w:w="2160" w:type="dxa"/>
          </w:tcPr>
          <w:p w14:paraId="2F30628D">
            <w:pPr>
              <w:rPr>
                <w:rFonts w:hint="eastAsia" w:ascii="宋体" w:hAnsi="宋体"/>
                <w:sz w:val="24"/>
                <w:highlight w:val="none"/>
              </w:rPr>
            </w:pPr>
          </w:p>
        </w:tc>
      </w:tr>
      <w:tr w14:paraId="54CA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35" w:type="dxa"/>
          </w:tcPr>
          <w:p w14:paraId="5AD338F3">
            <w:pPr>
              <w:rPr>
                <w:rFonts w:hint="eastAsia" w:ascii="宋体" w:hAnsi="宋体"/>
                <w:sz w:val="24"/>
                <w:highlight w:val="none"/>
              </w:rPr>
            </w:pPr>
          </w:p>
          <w:p w14:paraId="7074369A">
            <w:pPr>
              <w:rPr>
                <w:rFonts w:hint="eastAsia" w:ascii="宋体" w:hAnsi="宋体"/>
                <w:sz w:val="24"/>
                <w:highlight w:val="none"/>
              </w:rPr>
            </w:pPr>
          </w:p>
        </w:tc>
        <w:tc>
          <w:tcPr>
            <w:tcW w:w="1260" w:type="dxa"/>
          </w:tcPr>
          <w:p w14:paraId="489A4C36">
            <w:pPr>
              <w:widowControl/>
              <w:jc w:val="left"/>
              <w:rPr>
                <w:rFonts w:hint="eastAsia" w:ascii="宋体" w:hAnsi="宋体"/>
                <w:sz w:val="24"/>
                <w:highlight w:val="none"/>
              </w:rPr>
            </w:pPr>
          </w:p>
          <w:p w14:paraId="1CE1211B">
            <w:pPr>
              <w:rPr>
                <w:rFonts w:hint="eastAsia" w:ascii="宋体" w:hAnsi="宋体"/>
                <w:sz w:val="24"/>
                <w:highlight w:val="none"/>
              </w:rPr>
            </w:pPr>
          </w:p>
        </w:tc>
        <w:tc>
          <w:tcPr>
            <w:tcW w:w="2880" w:type="dxa"/>
          </w:tcPr>
          <w:p w14:paraId="0C4E6259">
            <w:pPr>
              <w:rPr>
                <w:rFonts w:hint="eastAsia" w:ascii="宋体" w:hAnsi="宋体"/>
                <w:sz w:val="24"/>
                <w:highlight w:val="none"/>
              </w:rPr>
            </w:pPr>
          </w:p>
        </w:tc>
        <w:tc>
          <w:tcPr>
            <w:tcW w:w="2520" w:type="dxa"/>
          </w:tcPr>
          <w:p w14:paraId="0920EA6C">
            <w:pPr>
              <w:rPr>
                <w:rFonts w:hint="eastAsia" w:ascii="宋体" w:hAnsi="宋体"/>
                <w:sz w:val="24"/>
                <w:highlight w:val="none"/>
              </w:rPr>
            </w:pPr>
          </w:p>
        </w:tc>
        <w:tc>
          <w:tcPr>
            <w:tcW w:w="2160" w:type="dxa"/>
          </w:tcPr>
          <w:p w14:paraId="574BEB3A">
            <w:pPr>
              <w:rPr>
                <w:rFonts w:hint="eastAsia" w:ascii="宋体" w:hAnsi="宋体"/>
                <w:sz w:val="24"/>
                <w:highlight w:val="none"/>
              </w:rPr>
            </w:pPr>
          </w:p>
        </w:tc>
      </w:tr>
    </w:tbl>
    <w:p w14:paraId="7D75EB0A">
      <w:pPr>
        <w:rPr>
          <w:rFonts w:hint="eastAsia" w:ascii="仿宋" w:hAnsi="仿宋" w:eastAsia="仿宋" w:cs="仿宋"/>
          <w:sz w:val="28"/>
          <w:szCs w:val="28"/>
          <w:highlight w:val="none"/>
        </w:rPr>
      </w:pPr>
      <w:r>
        <w:rPr>
          <w:rFonts w:hint="eastAsia" w:ascii="仿宋" w:hAnsi="仿宋" w:eastAsia="仿宋" w:cs="仿宋"/>
          <w:sz w:val="28"/>
          <w:szCs w:val="28"/>
          <w:highlight w:val="none"/>
        </w:rPr>
        <w:t>　注：与招标文件要求逐条对应填写。</w:t>
      </w:r>
    </w:p>
    <w:p w14:paraId="6F321B27">
      <w:pPr>
        <w:rPr>
          <w:rFonts w:hint="eastAsia" w:ascii="仿宋" w:hAnsi="仿宋" w:eastAsia="仿宋" w:cs="仿宋"/>
          <w:sz w:val="28"/>
          <w:szCs w:val="28"/>
          <w:highlight w:val="none"/>
        </w:rPr>
      </w:pPr>
    </w:p>
    <w:p w14:paraId="6D0B493D">
      <w:pPr>
        <w:rPr>
          <w:rFonts w:hint="eastAsia" w:ascii="仿宋" w:hAnsi="仿宋" w:eastAsia="仿宋" w:cs="仿宋"/>
          <w:sz w:val="28"/>
          <w:szCs w:val="28"/>
          <w:highlight w:val="none"/>
        </w:rPr>
      </w:pPr>
      <w:r>
        <w:rPr>
          <w:rFonts w:hint="eastAsia" w:ascii="仿宋" w:hAnsi="仿宋" w:eastAsia="仿宋" w:cs="仿宋"/>
          <w:sz w:val="28"/>
          <w:szCs w:val="28"/>
          <w:highlight w:val="none"/>
        </w:rPr>
        <w:t>投标人代表签字：　　　　　　　　　　　　　　　</w:t>
      </w:r>
    </w:p>
    <w:p w14:paraId="3B385E4D">
      <w:pPr>
        <w:rPr>
          <w:rFonts w:hint="eastAsia" w:ascii="仿宋" w:hAnsi="仿宋" w:eastAsia="仿宋" w:cs="仿宋"/>
          <w:sz w:val="28"/>
          <w:szCs w:val="28"/>
          <w:highlight w:val="none"/>
        </w:rPr>
      </w:pPr>
    </w:p>
    <w:p w14:paraId="723E74FE">
      <w:pPr>
        <w:rPr>
          <w:rFonts w:hint="eastAsia" w:ascii="仿宋" w:hAnsi="仿宋" w:eastAsia="仿宋" w:cs="仿宋"/>
          <w:sz w:val="28"/>
          <w:szCs w:val="28"/>
          <w:highlight w:val="none"/>
        </w:rPr>
      </w:pPr>
    </w:p>
    <w:p w14:paraId="0782EC02">
      <w:pPr>
        <w:pStyle w:val="22"/>
        <w:ind w:firstLine="420"/>
        <w:rPr>
          <w:highlight w:val="none"/>
        </w:rPr>
      </w:pPr>
      <w:r>
        <w:rPr>
          <w:rFonts w:hint="eastAsia"/>
          <w:highlight w:val="none"/>
        </w:rPr>
        <w:t>、</w:t>
      </w:r>
    </w:p>
    <w:p w14:paraId="7BB35325">
      <w:pPr>
        <w:rPr>
          <w:highlight w:val="none"/>
        </w:rPr>
      </w:pPr>
    </w:p>
    <w:p w14:paraId="19FB08FC">
      <w:pPr>
        <w:rPr>
          <w:highlight w:val="none"/>
        </w:rPr>
      </w:pPr>
    </w:p>
    <w:p w14:paraId="7674CA23">
      <w:pPr>
        <w:pStyle w:val="22"/>
        <w:ind w:firstLine="420"/>
        <w:rPr>
          <w:highlight w:val="none"/>
        </w:rPr>
      </w:pPr>
    </w:p>
    <w:p w14:paraId="55E989FC">
      <w:pPr>
        <w:rPr>
          <w:highlight w:val="none"/>
        </w:rPr>
      </w:pPr>
    </w:p>
    <w:p w14:paraId="2D8CFBCF">
      <w:pPr>
        <w:rPr>
          <w:rFonts w:hint="eastAsia" w:ascii="宋体" w:hAnsi="宋体" w:cs="宋体"/>
          <w:b/>
          <w:sz w:val="30"/>
          <w:szCs w:val="30"/>
          <w:highlight w:val="none"/>
        </w:rPr>
      </w:pPr>
    </w:p>
    <w:p w14:paraId="6A3B3268">
      <w:pPr>
        <w:numPr>
          <w:ilvl w:val="0"/>
          <w:numId w:val="12"/>
        </w:num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技术参数、功能偏离表</w:t>
      </w:r>
    </w:p>
    <w:p w14:paraId="69F3123B">
      <w:pPr>
        <w:pStyle w:val="22"/>
        <w:ind w:firstLine="0" w:firstLineChars="0"/>
        <w:rPr>
          <w:highlight w:val="none"/>
        </w:rPr>
      </w:pPr>
    </w:p>
    <w:p w14:paraId="03E3F3B6">
      <w:pP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招标编号：</w:t>
      </w:r>
      <w:r>
        <w:rPr>
          <w:rFonts w:hint="eastAsia" w:ascii="仿宋" w:hAnsi="仿宋" w:eastAsia="仿宋" w:cs="仿宋"/>
          <w:sz w:val="28"/>
          <w:szCs w:val="28"/>
          <w:highlight w:val="none"/>
          <w:u w:val="single"/>
        </w:rPr>
        <w:t>　　　　　　　　　　　</w:t>
      </w:r>
    </w:p>
    <w:p w14:paraId="0B1D73E5">
      <w:pPr>
        <w:rPr>
          <w:rFonts w:hint="eastAsia" w:ascii="宋体" w:hAnsi="宋体"/>
          <w:sz w:val="24"/>
          <w:highlight w:val="none"/>
          <w:u w:val="single"/>
        </w:rPr>
      </w:pPr>
    </w:p>
    <w:tbl>
      <w:tblPr>
        <w:tblStyle w:val="17"/>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385"/>
        <w:gridCol w:w="1725"/>
        <w:gridCol w:w="1598"/>
        <w:gridCol w:w="1600"/>
        <w:gridCol w:w="1134"/>
      </w:tblGrid>
      <w:tr w14:paraId="16EF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7" w:type="dxa"/>
            <w:vAlign w:val="center"/>
          </w:tcPr>
          <w:p w14:paraId="5FF38DDC">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385" w:type="dxa"/>
            <w:vAlign w:val="center"/>
          </w:tcPr>
          <w:p w14:paraId="28AE0067">
            <w:pPr>
              <w:jc w:val="center"/>
              <w:rPr>
                <w:rFonts w:hint="eastAsia" w:ascii="仿宋" w:hAnsi="仿宋" w:eastAsia="仿宋" w:cs="仿宋"/>
                <w:sz w:val="24"/>
                <w:highlight w:val="none"/>
              </w:rPr>
            </w:pPr>
            <w:r>
              <w:rPr>
                <w:rFonts w:hint="eastAsia" w:ascii="仿宋" w:hAnsi="仿宋" w:eastAsia="仿宋" w:cs="仿宋"/>
                <w:sz w:val="24"/>
                <w:highlight w:val="none"/>
              </w:rPr>
              <w:t>招标文件规格条目号</w:t>
            </w:r>
          </w:p>
        </w:tc>
        <w:tc>
          <w:tcPr>
            <w:tcW w:w="1725" w:type="dxa"/>
            <w:vAlign w:val="center"/>
          </w:tcPr>
          <w:p w14:paraId="4607960A">
            <w:pPr>
              <w:jc w:val="center"/>
              <w:rPr>
                <w:rFonts w:hint="eastAsia" w:ascii="仿宋" w:hAnsi="仿宋" w:eastAsia="仿宋" w:cs="仿宋"/>
                <w:sz w:val="24"/>
                <w:highlight w:val="none"/>
              </w:rPr>
            </w:pPr>
            <w:r>
              <w:rPr>
                <w:rFonts w:hint="eastAsia" w:ascii="仿宋" w:hAnsi="仿宋" w:eastAsia="仿宋" w:cs="仿宋"/>
                <w:sz w:val="24"/>
                <w:highlight w:val="none"/>
              </w:rPr>
              <w:t>招标规格</w:t>
            </w:r>
          </w:p>
        </w:tc>
        <w:tc>
          <w:tcPr>
            <w:tcW w:w="1598" w:type="dxa"/>
            <w:vAlign w:val="center"/>
          </w:tcPr>
          <w:p w14:paraId="5DA8A600">
            <w:pPr>
              <w:jc w:val="center"/>
              <w:rPr>
                <w:rFonts w:hint="eastAsia" w:ascii="仿宋" w:hAnsi="仿宋" w:eastAsia="仿宋" w:cs="仿宋"/>
                <w:sz w:val="24"/>
                <w:highlight w:val="none"/>
              </w:rPr>
            </w:pPr>
            <w:r>
              <w:rPr>
                <w:rFonts w:hint="eastAsia" w:ascii="仿宋" w:hAnsi="仿宋" w:eastAsia="仿宋" w:cs="仿宋"/>
                <w:sz w:val="24"/>
                <w:highlight w:val="none"/>
              </w:rPr>
              <w:t>投标规格</w:t>
            </w:r>
          </w:p>
        </w:tc>
        <w:tc>
          <w:tcPr>
            <w:tcW w:w="1600" w:type="dxa"/>
            <w:vAlign w:val="center"/>
          </w:tcPr>
          <w:p w14:paraId="363E8DC8">
            <w:pPr>
              <w:jc w:val="center"/>
              <w:rPr>
                <w:rFonts w:hint="eastAsia" w:ascii="仿宋" w:hAnsi="仿宋" w:eastAsia="仿宋" w:cs="仿宋"/>
                <w:sz w:val="24"/>
                <w:highlight w:val="none"/>
              </w:rPr>
            </w:pPr>
            <w:r>
              <w:rPr>
                <w:rFonts w:hint="eastAsia" w:ascii="仿宋" w:hAnsi="仿宋" w:eastAsia="仿宋" w:cs="仿宋"/>
                <w:sz w:val="24"/>
                <w:highlight w:val="none"/>
              </w:rPr>
              <w:t>偏离</w:t>
            </w:r>
          </w:p>
        </w:tc>
        <w:tc>
          <w:tcPr>
            <w:tcW w:w="1134" w:type="dxa"/>
            <w:vAlign w:val="center"/>
          </w:tcPr>
          <w:p w14:paraId="17EB8C56">
            <w:pPr>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14:paraId="10FB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4EF8377E">
            <w:pPr>
              <w:rPr>
                <w:rFonts w:hint="eastAsia" w:ascii="仿宋" w:hAnsi="仿宋" w:eastAsia="仿宋" w:cs="仿宋"/>
                <w:sz w:val="24"/>
                <w:highlight w:val="none"/>
              </w:rPr>
            </w:pPr>
          </w:p>
          <w:p w14:paraId="340BA6D7">
            <w:pPr>
              <w:rPr>
                <w:rFonts w:hint="eastAsia" w:ascii="仿宋" w:hAnsi="仿宋" w:eastAsia="仿宋" w:cs="仿宋"/>
                <w:sz w:val="24"/>
                <w:highlight w:val="none"/>
              </w:rPr>
            </w:pPr>
          </w:p>
        </w:tc>
        <w:tc>
          <w:tcPr>
            <w:tcW w:w="2385" w:type="dxa"/>
          </w:tcPr>
          <w:p w14:paraId="213B5BD0">
            <w:pPr>
              <w:widowControl/>
              <w:jc w:val="left"/>
              <w:rPr>
                <w:rFonts w:hint="eastAsia" w:ascii="仿宋" w:hAnsi="仿宋" w:eastAsia="仿宋" w:cs="仿宋"/>
                <w:sz w:val="24"/>
                <w:highlight w:val="none"/>
              </w:rPr>
            </w:pPr>
          </w:p>
          <w:p w14:paraId="700B5E96">
            <w:pPr>
              <w:rPr>
                <w:rFonts w:hint="eastAsia" w:ascii="仿宋" w:hAnsi="仿宋" w:eastAsia="仿宋" w:cs="仿宋"/>
                <w:sz w:val="24"/>
                <w:highlight w:val="none"/>
              </w:rPr>
            </w:pPr>
          </w:p>
        </w:tc>
        <w:tc>
          <w:tcPr>
            <w:tcW w:w="1725" w:type="dxa"/>
          </w:tcPr>
          <w:p w14:paraId="5403D25F">
            <w:pPr>
              <w:rPr>
                <w:rFonts w:hint="eastAsia" w:ascii="仿宋" w:hAnsi="仿宋" w:eastAsia="仿宋" w:cs="仿宋"/>
                <w:sz w:val="24"/>
                <w:highlight w:val="none"/>
              </w:rPr>
            </w:pPr>
          </w:p>
        </w:tc>
        <w:tc>
          <w:tcPr>
            <w:tcW w:w="1598" w:type="dxa"/>
          </w:tcPr>
          <w:p w14:paraId="0C8E4BA0">
            <w:pPr>
              <w:rPr>
                <w:rFonts w:hint="eastAsia" w:ascii="仿宋" w:hAnsi="仿宋" w:eastAsia="仿宋" w:cs="仿宋"/>
                <w:sz w:val="24"/>
                <w:highlight w:val="none"/>
              </w:rPr>
            </w:pPr>
          </w:p>
        </w:tc>
        <w:tc>
          <w:tcPr>
            <w:tcW w:w="1600" w:type="dxa"/>
          </w:tcPr>
          <w:p w14:paraId="359CFEFC">
            <w:pPr>
              <w:rPr>
                <w:rFonts w:hint="eastAsia" w:ascii="仿宋" w:hAnsi="仿宋" w:eastAsia="仿宋" w:cs="仿宋"/>
                <w:sz w:val="24"/>
                <w:highlight w:val="none"/>
              </w:rPr>
            </w:pPr>
          </w:p>
        </w:tc>
        <w:tc>
          <w:tcPr>
            <w:tcW w:w="1134" w:type="dxa"/>
          </w:tcPr>
          <w:p w14:paraId="7B7C211D">
            <w:pPr>
              <w:rPr>
                <w:rFonts w:hint="eastAsia" w:ascii="仿宋" w:hAnsi="仿宋" w:eastAsia="仿宋" w:cs="仿宋"/>
                <w:sz w:val="24"/>
                <w:highlight w:val="none"/>
              </w:rPr>
            </w:pPr>
          </w:p>
        </w:tc>
      </w:tr>
      <w:tr w14:paraId="6806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7FABE40F">
            <w:pPr>
              <w:rPr>
                <w:rFonts w:hint="eastAsia" w:ascii="仿宋" w:hAnsi="仿宋" w:eastAsia="仿宋" w:cs="仿宋"/>
                <w:sz w:val="24"/>
                <w:highlight w:val="none"/>
              </w:rPr>
            </w:pPr>
          </w:p>
          <w:p w14:paraId="2813A6EE">
            <w:pPr>
              <w:rPr>
                <w:rFonts w:hint="eastAsia" w:ascii="仿宋" w:hAnsi="仿宋" w:eastAsia="仿宋" w:cs="仿宋"/>
                <w:sz w:val="24"/>
                <w:highlight w:val="none"/>
              </w:rPr>
            </w:pPr>
          </w:p>
        </w:tc>
        <w:tc>
          <w:tcPr>
            <w:tcW w:w="2385" w:type="dxa"/>
          </w:tcPr>
          <w:p w14:paraId="2B7641EE">
            <w:pPr>
              <w:widowControl/>
              <w:jc w:val="left"/>
              <w:rPr>
                <w:rFonts w:hint="eastAsia" w:ascii="仿宋" w:hAnsi="仿宋" w:eastAsia="仿宋" w:cs="仿宋"/>
                <w:sz w:val="24"/>
                <w:highlight w:val="none"/>
              </w:rPr>
            </w:pPr>
          </w:p>
          <w:p w14:paraId="61D839F1">
            <w:pPr>
              <w:rPr>
                <w:rFonts w:hint="eastAsia" w:ascii="仿宋" w:hAnsi="仿宋" w:eastAsia="仿宋" w:cs="仿宋"/>
                <w:sz w:val="24"/>
                <w:highlight w:val="none"/>
              </w:rPr>
            </w:pPr>
          </w:p>
        </w:tc>
        <w:tc>
          <w:tcPr>
            <w:tcW w:w="1725" w:type="dxa"/>
          </w:tcPr>
          <w:p w14:paraId="5921A148">
            <w:pPr>
              <w:rPr>
                <w:rFonts w:hint="eastAsia" w:ascii="仿宋" w:hAnsi="仿宋" w:eastAsia="仿宋" w:cs="仿宋"/>
                <w:sz w:val="24"/>
                <w:highlight w:val="none"/>
              </w:rPr>
            </w:pPr>
          </w:p>
        </w:tc>
        <w:tc>
          <w:tcPr>
            <w:tcW w:w="1598" w:type="dxa"/>
          </w:tcPr>
          <w:p w14:paraId="17380232">
            <w:pPr>
              <w:rPr>
                <w:rFonts w:hint="eastAsia" w:ascii="仿宋" w:hAnsi="仿宋" w:eastAsia="仿宋" w:cs="仿宋"/>
                <w:sz w:val="24"/>
                <w:highlight w:val="none"/>
              </w:rPr>
            </w:pPr>
          </w:p>
        </w:tc>
        <w:tc>
          <w:tcPr>
            <w:tcW w:w="1600" w:type="dxa"/>
          </w:tcPr>
          <w:p w14:paraId="310E0A8B">
            <w:pPr>
              <w:rPr>
                <w:rFonts w:hint="eastAsia" w:ascii="仿宋" w:hAnsi="仿宋" w:eastAsia="仿宋" w:cs="仿宋"/>
                <w:sz w:val="24"/>
                <w:highlight w:val="none"/>
              </w:rPr>
            </w:pPr>
          </w:p>
        </w:tc>
        <w:tc>
          <w:tcPr>
            <w:tcW w:w="1134" w:type="dxa"/>
          </w:tcPr>
          <w:p w14:paraId="6B333EA4">
            <w:pPr>
              <w:rPr>
                <w:rFonts w:hint="eastAsia" w:ascii="仿宋" w:hAnsi="仿宋" w:eastAsia="仿宋" w:cs="仿宋"/>
                <w:sz w:val="24"/>
                <w:highlight w:val="none"/>
              </w:rPr>
            </w:pPr>
          </w:p>
        </w:tc>
      </w:tr>
      <w:tr w14:paraId="1031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64FB936F">
            <w:pPr>
              <w:rPr>
                <w:rFonts w:hint="eastAsia" w:ascii="仿宋" w:hAnsi="仿宋" w:eastAsia="仿宋" w:cs="仿宋"/>
                <w:sz w:val="24"/>
                <w:highlight w:val="none"/>
              </w:rPr>
            </w:pPr>
          </w:p>
          <w:p w14:paraId="4AF38DF3">
            <w:pPr>
              <w:rPr>
                <w:rFonts w:hint="eastAsia" w:ascii="仿宋" w:hAnsi="仿宋" w:eastAsia="仿宋" w:cs="仿宋"/>
                <w:sz w:val="24"/>
                <w:highlight w:val="none"/>
              </w:rPr>
            </w:pPr>
          </w:p>
        </w:tc>
        <w:tc>
          <w:tcPr>
            <w:tcW w:w="2385" w:type="dxa"/>
          </w:tcPr>
          <w:p w14:paraId="630980D7">
            <w:pPr>
              <w:widowControl/>
              <w:jc w:val="left"/>
              <w:rPr>
                <w:rFonts w:hint="eastAsia" w:ascii="仿宋" w:hAnsi="仿宋" w:eastAsia="仿宋" w:cs="仿宋"/>
                <w:sz w:val="24"/>
                <w:highlight w:val="none"/>
              </w:rPr>
            </w:pPr>
          </w:p>
          <w:p w14:paraId="632F3590">
            <w:pPr>
              <w:rPr>
                <w:rFonts w:hint="eastAsia" w:ascii="仿宋" w:hAnsi="仿宋" w:eastAsia="仿宋" w:cs="仿宋"/>
                <w:sz w:val="24"/>
                <w:highlight w:val="none"/>
              </w:rPr>
            </w:pPr>
          </w:p>
        </w:tc>
        <w:tc>
          <w:tcPr>
            <w:tcW w:w="1725" w:type="dxa"/>
          </w:tcPr>
          <w:p w14:paraId="46991149">
            <w:pPr>
              <w:rPr>
                <w:rFonts w:hint="eastAsia" w:ascii="仿宋" w:hAnsi="仿宋" w:eastAsia="仿宋" w:cs="仿宋"/>
                <w:sz w:val="24"/>
                <w:highlight w:val="none"/>
              </w:rPr>
            </w:pPr>
          </w:p>
        </w:tc>
        <w:tc>
          <w:tcPr>
            <w:tcW w:w="1598" w:type="dxa"/>
          </w:tcPr>
          <w:p w14:paraId="22D2C55E">
            <w:pPr>
              <w:rPr>
                <w:rFonts w:hint="eastAsia" w:ascii="仿宋" w:hAnsi="仿宋" w:eastAsia="仿宋" w:cs="仿宋"/>
                <w:sz w:val="24"/>
                <w:highlight w:val="none"/>
              </w:rPr>
            </w:pPr>
          </w:p>
        </w:tc>
        <w:tc>
          <w:tcPr>
            <w:tcW w:w="1600" w:type="dxa"/>
          </w:tcPr>
          <w:p w14:paraId="6B854628">
            <w:pPr>
              <w:rPr>
                <w:rFonts w:hint="eastAsia" w:ascii="仿宋" w:hAnsi="仿宋" w:eastAsia="仿宋" w:cs="仿宋"/>
                <w:sz w:val="24"/>
                <w:highlight w:val="none"/>
              </w:rPr>
            </w:pPr>
          </w:p>
        </w:tc>
        <w:tc>
          <w:tcPr>
            <w:tcW w:w="1134" w:type="dxa"/>
          </w:tcPr>
          <w:p w14:paraId="7C701535">
            <w:pPr>
              <w:rPr>
                <w:rFonts w:hint="eastAsia" w:ascii="仿宋" w:hAnsi="仿宋" w:eastAsia="仿宋" w:cs="仿宋"/>
                <w:sz w:val="24"/>
                <w:highlight w:val="none"/>
              </w:rPr>
            </w:pPr>
          </w:p>
        </w:tc>
      </w:tr>
      <w:tr w14:paraId="3532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6DE07815">
            <w:pPr>
              <w:rPr>
                <w:rFonts w:hint="eastAsia" w:ascii="仿宋" w:hAnsi="仿宋" w:eastAsia="仿宋" w:cs="仿宋"/>
                <w:sz w:val="24"/>
                <w:highlight w:val="none"/>
              </w:rPr>
            </w:pPr>
          </w:p>
          <w:p w14:paraId="1705838B">
            <w:pPr>
              <w:rPr>
                <w:rFonts w:hint="eastAsia" w:ascii="仿宋" w:hAnsi="仿宋" w:eastAsia="仿宋" w:cs="仿宋"/>
                <w:sz w:val="24"/>
                <w:highlight w:val="none"/>
              </w:rPr>
            </w:pPr>
          </w:p>
        </w:tc>
        <w:tc>
          <w:tcPr>
            <w:tcW w:w="2385" w:type="dxa"/>
          </w:tcPr>
          <w:p w14:paraId="389DBECF">
            <w:pPr>
              <w:widowControl/>
              <w:jc w:val="left"/>
              <w:rPr>
                <w:rFonts w:hint="eastAsia" w:ascii="仿宋" w:hAnsi="仿宋" w:eastAsia="仿宋" w:cs="仿宋"/>
                <w:sz w:val="24"/>
                <w:highlight w:val="none"/>
              </w:rPr>
            </w:pPr>
          </w:p>
          <w:p w14:paraId="772107D0">
            <w:pPr>
              <w:rPr>
                <w:rFonts w:hint="eastAsia" w:ascii="仿宋" w:hAnsi="仿宋" w:eastAsia="仿宋" w:cs="仿宋"/>
                <w:sz w:val="24"/>
                <w:highlight w:val="none"/>
              </w:rPr>
            </w:pPr>
          </w:p>
        </w:tc>
        <w:tc>
          <w:tcPr>
            <w:tcW w:w="1725" w:type="dxa"/>
          </w:tcPr>
          <w:p w14:paraId="4816A4A3">
            <w:pPr>
              <w:rPr>
                <w:rFonts w:hint="eastAsia" w:ascii="仿宋" w:hAnsi="仿宋" w:eastAsia="仿宋" w:cs="仿宋"/>
                <w:sz w:val="24"/>
                <w:highlight w:val="none"/>
              </w:rPr>
            </w:pPr>
          </w:p>
        </w:tc>
        <w:tc>
          <w:tcPr>
            <w:tcW w:w="1598" w:type="dxa"/>
          </w:tcPr>
          <w:p w14:paraId="6F8C36F3">
            <w:pPr>
              <w:rPr>
                <w:rFonts w:hint="eastAsia" w:ascii="仿宋" w:hAnsi="仿宋" w:eastAsia="仿宋" w:cs="仿宋"/>
                <w:sz w:val="24"/>
                <w:highlight w:val="none"/>
              </w:rPr>
            </w:pPr>
          </w:p>
        </w:tc>
        <w:tc>
          <w:tcPr>
            <w:tcW w:w="1600" w:type="dxa"/>
          </w:tcPr>
          <w:p w14:paraId="2EA04CE5">
            <w:pPr>
              <w:rPr>
                <w:rFonts w:hint="eastAsia" w:ascii="仿宋" w:hAnsi="仿宋" w:eastAsia="仿宋" w:cs="仿宋"/>
                <w:sz w:val="24"/>
                <w:highlight w:val="none"/>
              </w:rPr>
            </w:pPr>
          </w:p>
        </w:tc>
        <w:tc>
          <w:tcPr>
            <w:tcW w:w="1134" w:type="dxa"/>
          </w:tcPr>
          <w:p w14:paraId="6A5356D3">
            <w:pPr>
              <w:rPr>
                <w:rFonts w:hint="eastAsia" w:ascii="仿宋" w:hAnsi="仿宋" w:eastAsia="仿宋" w:cs="仿宋"/>
                <w:sz w:val="24"/>
                <w:highlight w:val="none"/>
              </w:rPr>
            </w:pPr>
          </w:p>
        </w:tc>
      </w:tr>
    </w:tbl>
    <w:p w14:paraId="4FB44EE1">
      <w:pPr>
        <w:rPr>
          <w:rFonts w:hint="eastAsia" w:ascii="仿宋" w:hAnsi="仿宋" w:eastAsia="仿宋" w:cs="仿宋"/>
          <w:sz w:val="28"/>
          <w:szCs w:val="28"/>
          <w:highlight w:val="none"/>
        </w:rPr>
      </w:pPr>
      <w:r>
        <w:rPr>
          <w:rFonts w:hint="eastAsia" w:ascii="仿宋" w:hAnsi="仿宋" w:eastAsia="仿宋" w:cs="仿宋"/>
          <w:sz w:val="28"/>
          <w:szCs w:val="28"/>
          <w:highlight w:val="none"/>
        </w:rPr>
        <w:t>注：与招标文件要求逐条对应填写。</w:t>
      </w:r>
    </w:p>
    <w:p w14:paraId="06C189AA">
      <w:pPr>
        <w:rPr>
          <w:rFonts w:hint="eastAsia" w:ascii="仿宋" w:hAnsi="仿宋" w:eastAsia="仿宋" w:cs="仿宋"/>
          <w:sz w:val="28"/>
          <w:szCs w:val="28"/>
          <w:highlight w:val="none"/>
        </w:rPr>
      </w:pPr>
    </w:p>
    <w:p w14:paraId="5889B880">
      <w:pP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投标人代表签字：</w:t>
      </w:r>
      <w:r>
        <w:rPr>
          <w:rFonts w:hint="eastAsia" w:ascii="仿宋" w:hAnsi="仿宋" w:eastAsia="仿宋" w:cs="仿宋"/>
          <w:sz w:val="28"/>
          <w:szCs w:val="28"/>
          <w:highlight w:val="none"/>
          <w:u w:val="single"/>
        </w:rPr>
        <w:t>　　　　　　　　　　　　　　　</w:t>
      </w:r>
    </w:p>
    <w:p w14:paraId="698F0A4B">
      <w:pPr>
        <w:rPr>
          <w:rFonts w:hint="eastAsia" w:ascii="仿宋" w:hAnsi="仿宋" w:eastAsia="仿宋" w:cs="仿宋"/>
          <w:b/>
          <w:sz w:val="28"/>
          <w:szCs w:val="28"/>
          <w:highlight w:val="none"/>
        </w:rPr>
      </w:pPr>
    </w:p>
    <w:p w14:paraId="6BD7E0DC">
      <w:pPr>
        <w:rPr>
          <w:highlight w:val="none"/>
        </w:rPr>
      </w:pPr>
    </w:p>
    <w:p w14:paraId="7F667B3F">
      <w:pPr>
        <w:pStyle w:val="22"/>
        <w:ind w:firstLine="602"/>
        <w:rPr>
          <w:rFonts w:hint="eastAsia" w:hAnsi="宋体"/>
          <w:b/>
          <w:sz w:val="30"/>
          <w:highlight w:val="none"/>
        </w:rPr>
      </w:pPr>
    </w:p>
    <w:p w14:paraId="5E501305">
      <w:pPr>
        <w:rPr>
          <w:rFonts w:hint="eastAsia" w:ascii="宋体" w:hAnsi="宋体"/>
          <w:b/>
          <w:sz w:val="30"/>
          <w:highlight w:val="none"/>
        </w:rPr>
      </w:pPr>
    </w:p>
    <w:p w14:paraId="4970DFDA">
      <w:pPr>
        <w:pStyle w:val="22"/>
        <w:ind w:firstLine="602"/>
        <w:rPr>
          <w:rFonts w:hint="eastAsia" w:hAnsi="宋体"/>
          <w:b/>
          <w:sz w:val="30"/>
          <w:highlight w:val="none"/>
        </w:rPr>
      </w:pPr>
    </w:p>
    <w:p w14:paraId="2042AAD1">
      <w:pPr>
        <w:rPr>
          <w:rFonts w:hint="eastAsia" w:ascii="宋体" w:hAnsi="宋体"/>
          <w:b/>
          <w:sz w:val="30"/>
          <w:highlight w:val="none"/>
        </w:rPr>
      </w:pPr>
    </w:p>
    <w:p w14:paraId="7A96C65C">
      <w:pPr>
        <w:pStyle w:val="22"/>
        <w:ind w:firstLine="602"/>
        <w:rPr>
          <w:rFonts w:hint="eastAsia" w:hAnsi="宋体"/>
          <w:b/>
          <w:sz w:val="30"/>
          <w:highlight w:val="none"/>
        </w:rPr>
      </w:pPr>
    </w:p>
    <w:p w14:paraId="444ED95D">
      <w:pPr>
        <w:rPr>
          <w:rFonts w:hint="eastAsia" w:ascii="宋体" w:hAnsi="宋体"/>
          <w:b/>
          <w:sz w:val="30"/>
          <w:highlight w:val="none"/>
        </w:rPr>
      </w:pPr>
    </w:p>
    <w:p w14:paraId="4A4307B5">
      <w:pPr>
        <w:pStyle w:val="22"/>
        <w:ind w:firstLine="602"/>
        <w:rPr>
          <w:rFonts w:hint="eastAsia" w:hAnsi="宋体"/>
          <w:b/>
          <w:sz w:val="30"/>
          <w:highlight w:val="none"/>
        </w:rPr>
      </w:pPr>
    </w:p>
    <w:p w14:paraId="0801F26A">
      <w:pPr>
        <w:ind w:firstLine="3200" w:firstLineChars="1000"/>
        <w:rPr>
          <w:rFonts w:hint="eastAsia" w:ascii="仿宋" w:hAnsi="仿宋" w:eastAsia="仿宋" w:cs="仿宋"/>
          <w:b/>
          <w:sz w:val="32"/>
          <w:szCs w:val="32"/>
          <w:highlight w:val="none"/>
        </w:rPr>
      </w:pPr>
    </w:p>
    <w:p w14:paraId="73D7A98A">
      <w:pPr>
        <w:pStyle w:val="16"/>
        <w:rPr>
          <w:highlight w:val="none"/>
        </w:rPr>
      </w:pPr>
    </w:p>
    <w:p w14:paraId="54617F07">
      <w:pPr>
        <w:ind w:firstLine="3200" w:firstLineChars="1000"/>
        <w:rPr>
          <w:rFonts w:hint="eastAsia" w:ascii="仿宋" w:hAnsi="仿宋" w:eastAsia="仿宋" w:cs="仿宋"/>
          <w:b/>
          <w:sz w:val="32"/>
          <w:szCs w:val="32"/>
          <w:highlight w:val="none"/>
        </w:rPr>
      </w:pPr>
    </w:p>
    <w:p w14:paraId="4AA0E7D3">
      <w:pPr>
        <w:ind w:firstLine="3200" w:firstLineChars="1000"/>
        <w:rPr>
          <w:rFonts w:hint="eastAsia" w:ascii="仿宋" w:hAnsi="仿宋" w:eastAsia="仿宋" w:cs="仿宋"/>
          <w:b/>
          <w:sz w:val="32"/>
          <w:szCs w:val="32"/>
          <w:highlight w:val="none"/>
        </w:rPr>
      </w:pPr>
      <w:r>
        <w:rPr>
          <w:rFonts w:hint="eastAsia" w:ascii="仿宋" w:hAnsi="仿宋" w:eastAsia="仿宋" w:cs="仿宋"/>
          <w:b/>
          <w:sz w:val="32"/>
          <w:szCs w:val="32"/>
          <w:highlight w:val="none"/>
        </w:rPr>
        <w:t>（十七）开标一览表</w:t>
      </w:r>
    </w:p>
    <w:p w14:paraId="31316401">
      <w:pPr>
        <w:pStyle w:val="21"/>
        <w:spacing w:line="360" w:lineRule="auto"/>
        <w:jc w:val="both"/>
        <w:rPr>
          <w:rFonts w:hint="eastAsia" w:ascii="仿宋" w:hAnsi="仿宋" w:eastAsia="仿宋" w:cs="仿宋"/>
          <w:b/>
          <w:color w:val="auto"/>
          <w:kern w:val="2"/>
          <w:sz w:val="30"/>
          <w:szCs w:val="20"/>
          <w:highlight w:val="none"/>
        </w:rPr>
      </w:pPr>
    </w:p>
    <w:p w14:paraId="202E0D4A">
      <w:pPr>
        <w:pStyle w:val="21"/>
        <w:spacing w:line="360" w:lineRule="auto"/>
        <w:ind w:left="276" w:leftChars="-86" w:hanging="456" w:hangingChars="163"/>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投标人名称：                      招标项目名称：</w:t>
      </w:r>
    </w:p>
    <w:p w14:paraId="1148C61B">
      <w:pPr>
        <w:pStyle w:val="21"/>
        <w:spacing w:line="360" w:lineRule="auto"/>
        <w:ind w:left="276" w:leftChars="-86" w:hanging="456" w:hangingChars="163"/>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招标文件编号：</w:t>
      </w:r>
    </w:p>
    <w:tbl>
      <w:tblPr>
        <w:tblStyle w:val="17"/>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856"/>
        <w:gridCol w:w="1957"/>
        <w:gridCol w:w="1369"/>
        <w:gridCol w:w="1761"/>
      </w:tblGrid>
      <w:tr w14:paraId="64C7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48524840">
            <w:pPr>
              <w:pStyle w:val="21"/>
              <w:ind w:left="-104" w:leftChars="-342" w:right="-743" w:rightChars="-354" w:hanging="614" w:hangingChars="25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标段</w:t>
            </w:r>
          </w:p>
        </w:tc>
        <w:tc>
          <w:tcPr>
            <w:tcW w:w="2856" w:type="dxa"/>
            <w:vAlign w:val="center"/>
          </w:tcPr>
          <w:p w14:paraId="765497FA">
            <w:pPr>
              <w:pStyle w:val="21"/>
              <w:ind w:left="-128" w:leftChars="-422" w:right="-743" w:rightChars="-354" w:hanging="758" w:hangingChars="31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957" w:type="dxa"/>
            <w:vAlign w:val="center"/>
          </w:tcPr>
          <w:p w14:paraId="511CB4F1">
            <w:pPr>
              <w:pStyle w:val="21"/>
              <w:ind w:left="-342" w:right="-35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投标报价（万元）</w:t>
            </w:r>
          </w:p>
        </w:tc>
        <w:tc>
          <w:tcPr>
            <w:tcW w:w="1369" w:type="dxa"/>
            <w:vAlign w:val="center"/>
          </w:tcPr>
          <w:p w14:paraId="22752365">
            <w:pPr>
              <w:pStyle w:val="21"/>
              <w:ind w:left="-342" w:right="-35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交货日期</w:t>
            </w:r>
          </w:p>
        </w:tc>
        <w:tc>
          <w:tcPr>
            <w:tcW w:w="1761" w:type="dxa"/>
            <w:vAlign w:val="center"/>
          </w:tcPr>
          <w:p w14:paraId="2C082B48">
            <w:pPr>
              <w:pStyle w:val="21"/>
              <w:ind w:left="-342" w:right="-35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 注</w:t>
            </w:r>
          </w:p>
        </w:tc>
      </w:tr>
      <w:tr w14:paraId="7CDB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1C563219">
            <w:pPr>
              <w:pStyle w:val="21"/>
              <w:ind w:left="-342" w:right="-354"/>
              <w:jc w:val="center"/>
              <w:rPr>
                <w:rFonts w:hint="eastAsia" w:ascii="仿宋" w:hAnsi="仿宋" w:eastAsia="仿宋" w:cs="仿宋"/>
                <w:color w:val="auto"/>
                <w:sz w:val="24"/>
                <w:highlight w:val="none"/>
              </w:rPr>
            </w:pPr>
          </w:p>
        </w:tc>
        <w:tc>
          <w:tcPr>
            <w:tcW w:w="2856" w:type="dxa"/>
            <w:vAlign w:val="center"/>
          </w:tcPr>
          <w:p w14:paraId="6092260E">
            <w:pPr>
              <w:pStyle w:val="21"/>
              <w:ind w:left="-342" w:right="-354"/>
              <w:jc w:val="center"/>
              <w:rPr>
                <w:rFonts w:hint="eastAsia" w:ascii="仿宋" w:hAnsi="仿宋" w:eastAsia="仿宋" w:cs="仿宋"/>
                <w:color w:val="auto"/>
                <w:sz w:val="24"/>
                <w:highlight w:val="none"/>
              </w:rPr>
            </w:pPr>
          </w:p>
        </w:tc>
        <w:tc>
          <w:tcPr>
            <w:tcW w:w="1957" w:type="dxa"/>
            <w:vAlign w:val="center"/>
          </w:tcPr>
          <w:p w14:paraId="269A5F9E">
            <w:pPr>
              <w:pStyle w:val="21"/>
              <w:ind w:left="-342" w:right="-354"/>
              <w:jc w:val="center"/>
              <w:rPr>
                <w:rFonts w:hint="eastAsia" w:ascii="仿宋" w:hAnsi="仿宋" w:eastAsia="仿宋" w:cs="仿宋"/>
                <w:color w:val="auto"/>
                <w:sz w:val="24"/>
                <w:highlight w:val="none"/>
              </w:rPr>
            </w:pPr>
          </w:p>
        </w:tc>
        <w:tc>
          <w:tcPr>
            <w:tcW w:w="1369" w:type="dxa"/>
            <w:vAlign w:val="center"/>
          </w:tcPr>
          <w:p w14:paraId="4555C668">
            <w:pPr>
              <w:pStyle w:val="21"/>
              <w:ind w:left="-342" w:right="-354"/>
              <w:jc w:val="center"/>
              <w:rPr>
                <w:rFonts w:hint="eastAsia" w:ascii="仿宋" w:hAnsi="仿宋" w:eastAsia="仿宋" w:cs="仿宋"/>
                <w:color w:val="auto"/>
                <w:sz w:val="24"/>
                <w:highlight w:val="none"/>
              </w:rPr>
            </w:pPr>
          </w:p>
        </w:tc>
        <w:tc>
          <w:tcPr>
            <w:tcW w:w="1761" w:type="dxa"/>
            <w:vAlign w:val="center"/>
          </w:tcPr>
          <w:p w14:paraId="2D299B0C">
            <w:pPr>
              <w:pStyle w:val="21"/>
              <w:ind w:left="-342" w:right="-354"/>
              <w:jc w:val="center"/>
              <w:rPr>
                <w:rFonts w:hint="eastAsia" w:ascii="仿宋" w:hAnsi="仿宋" w:eastAsia="仿宋" w:cs="仿宋"/>
                <w:color w:val="auto"/>
                <w:sz w:val="24"/>
                <w:highlight w:val="none"/>
              </w:rPr>
            </w:pPr>
          </w:p>
        </w:tc>
      </w:tr>
      <w:tr w14:paraId="2523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2A519891">
            <w:pPr>
              <w:pStyle w:val="21"/>
              <w:ind w:left="-342" w:right="-354" w:firstLine="472" w:firstLineChars="197"/>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人民币大写：</w:t>
            </w:r>
          </w:p>
        </w:tc>
      </w:tr>
      <w:tr w14:paraId="7EDC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64CC8C59">
            <w:pPr>
              <w:pStyle w:val="21"/>
              <w:ind w:left="-342" w:right="-354"/>
              <w:jc w:val="center"/>
              <w:rPr>
                <w:rFonts w:hint="eastAsia" w:ascii="仿宋" w:hAnsi="仿宋" w:eastAsia="仿宋" w:cs="仿宋"/>
                <w:color w:val="auto"/>
                <w:sz w:val="24"/>
                <w:highlight w:val="none"/>
              </w:rPr>
            </w:pPr>
          </w:p>
        </w:tc>
        <w:tc>
          <w:tcPr>
            <w:tcW w:w="2856" w:type="dxa"/>
            <w:vAlign w:val="center"/>
          </w:tcPr>
          <w:p w14:paraId="1F1EAFFE">
            <w:pPr>
              <w:pStyle w:val="21"/>
              <w:ind w:left="-342" w:right="69" w:firstLine="266" w:firstLineChars="111"/>
              <w:jc w:val="center"/>
              <w:rPr>
                <w:rFonts w:hint="eastAsia" w:ascii="仿宋" w:hAnsi="仿宋" w:eastAsia="仿宋" w:cs="仿宋"/>
                <w:color w:val="auto"/>
                <w:sz w:val="24"/>
                <w:highlight w:val="none"/>
              </w:rPr>
            </w:pPr>
          </w:p>
        </w:tc>
        <w:tc>
          <w:tcPr>
            <w:tcW w:w="1957" w:type="dxa"/>
            <w:vAlign w:val="center"/>
          </w:tcPr>
          <w:p w14:paraId="60D12BB7">
            <w:pPr>
              <w:pStyle w:val="21"/>
              <w:ind w:left="-342" w:right="-354"/>
              <w:jc w:val="center"/>
              <w:rPr>
                <w:rFonts w:hint="eastAsia" w:ascii="仿宋" w:hAnsi="仿宋" w:eastAsia="仿宋" w:cs="仿宋"/>
                <w:color w:val="auto"/>
                <w:sz w:val="24"/>
                <w:highlight w:val="none"/>
              </w:rPr>
            </w:pPr>
          </w:p>
        </w:tc>
        <w:tc>
          <w:tcPr>
            <w:tcW w:w="1369" w:type="dxa"/>
            <w:vAlign w:val="center"/>
          </w:tcPr>
          <w:p w14:paraId="7D01D5CE">
            <w:pPr>
              <w:pStyle w:val="21"/>
              <w:ind w:left="-342" w:right="-354"/>
              <w:jc w:val="center"/>
              <w:rPr>
                <w:rFonts w:hint="eastAsia" w:ascii="仿宋" w:hAnsi="仿宋" w:eastAsia="仿宋" w:cs="仿宋"/>
                <w:color w:val="auto"/>
                <w:sz w:val="24"/>
                <w:highlight w:val="none"/>
              </w:rPr>
            </w:pPr>
          </w:p>
        </w:tc>
        <w:tc>
          <w:tcPr>
            <w:tcW w:w="1761" w:type="dxa"/>
            <w:vAlign w:val="center"/>
          </w:tcPr>
          <w:p w14:paraId="303B00C2">
            <w:pPr>
              <w:pStyle w:val="21"/>
              <w:ind w:left="-342" w:right="-354"/>
              <w:jc w:val="center"/>
              <w:rPr>
                <w:rFonts w:hint="eastAsia" w:ascii="仿宋" w:hAnsi="仿宋" w:eastAsia="仿宋" w:cs="仿宋"/>
                <w:color w:val="auto"/>
                <w:sz w:val="24"/>
                <w:highlight w:val="none"/>
              </w:rPr>
            </w:pPr>
          </w:p>
        </w:tc>
      </w:tr>
      <w:tr w14:paraId="7939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5C4269B3">
            <w:pPr>
              <w:pStyle w:val="21"/>
              <w:ind w:left="-342" w:right="-354" w:firstLine="388" w:firstLineChars="16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人民币大写：</w:t>
            </w:r>
          </w:p>
        </w:tc>
      </w:tr>
      <w:tr w14:paraId="4D9A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4A89739A">
            <w:pPr>
              <w:pStyle w:val="21"/>
              <w:ind w:left="-342" w:right="-354"/>
              <w:jc w:val="center"/>
              <w:rPr>
                <w:rFonts w:hint="eastAsia" w:ascii="仿宋" w:hAnsi="仿宋" w:eastAsia="仿宋" w:cs="仿宋"/>
                <w:color w:val="auto"/>
                <w:sz w:val="24"/>
                <w:highlight w:val="none"/>
              </w:rPr>
            </w:pPr>
          </w:p>
        </w:tc>
        <w:tc>
          <w:tcPr>
            <w:tcW w:w="2856" w:type="dxa"/>
            <w:vAlign w:val="center"/>
          </w:tcPr>
          <w:p w14:paraId="04580777">
            <w:pPr>
              <w:pStyle w:val="21"/>
              <w:ind w:left="-342" w:right="-354"/>
              <w:jc w:val="center"/>
              <w:rPr>
                <w:rFonts w:hint="eastAsia" w:ascii="仿宋" w:hAnsi="仿宋" w:eastAsia="仿宋" w:cs="仿宋"/>
                <w:color w:val="auto"/>
                <w:sz w:val="24"/>
                <w:highlight w:val="none"/>
              </w:rPr>
            </w:pPr>
          </w:p>
        </w:tc>
        <w:tc>
          <w:tcPr>
            <w:tcW w:w="1957" w:type="dxa"/>
            <w:vAlign w:val="center"/>
          </w:tcPr>
          <w:p w14:paraId="07FAC8C3">
            <w:pPr>
              <w:pStyle w:val="21"/>
              <w:ind w:left="-342" w:right="-354"/>
              <w:jc w:val="center"/>
              <w:rPr>
                <w:rFonts w:hint="eastAsia" w:ascii="仿宋" w:hAnsi="仿宋" w:eastAsia="仿宋" w:cs="仿宋"/>
                <w:color w:val="auto"/>
                <w:sz w:val="24"/>
                <w:highlight w:val="none"/>
              </w:rPr>
            </w:pPr>
          </w:p>
        </w:tc>
        <w:tc>
          <w:tcPr>
            <w:tcW w:w="1369" w:type="dxa"/>
            <w:vAlign w:val="center"/>
          </w:tcPr>
          <w:p w14:paraId="347718CC">
            <w:pPr>
              <w:pStyle w:val="21"/>
              <w:ind w:left="-342" w:right="-354"/>
              <w:jc w:val="center"/>
              <w:rPr>
                <w:rFonts w:hint="eastAsia" w:ascii="仿宋" w:hAnsi="仿宋" w:eastAsia="仿宋" w:cs="仿宋"/>
                <w:color w:val="auto"/>
                <w:sz w:val="24"/>
                <w:highlight w:val="none"/>
              </w:rPr>
            </w:pPr>
          </w:p>
        </w:tc>
        <w:tc>
          <w:tcPr>
            <w:tcW w:w="1761" w:type="dxa"/>
            <w:vAlign w:val="center"/>
          </w:tcPr>
          <w:p w14:paraId="2A022C4B">
            <w:pPr>
              <w:pStyle w:val="21"/>
              <w:ind w:left="-342" w:right="-354"/>
              <w:jc w:val="center"/>
              <w:rPr>
                <w:rFonts w:hint="eastAsia" w:ascii="仿宋" w:hAnsi="仿宋" w:eastAsia="仿宋" w:cs="仿宋"/>
                <w:color w:val="auto"/>
                <w:sz w:val="24"/>
                <w:highlight w:val="none"/>
              </w:rPr>
            </w:pPr>
          </w:p>
        </w:tc>
      </w:tr>
      <w:tr w14:paraId="256B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900" w:type="dxa"/>
            <w:gridSpan w:val="5"/>
            <w:vAlign w:val="center"/>
          </w:tcPr>
          <w:p w14:paraId="1B507C36">
            <w:pPr>
              <w:pStyle w:val="21"/>
              <w:ind w:left="-342" w:leftChars="-163" w:right="-354"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人民币大写：</w:t>
            </w:r>
          </w:p>
        </w:tc>
      </w:tr>
    </w:tbl>
    <w:p w14:paraId="1630D516">
      <w:pPr>
        <w:pStyle w:val="21"/>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投标单位法人授权代表签字（盖章）：</w:t>
      </w:r>
    </w:p>
    <w:p w14:paraId="7FA696EF">
      <w:pPr>
        <w:spacing w:line="440" w:lineRule="exact"/>
        <w:rPr>
          <w:rFonts w:hint="eastAsia" w:ascii="宋体" w:hAnsi="宋体"/>
          <w:b/>
          <w:sz w:val="32"/>
          <w:highlight w:val="none"/>
        </w:rPr>
      </w:pPr>
    </w:p>
    <w:p w14:paraId="11BC99FE">
      <w:pPr>
        <w:rPr>
          <w:highlight w:val="none"/>
        </w:rPr>
      </w:pPr>
    </w:p>
    <w:p w14:paraId="0B953D06">
      <w:pPr>
        <w:rPr>
          <w:rFonts w:hint="eastAsia" w:ascii="宋体" w:hAnsi="宋体"/>
          <w:b/>
          <w:sz w:val="30"/>
          <w:highlight w:val="none"/>
        </w:rPr>
      </w:pPr>
    </w:p>
    <w:p w14:paraId="57455785">
      <w:pPr>
        <w:rPr>
          <w:rFonts w:hint="eastAsia" w:ascii="宋体" w:hAnsi="宋体"/>
          <w:b/>
          <w:sz w:val="30"/>
          <w:highlight w:val="none"/>
        </w:rPr>
      </w:pPr>
    </w:p>
    <w:p w14:paraId="0F15362B">
      <w:pPr>
        <w:pStyle w:val="22"/>
        <w:ind w:firstLine="602"/>
        <w:rPr>
          <w:rFonts w:hint="eastAsia" w:hAnsi="宋体"/>
          <w:b/>
          <w:sz w:val="30"/>
          <w:highlight w:val="none"/>
        </w:rPr>
      </w:pPr>
    </w:p>
    <w:p w14:paraId="77E6CD0B">
      <w:pPr>
        <w:rPr>
          <w:rFonts w:hint="eastAsia" w:ascii="宋体" w:hAnsi="宋体"/>
          <w:b/>
          <w:sz w:val="30"/>
          <w:highlight w:val="none"/>
        </w:rPr>
      </w:pPr>
    </w:p>
    <w:p w14:paraId="24F6EF15">
      <w:pPr>
        <w:pStyle w:val="22"/>
        <w:ind w:firstLine="602"/>
        <w:rPr>
          <w:rFonts w:hint="eastAsia" w:hAnsi="宋体"/>
          <w:b/>
          <w:sz w:val="30"/>
          <w:highlight w:val="none"/>
        </w:rPr>
      </w:pPr>
    </w:p>
    <w:p w14:paraId="4D121649">
      <w:pPr>
        <w:rPr>
          <w:rFonts w:hint="eastAsia" w:ascii="宋体" w:hAnsi="宋体"/>
          <w:b/>
          <w:sz w:val="30"/>
          <w:highlight w:val="none"/>
        </w:rPr>
      </w:pPr>
    </w:p>
    <w:p w14:paraId="755F3E81">
      <w:pPr>
        <w:pStyle w:val="22"/>
        <w:ind w:firstLine="602"/>
        <w:rPr>
          <w:rFonts w:hint="eastAsia" w:hAnsi="宋体"/>
          <w:b/>
          <w:sz w:val="30"/>
          <w:highlight w:val="none"/>
        </w:rPr>
      </w:pPr>
    </w:p>
    <w:p w14:paraId="520B93B9">
      <w:pPr>
        <w:rPr>
          <w:rFonts w:hint="eastAsia" w:ascii="宋体" w:hAnsi="宋体"/>
          <w:b/>
          <w:sz w:val="30"/>
          <w:highlight w:val="none"/>
        </w:rPr>
      </w:pPr>
    </w:p>
    <w:p w14:paraId="6030387A">
      <w:pPr>
        <w:pStyle w:val="22"/>
        <w:ind w:firstLine="602"/>
        <w:rPr>
          <w:rFonts w:hint="eastAsia" w:hAnsi="宋体"/>
          <w:b/>
          <w:sz w:val="30"/>
          <w:highlight w:val="none"/>
        </w:rPr>
      </w:pPr>
    </w:p>
    <w:p w14:paraId="430C6CFB">
      <w:pPr>
        <w:rPr>
          <w:rFonts w:hint="eastAsia" w:ascii="宋体" w:hAnsi="宋体"/>
          <w:b/>
          <w:sz w:val="30"/>
          <w:highlight w:val="none"/>
        </w:rPr>
      </w:pPr>
    </w:p>
    <w:p w14:paraId="5DB7401D">
      <w:pPr>
        <w:ind w:firstLine="3200" w:firstLineChars="1000"/>
        <w:rPr>
          <w:rFonts w:hint="eastAsia" w:ascii="仿宋" w:hAnsi="仿宋" w:eastAsia="仿宋" w:cs="仿宋"/>
          <w:b/>
          <w:sz w:val="32"/>
          <w:szCs w:val="32"/>
          <w:highlight w:val="none"/>
        </w:rPr>
      </w:pPr>
    </w:p>
    <w:p w14:paraId="525FE7FF">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（十八）分项报价表</w:t>
      </w:r>
    </w:p>
    <w:p w14:paraId="14895940">
      <w:pPr>
        <w:pStyle w:val="22"/>
        <w:ind w:firstLine="0" w:firstLineChars="0"/>
        <w:rPr>
          <w:highlight w:val="none"/>
        </w:rPr>
      </w:pPr>
    </w:p>
    <w:p w14:paraId="4DE3E6AE">
      <w:pP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招标编号/标段号：</w:t>
      </w:r>
      <w:r>
        <w:rPr>
          <w:rFonts w:hint="eastAsia" w:ascii="仿宋" w:hAnsi="仿宋" w:eastAsia="仿宋" w:cs="仿宋"/>
          <w:sz w:val="28"/>
          <w:szCs w:val="28"/>
          <w:highlight w:val="none"/>
          <w:u w:val="single"/>
        </w:rPr>
        <w:t>　　　　　　　　　　　</w:t>
      </w:r>
    </w:p>
    <w:tbl>
      <w:tblPr>
        <w:tblStyle w:val="17"/>
        <w:tblpPr w:leftFromText="180" w:rightFromText="180" w:vertAnchor="text" w:horzAnchor="page" w:tblpXSpec="center" w:tblpY="460"/>
        <w:tblOverlap w:val="never"/>
        <w:tblW w:w="11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00"/>
        <w:gridCol w:w="1668"/>
        <w:gridCol w:w="1460"/>
        <w:gridCol w:w="835"/>
        <w:gridCol w:w="1061"/>
        <w:gridCol w:w="1061"/>
        <w:gridCol w:w="1251"/>
        <w:gridCol w:w="1251"/>
      </w:tblGrid>
      <w:tr w14:paraId="14E7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670" w:type="dxa"/>
            <w:vAlign w:val="center"/>
          </w:tcPr>
          <w:p w14:paraId="4AE99D0C">
            <w:pPr>
              <w:jc w:val="center"/>
              <w:rPr>
                <w:rFonts w:hint="eastAsia" w:ascii="仿宋" w:hAnsi="仿宋" w:eastAsia="仿宋" w:cs="仿宋"/>
                <w:sz w:val="24"/>
                <w:highlight w:val="none"/>
              </w:rPr>
            </w:pPr>
            <w:bookmarkStart w:id="22" w:name="OLE_LINK6" w:colFirst="4" w:colLast="7"/>
            <w:r>
              <w:rPr>
                <w:rFonts w:hint="eastAsia" w:ascii="仿宋" w:hAnsi="仿宋" w:eastAsia="仿宋" w:cs="仿宋"/>
                <w:sz w:val="24"/>
                <w:highlight w:val="none"/>
              </w:rPr>
              <w:t>序号</w:t>
            </w:r>
          </w:p>
        </w:tc>
        <w:tc>
          <w:tcPr>
            <w:tcW w:w="2100" w:type="dxa"/>
            <w:vAlign w:val="center"/>
          </w:tcPr>
          <w:p w14:paraId="0316BADC">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标的</w:t>
            </w:r>
            <w:r>
              <w:rPr>
                <w:rFonts w:hint="eastAsia" w:ascii="仿宋" w:hAnsi="仿宋" w:eastAsia="仿宋" w:cs="仿宋"/>
                <w:sz w:val="24"/>
                <w:highlight w:val="none"/>
              </w:rPr>
              <w:t>名称</w:t>
            </w:r>
          </w:p>
        </w:tc>
        <w:tc>
          <w:tcPr>
            <w:tcW w:w="1668" w:type="dxa"/>
            <w:vAlign w:val="center"/>
          </w:tcPr>
          <w:p w14:paraId="42956662">
            <w:pPr>
              <w:jc w:val="center"/>
              <w:rPr>
                <w:rFonts w:hint="eastAsia" w:ascii="仿宋" w:hAnsi="仿宋" w:eastAsia="仿宋" w:cs="仿宋"/>
                <w:sz w:val="24"/>
                <w:highlight w:val="none"/>
              </w:rPr>
            </w:pPr>
            <w:r>
              <w:rPr>
                <w:rFonts w:hint="eastAsia" w:ascii="仿宋" w:hAnsi="仿宋" w:eastAsia="仿宋" w:cs="仿宋"/>
                <w:sz w:val="24"/>
                <w:highlight w:val="none"/>
              </w:rPr>
              <w:t>规格型号</w:t>
            </w:r>
          </w:p>
        </w:tc>
        <w:tc>
          <w:tcPr>
            <w:tcW w:w="1460" w:type="dxa"/>
            <w:vAlign w:val="center"/>
          </w:tcPr>
          <w:p w14:paraId="319FB37B">
            <w:pPr>
              <w:jc w:val="center"/>
              <w:rPr>
                <w:rFonts w:hint="eastAsia" w:ascii="仿宋" w:hAnsi="仿宋" w:eastAsia="仿宋" w:cs="仿宋"/>
                <w:sz w:val="24"/>
                <w:highlight w:val="none"/>
                <w:lang w:eastAsia="zh-CN"/>
              </w:rPr>
            </w:pPr>
            <w:r>
              <w:rPr>
                <w:rFonts w:hint="eastAsia" w:ascii="仿宋" w:hAnsi="仿宋" w:eastAsia="仿宋" w:cs="仿宋"/>
                <w:sz w:val="24"/>
                <w:highlight w:val="none"/>
              </w:rPr>
              <w:t>制造商</w:t>
            </w:r>
          </w:p>
        </w:tc>
        <w:tc>
          <w:tcPr>
            <w:tcW w:w="835" w:type="dxa"/>
            <w:vAlign w:val="center"/>
          </w:tcPr>
          <w:p w14:paraId="07AC07E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品牌</w:t>
            </w:r>
          </w:p>
        </w:tc>
        <w:tc>
          <w:tcPr>
            <w:tcW w:w="1061" w:type="dxa"/>
            <w:vAlign w:val="center"/>
          </w:tcPr>
          <w:p w14:paraId="5CB0DBFE">
            <w:pPr>
              <w:jc w:val="center"/>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rPr>
              <w:t>数量</w:t>
            </w:r>
          </w:p>
        </w:tc>
        <w:tc>
          <w:tcPr>
            <w:tcW w:w="1061" w:type="dxa"/>
            <w:vAlign w:val="center"/>
          </w:tcPr>
          <w:p w14:paraId="1AEBD05F">
            <w:pPr>
              <w:jc w:val="center"/>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rPr>
              <w:t>单位</w:t>
            </w:r>
          </w:p>
        </w:tc>
        <w:tc>
          <w:tcPr>
            <w:tcW w:w="1251" w:type="dxa"/>
            <w:vAlign w:val="center"/>
          </w:tcPr>
          <w:p w14:paraId="1581A959">
            <w:pPr>
              <w:jc w:val="center"/>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rPr>
              <w:t>单价</w:t>
            </w:r>
            <w:r>
              <w:rPr>
                <w:rFonts w:hint="eastAsia" w:ascii="仿宋" w:hAnsi="仿宋" w:eastAsia="仿宋" w:cs="仿宋"/>
                <w:sz w:val="24"/>
                <w:highlight w:val="none"/>
              </w:rPr>
              <w:br w:type="textWrapping"/>
            </w:r>
            <w:r>
              <w:rPr>
                <w:rFonts w:hint="eastAsia" w:ascii="仿宋" w:hAnsi="仿宋" w:eastAsia="仿宋" w:cs="仿宋"/>
                <w:sz w:val="24"/>
                <w:highlight w:val="none"/>
              </w:rPr>
              <w:t>（元）</w:t>
            </w:r>
          </w:p>
        </w:tc>
        <w:tc>
          <w:tcPr>
            <w:tcW w:w="1251" w:type="dxa"/>
            <w:vAlign w:val="center"/>
          </w:tcPr>
          <w:p w14:paraId="6D3DAC41">
            <w:pPr>
              <w:jc w:val="center"/>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rPr>
              <w:t>总价（元）</w:t>
            </w:r>
          </w:p>
        </w:tc>
      </w:tr>
      <w:bookmarkEnd w:id="22"/>
      <w:tr w14:paraId="6D30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0" w:type="dxa"/>
            <w:vAlign w:val="center"/>
          </w:tcPr>
          <w:p w14:paraId="5CAFC10C">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100" w:type="dxa"/>
            <w:vAlign w:val="center"/>
          </w:tcPr>
          <w:p w14:paraId="440EB87A">
            <w:pPr>
              <w:jc w:val="center"/>
              <w:rPr>
                <w:rFonts w:hint="eastAsia" w:ascii="仿宋" w:hAnsi="仿宋" w:eastAsia="仿宋" w:cs="仿宋"/>
                <w:sz w:val="24"/>
                <w:highlight w:val="none"/>
              </w:rPr>
            </w:pPr>
          </w:p>
        </w:tc>
        <w:tc>
          <w:tcPr>
            <w:tcW w:w="1668" w:type="dxa"/>
            <w:vAlign w:val="center"/>
          </w:tcPr>
          <w:p w14:paraId="7FBB5168">
            <w:pPr>
              <w:jc w:val="center"/>
              <w:rPr>
                <w:rFonts w:hint="eastAsia" w:ascii="仿宋" w:hAnsi="仿宋" w:eastAsia="仿宋" w:cs="仿宋"/>
                <w:sz w:val="24"/>
                <w:highlight w:val="none"/>
              </w:rPr>
            </w:pPr>
          </w:p>
        </w:tc>
        <w:tc>
          <w:tcPr>
            <w:tcW w:w="1460" w:type="dxa"/>
            <w:vAlign w:val="center"/>
          </w:tcPr>
          <w:p w14:paraId="4206EB43">
            <w:pPr>
              <w:jc w:val="center"/>
              <w:rPr>
                <w:rFonts w:hint="eastAsia" w:ascii="仿宋" w:hAnsi="仿宋" w:eastAsia="仿宋" w:cs="仿宋"/>
                <w:sz w:val="24"/>
                <w:highlight w:val="none"/>
              </w:rPr>
            </w:pPr>
          </w:p>
        </w:tc>
        <w:tc>
          <w:tcPr>
            <w:tcW w:w="835" w:type="dxa"/>
            <w:vAlign w:val="center"/>
          </w:tcPr>
          <w:p w14:paraId="3A685945">
            <w:pPr>
              <w:jc w:val="center"/>
              <w:rPr>
                <w:rFonts w:hint="eastAsia" w:ascii="仿宋" w:hAnsi="仿宋" w:eastAsia="仿宋" w:cs="仿宋"/>
                <w:sz w:val="24"/>
                <w:highlight w:val="none"/>
              </w:rPr>
            </w:pPr>
          </w:p>
        </w:tc>
        <w:tc>
          <w:tcPr>
            <w:tcW w:w="1061" w:type="dxa"/>
            <w:vAlign w:val="center"/>
          </w:tcPr>
          <w:p w14:paraId="1493B2A4">
            <w:pPr>
              <w:jc w:val="center"/>
              <w:rPr>
                <w:rFonts w:hint="eastAsia" w:ascii="仿宋" w:hAnsi="仿宋" w:eastAsia="仿宋" w:cs="仿宋"/>
                <w:sz w:val="24"/>
                <w:highlight w:val="none"/>
              </w:rPr>
            </w:pPr>
          </w:p>
        </w:tc>
        <w:tc>
          <w:tcPr>
            <w:tcW w:w="1061" w:type="dxa"/>
            <w:vAlign w:val="center"/>
          </w:tcPr>
          <w:p w14:paraId="091CB040">
            <w:pPr>
              <w:jc w:val="center"/>
              <w:rPr>
                <w:rFonts w:hint="eastAsia" w:ascii="仿宋" w:hAnsi="仿宋" w:eastAsia="仿宋" w:cs="仿宋"/>
                <w:sz w:val="24"/>
                <w:highlight w:val="none"/>
              </w:rPr>
            </w:pPr>
          </w:p>
        </w:tc>
        <w:tc>
          <w:tcPr>
            <w:tcW w:w="1251" w:type="dxa"/>
            <w:vAlign w:val="center"/>
          </w:tcPr>
          <w:p w14:paraId="4015B439">
            <w:pPr>
              <w:jc w:val="center"/>
              <w:rPr>
                <w:rFonts w:hint="eastAsia" w:ascii="仿宋" w:hAnsi="仿宋" w:eastAsia="仿宋" w:cs="仿宋"/>
                <w:sz w:val="24"/>
                <w:highlight w:val="none"/>
              </w:rPr>
            </w:pPr>
          </w:p>
        </w:tc>
        <w:tc>
          <w:tcPr>
            <w:tcW w:w="1251" w:type="dxa"/>
            <w:vAlign w:val="center"/>
          </w:tcPr>
          <w:p w14:paraId="2C32BB3E">
            <w:pPr>
              <w:jc w:val="center"/>
              <w:rPr>
                <w:rFonts w:hint="eastAsia" w:ascii="仿宋" w:hAnsi="仿宋" w:eastAsia="仿宋" w:cs="仿宋"/>
                <w:sz w:val="24"/>
                <w:highlight w:val="none"/>
              </w:rPr>
            </w:pPr>
          </w:p>
        </w:tc>
      </w:tr>
      <w:tr w14:paraId="4399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0" w:type="dxa"/>
            <w:vAlign w:val="center"/>
          </w:tcPr>
          <w:p w14:paraId="612B5789">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100" w:type="dxa"/>
            <w:vAlign w:val="center"/>
          </w:tcPr>
          <w:p w14:paraId="2E5C8E5D">
            <w:pPr>
              <w:jc w:val="center"/>
              <w:rPr>
                <w:rFonts w:hint="eastAsia" w:ascii="仿宋" w:hAnsi="仿宋" w:eastAsia="仿宋" w:cs="仿宋"/>
                <w:sz w:val="24"/>
                <w:highlight w:val="none"/>
              </w:rPr>
            </w:pPr>
          </w:p>
        </w:tc>
        <w:tc>
          <w:tcPr>
            <w:tcW w:w="1668" w:type="dxa"/>
            <w:vAlign w:val="center"/>
          </w:tcPr>
          <w:p w14:paraId="3340C5AB">
            <w:pPr>
              <w:jc w:val="center"/>
              <w:rPr>
                <w:rFonts w:hint="eastAsia" w:ascii="仿宋" w:hAnsi="仿宋" w:eastAsia="仿宋" w:cs="仿宋"/>
                <w:sz w:val="24"/>
                <w:highlight w:val="none"/>
              </w:rPr>
            </w:pPr>
          </w:p>
        </w:tc>
        <w:tc>
          <w:tcPr>
            <w:tcW w:w="1460" w:type="dxa"/>
            <w:vAlign w:val="center"/>
          </w:tcPr>
          <w:p w14:paraId="7025188C">
            <w:pPr>
              <w:jc w:val="center"/>
              <w:rPr>
                <w:rFonts w:hint="eastAsia" w:ascii="仿宋" w:hAnsi="仿宋" w:eastAsia="仿宋" w:cs="仿宋"/>
                <w:sz w:val="24"/>
                <w:highlight w:val="none"/>
              </w:rPr>
            </w:pPr>
          </w:p>
        </w:tc>
        <w:tc>
          <w:tcPr>
            <w:tcW w:w="835" w:type="dxa"/>
            <w:vAlign w:val="center"/>
          </w:tcPr>
          <w:p w14:paraId="026AE257">
            <w:pPr>
              <w:jc w:val="center"/>
              <w:rPr>
                <w:rFonts w:hint="eastAsia" w:ascii="仿宋" w:hAnsi="仿宋" w:eastAsia="仿宋" w:cs="仿宋"/>
                <w:sz w:val="24"/>
                <w:highlight w:val="none"/>
              </w:rPr>
            </w:pPr>
          </w:p>
        </w:tc>
        <w:tc>
          <w:tcPr>
            <w:tcW w:w="1061" w:type="dxa"/>
            <w:vAlign w:val="center"/>
          </w:tcPr>
          <w:p w14:paraId="190D6954">
            <w:pPr>
              <w:jc w:val="center"/>
              <w:rPr>
                <w:rFonts w:hint="eastAsia" w:ascii="仿宋" w:hAnsi="仿宋" w:eastAsia="仿宋" w:cs="仿宋"/>
                <w:sz w:val="24"/>
                <w:highlight w:val="none"/>
              </w:rPr>
            </w:pPr>
          </w:p>
        </w:tc>
        <w:tc>
          <w:tcPr>
            <w:tcW w:w="1061" w:type="dxa"/>
            <w:vAlign w:val="center"/>
          </w:tcPr>
          <w:p w14:paraId="518961BB">
            <w:pPr>
              <w:jc w:val="center"/>
              <w:rPr>
                <w:rFonts w:hint="eastAsia" w:ascii="仿宋" w:hAnsi="仿宋" w:eastAsia="仿宋" w:cs="仿宋"/>
                <w:sz w:val="24"/>
                <w:highlight w:val="none"/>
              </w:rPr>
            </w:pPr>
          </w:p>
        </w:tc>
        <w:tc>
          <w:tcPr>
            <w:tcW w:w="1251" w:type="dxa"/>
            <w:vAlign w:val="center"/>
          </w:tcPr>
          <w:p w14:paraId="5EA6EE8F">
            <w:pPr>
              <w:jc w:val="center"/>
              <w:rPr>
                <w:rFonts w:hint="eastAsia" w:ascii="仿宋" w:hAnsi="仿宋" w:eastAsia="仿宋" w:cs="仿宋"/>
                <w:sz w:val="24"/>
                <w:highlight w:val="none"/>
              </w:rPr>
            </w:pPr>
          </w:p>
        </w:tc>
        <w:tc>
          <w:tcPr>
            <w:tcW w:w="1251" w:type="dxa"/>
            <w:vAlign w:val="center"/>
          </w:tcPr>
          <w:p w14:paraId="438F346A">
            <w:pPr>
              <w:jc w:val="center"/>
              <w:rPr>
                <w:rFonts w:hint="eastAsia" w:ascii="仿宋" w:hAnsi="仿宋" w:eastAsia="仿宋" w:cs="仿宋"/>
                <w:sz w:val="24"/>
                <w:highlight w:val="none"/>
              </w:rPr>
            </w:pPr>
          </w:p>
        </w:tc>
      </w:tr>
      <w:tr w14:paraId="4409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0" w:type="dxa"/>
            <w:vAlign w:val="center"/>
          </w:tcPr>
          <w:p w14:paraId="110BC9D0">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100" w:type="dxa"/>
            <w:vAlign w:val="center"/>
          </w:tcPr>
          <w:p w14:paraId="1DE4FC59">
            <w:pPr>
              <w:jc w:val="center"/>
              <w:rPr>
                <w:rFonts w:hint="eastAsia" w:ascii="仿宋" w:hAnsi="仿宋" w:eastAsia="仿宋" w:cs="仿宋"/>
                <w:sz w:val="24"/>
                <w:highlight w:val="none"/>
              </w:rPr>
            </w:pPr>
          </w:p>
        </w:tc>
        <w:tc>
          <w:tcPr>
            <w:tcW w:w="1668" w:type="dxa"/>
            <w:vAlign w:val="center"/>
          </w:tcPr>
          <w:p w14:paraId="0EDE1ECA">
            <w:pPr>
              <w:jc w:val="center"/>
              <w:rPr>
                <w:rFonts w:hint="eastAsia" w:ascii="仿宋" w:hAnsi="仿宋" w:eastAsia="仿宋" w:cs="仿宋"/>
                <w:sz w:val="24"/>
                <w:highlight w:val="none"/>
              </w:rPr>
            </w:pPr>
          </w:p>
        </w:tc>
        <w:tc>
          <w:tcPr>
            <w:tcW w:w="1460" w:type="dxa"/>
            <w:vAlign w:val="center"/>
          </w:tcPr>
          <w:p w14:paraId="42564225">
            <w:pPr>
              <w:jc w:val="center"/>
              <w:rPr>
                <w:rFonts w:hint="eastAsia" w:ascii="仿宋" w:hAnsi="仿宋" w:eastAsia="仿宋" w:cs="仿宋"/>
                <w:sz w:val="24"/>
                <w:highlight w:val="none"/>
              </w:rPr>
            </w:pPr>
          </w:p>
        </w:tc>
        <w:tc>
          <w:tcPr>
            <w:tcW w:w="835" w:type="dxa"/>
            <w:vAlign w:val="center"/>
          </w:tcPr>
          <w:p w14:paraId="7DA1198A">
            <w:pPr>
              <w:jc w:val="center"/>
              <w:rPr>
                <w:rFonts w:hint="eastAsia" w:ascii="仿宋" w:hAnsi="仿宋" w:eastAsia="仿宋" w:cs="仿宋"/>
                <w:sz w:val="24"/>
                <w:highlight w:val="none"/>
              </w:rPr>
            </w:pPr>
          </w:p>
        </w:tc>
        <w:tc>
          <w:tcPr>
            <w:tcW w:w="1061" w:type="dxa"/>
            <w:vAlign w:val="center"/>
          </w:tcPr>
          <w:p w14:paraId="78E480EF">
            <w:pPr>
              <w:jc w:val="center"/>
              <w:rPr>
                <w:rFonts w:hint="eastAsia" w:ascii="仿宋" w:hAnsi="仿宋" w:eastAsia="仿宋" w:cs="仿宋"/>
                <w:sz w:val="24"/>
                <w:highlight w:val="none"/>
              </w:rPr>
            </w:pPr>
          </w:p>
        </w:tc>
        <w:tc>
          <w:tcPr>
            <w:tcW w:w="1061" w:type="dxa"/>
            <w:vAlign w:val="center"/>
          </w:tcPr>
          <w:p w14:paraId="2CBCCFA4">
            <w:pPr>
              <w:jc w:val="center"/>
              <w:rPr>
                <w:rFonts w:hint="eastAsia" w:ascii="仿宋" w:hAnsi="仿宋" w:eastAsia="仿宋" w:cs="仿宋"/>
                <w:sz w:val="24"/>
                <w:highlight w:val="none"/>
              </w:rPr>
            </w:pPr>
          </w:p>
        </w:tc>
        <w:tc>
          <w:tcPr>
            <w:tcW w:w="1251" w:type="dxa"/>
            <w:vAlign w:val="center"/>
          </w:tcPr>
          <w:p w14:paraId="238040A0">
            <w:pPr>
              <w:jc w:val="center"/>
              <w:rPr>
                <w:rFonts w:hint="eastAsia" w:ascii="仿宋" w:hAnsi="仿宋" w:eastAsia="仿宋" w:cs="仿宋"/>
                <w:sz w:val="24"/>
                <w:highlight w:val="none"/>
              </w:rPr>
            </w:pPr>
          </w:p>
        </w:tc>
        <w:tc>
          <w:tcPr>
            <w:tcW w:w="1251" w:type="dxa"/>
            <w:vAlign w:val="center"/>
          </w:tcPr>
          <w:p w14:paraId="2F10ED94">
            <w:pPr>
              <w:jc w:val="center"/>
              <w:rPr>
                <w:rFonts w:hint="eastAsia" w:ascii="仿宋" w:hAnsi="仿宋" w:eastAsia="仿宋" w:cs="仿宋"/>
                <w:sz w:val="24"/>
                <w:highlight w:val="none"/>
              </w:rPr>
            </w:pPr>
          </w:p>
        </w:tc>
      </w:tr>
      <w:tr w14:paraId="1170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0" w:type="dxa"/>
            <w:vAlign w:val="center"/>
          </w:tcPr>
          <w:p w14:paraId="53064F31">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100" w:type="dxa"/>
            <w:vAlign w:val="center"/>
          </w:tcPr>
          <w:p w14:paraId="574BB608">
            <w:pPr>
              <w:jc w:val="center"/>
              <w:rPr>
                <w:rFonts w:hint="eastAsia" w:ascii="仿宋" w:hAnsi="仿宋" w:eastAsia="仿宋" w:cs="仿宋"/>
                <w:sz w:val="24"/>
                <w:highlight w:val="none"/>
              </w:rPr>
            </w:pPr>
          </w:p>
        </w:tc>
        <w:tc>
          <w:tcPr>
            <w:tcW w:w="1668" w:type="dxa"/>
            <w:vAlign w:val="center"/>
          </w:tcPr>
          <w:p w14:paraId="0A52B936">
            <w:pPr>
              <w:jc w:val="center"/>
              <w:rPr>
                <w:rFonts w:hint="eastAsia" w:ascii="仿宋" w:hAnsi="仿宋" w:eastAsia="仿宋" w:cs="仿宋"/>
                <w:sz w:val="24"/>
                <w:highlight w:val="none"/>
              </w:rPr>
            </w:pPr>
          </w:p>
        </w:tc>
        <w:tc>
          <w:tcPr>
            <w:tcW w:w="1460" w:type="dxa"/>
            <w:vAlign w:val="center"/>
          </w:tcPr>
          <w:p w14:paraId="36E05493">
            <w:pPr>
              <w:jc w:val="center"/>
              <w:rPr>
                <w:rFonts w:hint="eastAsia" w:ascii="仿宋" w:hAnsi="仿宋" w:eastAsia="仿宋" w:cs="仿宋"/>
                <w:sz w:val="24"/>
                <w:highlight w:val="none"/>
              </w:rPr>
            </w:pPr>
          </w:p>
        </w:tc>
        <w:tc>
          <w:tcPr>
            <w:tcW w:w="835" w:type="dxa"/>
            <w:vAlign w:val="center"/>
          </w:tcPr>
          <w:p w14:paraId="27A18437">
            <w:pPr>
              <w:jc w:val="center"/>
              <w:rPr>
                <w:rFonts w:hint="eastAsia" w:ascii="仿宋" w:hAnsi="仿宋" w:eastAsia="仿宋" w:cs="仿宋"/>
                <w:sz w:val="24"/>
                <w:highlight w:val="none"/>
              </w:rPr>
            </w:pPr>
          </w:p>
        </w:tc>
        <w:tc>
          <w:tcPr>
            <w:tcW w:w="1061" w:type="dxa"/>
            <w:vAlign w:val="center"/>
          </w:tcPr>
          <w:p w14:paraId="0C0180A5">
            <w:pPr>
              <w:jc w:val="center"/>
              <w:rPr>
                <w:rFonts w:hint="eastAsia" w:ascii="仿宋" w:hAnsi="仿宋" w:eastAsia="仿宋" w:cs="仿宋"/>
                <w:sz w:val="24"/>
                <w:highlight w:val="none"/>
              </w:rPr>
            </w:pPr>
          </w:p>
        </w:tc>
        <w:tc>
          <w:tcPr>
            <w:tcW w:w="1061" w:type="dxa"/>
            <w:vAlign w:val="center"/>
          </w:tcPr>
          <w:p w14:paraId="7C4AC0A4">
            <w:pPr>
              <w:jc w:val="center"/>
              <w:rPr>
                <w:rFonts w:hint="eastAsia" w:ascii="仿宋" w:hAnsi="仿宋" w:eastAsia="仿宋" w:cs="仿宋"/>
                <w:sz w:val="24"/>
                <w:highlight w:val="none"/>
              </w:rPr>
            </w:pPr>
          </w:p>
        </w:tc>
        <w:tc>
          <w:tcPr>
            <w:tcW w:w="1251" w:type="dxa"/>
            <w:vAlign w:val="center"/>
          </w:tcPr>
          <w:p w14:paraId="28105869">
            <w:pPr>
              <w:jc w:val="center"/>
              <w:rPr>
                <w:rFonts w:hint="eastAsia" w:ascii="仿宋" w:hAnsi="仿宋" w:eastAsia="仿宋" w:cs="仿宋"/>
                <w:sz w:val="24"/>
                <w:highlight w:val="none"/>
              </w:rPr>
            </w:pPr>
          </w:p>
        </w:tc>
        <w:tc>
          <w:tcPr>
            <w:tcW w:w="1251" w:type="dxa"/>
            <w:vAlign w:val="center"/>
          </w:tcPr>
          <w:p w14:paraId="5A8A0C11">
            <w:pPr>
              <w:jc w:val="center"/>
              <w:rPr>
                <w:rFonts w:hint="eastAsia" w:ascii="仿宋" w:hAnsi="仿宋" w:eastAsia="仿宋" w:cs="仿宋"/>
                <w:sz w:val="24"/>
                <w:highlight w:val="none"/>
              </w:rPr>
            </w:pPr>
          </w:p>
        </w:tc>
      </w:tr>
      <w:tr w14:paraId="0262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0" w:type="dxa"/>
            <w:vAlign w:val="center"/>
          </w:tcPr>
          <w:p w14:paraId="2FE9A4F2">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100" w:type="dxa"/>
            <w:vAlign w:val="center"/>
          </w:tcPr>
          <w:p w14:paraId="39EE6664">
            <w:pPr>
              <w:jc w:val="center"/>
              <w:rPr>
                <w:rFonts w:hint="eastAsia" w:ascii="仿宋" w:hAnsi="仿宋" w:eastAsia="仿宋" w:cs="仿宋"/>
                <w:sz w:val="24"/>
                <w:highlight w:val="none"/>
              </w:rPr>
            </w:pPr>
          </w:p>
        </w:tc>
        <w:tc>
          <w:tcPr>
            <w:tcW w:w="1668" w:type="dxa"/>
            <w:vAlign w:val="center"/>
          </w:tcPr>
          <w:p w14:paraId="3CFC9721">
            <w:pPr>
              <w:jc w:val="center"/>
              <w:rPr>
                <w:rFonts w:hint="eastAsia" w:ascii="仿宋" w:hAnsi="仿宋" w:eastAsia="仿宋" w:cs="仿宋"/>
                <w:sz w:val="24"/>
                <w:highlight w:val="none"/>
              </w:rPr>
            </w:pPr>
          </w:p>
        </w:tc>
        <w:tc>
          <w:tcPr>
            <w:tcW w:w="1460" w:type="dxa"/>
            <w:vAlign w:val="center"/>
          </w:tcPr>
          <w:p w14:paraId="66C5CB23">
            <w:pPr>
              <w:jc w:val="center"/>
              <w:rPr>
                <w:rFonts w:hint="eastAsia" w:ascii="仿宋" w:hAnsi="仿宋" w:eastAsia="仿宋" w:cs="仿宋"/>
                <w:sz w:val="24"/>
                <w:highlight w:val="none"/>
              </w:rPr>
            </w:pPr>
          </w:p>
        </w:tc>
        <w:tc>
          <w:tcPr>
            <w:tcW w:w="835" w:type="dxa"/>
            <w:vAlign w:val="center"/>
          </w:tcPr>
          <w:p w14:paraId="4A0EC730">
            <w:pPr>
              <w:jc w:val="center"/>
              <w:rPr>
                <w:rFonts w:hint="eastAsia" w:ascii="仿宋" w:hAnsi="仿宋" w:eastAsia="仿宋" w:cs="仿宋"/>
                <w:sz w:val="24"/>
                <w:highlight w:val="none"/>
              </w:rPr>
            </w:pPr>
          </w:p>
        </w:tc>
        <w:tc>
          <w:tcPr>
            <w:tcW w:w="1061" w:type="dxa"/>
            <w:vAlign w:val="center"/>
          </w:tcPr>
          <w:p w14:paraId="7273D8FF">
            <w:pPr>
              <w:jc w:val="center"/>
              <w:rPr>
                <w:rFonts w:hint="eastAsia" w:ascii="仿宋" w:hAnsi="仿宋" w:eastAsia="仿宋" w:cs="仿宋"/>
                <w:sz w:val="24"/>
                <w:highlight w:val="none"/>
              </w:rPr>
            </w:pPr>
          </w:p>
        </w:tc>
        <w:tc>
          <w:tcPr>
            <w:tcW w:w="1061" w:type="dxa"/>
            <w:vAlign w:val="center"/>
          </w:tcPr>
          <w:p w14:paraId="5CE72DED">
            <w:pPr>
              <w:jc w:val="center"/>
              <w:rPr>
                <w:rFonts w:hint="eastAsia" w:ascii="仿宋" w:hAnsi="仿宋" w:eastAsia="仿宋" w:cs="仿宋"/>
                <w:sz w:val="24"/>
                <w:highlight w:val="none"/>
              </w:rPr>
            </w:pPr>
          </w:p>
        </w:tc>
        <w:tc>
          <w:tcPr>
            <w:tcW w:w="1251" w:type="dxa"/>
            <w:vAlign w:val="center"/>
          </w:tcPr>
          <w:p w14:paraId="1F29BFB9">
            <w:pPr>
              <w:jc w:val="center"/>
              <w:rPr>
                <w:rFonts w:hint="eastAsia" w:ascii="仿宋" w:hAnsi="仿宋" w:eastAsia="仿宋" w:cs="仿宋"/>
                <w:sz w:val="24"/>
                <w:highlight w:val="none"/>
              </w:rPr>
            </w:pPr>
          </w:p>
        </w:tc>
        <w:tc>
          <w:tcPr>
            <w:tcW w:w="1251" w:type="dxa"/>
            <w:vAlign w:val="center"/>
          </w:tcPr>
          <w:p w14:paraId="77BDB243">
            <w:pPr>
              <w:jc w:val="center"/>
              <w:rPr>
                <w:rFonts w:hint="eastAsia" w:ascii="仿宋" w:hAnsi="仿宋" w:eastAsia="仿宋" w:cs="仿宋"/>
                <w:sz w:val="24"/>
                <w:highlight w:val="none"/>
              </w:rPr>
            </w:pPr>
          </w:p>
        </w:tc>
      </w:tr>
      <w:tr w14:paraId="2B4A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0" w:type="dxa"/>
            <w:vAlign w:val="center"/>
          </w:tcPr>
          <w:p w14:paraId="1E89AA5B">
            <w:pPr>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100" w:type="dxa"/>
            <w:vAlign w:val="center"/>
          </w:tcPr>
          <w:p w14:paraId="2B0112AF">
            <w:pPr>
              <w:jc w:val="center"/>
              <w:rPr>
                <w:rFonts w:hint="eastAsia" w:ascii="仿宋" w:hAnsi="仿宋" w:eastAsia="仿宋" w:cs="仿宋"/>
                <w:sz w:val="24"/>
                <w:highlight w:val="none"/>
              </w:rPr>
            </w:pPr>
          </w:p>
        </w:tc>
        <w:tc>
          <w:tcPr>
            <w:tcW w:w="1668" w:type="dxa"/>
            <w:vAlign w:val="center"/>
          </w:tcPr>
          <w:p w14:paraId="474001B4">
            <w:pPr>
              <w:jc w:val="center"/>
              <w:rPr>
                <w:rFonts w:hint="eastAsia" w:ascii="仿宋" w:hAnsi="仿宋" w:eastAsia="仿宋" w:cs="仿宋"/>
                <w:sz w:val="24"/>
                <w:highlight w:val="none"/>
              </w:rPr>
            </w:pPr>
          </w:p>
        </w:tc>
        <w:tc>
          <w:tcPr>
            <w:tcW w:w="1460" w:type="dxa"/>
            <w:vAlign w:val="center"/>
          </w:tcPr>
          <w:p w14:paraId="3DA14D88">
            <w:pPr>
              <w:jc w:val="center"/>
              <w:rPr>
                <w:rFonts w:hint="eastAsia" w:ascii="仿宋" w:hAnsi="仿宋" w:eastAsia="仿宋" w:cs="仿宋"/>
                <w:sz w:val="24"/>
                <w:highlight w:val="none"/>
              </w:rPr>
            </w:pPr>
          </w:p>
        </w:tc>
        <w:tc>
          <w:tcPr>
            <w:tcW w:w="835" w:type="dxa"/>
            <w:vAlign w:val="center"/>
          </w:tcPr>
          <w:p w14:paraId="786B45FE">
            <w:pPr>
              <w:jc w:val="center"/>
              <w:rPr>
                <w:rFonts w:hint="eastAsia" w:ascii="仿宋" w:hAnsi="仿宋" w:eastAsia="仿宋" w:cs="仿宋"/>
                <w:sz w:val="24"/>
                <w:highlight w:val="none"/>
              </w:rPr>
            </w:pPr>
          </w:p>
        </w:tc>
        <w:tc>
          <w:tcPr>
            <w:tcW w:w="1061" w:type="dxa"/>
            <w:vAlign w:val="center"/>
          </w:tcPr>
          <w:p w14:paraId="2CD954A3">
            <w:pPr>
              <w:jc w:val="center"/>
              <w:rPr>
                <w:rFonts w:hint="eastAsia" w:ascii="仿宋" w:hAnsi="仿宋" w:eastAsia="仿宋" w:cs="仿宋"/>
                <w:sz w:val="24"/>
                <w:highlight w:val="none"/>
              </w:rPr>
            </w:pPr>
          </w:p>
        </w:tc>
        <w:tc>
          <w:tcPr>
            <w:tcW w:w="1061" w:type="dxa"/>
            <w:vAlign w:val="center"/>
          </w:tcPr>
          <w:p w14:paraId="4A22775E">
            <w:pPr>
              <w:jc w:val="center"/>
              <w:rPr>
                <w:rFonts w:hint="eastAsia" w:ascii="仿宋" w:hAnsi="仿宋" w:eastAsia="仿宋" w:cs="仿宋"/>
                <w:sz w:val="24"/>
                <w:highlight w:val="none"/>
              </w:rPr>
            </w:pPr>
          </w:p>
        </w:tc>
        <w:tc>
          <w:tcPr>
            <w:tcW w:w="1251" w:type="dxa"/>
            <w:vAlign w:val="center"/>
          </w:tcPr>
          <w:p w14:paraId="336A9381">
            <w:pPr>
              <w:jc w:val="center"/>
              <w:rPr>
                <w:rFonts w:hint="eastAsia" w:ascii="仿宋" w:hAnsi="仿宋" w:eastAsia="仿宋" w:cs="仿宋"/>
                <w:sz w:val="24"/>
                <w:highlight w:val="none"/>
              </w:rPr>
            </w:pPr>
          </w:p>
        </w:tc>
        <w:tc>
          <w:tcPr>
            <w:tcW w:w="1251" w:type="dxa"/>
            <w:vAlign w:val="center"/>
          </w:tcPr>
          <w:p w14:paraId="7F66ABB4">
            <w:pPr>
              <w:jc w:val="center"/>
              <w:rPr>
                <w:rFonts w:hint="eastAsia" w:ascii="仿宋" w:hAnsi="仿宋" w:eastAsia="仿宋" w:cs="仿宋"/>
                <w:sz w:val="24"/>
                <w:highlight w:val="none"/>
              </w:rPr>
            </w:pPr>
          </w:p>
        </w:tc>
      </w:tr>
      <w:tr w14:paraId="7BC7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670" w:type="dxa"/>
            <w:vAlign w:val="center"/>
          </w:tcPr>
          <w:p w14:paraId="06DE150B">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100" w:type="dxa"/>
            <w:vAlign w:val="center"/>
          </w:tcPr>
          <w:p w14:paraId="254CE7DD">
            <w:pPr>
              <w:jc w:val="center"/>
              <w:rPr>
                <w:rFonts w:hint="eastAsia" w:ascii="仿宋" w:hAnsi="仿宋" w:eastAsia="仿宋" w:cs="仿宋"/>
                <w:sz w:val="24"/>
                <w:highlight w:val="none"/>
              </w:rPr>
            </w:pPr>
          </w:p>
        </w:tc>
        <w:tc>
          <w:tcPr>
            <w:tcW w:w="1668" w:type="dxa"/>
            <w:vAlign w:val="center"/>
          </w:tcPr>
          <w:p w14:paraId="0AD7D918">
            <w:pPr>
              <w:jc w:val="center"/>
              <w:rPr>
                <w:rFonts w:hint="eastAsia" w:ascii="仿宋" w:hAnsi="仿宋" w:eastAsia="仿宋" w:cs="仿宋"/>
                <w:sz w:val="24"/>
                <w:highlight w:val="none"/>
              </w:rPr>
            </w:pPr>
          </w:p>
        </w:tc>
        <w:tc>
          <w:tcPr>
            <w:tcW w:w="1460" w:type="dxa"/>
            <w:vAlign w:val="center"/>
          </w:tcPr>
          <w:p w14:paraId="6DE45313">
            <w:pPr>
              <w:jc w:val="center"/>
              <w:rPr>
                <w:rFonts w:hint="eastAsia" w:ascii="仿宋" w:hAnsi="仿宋" w:eastAsia="仿宋" w:cs="仿宋"/>
                <w:sz w:val="24"/>
                <w:highlight w:val="none"/>
              </w:rPr>
            </w:pPr>
          </w:p>
        </w:tc>
        <w:tc>
          <w:tcPr>
            <w:tcW w:w="835" w:type="dxa"/>
            <w:vAlign w:val="center"/>
          </w:tcPr>
          <w:p w14:paraId="41D77876">
            <w:pPr>
              <w:jc w:val="center"/>
              <w:rPr>
                <w:rFonts w:hint="eastAsia" w:ascii="仿宋" w:hAnsi="仿宋" w:eastAsia="仿宋" w:cs="仿宋"/>
                <w:sz w:val="24"/>
                <w:highlight w:val="none"/>
              </w:rPr>
            </w:pPr>
          </w:p>
        </w:tc>
        <w:tc>
          <w:tcPr>
            <w:tcW w:w="1061" w:type="dxa"/>
            <w:vAlign w:val="center"/>
          </w:tcPr>
          <w:p w14:paraId="598386D0">
            <w:pPr>
              <w:jc w:val="center"/>
              <w:rPr>
                <w:rFonts w:hint="eastAsia" w:ascii="仿宋" w:hAnsi="仿宋" w:eastAsia="仿宋" w:cs="仿宋"/>
                <w:sz w:val="24"/>
                <w:highlight w:val="none"/>
              </w:rPr>
            </w:pPr>
          </w:p>
        </w:tc>
        <w:tc>
          <w:tcPr>
            <w:tcW w:w="1061" w:type="dxa"/>
            <w:vAlign w:val="center"/>
          </w:tcPr>
          <w:p w14:paraId="4E22882D">
            <w:pPr>
              <w:jc w:val="center"/>
              <w:rPr>
                <w:rFonts w:hint="eastAsia" w:ascii="仿宋" w:hAnsi="仿宋" w:eastAsia="仿宋" w:cs="仿宋"/>
                <w:sz w:val="24"/>
                <w:highlight w:val="none"/>
              </w:rPr>
            </w:pPr>
          </w:p>
        </w:tc>
        <w:tc>
          <w:tcPr>
            <w:tcW w:w="1251" w:type="dxa"/>
            <w:vAlign w:val="center"/>
          </w:tcPr>
          <w:p w14:paraId="58B6CC0C">
            <w:pPr>
              <w:jc w:val="center"/>
              <w:rPr>
                <w:rFonts w:hint="eastAsia" w:ascii="仿宋" w:hAnsi="仿宋" w:eastAsia="仿宋" w:cs="仿宋"/>
                <w:sz w:val="24"/>
                <w:highlight w:val="none"/>
              </w:rPr>
            </w:pPr>
          </w:p>
        </w:tc>
        <w:tc>
          <w:tcPr>
            <w:tcW w:w="1251" w:type="dxa"/>
            <w:vAlign w:val="center"/>
          </w:tcPr>
          <w:p w14:paraId="3DC96D90">
            <w:pPr>
              <w:jc w:val="center"/>
              <w:rPr>
                <w:rFonts w:hint="eastAsia" w:ascii="仿宋" w:hAnsi="仿宋" w:eastAsia="仿宋" w:cs="仿宋"/>
                <w:sz w:val="24"/>
                <w:highlight w:val="none"/>
              </w:rPr>
            </w:pPr>
          </w:p>
        </w:tc>
      </w:tr>
    </w:tbl>
    <w:p w14:paraId="19AD8F83">
      <w:pPr>
        <w:rPr>
          <w:rFonts w:hint="eastAsia" w:ascii="宋体" w:hAnsi="宋体"/>
          <w:sz w:val="24"/>
          <w:highlight w:val="none"/>
          <w:u w:val="single"/>
        </w:rPr>
      </w:pPr>
    </w:p>
    <w:p w14:paraId="06738BAC">
      <w:pPr>
        <w:rPr>
          <w:rFonts w:hint="eastAsia" w:ascii="宋体" w:hAnsi="宋体"/>
          <w:sz w:val="24"/>
          <w:highlight w:val="none"/>
        </w:rPr>
      </w:pPr>
    </w:p>
    <w:p w14:paraId="32B1713F">
      <w:pPr>
        <w:rPr>
          <w:rFonts w:hint="eastAsia" w:ascii="仿宋" w:hAnsi="仿宋" w:eastAsia="仿宋" w:cs="仿宋"/>
          <w:sz w:val="28"/>
          <w:szCs w:val="28"/>
          <w:highlight w:val="none"/>
        </w:rPr>
      </w:pPr>
      <w:r>
        <w:rPr>
          <w:rFonts w:hint="eastAsia" w:ascii="仿宋" w:hAnsi="仿宋" w:eastAsia="仿宋" w:cs="仿宋"/>
          <w:sz w:val="28"/>
          <w:szCs w:val="28"/>
          <w:highlight w:val="none"/>
        </w:rPr>
        <w:t>注：此表需详列投标的每</w:t>
      </w:r>
      <w:r>
        <w:rPr>
          <w:rFonts w:hint="eastAsia" w:ascii="仿宋" w:hAnsi="仿宋" w:eastAsia="仿宋" w:cs="仿宋"/>
          <w:sz w:val="28"/>
          <w:szCs w:val="28"/>
          <w:highlight w:val="none"/>
          <w:lang w:val="en-US" w:eastAsia="zh-CN"/>
        </w:rPr>
        <w:t>项标的</w:t>
      </w:r>
      <w:r>
        <w:rPr>
          <w:rFonts w:hint="eastAsia" w:ascii="仿宋" w:hAnsi="仿宋" w:eastAsia="仿宋" w:cs="仿宋"/>
          <w:sz w:val="28"/>
          <w:szCs w:val="28"/>
          <w:highlight w:val="none"/>
        </w:rPr>
        <w:t>。</w:t>
      </w:r>
    </w:p>
    <w:p w14:paraId="131DAC9F">
      <w:pPr>
        <w:rPr>
          <w:rFonts w:hint="eastAsia" w:ascii="仿宋" w:hAnsi="仿宋" w:eastAsia="仿宋" w:cs="仿宋"/>
          <w:sz w:val="28"/>
          <w:szCs w:val="28"/>
          <w:highlight w:val="none"/>
        </w:rPr>
      </w:pPr>
    </w:p>
    <w:p w14:paraId="23FF6CE2">
      <w:pPr>
        <w:ind w:left="2880" w:hanging="28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投标人代表签字：</w:t>
      </w:r>
      <w:r>
        <w:rPr>
          <w:rFonts w:hint="eastAsia" w:ascii="仿宋" w:hAnsi="仿宋" w:eastAsia="仿宋" w:cs="仿宋"/>
          <w:sz w:val="28"/>
          <w:szCs w:val="28"/>
          <w:highlight w:val="none"/>
          <w:u w:val="single"/>
        </w:rPr>
        <w:t>　　　　　　　　　　　　　　　</w:t>
      </w:r>
    </w:p>
    <w:p w14:paraId="2C3F8AEF">
      <w:pPr>
        <w:pStyle w:val="22"/>
        <w:ind w:firstLine="560"/>
        <w:rPr>
          <w:rFonts w:hint="eastAsia" w:ascii="仿宋" w:hAnsi="仿宋" w:eastAsia="仿宋" w:cs="仿宋"/>
          <w:sz w:val="28"/>
          <w:szCs w:val="28"/>
          <w:highlight w:val="none"/>
          <w:u w:val="single"/>
        </w:rPr>
      </w:pPr>
    </w:p>
    <w:p w14:paraId="3CC688F7">
      <w:pPr>
        <w:rPr>
          <w:rFonts w:hint="eastAsia" w:ascii="仿宋" w:hAnsi="仿宋" w:eastAsia="仿宋" w:cs="仿宋"/>
          <w:sz w:val="28"/>
          <w:szCs w:val="28"/>
          <w:highlight w:val="none"/>
          <w:u w:val="single"/>
        </w:rPr>
      </w:pPr>
    </w:p>
    <w:p w14:paraId="0267111F">
      <w:pPr>
        <w:pStyle w:val="22"/>
        <w:ind w:firstLine="560"/>
        <w:rPr>
          <w:rFonts w:hint="eastAsia" w:ascii="仿宋" w:hAnsi="仿宋" w:eastAsia="仿宋" w:cs="仿宋"/>
          <w:sz w:val="28"/>
          <w:szCs w:val="28"/>
          <w:highlight w:val="none"/>
          <w:u w:val="single"/>
        </w:rPr>
      </w:pPr>
    </w:p>
    <w:p w14:paraId="341AEE4D">
      <w:pPr>
        <w:rPr>
          <w:rFonts w:hint="eastAsia" w:ascii="仿宋" w:hAnsi="仿宋" w:eastAsia="仿宋" w:cs="仿宋"/>
          <w:sz w:val="28"/>
          <w:szCs w:val="28"/>
          <w:highlight w:val="none"/>
          <w:u w:val="single"/>
        </w:rPr>
      </w:pPr>
    </w:p>
    <w:p w14:paraId="1F0D1A0D">
      <w:pPr>
        <w:pStyle w:val="22"/>
        <w:ind w:firstLine="560"/>
        <w:rPr>
          <w:rFonts w:hint="eastAsia" w:ascii="仿宋" w:hAnsi="仿宋" w:eastAsia="仿宋" w:cs="仿宋"/>
          <w:sz w:val="28"/>
          <w:szCs w:val="28"/>
          <w:highlight w:val="none"/>
          <w:u w:val="single"/>
        </w:rPr>
      </w:pPr>
    </w:p>
    <w:p w14:paraId="70930DAB">
      <w:pPr>
        <w:rPr>
          <w:rFonts w:hint="eastAsia" w:ascii="仿宋" w:hAnsi="仿宋" w:eastAsia="仿宋" w:cs="仿宋"/>
          <w:sz w:val="28"/>
          <w:szCs w:val="28"/>
          <w:highlight w:val="none"/>
          <w:u w:val="single"/>
        </w:rPr>
      </w:pPr>
    </w:p>
    <w:p w14:paraId="174051DF">
      <w:pPr>
        <w:pStyle w:val="22"/>
        <w:ind w:firstLine="560"/>
        <w:rPr>
          <w:rFonts w:hint="eastAsia" w:ascii="仿宋" w:hAnsi="仿宋" w:eastAsia="仿宋" w:cs="仿宋"/>
          <w:sz w:val="28"/>
          <w:szCs w:val="28"/>
          <w:highlight w:val="none"/>
          <w:u w:val="single"/>
        </w:rPr>
      </w:pPr>
    </w:p>
    <w:p w14:paraId="57A53A90">
      <w:pPr>
        <w:rPr>
          <w:rFonts w:hint="eastAsia" w:ascii="仿宋" w:hAnsi="仿宋" w:eastAsia="仿宋" w:cs="仿宋"/>
          <w:sz w:val="28"/>
          <w:szCs w:val="28"/>
          <w:highlight w:val="none"/>
          <w:u w:val="single"/>
        </w:rPr>
      </w:pPr>
    </w:p>
    <w:p w14:paraId="2BA16BC8">
      <w:pPr>
        <w:pStyle w:val="22"/>
        <w:ind w:firstLine="560"/>
        <w:rPr>
          <w:rFonts w:hint="eastAsia" w:ascii="仿宋" w:hAnsi="仿宋" w:eastAsia="仿宋" w:cs="仿宋"/>
          <w:sz w:val="28"/>
          <w:szCs w:val="28"/>
          <w:highlight w:val="none"/>
          <w:u w:val="single"/>
        </w:rPr>
      </w:pPr>
    </w:p>
    <w:p w14:paraId="37BFAB4D">
      <w:pPr>
        <w:rPr>
          <w:rFonts w:hint="eastAsia" w:ascii="宋体" w:hAnsi="宋体"/>
          <w:b/>
          <w:sz w:val="30"/>
          <w:highlight w:val="none"/>
        </w:rPr>
      </w:pPr>
    </w:p>
    <w:p w14:paraId="6432B5E5">
      <w:pPr>
        <w:jc w:val="center"/>
        <w:rPr>
          <w:rFonts w:hint="eastAsia" w:ascii="仿宋" w:hAnsi="仿宋" w:eastAsia="仿宋" w:cs="仿宋"/>
          <w:b/>
          <w:sz w:val="32"/>
          <w:szCs w:val="32"/>
          <w:highlight w:val="none"/>
        </w:rPr>
      </w:pPr>
    </w:p>
    <w:p w14:paraId="53D5D87F">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（十九）设备简要说明一览表</w:t>
      </w:r>
    </w:p>
    <w:p w14:paraId="17D9F8C3">
      <w:pPr>
        <w:rPr>
          <w:rFonts w:hint="eastAsia" w:ascii="宋体" w:hAnsi="宋体"/>
          <w:b/>
          <w:sz w:val="24"/>
          <w:highlight w:val="none"/>
        </w:rPr>
      </w:pPr>
    </w:p>
    <w:p w14:paraId="0A8997F7">
      <w:pP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招标编号/标段号：</w:t>
      </w:r>
      <w:r>
        <w:rPr>
          <w:rFonts w:hint="eastAsia" w:ascii="仿宋" w:hAnsi="仿宋" w:eastAsia="仿宋" w:cs="仿宋"/>
          <w:sz w:val="28"/>
          <w:szCs w:val="28"/>
          <w:highlight w:val="none"/>
          <w:u w:val="single"/>
        </w:rPr>
        <w:t>　　　　　　</w:t>
      </w:r>
    </w:p>
    <w:p w14:paraId="2323345E">
      <w:pPr>
        <w:rPr>
          <w:rFonts w:hint="eastAsia" w:ascii="宋体" w:hAnsi="宋体"/>
          <w:sz w:val="24"/>
          <w:highlight w:val="none"/>
          <w:u w:val="single"/>
        </w:rPr>
      </w:pPr>
    </w:p>
    <w:tbl>
      <w:tblPr>
        <w:tblStyle w:val="17"/>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78"/>
        <w:gridCol w:w="2008"/>
        <w:gridCol w:w="1807"/>
        <w:gridCol w:w="985"/>
        <w:gridCol w:w="1224"/>
        <w:gridCol w:w="1205"/>
      </w:tblGrid>
      <w:tr w14:paraId="1A10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753" w:type="dxa"/>
            <w:vAlign w:val="center"/>
          </w:tcPr>
          <w:p w14:paraId="65D00FE5">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978" w:type="dxa"/>
            <w:vAlign w:val="center"/>
          </w:tcPr>
          <w:p w14:paraId="17ABAD5C">
            <w:pPr>
              <w:jc w:val="center"/>
              <w:rPr>
                <w:rFonts w:hint="eastAsia" w:ascii="仿宋" w:hAnsi="仿宋" w:eastAsia="仿宋" w:cs="仿宋"/>
                <w:sz w:val="24"/>
                <w:highlight w:val="none"/>
              </w:rPr>
            </w:pPr>
            <w:r>
              <w:rPr>
                <w:rFonts w:hint="eastAsia" w:ascii="仿宋" w:hAnsi="仿宋" w:eastAsia="仿宋" w:cs="仿宋"/>
                <w:sz w:val="24"/>
                <w:highlight w:val="none"/>
              </w:rPr>
              <w:t>设备名称</w:t>
            </w:r>
          </w:p>
        </w:tc>
        <w:tc>
          <w:tcPr>
            <w:tcW w:w="2008" w:type="dxa"/>
            <w:vAlign w:val="center"/>
          </w:tcPr>
          <w:p w14:paraId="68008AAC">
            <w:pPr>
              <w:jc w:val="center"/>
              <w:rPr>
                <w:rFonts w:hint="eastAsia" w:ascii="仿宋" w:hAnsi="仿宋" w:eastAsia="仿宋" w:cs="仿宋"/>
                <w:sz w:val="24"/>
                <w:highlight w:val="none"/>
              </w:rPr>
            </w:pPr>
            <w:r>
              <w:rPr>
                <w:rFonts w:hint="eastAsia" w:ascii="仿宋" w:hAnsi="仿宋" w:eastAsia="仿宋" w:cs="仿宋"/>
                <w:sz w:val="24"/>
                <w:highlight w:val="none"/>
              </w:rPr>
              <w:t>规格型号及主要技术参数</w:t>
            </w:r>
          </w:p>
        </w:tc>
        <w:tc>
          <w:tcPr>
            <w:tcW w:w="1807" w:type="dxa"/>
            <w:vAlign w:val="center"/>
          </w:tcPr>
          <w:p w14:paraId="456D8FF2">
            <w:pPr>
              <w:jc w:val="center"/>
              <w:rPr>
                <w:rFonts w:hint="eastAsia" w:ascii="仿宋" w:hAnsi="仿宋" w:eastAsia="仿宋" w:cs="仿宋"/>
                <w:sz w:val="24"/>
                <w:highlight w:val="none"/>
              </w:rPr>
            </w:pPr>
            <w:r>
              <w:rPr>
                <w:rFonts w:hint="eastAsia" w:ascii="仿宋" w:hAnsi="仿宋" w:eastAsia="仿宋" w:cs="仿宋"/>
                <w:sz w:val="24"/>
                <w:highlight w:val="none"/>
              </w:rPr>
              <w:t>性能说明</w:t>
            </w:r>
          </w:p>
        </w:tc>
        <w:tc>
          <w:tcPr>
            <w:tcW w:w="985" w:type="dxa"/>
            <w:vAlign w:val="center"/>
          </w:tcPr>
          <w:p w14:paraId="4EA3C536">
            <w:pPr>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数量</w:t>
            </w:r>
          </w:p>
        </w:tc>
        <w:tc>
          <w:tcPr>
            <w:tcW w:w="1224" w:type="dxa"/>
            <w:vAlign w:val="center"/>
          </w:tcPr>
          <w:p w14:paraId="6000A4EF">
            <w:pPr>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单位</w:t>
            </w:r>
          </w:p>
        </w:tc>
        <w:tc>
          <w:tcPr>
            <w:tcW w:w="1205" w:type="dxa"/>
            <w:vAlign w:val="center"/>
          </w:tcPr>
          <w:p w14:paraId="3A9524D3">
            <w:pPr>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17D9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trPr>
        <w:tc>
          <w:tcPr>
            <w:tcW w:w="753" w:type="dxa"/>
            <w:vAlign w:val="center"/>
          </w:tcPr>
          <w:p w14:paraId="5B907D60">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978" w:type="dxa"/>
            <w:vAlign w:val="center"/>
          </w:tcPr>
          <w:p w14:paraId="2A2C30CF">
            <w:pPr>
              <w:jc w:val="center"/>
              <w:rPr>
                <w:rFonts w:hint="eastAsia" w:ascii="仿宋" w:hAnsi="仿宋" w:eastAsia="仿宋" w:cs="仿宋"/>
                <w:sz w:val="24"/>
                <w:highlight w:val="none"/>
              </w:rPr>
            </w:pPr>
          </w:p>
        </w:tc>
        <w:tc>
          <w:tcPr>
            <w:tcW w:w="2008" w:type="dxa"/>
            <w:vAlign w:val="center"/>
          </w:tcPr>
          <w:p w14:paraId="199C2B98">
            <w:pPr>
              <w:jc w:val="center"/>
              <w:rPr>
                <w:rFonts w:hint="eastAsia" w:ascii="仿宋" w:hAnsi="仿宋" w:eastAsia="仿宋" w:cs="仿宋"/>
                <w:sz w:val="24"/>
                <w:highlight w:val="none"/>
              </w:rPr>
            </w:pPr>
          </w:p>
        </w:tc>
        <w:tc>
          <w:tcPr>
            <w:tcW w:w="1807" w:type="dxa"/>
            <w:vAlign w:val="center"/>
          </w:tcPr>
          <w:p w14:paraId="4A1C663F">
            <w:pPr>
              <w:jc w:val="center"/>
              <w:rPr>
                <w:rFonts w:hint="eastAsia" w:ascii="仿宋" w:hAnsi="仿宋" w:eastAsia="仿宋" w:cs="仿宋"/>
                <w:sz w:val="24"/>
                <w:highlight w:val="none"/>
              </w:rPr>
            </w:pPr>
          </w:p>
        </w:tc>
        <w:tc>
          <w:tcPr>
            <w:tcW w:w="985" w:type="dxa"/>
            <w:vAlign w:val="center"/>
          </w:tcPr>
          <w:p w14:paraId="74F4D717">
            <w:pPr>
              <w:jc w:val="center"/>
              <w:rPr>
                <w:rFonts w:hint="eastAsia" w:ascii="仿宋" w:hAnsi="仿宋" w:eastAsia="仿宋" w:cs="仿宋"/>
                <w:sz w:val="24"/>
                <w:highlight w:val="none"/>
              </w:rPr>
            </w:pPr>
          </w:p>
        </w:tc>
        <w:tc>
          <w:tcPr>
            <w:tcW w:w="1224" w:type="dxa"/>
            <w:vAlign w:val="center"/>
          </w:tcPr>
          <w:p w14:paraId="54C6960E">
            <w:pPr>
              <w:jc w:val="center"/>
              <w:rPr>
                <w:rFonts w:hint="eastAsia" w:ascii="仿宋" w:hAnsi="仿宋" w:eastAsia="仿宋" w:cs="仿宋"/>
                <w:sz w:val="24"/>
                <w:highlight w:val="none"/>
              </w:rPr>
            </w:pPr>
          </w:p>
        </w:tc>
        <w:tc>
          <w:tcPr>
            <w:tcW w:w="1205" w:type="dxa"/>
            <w:vAlign w:val="center"/>
          </w:tcPr>
          <w:p w14:paraId="1F4741D1">
            <w:pPr>
              <w:jc w:val="center"/>
              <w:rPr>
                <w:rFonts w:hint="eastAsia" w:ascii="仿宋" w:hAnsi="仿宋" w:eastAsia="仿宋" w:cs="仿宋"/>
                <w:sz w:val="24"/>
                <w:highlight w:val="none"/>
              </w:rPr>
            </w:pPr>
          </w:p>
        </w:tc>
      </w:tr>
      <w:tr w14:paraId="63F6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trPr>
        <w:tc>
          <w:tcPr>
            <w:tcW w:w="753" w:type="dxa"/>
            <w:vAlign w:val="center"/>
          </w:tcPr>
          <w:p w14:paraId="275F192A">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978" w:type="dxa"/>
            <w:vAlign w:val="center"/>
          </w:tcPr>
          <w:p w14:paraId="5A6CC7AF">
            <w:pPr>
              <w:jc w:val="center"/>
              <w:rPr>
                <w:rFonts w:hint="eastAsia" w:ascii="仿宋" w:hAnsi="仿宋" w:eastAsia="仿宋" w:cs="仿宋"/>
                <w:sz w:val="24"/>
                <w:highlight w:val="none"/>
              </w:rPr>
            </w:pPr>
          </w:p>
        </w:tc>
        <w:tc>
          <w:tcPr>
            <w:tcW w:w="2008" w:type="dxa"/>
            <w:vAlign w:val="center"/>
          </w:tcPr>
          <w:p w14:paraId="6C56FBED">
            <w:pPr>
              <w:jc w:val="center"/>
              <w:rPr>
                <w:rFonts w:hint="eastAsia" w:ascii="仿宋" w:hAnsi="仿宋" w:eastAsia="仿宋" w:cs="仿宋"/>
                <w:sz w:val="24"/>
                <w:highlight w:val="none"/>
              </w:rPr>
            </w:pPr>
          </w:p>
        </w:tc>
        <w:tc>
          <w:tcPr>
            <w:tcW w:w="1807" w:type="dxa"/>
            <w:vAlign w:val="center"/>
          </w:tcPr>
          <w:p w14:paraId="09124B2A">
            <w:pPr>
              <w:jc w:val="center"/>
              <w:rPr>
                <w:rFonts w:hint="eastAsia" w:ascii="仿宋" w:hAnsi="仿宋" w:eastAsia="仿宋" w:cs="仿宋"/>
                <w:sz w:val="24"/>
                <w:highlight w:val="none"/>
              </w:rPr>
            </w:pPr>
          </w:p>
        </w:tc>
        <w:tc>
          <w:tcPr>
            <w:tcW w:w="985" w:type="dxa"/>
            <w:vAlign w:val="center"/>
          </w:tcPr>
          <w:p w14:paraId="0C76391C">
            <w:pPr>
              <w:jc w:val="center"/>
              <w:rPr>
                <w:rFonts w:hint="eastAsia" w:ascii="仿宋" w:hAnsi="仿宋" w:eastAsia="仿宋" w:cs="仿宋"/>
                <w:sz w:val="24"/>
                <w:highlight w:val="none"/>
              </w:rPr>
            </w:pPr>
          </w:p>
        </w:tc>
        <w:tc>
          <w:tcPr>
            <w:tcW w:w="1224" w:type="dxa"/>
            <w:vAlign w:val="center"/>
          </w:tcPr>
          <w:p w14:paraId="3803E6B0">
            <w:pPr>
              <w:jc w:val="center"/>
              <w:rPr>
                <w:rFonts w:hint="eastAsia" w:ascii="仿宋" w:hAnsi="仿宋" w:eastAsia="仿宋" w:cs="仿宋"/>
                <w:sz w:val="24"/>
                <w:highlight w:val="none"/>
              </w:rPr>
            </w:pPr>
          </w:p>
        </w:tc>
        <w:tc>
          <w:tcPr>
            <w:tcW w:w="1205" w:type="dxa"/>
            <w:vAlign w:val="center"/>
          </w:tcPr>
          <w:p w14:paraId="68E91657">
            <w:pPr>
              <w:jc w:val="center"/>
              <w:rPr>
                <w:rFonts w:hint="eastAsia" w:ascii="仿宋" w:hAnsi="仿宋" w:eastAsia="仿宋" w:cs="仿宋"/>
                <w:sz w:val="24"/>
                <w:highlight w:val="none"/>
              </w:rPr>
            </w:pPr>
          </w:p>
        </w:tc>
      </w:tr>
      <w:tr w14:paraId="2761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trPr>
        <w:tc>
          <w:tcPr>
            <w:tcW w:w="753" w:type="dxa"/>
            <w:vAlign w:val="center"/>
          </w:tcPr>
          <w:p w14:paraId="35F2DA77">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978" w:type="dxa"/>
            <w:vAlign w:val="center"/>
          </w:tcPr>
          <w:p w14:paraId="78CB68E9">
            <w:pPr>
              <w:jc w:val="center"/>
              <w:rPr>
                <w:rFonts w:hint="eastAsia" w:ascii="仿宋" w:hAnsi="仿宋" w:eastAsia="仿宋" w:cs="仿宋"/>
                <w:sz w:val="24"/>
                <w:highlight w:val="none"/>
              </w:rPr>
            </w:pPr>
          </w:p>
        </w:tc>
        <w:tc>
          <w:tcPr>
            <w:tcW w:w="2008" w:type="dxa"/>
            <w:vAlign w:val="center"/>
          </w:tcPr>
          <w:p w14:paraId="0BA00396">
            <w:pPr>
              <w:jc w:val="center"/>
              <w:rPr>
                <w:rFonts w:hint="eastAsia" w:ascii="仿宋" w:hAnsi="仿宋" w:eastAsia="仿宋" w:cs="仿宋"/>
                <w:sz w:val="24"/>
                <w:highlight w:val="none"/>
              </w:rPr>
            </w:pPr>
          </w:p>
        </w:tc>
        <w:tc>
          <w:tcPr>
            <w:tcW w:w="1807" w:type="dxa"/>
            <w:vAlign w:val="center"/>
          </w:tcPr>
          <w:p w14:paraId="1761A8D8">
            <w:pPr>
              <w:jc w:val="center"/>
              <w:rPr>
                <w:rFonts w:hint="eastAsia" w:ascii="仿宋" w:hAnsi="仿宋" w:eastAsia="仿宋" w:cs="仿宋"/>
                <w:sz w:val="24"/>
                <w:highlight w:val="none"/>
              </w:rPr>
            </w:pPr>
          </w:p>
        </w:tc>
        <w:tc>
          <w:tcPr>
            <w:tcW w:w="985" w:type="dxa"/>
            <w:vAlign w:val="center"/>
          </w:tcPr>
          <w:p w14:paraId="48F61E78">
            <w:pPr>
              <w:jc w:val="center"/>
              <w:rPr>
                <w:rFonts w:hint="eastAsia" w:ascii="仿宋" w:hAnsi="仿宋" w:eastAsia="仿宋" w:cs="仿宋"/>
                <w:sz w:val="24"/>
                <w:highlight w:val="none"/>
              </w:rPr>
            </w:pPr>
          </w:p>
        </w:tc>
        <w:tc>
          <w:tcPr>
            <w:tcW w:w="1224" w:type="dxa"/>
            <w:vAlign w:val="center"/>
          </w:tcPr>
          <w:p w14:paraId="06CE4EF8">
            <w:pPr>
              <w:jc w:val="center"/>
              <w:rPr>
                <w:rFonts w:hint="eastAsia" w:ascii="仿宋" w:hAnsi="仿宋" w:eastAsia="仿宋" w:cs="仿宋"/>
                <w:sz w:val="24"/>
                <w:highlight w:val="none"/>
              </w:rPr>
            </w:pPr>
          </w:p>
        </w:tc>
        <w:tc>
          <w:tcPr>
            <w:tcW w:w="1205" w:type="dxa"/>
            <w:vAlign w:val="center"/>
          </w:tcPr>
          <w:p w14:paraId="3E97E01D">
            <w:pPr>
              <w:jc w:val="center"/>
              <w:rPr>
                <w:rFonts w:hint="eastAsia" w:ascii="仿宋" w:hAnsi="仿宋" w:eastAsia="仿宋" w:cs="仿宋"/>
                <w:sz w:val="24"/>
                <w:highlight w:val="none"/>
              </w:rPr>
            </w:pPr>
          </w:p>
        </w:tc>
      </w:tr>
      <w:tr w14:paraId="47CA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trPr>
        <w:tc>
          <w:tcPr>
            <w:tcW w:w="753" w:type="dxa"/>
            <w:vAlign w:val="center"/>
          </w:tcPr>
          <w:p w14:paraId="3C6CCBF5">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978" w:type="dxa"/>
            <w:vAlign w:val="center"/>
          </w:tcPr>
          <w:p w14:paraId="45763B2F">
            <w:pPr>
              <w:jc w:val="center"/>
              <w:rPr>
                <w:rFonts w:hint="eastAsia" w:ascii="仿宋" w:hAnsi="仿宋" w:eastAsia="仿宋" w:cs="仿宋"/>
                <w:sz w:val="24"/>
                <w:highlight w:val="none"/>
              </w:rPr>
            </w:pPr>
          </w:p>
        </w:tc>
        <w:tc>
          <w:tcPr>
            <w:tcW w:w="2008" w:type="dxa"/>
            <w:vAlign w:val="center"/>
          </w:tcPr>
          <w:p w14:paraId="1C930035">
            <w:pPr>
              <w:jc w:val="center"/>
              <w:rPr>
                <w:rFonts w:hint="eastAsia" w:ascii="仿宋" w:hAnsi="仿宋" w:eastAsia="仿宋" w:cs="仿宋"/>
                <w:sz w:val="24"/>
                <w:highlight w:val="none"/>
              </w:rPr>
            </w:pPr>
          </w:p>
        </w:tc>
        <w:tc>
          <w:tcPr>
            <w:tcW w:w="1807" w:type="dxa"/>
            <w:vAlign w:val="center"/>
          </w:tcPr>
          <w:p w14:paraId="0CD29F34">
            <w:pPr>
              <w:jc w:val="center"/>
              <w:rPr>
                <w:rFonts w:hint="eastAsia" w:ascii="仿宋" w:hAnsi="仿宋" w:eastAsia="仿宋" w:cs="仿宋"/>
                <w:sz w:val="24"/>
                <w:highlight w:val="none"/>
              </w:rPr>
            </w:pPr>
          </w:p>
        </w:tc>
        <w:tc>
          <w:tcPr>
            <w:tcW w:w="985" w:type="dxa"/>
            <w:vAlign w:val="center"/>
          </w:tcPr>
          <w:p w14:paraId="17CD6A20">
            <w:pPr>
              <w:jc w:val="center"/>
              <w:rPr>
                <w:rFonts w:hint="eastAsia" w:ascii="仿宋" w:hAnsi="仿宋" w:eastAsia="仿宋" w:cs="仿宋"/>
                <w:sz w:val="24"/>
                <w:highlight w:val="none"/>
              </w:rPr>
            </w:pPr>
          </w:p>
        </w:tc>
        <w:tc>
          <w:tcPr>
            <w:tcW w:w="1224" w:type="dxa"/>
            <w:vAlign w:val="center"/>
          </w:tcPr>
          <w:p w14:paraId="5EFFECA7">
            <w:pPr>
              <w:jc w:val="center"/>
              <w:rPr>
                <w:rFonts w:hint="eastAsia" w:ascii="仿宋" w:hAnsi="仿宋" w:eastAsia="仿宋" w:cs="仿宋"/>
                <w:sz w:val="24"/>
                <w:highlight w:val="none"/>
              </w:rPr>
            </w:pPr>
          </w:p>
        </w:tc>
        <w:tc>
          <w:tcPr>
            <w:tcW w:w="1205" w:type="dxa"/>
            <w:vAlign w:val="center"/>
          </w:tcPr>
          <w:p w14:paraId="68636692">
            <w:pPr>
              <w:jc w:val="center"/>
              <w:rPr>
                <w:rFonts w:hint="eastAsia" w:ascii="仿宋" w:hAnsi="仿宋" w:eastAsia="仿宋" w:cs="仿宋"/>
                <w:sz w:val="24"/>
                <w:highlight w:val="none"/>
              </w:rPr>
            </w:pPr>
          </w:p>
        </w:tc>
      </w:tr>
      <w:tr w14:paraId="6B06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2ECCB9B7">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978" w:type="dxa"/>
            <w:vAlign w:val="center"/>
          </w:tcPr>
          <w:p w14:paraId="263D9E28">
            <w:pPr>
              <w:jc w:val="center"/>
              <w:rPr>
                <w:rFonts w:hint="eastAsia" w:ascii="仿宋" w:hAnsi="仿宋" w:eastAsia="仿宋" w:cs="仿宋"/>
                <w:sz w:val="24"/>
                <w:highlight w:val="none"/>
              </w:rPr>
            </w:pPr>
          </w:p>
        </w:tc>
        <w:tc>
          <w:tcPr>
            <w:tcW w:w="2008" w:type="dxa"/>
            <w:vAlign w:val="center"/>
          </w:tcPr>
          <w:p w14:paraId="1F9FE528">
            <w:pPr>
              <w:jc w:val="center"/>
              <w:rPr>
                <w:rFonts w:hint="eastAsia" w:ascii="仿宋" w:hAnsi="仿宋" w:eastAsia="仿宋" w:cs="仿宋"/>
                <w:sz w:val="24"/>
                <w:highlight w:val="none"/>
              </w:rPr>
            </w:pPr>
          </w:p>
        </w:tc>
        <w:tc>
          <w:tcPr>
            <w:tcW w:w="1807" w:type="dxa"/>
            <w:vAlign w:val="center"/>
          </w:tcPr>
          <w:p w14:paraId="32B731D9">
            <w:pPr>
              <w:jc w:val="center"/>
              <w:rPr>
                <w:rFonts w:hint="eastAsia" w:ascii="仿宋" w:hAnsi="仿宋" w:eastAsia="仿宋" w:cs="仿宋"/>
                <w:sz w:val="24"/>
                <w:highlight w:val="none"/>
              </w:rPr>
            </w:pPr>
          </w:p>
        </w:tc>
        <w:tc>
          <w:tcPr>
            <w:tcW w:w="985" w:type="dxa"/>
            <w:vAlign w:val="center"/>
          </w:tcPr>
          <w:p w14:paraId="308254E4">
            <w:pPr>
              <w:jc w:val="center"/>
              <w:rPr>
                <w:rFonts w:hint="eastAsia" w:ascii="仿宋" w:hAnsi="仿宋" w:eastAsia="仿宋" w:cs="仿宋"/>
                <w:sz w:val="24"/>
                <w:highlight w:val="none"/>
              </w:rPr>
            </w:pPr>
          </w:p>
        </w:tc>
        <w:tc>
          <w:tcPr>
            <w:tcW w:w="1224" w:type="dxa"/>
            <w:vAlign w:val="center"/>
          </w:tcPr>
          <w:p w14:paraId="6B0049C3">
            <w:pPr>
              <w:jc w:val="center"/>
              <w:rPr>
                <w:rFonts w:hint="eastAsia" w:ascii="仿宋" w:hAnsi="仿宋" w:eastAsia="仿宋" w:cs="仿宋"/>
                <w:sz w:val="24"/>
                <w:highlight w:val="none"/>
              </w:rPr>
            </w:pPr>
          </w:p>
        </w:tc>
        <w:tc>
          <w:tcPr>
            <w:tcW w:w="1205" w:type="dxa"/>
            <w:vAlign w:val="center"/>
          </w:tcPr>
          <w:p w14:paraId="54274AF6">
            <w:pPr>
              <w:jc w:val="center"/>
              <w:rPr>
                <w:rFonts w:hint="eastAsia" w:ascii="仿宋" w:hAnsi="仿宋" w:eastAsia="仿宋" w:cs="仿宋"/>
                <w:sz w:val="24"/>
                <w:highlight w:val="none"/>
              </w:rPr>
            </w:pPr>
          </w:p>
        </w:tc>
      </w:tr>
      <w:tr w14:paraId="51B1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2F16E2D9">
            <w:pPr>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1978" w:type="dxa"/>
            <w:vAlign w:val="center"/>
          </w:tcPr>
          <w:p w14:paraId="3A1AC116">
            <w:pPr>
              <w:jc w:val="center"/>
              <w:rPr>
                <w:rFonts w:hint="eastAsia" w:ascii="仿宋" w:hAnsi="仿宋" w:eastAsia="仿宋" w:cs="仿宋"/>
                <w:sz w:val="24"/>
                <w:highlight w:val="none"/>
              </w:rPr>
            </w:pPr>
          </w:p>
        </w:tc>
        <w:tc>
          <w:tcPr>
            <w:tcW w:w="2008" w:type="dxa"/>
            <w:vAlign w:val="center"/>
          </w:tcPr>
          <w:p w14:paraId="21293021">
            <w:pPr>
              <w:jc w:val="center"/>
              <w:rPr>
                <w:rFonts w:hint="eastAsia" w:ascii="仿宋" w:hAnsi="仿宋" w:eastAsia="仿宋" w:cs="仿宋"/>
                <w:sz w:val="24"/>
                <w:highlight w:val="none"/>
              </w:rPr>
            </w:pPr>
          </w:p>
        </w:tc>
        <w:tc>
          <w:tcPr>
            <w:tcW w:w="1807" w:type="dxa"/>
            <w:vAlign w:val="center"/>
          </w:tcPr>
          <w:p w14:paraId="19533421">
            <w:pPr>
              <w:jc w:val="center"/>
              <w:rPr>
                <w:rFonts w:hint="eastAsia" w:ascii="仿宋" w:hAnsi="仿宋" w:eastAsia="仿宋" w:cs="仿宋"/>
                <w:sz w:val="24"/>
                <w:highlight w:val="none"/>
              </w:rPr>
            </w:pPr>
          </w:p>
        </w:tc>
        <w:tc>
          <w:tcPr>
            <w:tcW w:w="985" w:type="dxa"/>
            <w:vAlign w:val="center"/>
          </w:tcPr>
          <w:p w14:paraId="0B6829E2">
            <w:pPr>
              <w:jc w:val="center"/>
              <w:rPr>
                <w:rFonts w:hint="eastAsia" w:ascii="仿宋" w:hAnsi="仿宋" w:eastAsia="仿宋" w:cs="仿宋"/>
                <w:sz w:val="24"/>
                <w:highlight w:val="none"/>
              </w:rPr>
            </w:pPr>
          </w:p>
        </w:tc>
        <w:tc>
          <w:tcPr>
            <w:tcW w:w="1224" w:type="dxa"/>
            <w:vAlign w:val="center"/>
          </w:tcPr>
          <w:p w14:paraId="797588B0">
            <w:pPr>
              <w:jc w:val="center"/>
              <w:rPr>
                <w:rFonts w:hint="eastAsia" w:ascii="仿宋" w:hAnsi="仿宋" w:eastAsia="仿宋" w:cs="仿宋"/>
                <w:sz w:val="24"/>
                <w:highlight w:val="none"/>
              </w:rPr>
            </w:pPr>
          </w:p>
        </w:tc>
        <w:tc>
          <w:tcPr>
            <w:tcW w:w="1205" w:type="dxa"/>
            <w:vAlign w:val="center"/>
          </w:tcPr>
          <w:p w14:paraId="1B9E196B">
            <w:pPr>
              <w:jc w:val="center"/>
              <w:rPr>
                <w:rFonts w:hint="eastAsia" w:ascii="仿宋" w:hAnsi="仿宋" w:eastAsia="仿宋" w:cs="仿宋"/>
                <w:sz w:val="24"/>
                <w:highlight w:val="none"/>
              </w:rPr>
            </w:pPr>
          </w:p>
        </w:tc>
      </w:tr>
      <w:tr w14:paraId="24A2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53" w:type="dxa"/>
            <w:vAlign w:val="center"/>
          </w:tcPr>
          <w:p w14:paraId="78769F0A">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1978" w:type="dxa"/>
            <w:vAlign w:val="center"/>
          </w:tcPr>
          <w:p w14:paraId="1C41D448">
            <w:pPr>
              <w:jc w:val="center"/>
              <w:rPr>
                <w:rFonts w:hint="eastAsia" w:ascii="仿宋" w:hAnsi="仿宋" w:eastAsia="仿宋" w:cs="仿宋"/>
                <w:sz w:val="24"/>
                <w:highlight w:val="none"/>
              </w:rPr>
            </w:pPr>
          </w:p>
        </w:tc>
        <w:tc>
          <w:tcPr>
            <w:tcW w:w="2008" w:type="dxa"/>
            <w:vAlign w:val="center"/>
          </w:tcPr>
          <w:p w14:paraId="02FCDB91">
            <w:pPr>
              <w:jc w:val="center"/>
              <w:rPr>
                <w:rFonts w:hint="eastAsia" w:ascii="仿宋" w:hAnsi="仿宋" w:eastAsia="仿宋" w:cs="仿宋"/>
                <w:sz w:val="24"/>
                <w:highlight w:val="none"/>
              </w:rPr>
            </w:pPr>
          </w:p>
        </w:tc>
        <w:tc>
          <w:tcPr>
            <w:tcW w:w="1807" w:type="dxa"/>
            <w:vAlign w:val="center"/>
          </w:tcPr>
          <w:p w14:paraId="6E9CB4FB">
            <w:pPr>
              <w:jc w:val="center"/>
              <w:rPr>
                <w:rFonts w:hint="eastAsia" w:ascii="仿宋" w:hAnsi="仿宋" w:eastAsia="仿宋" w:cs="仿宋"/>
                <w:sz w:val="24"/>
                <w:highlight w:val="none"/>
              </w:rPr>
            </w:pPr>
          </w:p>
        </w:tc>
        <w:tc>
          <w:tcPr>
            <w:tcW w:w="985" w:type="dxa"/>
            <w:vAlign w:val="center"/>
          </w:tcPr>
          <w:p w14:paraId="7ABAC96D">
            <w:pPr>
              <w:jc w:val="center"/>
              <w:rPr>
                <w:rFonts w:hint="eastAsia" w:ascii="仿宋" w:hAnsi="仿宋" w:eastAsia="仿宋" w:cs="仿宋"/>
                <w:sz w:val="24"/>
                <w:highlight w:val="none"/>
              </w:rPr>
            </w:pPr>
          </w:p>
        </w:tc>
        <w:tc>
          <w:tcPr>
            <w:tcW w:w="1224" w:type="dxa"/>
            <w:vAlign w:val="center"/>
          </w:tcPr>
          <w:p w14:paraId="37295AAA">
            <w:pPr>
              <w:jc w:val="center"/>
              <w:rPr>
                <w:rFonts w:hint="eastAsia" w:ascii="仿宋" w:hAnsi="仿宋" w:eastAsia="仿宋" w:cs="仿宋"/>
                <w:sz w:val="24"/>
                <w:highlight w:val="none"/>
              </w:rPr>
            </w:pPr>
          </w:p>
        </w:tc>
        <w:tc>
          <w:tcPr>
            <w:tcW w:w="1205" w:type="dxa"/>
            <w:vAlign w:val="center"/>
          </w:tcPr>
          <w:p w14:paraId="5FBFCE0B">
            <w:pPr>
              <w:jc w:val="center"/>
              <w:rPr>
                <w:rFonts w:hint="eastAsia" w:ascii="仿宋" w:hAnsi="仿宋" w:eastAsia="仿宋" w:cs="仿宋"/>
                <w:sz w:val="24"/>
                <w:highlight w:val="none"/>
              </w:rPr>
            </w:pPr>
          </w:p>
        </w:tc>
      </w:tr>
    </w:tbl>
    <w:p w14:paraId="2C367D35">
      <w:pPr>
        <w:rPr>
          <w:rFonts w:hint="eastAsia" w:ascii="仿宋" w:hAnsi="仿宋" w:eastAsia="仿宋" w:cs="仿宋"/>
          <w:sz w:val="28"/>
          <w:szCs w:val="28"/>
          <w:highlight w:val="none"/>
        </w:rPr>
      </w:pPr>
    </w:p>
    <w:p w14:paraId="4EE609BE">
      <w:pPr>
        <w:rPr>
          <w:rFonts w:hint="eastAsia" w:ascii="仿宋" w:hAnsi="仿宋" w:eastAsia="仿宋" w:cs="仿宋"/>
          <w:sz w:val="28"/>
          <w:szCs w:val="28"/>
          <w:highlight w:val="none"/>
        </w:rPr>
      </w:pPr>
      <w:r>
        <w:rPr>
          <w:rFonts w:hint="eastAsia" w:ascii="仿宋" w:hAnsi="仿宋" w:eastAsia="仿宋" w:cs="仿宋"/>
          <w:sz w:val="28"/>
          <w:szCs w:val="28"/>
          <w:highlight w:val="none"/>
        </w:rPr>
        <w:t>注：此表需详列投标的每种设备。</w:t>
      </w:r>
    </w:p>
    <w:p w14:paraId="6547F520">
      <w:pPr>
        <w:rPr>
          <w:rFonts w:hint="eastAsia" w:ascii="仿宋" w:hAnsi="仿宋" w:eastAsia="仿宋" w:cs="仿宋"/>
          <w:sz w:val="28"/>
          <w:szCs w:val="28"/>
          <w:highlight w:val="none"/>
        </w:rPr>
      </w:pPr>
    </w:p>
    <w:p w14:paraId="5C04EAFA">
      <w:pPr>
        <w:ind w:left="2880" w:hanging="28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投标人代表签字：</w:t>
      </w:r>
      <w:r>
        <w:rPr>
          <w:rFonts w:hint="eastAsia" w:ascii="仿宋" w:hAnsi="仿宋" w:eastAsia="仿宋" w:cs="仿宋"/>
          <w:sz w:val="28"/>
          <w:szCs w:val="28"/>
          <w:highlight w:val="none"/>
          <w:u w:val="single"/>
        </w:rPr>
        <w:t>　　　　　　　　　　　　　　　</w:t>
      </w:r>
    </w:p>
    <w:p w14:paraId="12317A1C">
      <w:pPr>
        <w:rPr>
          <w:rFonts w:hint="eastAsia" w:ascii="宋体" w:hAnsi="宋体"/>
          <w:sz w:val="24"/>
          <w:highlight w:val="none"/>
        </w:rPr>
      </w:pPr>
      <w:r>
        <w:rPr>
          <w:rFonts w:hint="eastAsia" w:ascii="宋体" w:hAnsi="宋体"/>
          <w:b/>
          <w:sz w:val="30"/>
          <w:highlight w:val="none"/>
        </w:rPr>
        <w:t xml:space="preserve"> </w:t>
      </w:r>
    </w:p>
    <w:p w14:paraId="182AA5C8">
      <w:pPr>
        <w:pStyle w:val="22"/>
        <w:ind w:firstLine="602"/>
        <w:rPr>
          <w:rFonts w:hint="eastAsia" w:hAnsi="宋体"/>
          <w:b/>
          <w:sz w:val="30"/>
          <w:highlight w:val="none"/>
        </w:rPr>
      </w:pPr>
    </w:p>
    <w:p w14:paraId="1B963C69">
      <w:pPr>
        <w:rPr>
          <w:highlight w:val="none"/>
        </w:rPr>
      </w:pPr>
    </w:p>
    <w:p w14:paraId="27700DA4">
      <w:pPr>
        <w:ind w:firstLine="3200" w:firstLineChars="1000"/>
        <w:rPr>
          <w:rFonts w:hint="eastAsia" w:ascii="仿宋" w:hAnsi="仿宋" w:eastAsia="仿宋" w:cs="仿宋"/>
          <w:b/>
          <w:sz w:val="32"/>
          <w:szCs w:val="32"/>
          <w:highlight w:val="none"/>
        </w:rPr>
      </w:pPr>
    </w:p>
    <w:p w14:paraId="71D4CE5F">
      <w:pPr>
        <w:ind w:firstLine="3200" w:firstLineChars="1000"/>
        <w:rPr>
          <w:rFonts w:hint="eastAsia" w:ascii="仿宋" w:hAnsi="仿宋" w:eastAsia="仿宋" w:cs="仿宋"/>
          <w:b/>
          <w:sz w:val="32"/>
          <w:szCs w:val="32"/>
          <w:highlight w:val="none"/>
        </w:rPr>
      </w:pPr>
    </w:p>
    <w:p w14:paraId="7DC5C46D">
      <w:pPr>
        <w:ind w:firstLine="3200" w:firstLineChars="1000"/>
        <w:rPr>
          <w:rFonts w:hint="eastAsia" w:ascii="仿宋" w:hAnsi="仿宋" w:eastAsia="仿宋" w:cs="仿宋"/>
          <w:b/>
          <w:sz w:val="32"/>
          <w:szCs w:val="32"/>
          <w:highlight w:val="none"/>
        </w:rPr>
      </w:pPr>
    </w:p>
    <w:p w14:paraId="14BC0DB3">
      <w:pPr>
        <w:ind w:firstLine="3200" w:firstLineChars="1000"/>
        <w:rPr>
          <w:rFonts w:hint="eastAsia" w:ascii="仿宋" w:hAnsi="仿宋" w:eastAsia="仿宋" w:cs="仿宋"/>
          <w:b/>
          <w:sz w:val="32"/>
          <w:szCs w:val="32"/>
          <w:highlight w:val="none"/>
        </w:rPr>
      </w:pPr>
    </w:p>
    <w:p w14:paraId="0C994A80">
      <w:pPr>
        <w:ind w:firstLine="3200" w:firstLineChars="1000"/>
        <w:rPr>
          <w:rFonts w:hint="eastAsia" w:ascii="仿宋" w:hAnsi="仿宋" w:eastAsia="仿宋" w:cs="仿宋"/>
          <w:b/>
          <w:sz w:val="32"/>
          <w:szCs w:val="32"/>
          <w:highlight w:val="none"/>
        </w:rPr>
      </w:pPr>
    </w:p>
    <w:p w14:paraId="514719E6">
      <w:pPr>
        <w:ind w:firstLine="3200" w:firstLineChars="1000"/>
        <w:rPr>
          <w:rFonts w:hint="eastAsia" w:ascii="仿宋" w:hAnsi="仿宋" w:eastAsia="仿宋" w:cs="仿宋"/>
          <w:b/>
          <w:sz w:val="32"/>
          <w:szCs w:val="32"/>
          <w:highlight w:val="none"/>
        </w:rPr>
      </w:pPr>
    </w:p>
    <w:p w14:paraId="210833AD">
      <w:pPr>
        <w:pStyle w:val="4"/>
        <w:ind w:firstLine="0"/>
        <w:rPr>
          <w:rFonts w:hint="eastAsia" w:ascii="仿宋" w:hAnsi="仿宋" w:eastAsia="仿宋" w:cs="仿宋"/>
          <w:b/>
          <w:sz w:val="32"/>
          <w:szCs w:val="32"/>
          <w:highlight w:val="none"/>
        </w:rPr>
      </w:pPr>
    </w:p>
    <w:p w14:paraId="683D50CA">
      <w:pPr>
        <w:rPr>
          <w:highlight w:val="none"/>
        </w:rPr>
      </w:pPr>
    </w:p>
    <w:p w14:paraId="3D8B874A">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（二十）法人代表授权书格式</w:t>
      </w:r>
    </w:p>
    <w:p w14:paraId="2ADC8F76">
      <w:pPr>
        <w:pStyle w:val="22"/>
        <w:ind w:firstLine="420"/>
        <w:rPr>
          <w:highlight w:val="none"/>
        </w:rPr>
      </w:pPr>
    </w:p>
    <w:p w14:paraId="655FBB79">
      <w:pPr>
        <w:pStyle w:val="7"/>
        <w:spacing w:line="240" w:lineRule="auto"/>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本授权书声明：注册于</w:t>
      </w:r>
      <w:r>
        <w:rPr>
          <w:rFonts w:hint="eastAsia" w:ascii="仿宋" w:hAnsi="仿宋" w:eastAsia="仿宋" w:cs="仿宋"/>
          <w:sz w:val="28"/>
          <w:szCs w:val="28"/>
          <w:highlight w:val="none"/>
          <w:u w:val="single"/>
        </w:rPr>
        <w:t>（地区的名称）</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rPr>
        <w:t>（公司名称）</w:t>
      </w:r>
      <w:r>
        <w:rPr>
          <w:rFonts w:hint="eastAsia" w:ascii="仿宋" w:hAnsi="仿宋" w:eastAsia="仿宋" w:cs="仿宋"/>
          <w:sz w:val="28"/>
          <w:szCs w:val="28"/>
          <w:highlight w:val="none"/>
        </w:rPr>
        <w:t>，在下面签字的法人代表</w:t>
      </w:r>
      <w:r>
        <w:rPr>
          <w:rFonts w:hint="eastAsia" w:ascii="仿宋" w:hAnsi="仿宋" w:eastAsia="仿宋" w:cs="仿宋"/>
          <w:sz w:val="28"/>
          <w:szCs w:val="28"/>
          <w:highlight w:val="none"/>
          <w:u w:val="single"/>
        </w:rPr>
        <w:t>（姓名、职务）</w:t>
      </w:r>
      <w:r>
        <w:rPr>
          <w:rFonts w:hint="eastAsia" w:ascii="仿宋" w:hAnsi="仿宋" w:eastAsia="仿宋" w:cs="仿宋"/>
          <w:sz w:val="28"/>
          <w:szCs w:val="28"/>
          <w:highlight w:val="none"/>
        </w:rPr>
        <w:t>，代表本公司授权在下面签字的</w:t>
      </w:r>
      <w:r>
        <w:rPr>
          <w:rFonts w:hint="eastAsia" w:ascii="仿宋" w:hAnsi="仿宋" w:eastAsia="仿宋" w:cs="仿宋"/>
          <w:sz w:val="28"/>
          <w:szCs w:val="28"/>
          <w:highlight w:val="none"/>
          <w:u w:val="single"/>
        </w:rPr>
        <w:t>（被授权人的姓名、职务）</w:t>
      </w:r>
      <w:r>
        <w:rPr>
          <w:rFonts w:hint="eastAsia" w:ascii="仿宋" w:hAnsi="仿宋" w:eastAsia="仿宋" w:cs="仿宋"/>
          <w:sz w:val="28"/>
          <w:szCs w:val="28"/>
          <w:highlight w:val="none"/>
        </w:rPr>
        <w:t>为本公司的合法代理人，就</w:t>
      </w:r>
      <w:r>
        <w:rPr>
          <w:rFonts w:hint="eastAsia" w:ascii="仿宋" w:hAnsi="仿宋" w:eastAsia="仿宋" w:cs="仿宋"/>
          <w:sz w:val="28"/>
          <w:szCs w:val="28"/>
          <w:highlight w:val="none"/>
          <w:u w:val="single"/>
        </w:rPr>
        <w:t>　（项目名称）　</w:t>
      </w:r>
      <w:r>
        <w:rPr>
          <w:rFonts w:hint="eastAsia" w:ascii="仿宋" w:hAnsi="仿宋" w:eastAsia="仿宋" w:cs="仿宋"/>
          <w:sz w:val="28"/>
          <w:szCs w:val="28"/>
          <w:highlight w:val="none"/>
        </w:rPr>
        <w:t>的投标，以本公司的名义处理一切与之有关的事务。</w:t>
      </w:r>
    </w:p>
    <w:p w14:paraId="0DCB000D">
      <w:pPr>
        <w:ind w:firstLine="482"/>
        <w:rPr>
          <w:rFonts w:hint="eastAsia" w:ascii="仿宋" w:hAnsi="仿宋" w:eastAsia="仿宋" w:cs="仿宋"/>
          <w:sz w:val="28"/>
          <w:szCs w:val="28"/>
          <w:highlight w:val="none"/>
        </w:rPr>
      </w:pPr>
      <w:r>
        <w:rPr>
          <w:rFonts w:hint="eastAsia" w:ascii="仿宋" w:hAnsi="仿宋" w:eastAsia="仿宋" w:cs="仿宋"/>
          <w:sz w:val="28"/>
          <w:szCs w:val="28"/>
          <w:highlight w:val="none"/>
        </w:rPr>
        <w:t>本授权书于20</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日签字生效，特此声明。</w:t>
      </w:r>
    </w:p>
    <w:p w14:paraId="375992A7">
      <w:pPr>
        <w:ind w:left="558" w:leftChars="266"/>
        <w:rPr>
          <w:rFonts w:hint="eastAsia" w:ascii="仿宋" w:hAnsi="仿宋" w:eastAsia="仿宋" w:cs="仿宋"/>
          <w:sz w:val="28"/>
          <w:szCs w:val="28"/>
          <w:highlight w:val="none"/>
        </w:rPr>
      </w:pPr>
      <w:r>
        <w:rPr>
          <w:rFonts w:hint="eastAsia" w:ascii="仿宋" w:hAnsi="仿宋" w:eastAsia="仿宋" w:cs="仿宋"/>
          <w:sz w:val="28"/>
          <w:szCs w:val="28"/>
          <w:highlight w:val="none"/>
        </w:rPr>
        <w:t>法人代表身份证正反面：</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被授权人身份证正反面：</w:t>
      </w:r>
    </w:p>
    <w:p w14:paraId="6145E714">
      <w:pPr>
        <w:ind w:firstLine="482"/>
        <w:rPr>
          <w:rFonts w:hint="eastAsia" w:ascii="仿宋" w:hAnsi="仿宋" w:eastAsia="仿宋" w:cs="仿宋"/>
          <w:sz w:val="28"/>
          <w:szCs w:val="28"/>
          <w:highlight w:val="none"/>
        </w:rPr>
      </w:pPr>
      <w:r>
        <w:rPr>
          <w:rFonts w:hint="eastAsia" w:ascii="仿宋" w:hAnsi="仿宋" w:eastAsia="仿宋" w:cs="仿宋"/>
          <w:sz w:val="28"/>
          <w:szCs w:val="28"/>
          <w:highlight w:val="none"/>
        </w:rPr>
        <w:t>法人代表签字</w:t>
      </w:r>
      <w:r>
        <w:rPr>
          <w:rFonts w:hint="eastAsia" w:ascii="仿宋" w:hAnsi="仿宋" w:eastAsia="仿宋" w:cs="仿宋"/>
          <w:sz w:val="28"/>
          <w:szCs w:val="28"/>
          <w:highlight w:val="none"/>
          <w:u w:val="single"/>
        </w:rPr>
        <w:t>　　　　　　　　　　　　　　　　　</w:t>
      </w:r>
    </w:p>
    <w:p w14:paraId="328C39E8">
      <w:pPr>
        <w:ind w:firstLine="482"/>
        <w:rPr>
          <w:rFonts w:hint="eastAsia" w:ascii="仿宋" w:hAnsi="仿宋" w:eastAsia="仿宋" w:cs="仿宋"/>
          <w:sz w:val="28"/>
          <w:szCs w:val="28"/>
          <w:highlight w:val="none"/>
        </w:rPr>
      </w:pPr>
      <w:r>
        <w:rPr>
          <w:rFonts w:hint="eastAsia" w:ascii="仿宋" w:hAnsi="仿宋" w:eastAsia="仿宋" w:cs="仿宋"/>
          <w:sz w:val="28"/>
          <w:szCs w:val="28"/>
          <w:highlight w:val="none"/>
        </w:rPr>
        <w:t>被授权人签字</w:t>
      </w:r>
      <w:r>
        <w:rPr>
          <w:rFonts w:hint="eastAsia" w:ascii="仿宋" w:hAnsi="仿宋" w:eastAsia="仿宋" w:cs="仿宋"/>
          <w:sz w:val="28"/>
          <w:szCs w:val="28"/>
          <w:highlight w:val="none"/>
          <w:u w:val="single"/>
        </w:rPr>
        <w:t>　　　　　　　　　　　　　　　　　</w:t>
      </w:r>
    </w:p>
    <w:p w14:paraId="5B18023D">
      <w:pPr>
        <w:ind w:firstLine="482"/>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公      章：</w:t>
      </w:r>
      <w:r>
        <w:rPr>
          <w:rFonts w:hint="eastAsia" w:ascii="仿宋" w:hAnsi="仿宋" w:eastAsia="仿宋" w:cs="仿宋"/>
          <w:sz w:val="28"/>
          <w:szCs w:val="28"/>
          <w:highlight w:val="none"/>
          <w:u w:val="single"/>
        </w:rPr>
        <w:t xml:space="preserve">                         </w:t>
      </w:r>
    </w:p>
    <w:p w14:paraId="1A0EF609">
      <w:pPr>
        <w:pStyle w:val="22"/>
        <w:ind w:firstLine="420"/>
        <w:rPr>
          <w:highlight w:val="none"/>
        </w:rPr>
      </w:pPr>
    </w:p>
    <w:p w14:paraId="0CCE8F66">
      <w:pPr>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授权日期：20</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日</w:t>
      </w:r>
    </w:p>
    <w:p w14:paraId="4A5E5F70">
      <w:pPr>
        <w:rPr>
          <w:rFonts w:hint="eastAsia" w:ascii="仿宋" w:hAnsi="仿宋" w:eastAsia="仿宋" w:cs="仿宋"/>
          <w:sz w:val="28"/>
          <w:szCs w:val="28"/>
          <w:highlight w:val="none"/>
        </w:rPr>
      </w:pPr>
    </w:p>
    <w:p w14:paraId="1C296DC3">
      <w:pPr>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注：法人代表本人作为公司代理人前来参加投标的投标方，可不提供此项证明文件。</w:t>
      </w:r>
    </w:p>
    <w:p w14:paraId="5716628E">
      <w:pPr>
        <w:pStyle w:val="21"/>
        <w:spacing w:line="360" w:lineRule="auto"/>
        <w:ind w:firstLine="3600" w:firstLineChars="1200"/>
        <w:rPr>
          <w:rFonts w:hint="eastAsia" w:ascii="宋体" w:hAnsi="宋体"/>
          <w:b/>
          <w:color w:val="auto"/>
          <w:kern w:val="2"/>
          <w:sz w:val="30"/>
          <w:szCs w:val="20"/>
          <w:highlight w:val="none"/>
        </w:rPr>
      </w:pPr>
    </w:p>
    <w:p w14:paraId="6AC2B7D2">
      <w:pPr>
        <w:jc w:val="center"/>
        <w:rPr>
          <w:rFonts w:hint="eastAsia" w:ascii="宋体" w:hAnsi="宋体"/>
          <w:b/>
          <w:sz w:val="30"/>
          <w:highlight w:val="none"/>
        </w:rPr>
      </w:pPr>
    </w:p>
    <w:p w14:paraId="2E898CC8">
      <w:pPr>
        <w:pStyle w:val="22"/>
        <w:ind w:firstLine="602"/>
        <w:rPr>
          <w:rFonts w:hint="eastAsia" w:hAnsi="宋体"/>
          <w:b/>
          <w:sz w:val="30"/>
          <w:highlight w:val="none"/>
        </w:rPr>
      </w:pPr>
    </w:p>
    <w:p w14:paraId="7847A1A7">
      <w:pPr>
        <w:rPr>
          <w:rFonts w:hint="eastAsia" w:ascii="宋体" w:hAnsi="宋体"/>
          <w:b/>
          <w:sz w:val="30"/>
          <w:highlight w:val="none"/>
        </w:rPr>
      </w:pPr>
    </w:p>
    <w:p w14:paraId="22603AA9">
      <w:pPr>
        <w:pStyle w:val="22"/>
        <w:ind w:firstLine="602"/>
        <w:rPr>
          <w:rFonts w:hint="eastAsia" w:hAnsi="宋体"/>
          <w:b/>
          <w:sz w:val="30"/>
          <w:highlight w:val="none"/>
        </w:rPr>
      </w:pPr>
    </w:p>
    <w:p w14:paraId="71CDBDCE">
      <w:pPr>
        <w:rPr>
          <w:rFonts w:hint="eastAsia" w:ascii="宋体" w:hAnsi="宋体"/>
          <w:b/>
          <w:sz w:val="30"/>
          <w:highlight w:val="none"/>
        </w:rPr>
      </w:pPr>
    </w:p>
    <w:p w14:paraId="63F2892F">
      <w:pPr>
        <w:pStyle w:val="22"/>
        <w:ind w:firstLine="602"/>
        <w:rPr>
          <w:rFonts w:hint="eastAsia" w:hAnsi="宋体"/>
          <w:b/>
          <w:sz w:val="30"/>
          <w:highlight w:val="none"/>
        </w:rPr>
      </w:pPr>
    </w:p>
    <w:p w14:paraId="7F2959F4">
      <w:pPr>
        <w:rPr>
          <w:rFonts w:hint="eastAsia" w:ascii="宋体" w:hAnsi="宋体"/>
          <w:b/>
          <w:sz w:val="30"/>
          <w:highlight w:val="none"/>
        </w:rPr>
      </w:pPr>
    </w:p>
    <w:p w14:paraId="59579550">
      <w:pPr>
        <w:pStyle w:val="22"/>
        <w:ind w:firstLine="602"/>
        <w:rPr>
          <w:rFonts w:hint="eastAsia" w:hAnsi="宋体"/>
          <w:b/>
          <w:sz w:val="30"/>
          <w:highlight w:val="none"/>
        </w:rPr>
      </w:pPr>
    </w:p>
    <w:p w14:paraId="6D8DCC04">
      <w:pPr>
        <w:rPr>
          <w:highlight w:val="none"/>
        </w:rPr>
      </w:pPr>
    </w:p>
    <w:p w14:paraId="5AC75A9E">
      <w:pPr>
        <w:ind w:firstLine="3200" w:firstLineChars="1000"/>
        <w:rPr>
          <w:rFonts w:hint="eastAsia" w:ascii="仿宋" w:hAnsi="仿宋" w:eastAsia="仿宋" w:cs="仿宋"/>
          <w:b/>
          <w:sz w:val="32"/>
          <w:szCs w:val="32"/>
          <w:highlight w:val="none"/>
        </w:rPr>
      </w:pPr>
      <w:r>
        <w:rPr>
          <w:rFonts w:hint="eastAsia" w:ascii="仿宋" w:hAnsi="仿宋" w:eastAsia="仿宋" w:cs="仿宋"/>
          <w:b/>
          <w:sz w:val="32"/>
          <w:szCs w:val="32"/>
          <w:highlight w:val="none"/>
        </w:rPr>
        <w:t>（二十一）  业绩表</w:t>
      </w:r>
    </w:p>
    <w:p w14:paraId="15D09E30">
      <w:pPr>
        <w:pStyle w:val="22"/>
        <w:ind w:firstLine="420"/>
        <w:rPr>
          <w:highlight w:val="none"/>
        </w:rPr>
      </w:pPr>
    </w:p>
    <w:p w14:paraId="4B222456">
      <w:pP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招标编号：</w:t>
      </w:r>
      <w:r>
        <w:rPr>
          <w:rFonts w:hint="eastAsia" w:ascii="仿宋" w:hAnsi="仿宋" w:eastAsia="仿宋" w:cs="仿宋"/>
          <w:sz w:val="28"/>
          <w:szCs w:val="28"/>
          <w:highlight w:val="none"/>
          <w:u w:val="single"/>
        </w:rPr>
        <w:t>　　　　　　　　　　　</w:t>
      </w:r>
    </w:p>
    <w:p w14:paraId="71C5C1ED">
      <w:pPr>
        <w:ind w:firstLine="1320" w:firstLineChars="550"/>
        <w:rPr>
          <w:rFonts w:hint="eastAsia" w:ascii="宋体" w:hAnsi="宋体"/>
          <w:b/>
          <w:sz w:val="24"/>
          <w:highlight w:val="none"/>
        </w:rPr>
      </w:pPr>
    </w:p>
    <w:tbl>
      <w:tblPr>
        <w:tblStyle w:val="17"/>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780"/>
        <w:gridCol w:w="2232"/>
        <w:gridCol w:w="1682"/>
        <w:gridCol w:w="1716"/>
      </w:tblGrid>
      <w:tr w14:paraId="7A89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14:paraId="217AEEF3">
            <w:pPr>
              <w:pStyle w:val="49"/>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地　　区</w:t>
            </w:r>
          </w:p>
        </w:tc>
        <w:tc>
          <w:tcPr>
            <w:tcW w:w="2780" w:type="dxa"/>
          </w:tcPr>
          <w:p w14:paraId="54E8AC41">
            <w:pPr>
              <w:pStyle w:val="49"/>
              <w:spacing w:line="360" w:lineRule="auto"/>
              <w:ind w:right="-107" w:rightChars="-51"/>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名称</w:t>
            </w:r>
          </w:p>
        </w:tc>
        <w:tc>
          <w:tcPr>
            <w:tcW w:w="2232" w:type="dxa"/>
          </w:tcPr>
          <w:p w14:paraId="56F24AE1">
            <w:pPr>
              <w:pStyle w:val="4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规格及型号</w:t>
            </w:r>
          </w:p>
        </w:tc>
        <w:tc>
          <w:tcPr>
            <w:tcW w:w="1682" w:type="dxa"/>
          </w:tcPr>
          <w:p w14:paraId="29A18F3E">
            <w:pPr>
              <w:pStyle w:val="49"/>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 量</w:t>
            </w:r>
          </w:p>
        </w:tc>
        <w:tc>
          <w:tcPr>
            <w:tcW w:w="1716" w:type="dxa"/>
          </w:tcPr>
          <w:p w14:paraId="2813B393">
            <w:pPr>
              <w:pStyle w:val="49"/>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备 注</w:t>
            </w:r>
          </w:p>
        </w:tc>
      </w:tr>
      <w:tr w14:paraId="65FB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2C801FBC">
            <w:pPr>
              <w:spacing w:line="480" w:lineRule="exact"/>
              <w:rPr>
                <w:rFonts w:hint="eastAsia" w:ascii="仿宋" w:hAnsi="仿宋" w:eastAsia="仿宋" w:cs="仿宋"/>
                <w:sz w:val="24"/>
                <w:szCs w:val="24"/>
                <w:highlight w:val="none"/>
              </w:rPr>
            </w:pPr>
          </w:p>
        </w:tc>
        <w:tc>
          <w:tcPr>
            <w:tcW w:w="2780" w:type="dxa"/>
          </w:tcPr>
          <w:p w14:paraId="4ABE49BB">
            <w:pPr>
              <w:spacing w:line="480" w:lineRule="exact"/>
              <w:rPr>
                <w:rFonts w:hint="eastAsia" w:ascii="仿宋" w:hAnsi="仿宋" w:eastAsia="仿宋" w:cs="仿宋"/>
                <w:sz w:val="24"/>
                <w:szCs w:val="24"/>
                <w:highlight w:val="none"/>
              </w:rPr>
            </w:pPr>
          </w:p>
        </w:tc>
        <w:tc>
          <w:tcPr>
            <w:tcW w:w="2232" w:type="dxa"/>
          </w:tcPr>
          <w:p w14:paraId="4D3D871F">
            <w:pPr>
              <w:spacing w:line="480" w:lineRule="exact"/>
              <w:rPr>
                <w:rFonts w:hint="eastAsia" w:ascii="仿宋" w:hAnsi="仿宋" w:eastAsia="仿宋" w:cs="仿宋"/>
                <w:sz w:val="24"/>
                <w:szCs w:val="24"/>
                <w:highlight w:val="none"/>
              </w:rPr>
            </w:pPr>
          </w:p>
        </w:tc>
        <w:tc>
          <w:tcPr>
            <w:tcW w:w="1682" w:type="dxa"/>
          </w:tcPr>
          <w:p w14:paraId="4AE112DD">
            <w:pPr>
              <w:spacing w:line="480" w:lineRule="exact"/>
              <w:rPr>
                <w:rFonts w:hint="eastAsia" w:ascii="仿宋" w:hAnsi="仿宋" w:eastAsia="仿宋" w:cs="仿宋"/>
                <w:sz w:val="24"/>
                <w:szCs w:val="24"/>
                <w:highlight w:val="none"/>
              </w:rPr>
            </w:pPr>
          </w:p>
        </w:tc>
        <w:tc>
          <w:tcPr>
            <w:tcW w:w="1716" w:type="dxa"/>
          </w:tcPr>
          <w:p w14:paraId="00AA1B90">
            <w:pPr>
              <w:spacing w:line="480" w:lineRule="exact"/>
              <w:rPr>
                <w:rFonts w:hint="eastAsia" w:ascii="仿宋" w:hAnsi="仿宋" w:eastAsia="仿宋" w:cs="仿宋"/>
                <w:sz w:val="24"/>
                <w:szCs w:val="24"/>
                <w:highlight w:val="none"/>
              </w:rPr>
            </w:pPr>
          </w:p>
        </w:tc>
      </w:tr>
      <w:tr w14:paraId="22CA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6A5ADBAD">
            <w:pPr>
              <w:spacing w:line="480" w:lineRule="exact"/>
              <w:rPr>
                <w:rFonts w:hint="eastAsia" w:ascii="仿宋" w:hAnsi="仿宋" w:eastAsia="仿宋" w:cs="仿宋"/>
                <w:sz w:val="24"/>
                <w:szCs w:val="24"/>
                <w:highlight w:val="none"/>
              </w:rPr>
            </w:pPr>
          </w:p>
        </w:tc>
        <w:tc>
          <w:tcPr>
            <w:tcW w:w="2780" w:type="dxa"/>
          </w:tcPr>
          <w:p w14:paraId="221E1039">
            <w:pPr>
              <w:spacing w:line="480" w:lineRule="exact"/>
              <w:rPr>
                <w:rFonts w:hint="eastAsia" w:ascii="仿宋" w:hAnsi="仿宋" w:eastAsia="仿宋" w:cs="仿宋"/>
                <w:sz w:val="24"/>
                <w:szCs w:val="24"/>
                <w:highlight w:val="none"/>
              </w:rPr>
            </w:pPr>
          </w:p>
        </w:tc>
        <w:tc>
          <w:tcPr>
            <w:tcW w:w="2232" w:type="dxa"/>
          </w:tcPr>
          <w:p w14:paraId="01F860E5">
            <w:pPr>
              <w:spacing w:line="480" w:lineRule="exact"/>
              <w:rPr>
                <w:rFonts w:hint="eastAsia" w:ascii="仿宋" w:hAnsi="仿宋" w:eastAsia="仿宋" w:cs="仿宋"/>
                <w:sz w:val="24"/>
                <w:szCs w:val="24"/>
                <w:highlight w:val="none"/>
              </w:rPr>
            </w:pPr>
          </w:p>
        </w:tc>
        <w:tc>
          <w:tcPr>
            <w:tcW w:w="1682" w:type="dxa"/>
          </w:tcPr>
          <w:p w14:paraId="6E7246E3">
            <w:pPr>
              <w:spacing w:line="480" w:lineRule="exact"/>
              <w:rPr>
                <w:rFonts w:hint="eastAsia" w:ascii="仿宋" w:hAnsi="仿宋" w:eastAsia="仿宋" w:cs="仿宋"/>
                <w:sz w:val="24"/>
                <w:szCs w:val="24"/>
                <w:highlight w:val="none"/>
              </w:rPr>
            </w:pPr>
          </w:p>
        </w:tc>
        <w:tc>
          <w:tcPr>
            <w:tcW w:w="1716" w:type="dxa"/>
          </w:tcPr>
          <w:p w14:paraId="6ABCB777">
            <w:pPr>
              <w:spacing w:line="480" w:lineRule="exact"/>
              <w:rPr>
                <w:rFonts w:hint="eastAsia" w:ascii="仿宋" w:hAnsi="仿宋" w:eastAsia="仿宋" w:cs="仿宋"/>
                <w:sz w:val="24"/>
                <w:szCs w:val="24"/>
                <w:highlight w:val="none"/>
              </w:rPr>
            </w:pPr>
          </w:p>
        </w:tc>
      </w:tr>
      <w:tr w14:paraId="4F61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3852B957">
            <w:pPr>
              <w:spacing w:line="480" w:lineRule="exact"/>
              <w:rPr>
                <w:rFonts w:hint="eastAsia" w:ascii="仿宋" w:hAnsi="仿宋" w:eastAsia="仿宋" w:cs="仿宋"/>
                <w:sz w:val="24"/>
                <w:szCs w:val="24"/>
                <w:highlight w:val="none"/>
              </w:rPr>
            </w:pPr>
          </w:p>
        </w:tc>
        <w:tc>
          <w:tcPr>
            <w:tcW w:w="2780" w:type="dxa"/>
          </w:tcPr>
          <w:p w14:paraId="79BD5EE3">
            <w:pPr>
              <w:spacing w:line="480" w:lineRule="exact"/>
              <w:rPr>
                <w:rFonts w:hint="eastAsia" w:ascii="仿宋" w:hAnsi="仿宋" w:eastAsia="仿宋" w:cs="仿宋"/>
                <w:sz w:val="24"/>
                <w:szCs w:val="24"/>
                <w:highlight w:val="none"/>
              </w:rPr>
            </w:pPr>
          </w:p>
        </w:tc>
        <w:tc>
          <w:tcPr>
            <w:tcW w:w="2232" w:type="dxa"/>
          </w:tcPr>
          <w:p w14:paraId="43024900">
            <w:pPr>
              <w:spacing w:line="480" w:lineRule="exact"/>
              <w:rPr>
                <w:rFonts w:hint="eastAsia" w:ascii="仿宋" w:hAnsi="仿宋" w:eastAsia="仿宋" w:cs="仿宋"/>
                <w:sz w:val="24"/>
                <w:szCs w:val="24"/>
                <w:highlight w:val="none"/>
              </w:rPr>
            </w:pPr>
          </w:p>
        </w:tc>
        <w:tc>
          <w:tcPr>
            <w:tcW w:w="1682" w:type="dxa"/>
          </w:tcPr>
          <w:p w14:paraId="3F89F532">
            <w:pPr>
              <w:spacing w:line="480" w:lineRule="exact"/>
              <w:rPr>
                <w:rFonts w:hint="eastAsia" w:ascii="仿宋" w:hAnsi="仿宋" w:eastAsia="仿宋" w:cs="仿宋"/>
                <w:sz w:val="24"/>
                <w:szCs w:val="24"/>
                <w:highlight w:val="none"/>
              </w:rPr>
            </w:pPr>
          </w:p>
        </w:tc>
        <w:tc>
          <w:tcPr>
            <w:tcW w:w="1716" w:type="dxa"/>
          </w:tcPr>
          <w:p w14:paraId="1263CDC8">
            <w:pPr>
              <w:spacing w:line="480" w:lineRule="exact"/>
              <w:rPr>
                <w:rFonts w:hint="eastAsia" w:ascii="仿宋" w:hAnsi="仿宋" w:eastAsia="仿宋" w:cs="仿宋"/>
                <w:sz w:val="24"/>
                <w:szCs w:val="24"/>
                <w:highlight w:val="none"/>
              </w:rPr>
            </w:pPr>
          </w:p>
        </w:tc>
      </w:tr>
      <w:tr w14:paraId="4D86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026D964A">
            <w:pPr>
              <w:spacing w:line="480" w:lineRule="exact"/>
              <w:rPr>
                <w:rFonts w:hint="eastAsia" w:ascii="仿宋" w:hAnsi="仿宋" w:eastAsia="仿宋" w:cs="仿宋"/>
                <w:sz w:val="24"/>
                <w:szCs w:val="24"/>
                <w:highlight w:val="none"/>
              </w:rPr>
            </w:pPr>
          </w:p>
        </w:tc>
        <w:tc>
          <w:tcPr>
            <w:tcW w:w="2780" w:type="dxa"/>
          </w:tcPr>
          <w:p w14:paraId="0EC26B9C">
            <w:pPr>
              <w:spacing w:line="480" w:lineRule="exact"/>
              <w:rPr>
                <w:rFonts w:hint="eastAsia" w:ascii="仿宋" w:hAnsi="仿宋" w:eastAsia="仿宋" w:cs="仿宋"/>
                <w:sz w:val="24"/>
                <w:szCs w:val="24"/>
                <w:highlight w:val="none"/>
              </w:rPr>
            </w:pPr>
          </w:p>
        </w:tc>
        <w:tc>
          <w:tcPr>
            <w:tcW w:w="2232" w:type="dxa"/>
          </w:tcPr>
          <w:p w14:paraId="0635CCDB">
            <w:pPr>
              <w:spacing w:line="480" w:lineRule="exact"/>
              <w:rPr>
                <w:rFonts w:hint="eastAsia" w:ascii="仿宋" w:hAnsi="仿宋" w:eastAsia="仿宋" w:cs="仿宋"/>
                <w:sz w:val="24"/>
                <w:szCs w:val="24"/>
                <w:highlight w:val="none"/>
              </w:rPr>
            </w:pPr>
          </w:p>
        </w:tc>
        <w:tc>
          <w:tcPr>
            <w:tcW w:w="1682" w:type="dxa"/>
          </w:tcPr>
          <w:p w14:paraId="0F457AB2">
            <w:pPr>
              <w:spacing w:line="480" w:lineRule="exact"/>
              <w:rPr>
                <w:rFonts w:hint="eastAsia" w:ascii="仿宋" w:hAnsi="仿宋" w:eastAsia="仿宋" w:cs="仿宋"/>
                <w:sz w:val="24"/>
                <w:szCs w:val="24"/>
                <w:highlight w:val="none"/>
              </w:rPr>
            </w:pPr>
          </w:p>
        </w:tc>
        <w:tc>
          <w:tcPr>
            <w:tcW w:w="1716" w:type="dxa"/>
          </w:tcPr>
          <w:p w14:paraId="72438EEC">
            <w:pPr>
              <w:spacing w:line="480" w:lineRule="exact"/>
              <w:rPr>
                <w:rFonts w:hint="eastAsia" w:ascii="仿宋" w:hAnsi="仿宋" w:eastAsia="仿宋" w:cs="仿宋"/>
                <w:sz w:val="24"/>
                <w:szCs w:val="24"/>
                <w:highlight w:val="none"/>
              </w:rPr>
            </w:pPr>
          </w:p>
        </w:tc>
      </w:tr>
      <w:tr w14:paraId="602E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07A75576">
            <w:pPr>
              <w:spacing w:line="480" w:lineRule="exact"/>
              <w:rPr>
                <w:rFonts w:hint="eastAsia" w:ascii="仿宋" w:hAnsi="仿宋" w:eastAsia="仿宋" w:cs="仿宋"/>
                <w:sz w:val="24"/>
                <w:szCs w:val="24"/>
                <w:highlight w:val="none"/>
              </w:rPr>
            </w:pPr>
          </w:p>
        </w:tc>
        <w:tc>
          <w:tcPr>
            <w:tcW w:w="2780" w:type="dxa"/>
          </w:tcPr>
          <w:p w14:paraId="45F52269">
            <w:pPr>
              <w:spacing w:line="480" w:lineRule="exact"/>
              <w:rPr>
                <w:rFonts w:hint="eastAsia" w:ascii="仿宋" w:hAnsi="仿宋" w:eastAsia="仿宋" w:cs="仿宋"/>
                <w:sz w:val="24"/>
                <w:szCs w:val="24"/>
                <w:highlight w:val="none"/>
              </w:rPr>
            </w:pPr>
          </w:p>
        </w:tc>
        <w:tc>
          <w:tcPr>
            <w:tcW w:w="2232" w:type="dxa"/>
          </w:tcPr>
          <w:p w14:paraId="1D9B9581">
            <w:pPr>
              <w:spacing w:line="480" w:lineRule="exact"/>
              <w:rPr>
                <w:rFonts w:hint="eastAsia" w:ascii="仿宋" w:hAnsi="仿宋" w:eastAsia="仿宋" w:cs="仿宋"/>
                <w:sz w:val="24"/>
                <w:szCs w:val="24"/>
                <w:highlight w:val="none"/>
              </w:rPr>
            </w:pPr>
          </w:p>
        </w:tc>
        <w:tc>
          <w:tcPr>
            <w:tcW w:w="1682" w:type="dxa"/>
          </w:tcPr>
          <w:p w14:paraId="276E816C">
            <w:pPr>
              <w:spacing w:line="480" w:lineRule="exact"/>
              <w:rPr>
                <w:rFonts w:hint="eastAsia" w:ascii="仿宋" w:hAnsi="仿宋" w:eastAsia="仿宋" w:cs="仿宋"/>
                <w:sz w:val="24"/>
                <w:szCs w:val="24"/>
                <w:highlight w:val="none"/>
              </w:rPr>
            </w:pPr>
          </w:p>
        </w:tc>
        <w:tc>
          <w:tcPr>
            <w:tcW w:w="1716" w:type="dxa"/>
          </w:tcPr>
          <w:p w14:paraId="67D52FB1">
            <w:pPr>
              <w:spacing w:line="480" w:lineRule="exact"/>
              <w:rPr>
                <w:rFonts w:hint="eastAsia" w:ascii="仿宋" w:hAnsi="仿宋" w:eastAsia="仿宋" w:cs="仿宋"/>
                <w:sz w:val="24"/>
                <w:szCs w:val="24"/>
                <w:highlight w:val="none"/>
              </w:rPr>
            </w:pPr>
          </w:p>
        </w:tc>
      </w:tr>
      <w:tr w14:paraId="3548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78E114BA">
            <w:pPr>
              <w:spacing w:line="480" w:lineRule="exact"/>
              <w:rPr>
                <w:rFonts w:hint="eastAsia" w:ascii="仿宋" w:hAnsi="仿宋" w:eastAsia="仿宋" w:cs="仿宋"/>
                <w:sz w:val="24"/>
                <w:szCs w:val="24"/>
                <w:highlight w:val="none"/>
              </w:rPr>
            </w:pPr>
          </w:p>
        </w:tc>
        <w:tc>
          <w:tcPr>
            <w:tcW w:w="2780" w:type="dxa"/>
          </w:tcPr>
          <w:p w14:paraId="694C7A46">
            <w:pPr>
              <w:spacing w:line="480" w:lineRule="exact"/>
              <w:rPr>
                <w:rFonts w:hint="eastAsia" w:ascii="仿宋" w:hAnsi="仿宋" w:eastAsia="仿宋" w:cs="仿宋"/>
                <w:sz w:val="24"/>
                <w:szCs w:val="24"/>
                <w:highlight w:val="none"/>
              </w:rPr>
            </w:pPr>
          </w:p>
        </w:tc>
        <w:tc>
          <w:tcPr>
            <w:tcW w:w="2232" w:type="dxa"/>
          </w:tcPr>
          <w:p w14:paraId="447A1301">
            <w:pPr>
              <w:spacing w:line="480" w:lineRule="exact"/>
              <w:rPr>
                <w:rFonts w:hint="eastAsia" w:ascii="仿宋" w:hAnsi="仿宋" w:eastAsia="仿宋" w:cs="仿宋"/>
                <w:sz w:val="24"/>
                <w:szCs w:val="24"/>
                <w:highlight w:val="none"/>
              </w:rPr>
            </w:pPr>
          </w:p>
        </w:tc>
        <w:tc>
          <w:tcPr>
            <w:tcW w:w="1682" w:type="dxa"/>
          </w:tcPr>
          <w:p w14:paraId="56CE39DE">
            <w:pPr>
              <w:spacing w:line="480" w:lineRule="exact"/>
              <w:rPr>
                <w:rFonts w:hint="eastAsia" w:ascii="仿宋" w:hAnsi="仿宋" w:eastAsia="仿宋" w:cs="仿宋"/>
                <w:sz w:val="24"/>
                <w:szCs w:val="24"/>
                <w:highlight w:val="none"/>
              </w:rPr>
            </w:pPr>
          </w:p>
        </w:tc>
        <w:tc>
          <w:tcPr>
            <w:tcW w:w="1716" w:type="dxa"/>
          </w:tcPr>
          <w:p w14:paraId="795513F4">
            <w:pPr>
              <w:spacing w:line="480" w:lineRule="exact"/>
              <w:rPr>
                <w:rFonts w:hint="eastAsia" w:ascii="仿宋" w:hAnsi="仿宋" w:eastAsia="仿宋" w:cs="仿宋"/>
                <w:sz w:val="24"/>
                <w:szCs w:val="24"/>
                <w:highlight w:val="none"/>
              </w:rPr>
            </w:pPr>
          </w:p>
        </w:tc>
      </w:tr>
    </w:tbl>
    <w:p w14:paraId="15C61DEB">
      <w:pPr>
        <w:pStyle w:val="15"/>
        <w:shd w:val="clear" w:color="auto" w:fill="FFFFFF"/>
        <w:jc w:val="center"/>
        <w:rPr>
          <w:rFonts w:hint="eastAsia" w:ascii="仿宋" w:hAnsi="仿宋" w:eastAsia="仿宋" w:cs="仿宋"/>
          <w:b/>
          <w:sz w:val="32"/>
          <w:szCs w:val="32"/>
          <w:highlight w:val="none"/>
        </w:rPr>
      </w:pPr>
    </w:p>
    <w:p w14:paraId="2EF29C7C">
      <w:pPr>
        <w:pStyle w:val="15"/>
        <w:shd w:val="clear" w:color="auto" w:fill="FFFFFF"/>
        <w:jc w:val="center"/>
        <w:rPr>
          <w:rFonts w:hint="eastAsia" w:ascii="仿宋" w:hAnsi="仿宋" w:eastAsia="仿宋" w:cs="仿宋"/>
          <w:b/>
          <w:sz w:val="32"/>
          <w:szCs w:val="32"/>
          <w:highlight w:val="none"/>
        </w:rPr>
      </w:pPr>
    </w:p>
    <w:p w14:paraId="6EE2F638">
      <w:pPr>
        <w:pStyle w:val="15"/>
        <w:shd w:val="clear" w:color="auto" w:fill="FFFFFF"/>
        <w:jc w:val="center"/>
        <w:rPr>
          <w:rFonts w:hint="eastAsia" w:ascii="仿宋" w:hAnsi="仿宋" w:eastAsia="仿宋" w:cs="仿宋"/>
          <w:b/>
          <w:sz w:val="32"/>
          <w:szCs w:val="32"/>
          <w:highlight w:val="none"/>
        </w:rPr>
      </w:pPr>
    </w:p>
    <w:p w14:paraId="1714B876">
      <w:pPr>
        <w:pStyle w:val="15"/>
        <w:shd w:val="clear" w:color="auto" w:fill="FFFFFF"/>
        <w:jc w:val="center"/>
        <w:rPr>
          <w:rFonts w:hint="eastAsia" w:ascii="仿宋" w:hAnsi="仿宋" w:eastAsia="仿宋" w:cs="仿宋"/>
          <w:b/>
          <w:sz w:val="32"/>
          <w:szCs w:val="32"/>
          <w:highlight w:val="none"/>
        </w:rPr>
      </w:pPr>
    </w:p>
    <w:p w14:paraId="0401010A">
      <w:pPr>
        <w:pStyle w:val="15"/>
        <w:shd w:val="clear" w:color="auto" w:fill="FFFFFF"/>
        <w:jc w:val="center"/>
        <w:rPr>
          <w:rFonts w:hint="eastAsia" w:ascii="仿宋" w:hAnsi="仿宋" w:eastAsia="仿宋" w:cs="仿宋"/>
          <w:b/>
          <w:sz w:val="32"/>
          <w:szCs w:val="32"/>
          <w:highlight w:val="none"/>
        </w:rPr>
      </w:pPr>
    </w:p>
    <w:p w14:paraId="21D5683C">
      <w:pPr>
        <w:pStyle w:val="15"/>
        <w:shd w:val="clear" w:color="auto" w:fill="FFFFFF"/>
        <w:jc w:val="center"/>
        <w:rPr>
          <w:rFonts w:hint="eastAsia" w:ascii="仿宋" w:hAnsi="仿宋" w:eastAsia="仿宋" w:cs="仿宋"/>
          <w:b/>
          <w:sz w:val="32"/>
          <w:szCs w:val="32"/>
          <w:highlight w:val="none"/>
        </w:rPr>
      </w:pPr>
    </w:p>
    <w:p w14:paraId="07D1E8DD">
      <w:pPr>
        <w:pStyle w:val="15"/>
        <w:shd w:val="clear" w:color="auto" w:fill="FFFFFF"/>
        <w:jc w:val="center"/>
        <w:rPr>
          <w:rFonts w:hint="eastAsia" w:ascii="仿宋" w:hAnsi="仿宋" w:eastAsia="仿宋" w:cs="仿宋"/>
          <w:b/>
          <w:sz w:val="32"/>
          <w:szCs w:val="32"/>
          <w:highlight w:val="none"/>
        </w:rPr>
      </w:pPr>
    </w:p>
    <w:p w14:paraId="2108311C">
      <w:pPr>
        <w:pStyle w:val="15"/>
        <w:shd w:val="clear" w:color="auto" w:fill="FFFFFF"/>
        <w:jc w:val="center"/>
        <w:rPr>
          <w:rFonts w:hint="eastAsia" w:ascii="仿宋" w:hAnsi="仿宋" w:eastAsia="仿宋" w:cs="仿宋"/>
          <w:b/>
          <w:sz w:val="32"/>
          <w:szCs w:val="32"/>
          <w:highlight w:val="none"/>
        </w:rPr>
      </w:pPr>
    </w:p>
    <w:p w14:paraId="43A93D93">
      <w:pPr>
        <w:pStyle w:val="15"/>
        <w:shd w:val="clear" w:color="auto" w:fill="FFFFFF"/>
        <w:jc w:val="center"/>
        <w:rPr>
          <w:rFonts w:hint="eastAsia" w:ascii="仿宋" w:hAnsi="仿宋" w:eastAsia="仿宋" w:cs="仿宋"/>
          <w:b/>
          <w:sz w:val="32"/>
          <w:szCs w:val="32"/>
          <w:highlight w:val="none"/>
        </w:rPr>
      </w:pPr>
    </w:p>
    <w:p w14:paraId="3C89F180">
      <w:pPr>
        <w:pStyle w:val="15"/>
        <w:shd w:val="clear" w:color="auto" w:fill="FFFFFF"/>
        <w:jc w:val="center"/>
        <w:rPr>
          <w:rFonts w:hint="eastAsia" w:ascii="仿宋" w:hAnsi="仿宋" w:eastAsia="仿宋" w:cs="仿宋"/>
          <w:b/>
          <w:sz w:val="32"/>
          <w:szCs w:val="32"/>
          <w:highlight w:val="none"/>
        </w:rPr>
      </w:pPr>
    </w:p>
    <w:p w14:paraId="3F497A6F">
      <w:pPr>
        <w:pStyle w:val="15"/>
        <w:shd w:val="clear" w:color="auto" w:fill="FFFFFF"/>
        <w:jc w:val="center"/>
        <w:rPr>
          <w:rFonts w:hint="eastAsia" w:ascii="仿宋" w:hAnsi="仿宋" w:eastAsia="仿宋" w:cs="仿宋"/>
          <w:b/>
          <w:sz w:val="32"/>
          <w:szCs w:val="32"/>
          <w:highlight w:val="none"/>
        </w:rPr>
      </w:pPr>
    </w:p>
    <w:p w14:paraId="6DB6304F">
      <w:pPr>
        <w:pStyle w:val="15"/>
        <w:shd w:val="clear" w:color="auto" w:fill="FFFFFF"/>
        <w:jc w:val="center"/>
        <w:rPr>
          <w:rFonts w:hint="eastAsia" w:ascii="仿宋" w:hAnsi="仿宋" w:eastAsia="仿宋" w:cs="仿宋"/>
          <w:b/>
          <w:sz w:val="32"/>
          <w:szCs w:val="32"/>
          <w:highlight w:val="none"/>
        </w:rPr>
      </w:pPr>
    </w:p>
    <w:p w14:paraId="2C316D32">
      <w:pPr>
        <w:pStyle w:val="15"/>
        <w:shd w:val="clear" w:color="auto" w:fill="FFFFFF"/>
        <w:jc w:val="center"/>
        <w:rPr>
          <w:rFonts w:hint="eastAsia" w:ascii="仿宋" w:hAnsi="仿宋" w:eastAsia="仿宋" w:cs="仿宋"/>
          <w:b/>
          <w:sz w:val="32"/>
          <w:szCs w:val="32"/>
          <w:highlight w:val="none"/>
        </w:rPr>
      </w:pPr>
    </w:p>
    <w:p w14:paraId="24375336">
      <w:pPr>
        <w:pStyle w:val="15"/>
        <w:shd w:val="clear" w:color="auto" w:fill="FFFFFF"/>
        <w:jc w:val="both"/>
        <w:rPr>
          <w:rFonts w:hint="eastAsia" w:ascii="仿宋" w:hAnsi="仿宋" w:eastAsia="仿宋" w:cs="仿宋"/>
          <w:b/>
          <w:sz w:val="32"/>
          <w:szCs w:val="32"/>
          <w:highlight w:val="none"/>
        </w:rPr>
      </w:pPr>
    </w:p>
    <w:p w14:paraId="0BB3D50D">
      <w:pPr>
        <w:pStyle w:val="15"/>
        <w:shd w:val="clear" w:color="auto" w:fill="FFFFFF"/>
        <w:jc w:val="both"/>
        <w:rPr>
          <w:rFonts w:hint="eastAsia" w:ascii="仿宋" w:hAnsi="仿宋" w:eastAsia="仿宋" w:cs="仿宋"/>
          <w:b/>
          <w:sz w:val="32"/>
          <w:szCs w:val="32"/>
          <w:highlight w:val="none"/>
        </w:rPr>
      </w:pPr>
    </w:p>
    <w:p w14:paraId="53474281">
      <w:pPr>
        <w:pStyle w:val="15"/>
        <w:shd w:val="clear" w:color="auto" w:fill="FFFFFF"/>
        <w:jc w:val="both"/>
        <w:rPr>
          <w:rFonts w:hint="eastAsia" w:ascii="仿宋" w:hAnsi="仿宋" w:eastAsia="仿宋" w:cs="仿宋"/>
          <w:b/>
          <w:sz w:val="32"/>
          <w:szCs w:val="32"/>
          <w:highlight w:val="none"/>
        </w:rPr>
      </w:pPr>
    </w:p>
    <w:p w14:paraId="2AE3D555">
      <w:pPr>
        <w:pStyle w:val="15"/>
        <w:shd w:val="clear" w:color="auto" w:fill="FFFFFF"/>
        <w:jc w:val="center"/>
        <w:rPr>
          <w:rFonts w:hint="eastAsia" w:ascii="仿宋" w:hAnsi="仿宋" w:eastAsia="仿宋" w:cs="仿宋"/>
          <w:b/>
          <w:sz w:val="32"/>
          <w:szCs w:val="32"/>
          <w:highlight w:val="none"/>
        </w:rPr>
      </w:pPr>
    </w:p>
    <w:p w14:paraId="1D86ABBA">
      <w:pPr>
        <w:pStyle w:val="15"/>
        <w:shd w:val="clear" w:color="auto" w:fill="FFFFFF"/>
        <w:jc w:val="center"/>
        <w:rPr>
          <w:rFonts w:hint="eastAsia" w:ascii="Microsoft YaHei UI" w:hAnsi="Microsoft YaHei UI" w:eastAsia="Microsoft YaHei UI" w:cs="Microsoft YaHei UI"/>
          <w:spacing w:val="8"/>
          <w:sz w:val="32"/>
          <w:szCs w:val="32"/>
          <w:highlight w:val="none"/>
        </w:rPr>
      </w:pPr>
      <w:r>
        <w:rPr>
          <w:rFonts w:hint="eastAsia" w:ascii="仿宋" w:hAnsi="仿宋" w:eastAsia="仿宋" w:cs="仿宋"/>
          <w:b/>
          <w:sz w:val="32"/>
          <w:szCs w:val="32"/>
          <w:highlight w:val="none"/>
        </w:rPr>
        <w:t>（二十二）</w:t>
      </w:r>
      <w:r>
        <w:rPr>
          <w:rStyle w:val="19"/>
          <w:spacing w:val="8"/>
          <w:sz w:val="32"/>
          <w:szCs w:val="32"/>
          <w:highlight w:val="none"/>
          <w:shd w:val="clear" w:color="auto" w:fill="FFFFFF"/>
        </w:rPr>
        <w:t>中小企业声明函(</w:t>
      </w:r>
      <w:r>
        <w:rPr>
          <w:rStyle w:val="19"/>
          <w:rFonts w:hint="eastAsia"/>
          <w:spacing w:val="8"/>
          <w:sz w:val="32"/>
          <w:szCs w:val="32"/>
          <w:highlight w:val="none"/>
          <w:shd w:val="clear" w:color="auto" w:fill="FFFFFF"/>
          <w:lang w:val="en-US" w:eastAsia="zh-CN"/>
        </w:rPr>
        <w:t>货物</w:t>
      </w:r>
      <w:r>
        <w:rPr>
          <w:rStyle w:val="19"/>
          <w:spacing w:val="8"/>
          <w:sz w:val="32"/>
          <w:szCs w:val="32"/>
          <w:highlight w:val="none"/>
          <w:shd w:val="clear" w:color="auto" w:fill="FFFFFF"/>
        </w:rPr>
        <w:t>)</w:t>
      </w:r>
    </w:p>
    <w:p w14:paraId="27FAFBFE">
      <w:pPr>
        <w:pStyle w:val="15"/>
        <w:shd w:val="clear" w:color="auto" w:fill="FFFFFF"/>
        <w:jc w:val="both"/>
        <w:rPr>
          <w:rFonts w:hint="eastAsia" w:ascii="Microsoft YaHei UI" w:hAnsi="Microsoft YaHei UI" w:eastAsia="Microsoft YaHei UI" w:cs="Microsoft YaHei UI"/>
          <w:spacing w:val="8"/>
          <w:sz w:val="32"/>
          <w:szCs w:val="32"/>
          <w:highlight w:val="none"/>
        </w:rPr>
      </w:pPr>
    </w:p>
    <w:p w14:paraId="57C2F9A4">
      <w:pPr>
        <w:widowControl/>
        <w:jc w:val="left"/>
        <w:rPr>
          <w:sz w:val="32"/>
          <w:szCs w:val="32"/>
          <w:highlight w:val="none"/>
        </w:rPr>
      </w:pPr>
      <w:r>
        <w:rPr>
          <w:rFonts w:hint="eastAsia" w:ascii="仿宋" w:hAnsi="仿宋" w:eastAsia="仿宋" w:cs="仿宋"/>
          <w:kern w:val="0"/>
          <w:sz w:val="32"/>
          <w:szCs w:val="32"/>
          <w:highlight w:val="none"/>
          <w:lang w:bidi="ar"/>
        </w:rPr>
        <w:t>本公司(联合体)郑重声明，根据《政府采购促进中小企业发展管理办法》(财库</w:t>
      </w:r>
      <w:r>
        <w:rPr>
          <w:rFonts w:ascii="宋体" w:hAnsi="宋体" w:cs="宋体"/>
          <w:kern w:val="0"/>
          <w:sz w:val="32"/>
          <w:szCs w:val="32"/>
          <w:highlight w:val="none"/>
          <w:lang w:bidi="ar"/>
        </w:rPr>
        <w:t>〔</w:t>
      </w:r>
      <w:r>
        <w:rPr>
          <w:rFonts w:hint="eastAsia" w:ascii="仿宋" w:hAnsi="仿宋" w:eastAsia="仿宋" w:cs="仿宋"/>
          <w:kern w:val="0"/>
          <w:sz w:val="32"/>
          <w:szCs w:val="32"/>
          <w:highlight w:val="none"/>
          <w:lang w:bidi="ar"/>
        </w:rPr>
        <w:t>2020</w:t>
      </w:r>
      <w:r>
        <w:rPr>
          <w:rFonts w:ascii="宋体" w:hAnsi="宋体" w:cs="宋体"/>
          <w:kern w:val="0"/>
          <w:sz w:val="32"/>
          <w:szCs w:val="32"/>
          <w:highlight w:val="none"/>
          <w:lang w:bidi="ar"/>
        </w:rPr>
        <w:t>〕</w:t>
      </w:r>
      <w:r>
        <w:rPr>
          <w:rFonts w:hint="eastAsia" w:ascii="仿宋" w:hAnsi="仿宋" w:eastAsia="仿宋" w:cs="仿宋"/>
          <w:kern w:val="0"/>
          <w:sz w:val="32"/>
          <w:szCs w:val="32"/>
          <w:highlight w:val="none"/>
          <w:lang w:bidi="ar"/>
        </w:rPr>
        <w:t>46 号)的规定，本公司 (联合体)参加(单位名称)的(项目名称)采购活动，</w:t>
      </w:r>
      <w:r>
        <w:rPr>
          <w:rFonts w:hint="eastAsia" w:ascii="仿宋" w:hAnsi="仿宋" w:eastAsia="仿宋" w:cs="仿宋"/>
          <w:kern w:val="0"/>
          <w:sz w:val="32"/>
          <w:szCs w:val="32"/>
          <w:highlight w:val="none"/>
          <w:lang w:val="en-US" w:eastAsia="zh-CN" w:bidi="ar"/>
        </w:rPr>
        <w:t>提供的货物全部由符合政策要求的中小企业制造</w:t>
      </w:r>
      <w:r>
        <w:rPr>
          <w:rFonts w:hint="eastAsia" w:ascii="仿宋" w:hAnsi="仿宋" w:eastAsia="仿宋" w:cs="仿宋"/>
          <w:kern w:val="0"/>
          <w:sz w:val="32"/>
          <w:szCs w:val="32"/>
          <w:highlight w:val="none"/>
          <w:lang w:bidi="ar"/>
        </w:rPr>
        <w:t>。相关企业 (含联合体中的中小企业、签订分包意向协议的中小企业) 的具体情况如下:</w:t>
      </w:r>
    </w:p>
    <w:p w14:paraId="0E36BAB0">
      <w:pPr>
        <w:widowControl/>
        <w:jc w:val="left"/>
        <w:rPr>
          <w:sz w:val="32"/>
          <w:szCs w:val="32"/>
          <w:highlight w:val="none"/>
        </w:rPr>
      </w:pPr>
      <w:r>
        <w:rPr>
          <w:rFonts w:ascii="宋体" w:hAnsi="宋体" w:cs="宋体"/>
          <w:kern w:val="0"/>
          <w:sz w:val="32"/>
          <w:szCs w:val="32"/>
          <w:highlight w:val="none"/>
          <w:lang w:bidi="ar"/>
        </w:rPr>
        <w:br w:type="textWrapping"/>
      </w:r>
      <w:r>
        <w:rPr>
          <w:rFonts w:hint="eastAsia" w:ascii="仿宋" w:hAnsi="仿宋" w:eastAsia="仿宋" w:cs="仿宋"/>
          <w:kern w:val="0"/>
          <w:sz w:val="32"/>
          <w:szCs w:val="32"/>
          <w:highlight w:val="none"/>
          <w:lang w:bidi="ar"/>
        </w:rPr>
        <w:t>1. (标的名称) ，属于(采购文件中明确的所属行业) 行业;</w:t>
      </w:r>
      <w:r>
        <w:rPr>
          <w:rFonts w:hint="eastAsia" w:ascii="仿宋" w:hAnsi="仿宋" w:eastAsia="仿宋" w:cs="仿宋"/>
          <w:kern w:val="0"/>
          <w:sz w:val="32"/>
          <w:szCs w:val="32"/>
          <w:highlight w:val="none"/>
          <w:lang w:val="en-US" w:eastAsia="zh-CN" w:bidi="ar"/>
        </w:rPr>
        <w:t>制造商</w:t>
      </w:r>
      <w:r>
        <w:rPr>
          <w:rFonts w:hint="eastAsia" w:ascii="仿宋" w:hAnsi="仿宋" w:eastAsia="仿宋" w:cs="仿宋"/>
          <w:kern w:val="0"/>
          <w:sz w:val="32"/>
          <w:szCs w:val="32"/>
          <w:highlight w:val="none"/>
          <w:lang w:bidi="ar"/>
        </w:rPr>
        <w:t>为(企业名称)，从业人员 人，营业收 入为 万元，资产总额为 万元，属于(中型企业、小 型企业、微型企业);</w:t>
      </w:r>
    </w:p>
    <w:p w14:paraId="5F26CD3C">
      <w:pPr>
        <w:widowControl/>
        <w:jc w:val="left"/>
        <w:rPr>
          <w:rFonts w:hint="eastAsia" w:ascii="仿宋" w:hAnsi="仿宋" w:eastAsia="仿宋" w:cs="仿宋"/>
          <w:kern w:val="0"/>
          <w:sz w:val="32"/>
          <w:szCs w:val="32"/>
          <w:highlight w:val="none"/>
          <w:lang w:bidi="ar"/>
        </w:rPr>
      </w:pPr>
      <w:r>
        <w:rPr>
          <w:rFonts w:ascii="宋体" w:hAnsi="宋体" w:cs="宋体"/>
          <w:kern w:val="0"/>
          <w:sz w:val="32"/>
          <w:szCs w:val="32"/>
          <w:highlight w:val="none"/>
          <w:lang w:bidi="ar"/>
        </w:rPr>
        <w:br w:type="textWrapping"/>
      </w:r>
      <w:r>
        <w:rPr>
          <w:rFonts w:hint="eastAsia" w:ascii="仿宋" w:hAnsi="仿宋" w:eastAsia="仿宋" w:cs="仿宋"/>
          <w:kern w:val="0"/>
          <w:sz w:val="32"/>
          <w:szCs w:val="32"/>
          <w:highlight w:val="none"/>
          <w:lang w:bidi="ar"/>
        </w:rPr>
        <w:t>2. (标的名称) ，属于(采购文件中明确的所属行业) 行业;</w:t>
      </w:r>
      <w:r>
        <w:rPr>
          <w:rFonts w:hint="eastAsia" w:ascii="仿宋" w:hAnsi="仿宋" w:eastAsia="仿宋" w:cs="仿宋"/>
          <w:kern w:val="0"/>
          <w:sz w:val="32"/>
          <w:szCs w:val="32"/>
          <w:highlight w:val="none"/>
          <w:lang w:val="en-US" w:eastAsia="zh-CN" w:bidi="ar"/>
        </w:rPr>
        <w:t>制造商</w:t>
      </w:r>
      <w:r>
        <w:rPr>
          <w:rFonts w:hint="eastAsia" w:ascii="仿宋" w:hAnsi="仿宋" w:eastAsia="仿宋" w:cs="仿宋"/>
          <w:kern w:val="0"/>
          <w:sz w:val="32"/>
          <w:szCs w:val="32"/>
          <w:highlight w:val="none"/>
          <w:lang w:bidi="ar"/>
        </w:rPr>
        <w:t>为(企业名称)，从业人员 人，营业收入 为 万元，资产总额为 万元，属于(中型企业、小型 企业、微型企业);</w:t>
      </w:r>
    </w:p>
    <w:p w14:paraId="5BFE6BD2">
      <w:pPr>
        <w:widowControl/>
        <w:jc w:val="left"/>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w:t>
      </w:r>
    </w:p>
    <w:p w14:paraId="64353A0F">
      <w:pPr>
        <w:widowControl/>
        <w:jc w:val="left"/>
        <w:rPr>
          <w:rFonts w:hint="eastAsia" w:ascii="仿宋" w:hAnsi="仿宋" w:eastAsia="仿宋" w:cs="仿宋"/>
          <w:kern w:val="0"/>
          <w:sz w:val="32"/>
          <w:szCs w:val="32"/>
          <w:highlight w:val="none"/>
          <w:lang w:bidi="ar"/>
        </w:rPr>
      </w:pPr>
    </w:p>
    <w:p w14:paraId="21777A19">
      <w:pPr>
        <w:pStyle w:val="14"/>
        <w:widowControl/>
        <w:shd w:val="clear" w:color="auto" w:fill="FFFFFF"/>
        <w:jc w:val="both"/>
        <w:rPr>
          <w:spacing w:val="8"/>
          <w:sz w:val="32"/>
          <w:szCs w:val="32"/>
          <w:highlight w:val="none"/>
        </w:rPr>
      </w:pPr>
      <w:r>
        <w:rPr>
          <w:rFonts w:ascii="仿宋" w:hAnsi="仿宋" w:eastAsia="仿宋" w:cs="仿宋"/>
          <w:spacing w:val="8"/>
          <w:sz w:val="32"/>
          <w:szCs w:val="32"/>
          <w:highlight w:val="none"/>
          <w:shd w:val="clear" w:color="auto" w:fill="FFFFFF"/>
        </w:rPr>
        <w:t>以上企业，不属于大企业的分支机构，不存在控股股东为大企业的情形，也不存在与大企业的负责人为同一人的情形。</w:t>
      </w:r>
    </w:p>
    <w:p w14:paraId="72AB1A53">
      <w:pPr>
        <w:widowControl/>
        <w:jc w:val="left"/>
        <w:rPr>
          <w:spacing w:val="8"/>
          <w:sz w:val="32"/>
          <w:szCs w:val="32"/>
          <w:highlight w:val="none"/>
        </w:rPr>
      </w:pPr>
      <w:r>
        <w:rPr>
          <w:rFonts w:hint="eastAsia" w:ascii="仿宋" w:hAnsi="仿宋" w:eastAsia="仿宋" w:cs="仿宋"/>
          <w:kern w:val="0"/>
          <w:sz w:val="32"/>
          <w:szCs w:val="32"/>
          <w:highlight w:val="none"/>
          <w:lang w:bidi="ar"/>
        </w:rPr>
        <w:t>本企业对上述声明内容的真实性负责。如有虚假，将依</w:t>
      </w:r>
      <w:r>
        <w:rPr>
          <w:rFonts w:hint="eastAsia" w:ascii="仿宋" w:hAnsi="仿宋" w:eastAsia="仿宋" w:cs="仿宋"/>
          <w:spacing w:val="8"/>
          <w:sz w:val="32"/>
          <w:szCs w:val="32"/>
          <w:highlight w:val="none"/>
          <w:shd w:val="clear" w:color="auto" w:fill="FFFFFF"/>
        </w:rPr>
        <w:t>法承担相应责任。</w:t>
      </w:r>
    </w:p>
    <w:p w14:paraId="5877926F">
      <w:pPr>
        <w:pStyle w:val="15"/>
        <w:shd w:val="clear" w:color="auto" w:fill="FFFFFF"/>
        <w:jc w:val="both"/>
        <w:rPr>
          <w:rFonts w:hint="eastAsia" w:ascii="Microsoft YaHei UI" w:hAnsi="Microsoft YaHei UI" w:eastAsia="Microsoft YaHei UI" w:cs="Microsoft YaHei UI"/>
          <w:spacing w:val="8"/>
          <w:sz w:val="32"/>
          <w:szCs w:val="32"/>
          <w:highlight w:val="none"/>
        </w:rPr>
      </w:pPr>
      <w:r>
        <w:rPr>
          <w:rFonts w:hint="eastAsia" w:ascii="仿宋" w:hAnsi="仿宋" w:eastAsia="仿宋" w:cs="仿宋"/>
          <w:spacing w:val="8"/>
          <w:sz w:val="32"/>
          <w:szCs w:val="32"/>
          <w:highlight w:val="none"/>
          <w:shd w:val="clear" w:color="auto" w:fill="FFFFFF"/>
        </w:rPr>
        <w:t>                                                                                     企业名称(盖章): </w:t>
      </w:r>
    </w:p>
    <w:p w14:paraId="734991B1">
      <w:pPr>
        <w:pStyle w:val="15"/>
        <w:shd w:val="clear" w:color="auto" w:fill="FFFFFF"/>
        <w:jc w:val="both"/>
        <w:rPr>
          <w:rFonts w:hint="eastAsia" w:ascii="Microsoft YaHei UI" w:hAnsi="Microsoft YaHei UI" w:eastAsia="Microsoft YaHei UI" w:cs="Microsoft YaHei UI"/>
          <w:spacing w:val="8"/>
          <w:sz w:val="32"/>
          <w:szCs w:val="32"/>
          <w:highlight w:val="none"/>
        </w:rPr>
      </w:pPr>
      <w:r>
        <w:rPr>
          <w:rFonts w:hint="eastAsia" w:ascii="仿宋" w:hAnsi="仿宋" w:eastAsia="仿宋" w:cs="仿宋"/>
          <w:spacing w:val="8"/>
          <w:sz w:val="32"/>
          <w:szCs w:val="32"/>
          <w:highlight w:val="none"/>
          <w:shd w:val="clear" w:color="auto" w:fill="FFFFFF"/>
        </w:rPr>
        <w:t>                                                                                     日期:</w:t>
      </w:r>
    </w:p>
    <w:p w14:paraId="61797E0E">
      <w:pPr>
        <w:widowControl/>
        <w:ind w:firstLine="640" w:firstLineChars="200"/>
        <w:jc w:val="left"/>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从业人员、营业收入、资产总额填报上一年度数据，无上一年度数据的新成立企业可不填报。</w:t>
      </w:r>
    </w:p>
    <w:p w14:paraId="35B7087D">
      <w:pPr>
        <w:rPr>
          <w:highlight w:val="none"/>
        </w:rPr>
      </w:pPr>
    </w:p>
    <w:p w14:paraId="08149DFF">
      <w:pPr>
        <w:rPr>
          <w:highlight w:val="none"/>
        </w:rPr>
      </w:pPr>
    </w:p>
    <w:sectPr>
      <w:headerReference r:id="rId5" w:type="default"/>
      <w:footerReference r:id="rId6" w:type="default"/>
      <w:footerReference r:id="rId7" w:type="even"/>
      <w:pgSz w:w="11906" w:h="16838"/>
      <w:pgMar w:top="1588" w:right="776" w:bottom="1474" w:left="1155" w:header="851" w:footer="992" w:gutter="0"/>
      <w:cols w:space="720" w:num="1"/>
      <w:docGrid w:type="linesAndChars" w:linePitch="4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Bold">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小标宋">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2DE7">
    <w:pPr>
      <w:pStyle w:val="11"/>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8620C">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E38620C">
                    <w:pPr>
                      <w:pStyle w:val="11"/>
                    </w:pPr>
                    <w:r>
                      <w:fldChar w:fldCharType="begin"/>
                    </w:r>
                    <w:r>
                      <w:instrText xml:space="preserve"> PAGE  \* MERGEFORMAT </w:instrText>
                    </w:r>
                    <w:r>
                      <w:fldChar w:fldCharType="separate"/>
                    </w:r>
                    <w:r>
                      <w:t>38</w:t>
                    </w:r>
                    <w:r>
                      <w:fldChar w:fldCharType="end"/>
                    </w:r>
                  </w:p>
                </w:txbxContent>
              </v:textbox>
            </v:shape>
          </w:pict>
        </mc:Fallback>
      </mc:AlternateContent>
    </w:r>
  </w:p>
  <w:p w14:paraId="50AD4CC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E5EB">
    <w:pPr>
      <w:pStyle w:val="11"/>
      <w:tabs>
        <w:tab w:val="left" w:pos="7770"/>
      </w:tabs>
      <w:ind w:left="3791" w:right="359" w:rightChars="171" w:hanging="3790" w:hangingChars="2106"/>
      <w:rPr>
        <w:rFonts w:eastAsia="黑体"/>
        <w:i/>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6B45B">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46B45B">
                    <w:pPr>
                      <w:pStyle w:val="11"/>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ascii="彩虹小标宋" w:eastAsia="彩虹小标宋"/>
        <w:bCs/>
        <w:i/>
        <w:u w:val="single"/>
      </w:rPr>
      <w:t>新疆维吾尔自治区哈密市公共资源交易服务中心</w:t>
    </w:r>
    <w:r>
      <w:rPr>
        <w:rFonts w:hint="eastAsia" w:ascii="彩虹小标宋" w:eastAsia="彩虹小标宋"/>
        <w:b/>
        <w:bCs/>
        <w:i/>
        <w:u w:val="single"/>
      </w:rPr>
      <w:t xml:space="preserve">                                          </w:t>
    </w:r>
    <w:r>
      <w:rPr>
        <w:rFonts w:hint="eastAsia" w:ascii="彩虹小标宋" w:eastAsia="彩虹小标宋"/>
        <w:bCs/>
        <w:i/>
        <w:u w:val="single"/>
      </w:rPr>
      <w:t xml:space="preserve"> 电话:0902---2206007</w:t>
    </w:r>
    <w:r>
      <w:rPr>
        <w:rFonts w:hint="eastAsia" w:eastAsia="黑体"/>
        <w:i/>
        <w:u w:val="single"/>
      </w:rPr>
      <w:t xml:space="preserve">               </w:t>
    </w:r>
    <w:r>
      <w:rPr>
        <w:rFonts w:hint="eastAsia" w:eastAsia="黑体"/>
        <w: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28B5">
    <w:pPr>
      <w:pStyle w:val="11"/>
      <w:framePr w:wrap="around" w:vAnchor="text" w:hAnchor="margin" w:xAlign="right" w:y="1"/>
      <w:rPr>
        <w:rStyle w:val="20"/>
      </w:rPr>
    </w:pPr>
    <w:r>
      <w:fldChar w:fldCharType="begin"/>
    </w:r>
    <w:r>
      <w:rPr>
        <w:rStyle w:val="20"/>
      </w:rPr>
      <w:instrText xml:space="preserve">PAGE  </w:instrText>
    </w:r>
    <w:r>
      <w:fldChar w:fldCharType="separate"/>
    </w:r>
    <w:r>
      <w:rPr>
        <w:rStyle w:val="20"/>
      </w:rPr>
      <w:t>19</w:t>
    </w:r>
    <w:r>
      <w:fldChar w:fldCharType="end"/>
    </w:r>
  </w:p>
  <w:p w14:paraId="683715F3">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C2EE">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43D2F">
    <w:pPr>
      <w:pStyle w:val="12"/>
      <w:jc w:val="both"/>
      <w:rPr>
        <w:rFonts w:ascii="楷体_GB2312" w:eastAsia="楷体_GB2312"/>
        <w:bCs/>
      </w:rPr>
    </w:pPr>
    <w:r>
      <w:rPr>
        <w:rFonts w:hint="eastAsia" w:ascii="楷体_GB2312" w:eastAsia="楷体_GB2312"/>
        <w:bCs/>
      </w:rPr>
      <w:t>公平 公开 公正                                                新疆维吾尔自治区哈密市公共资源交易服务中心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0CEC0"/>
    <w:multiLevelType w:val="singleLevel"/>
    <w:tmpl w:val="A4C0CEC0"/>
    <w:lvl w:ilvl="0" w:tentative="0">
      <w:start w:val="8"/>
      <w:numFmt w:val="chineseCounting"/>
      <w:suff w:val="nothing"/>
      <w:lvlText w:val="（%1）"/>
      <w:lvlJc w:val="left"/>
      <w:rPr>
        <w:rFonts w:hint="eastAsia"/>
      </w:rPr>
    </w:lvl>
  </w:abstractNum>
  <w:abstractNum w:abstractNumId="1">
    <w:nsid w:val="A8E75B18"/>
    <w:multiLevelType w:val="singleLevel"/>
    <w:tmpl w:val="A8E75B18"/>
    <w:lvl w:ilvl="0" w:tentative="0">
      <w:start w:val="3"/>
      <w:numFmt w:val="decimal"/>
      <w:suff w:val="nothing"/>
      <w:lvlText w:val="%1、"/>
      <w:lvlJc w:val="left"/>
    </w:lvl>
  </w:abstractNum>
  <w:abstractNum w:abstractNumId="2">
    <w:nsid w:val="C76C4053"/>
    <w:multiLevelType w:val="singleLevel"/>
    <w:tmpl w:val="C76C4053"/>
    <w:lvl w:ilvl="0" w:tentative="0">
      <w:start w:val="5"/>
      <w:numFmt w:val="decimal"/>
      <w:suff w:val="nothing"/>
      <w:lvlText w:val="（%1）"/>
      <w:lvlJc w:val="left"/>
    </w:lvl>
  </w:abstractNum>
  <w:abstractNum w:abstractNumId="3">
    <w:nsid w:val="CE0FFF1C"/>
    <w:multiLevelType w:val="singleLevel"/>
    <w:tmpl w:val="CE0FFF1C"/>
    <w:lvl w:ilvl="0" w:tentative="0">
      <w:start w:val="3"/>
      <w:numFmt w:val="chineseCounting"/>
      <w:suff w:val="space"/>
      <w:lvlText w:val="第%1部分"/>
      <w:lvlJc w:val="left"/>
      <w:rPr>
        <w:rFonts w:hint="eastAsia"/>
      </w:rPr>
    </w:lvl>
  </w:abstractNum>
  <w:abstractNum w:abstractNumId="4">
    <w:nsid w:val="F940AF98"/>
    <w:multiLevelType w:val="singleLevel"/>
    <w:tmpl w:val="F940AF98"/>
    <w:lvl w:ilvl="0" w:tentative="0">
      <w:start w:val="1"/>
      <w:numFmt w:val="decimal"/>
      <w:suff w:val="nothing"/>
      <w:lvlText w:val="%1、"/>
      <w:lvlJc w:val="left"/>
    </w:lvl>
  </w:abstractNum>
  <w:abstractNum w:abstractNumId="5">
    <w:nsid w:val="FF005818"/>
    <w:multiLevelType w:val="singleLevel"/>
    <w:tmpl w:val="FF005818"/>
    <w:lvl w:ilvl="0" w:tentative="0">
      <w:start w:val="3"/>
      <w:numFmt w:val="chineseCounting"/>
      <w:suff w:val="nothing"/>
      <w:lvlText w:val="第%1章、"/>
      <w:lvlJc w:val="left"/>
      <w:rPr>
        <w:rFonts w:hint="eastAsia"/>
      </w:rPr>
    </w:lvl>
  </w:abstractNum>
  <w:abstractNum w:abstractNumId="6">
    <w:nsid w:val="06D309FD"/>
    <w:multiLevelType w:val="multilevel"/>
    <w:tmpl w:val="06D309F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1D5755D3"/>
    <w:multiLevelType w:val="multilevel"/>
    <w:tmpl w:val="1D5755D3"/>
    <w:lvl w:ilvl="0" w:tentative="0">
      <w:start w:val="1"/>
      <w:numFmt w:val="bullet"/>
      <w:pStyle w:val="24"/>
      <w:lvlText w:val=""/>
      <w:lvlJc w:val="left"/>
      <w:pPr>
        <w:tabs>
          <w:tab w:val="left" w:pos="2126"/>
        </w:tabs>
        <w:ind w:left="2126" w:hanging="425"/>
      </w:pPr>
      <w:rPr>
        <w:rFonts w:hint="default" w:ascii="Wingdings" w:hAnsi="Wingdings" w:cs="Wingdings"/>
        <w:b w:val="0"/>
        <w:bCs w:val="0"/>
        <w:i w:val="0"/>
        <w:iCs w:val="0"/>
        <w:caps w:val="0"/>
        <w:strike w:val="0"/>
        <w:dstrike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3D65EE67"/>
    <w:multiLevelType w:val="singleLevel"/>
    <w:tmpl w:val="3D65EE67"/>
    <w:lvl w:ilvl="0" w:tentative="0">
      <w:start w:val="16"/>
      <w:numFmt w:val="chineseCounting"/>
      <w:suff w:val="nothing"/>
      <w:lvlText w:val="（%1）"/>
      <w:lvlJc w:val="left"/>
      <w:rPr>
        <w:rFonts w:hint="eastAsia"/>
      </w:rPr>
    </w:lvl>
  </w:abstractNum>
  <w:abstractNum w:abstractNumId="9">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10">
    <w:nsid w:val="5CC5E957"/>
    <w:multiLevelType w:val="singleLevel"/>
    <w:tmpl w:val="5CC5E957"/>
    <w:lvl w:ilvl="0" w:tentative="0">
      <w:start w:val="1"/>
      <w:numFmt w:val="decimal"/>
      <w:suff w:val="nothing"/>
      <w:lvlText w:val="%1、"/>
      <w:lvlJc w:val="left"/>
    </w:lvl>
  </w:abstractNum>
  <w:abstractNum w:abstractNumId="11">
    <w:nsid w:val="5ECA2AA8"/>
    <w:multiLevelType w:val="multilevel"/>
    <w:tmpl w:val="5ECA2AA8"/>
    <w:lvl w:ilvl="0" w:tentative="0">
      <w:start w:val="1"/>
      <w:numFmt w:val="decimal"/>
      <w:lvlText w:val="%1."/>
      <w:lvlJc w:val="left"/>
      <w:pPr>
        <w:ind w:left="860" w:hanging="380"/>
      </w:pPr>
      <w:rPr>
        <w:rFonts w:hint="default" w:ascii="宋体" w:hAnsi="宋体" w:eastAsia="宋体"/>
        <w:sz w:val="24"/>
      </w:rPr>
    </w:lvl>
    <w:lvl w:ilvl="1" w:tentative="0">
      <w:start w:val="1"/>
      <w:numFmt w:val="decimal"/>
      <w:isLgl/>
      <w:lvlText w:val="%1.%2"/>
      <w:lvlJc w:val="left"/>
      <w:pPr>
        <w:ind w:left="1230" w:hanging="370"/>
      </w:pPr>
      <w:rPr>
        <w:rFonts w:hint="default"/>
      </w:rPr>
    </w:lvl>
    <w:lvl w:ilvl="2" w:tentative="0">
      <w:start w:val="1"/>
      <w:numFmt w:val="decimal"/>
      <w:isLgl/>
      <w:lvlText w:val="%1.%2.%3"/>
      <w:lvlJc w:val="left"/>
      <w:pPr>
        <w:ind w:left="1960" w:hanging="720"/>
      </w:pPr>
      <w:rPr>
        <w:rFonts w:hint="default"/>
      </w:rPr>
    </w:lvl>
    <w:lvl w:ilvl="3" w:tentative="0">
      <w:start w:val="1"/>
      <w:numFmt w:val="decimal"/>
      <w:isLgl/>
      <w:lvlText w:val="%1.%2.%3.%4"/>
      <w:lvlJc w:val="left"/>
      <w:pPr>
        <w:ind w:left="2340" w:hanging="720"/>
      </w:pPr>
      <w:rPr>
        <w:rFonts w:hint="default"/>
      </w:rPr>
    </w:lvl>
    <w:lvl w:ilvl="4" w:tentative="0">
      <w:start w:val="1"/>
      <w:numFmt w:val="decimal"/>
      <w:isLgl/>
      <w:lvlText w:val="%1.%2.%3.%4.%5"/>
      <w:lvlJc w:val="left"/>
      <w:pPr>
        <w:ind w:left="3080" w:hanging="1080"/>
      </w:pPr>
      <w:rPr>
        <w:rFonts w:hint="default"/>
      </w:rPr>
    </w:lvl>
    <w:lvl w:ilvl="5" w:tentative="0">
      <w:start w:val="1"/>
      <w:numFmt w:val="decimal"/>
      <w:isLgl/>
      <w:lvlText w:val="%1.%2.%3.%4.%5.%6"/>
      <w:lvlJc w:val="left"/>
      <w:pPr>
        <w:ind w:left="3460" w:hanging="1080"/>
      </w:pPr>
      <w:rPr>
        <w:rFonts w:hint="default"/>
      </w:rPr>
    </w:lvl>
    <w:lvl w:ilvl="6" w:tentative="0">
      <w:start w:val="1"/>
      <w:numFmt w:val="decimal"/>
      <w:isLgl/>
      <w:lvlText w:val="%1.%2.%3.%4.%5.%6.%7"/>
      <w:lvlJc w:val="left"/>
      <w:pPr>
        <w:ind w:left="4200" w:hanging="1440"/>
      </w:pPr>
      <w:rPr>
        <w:rFonts w:hint="default"/>
      </w:rPr>
    </w:lvl>
    <w:lvl w:ilvl="7" w:tentative="0">
      <w:start w:val="1"/>
      <w:numFmt w:val="decimal"/>
      <w:isLgl/>
      <w:lvlText w:val="%1.%2.%3.%4.%5.%6.%7.%8"/>
      <w:lvlJc w:val="left"/>
      <w:pPr>
        <w:ind w:left="4580" w:hanging="1440"/>
      </w:pPr>
      <w:rPr>
        <w:rFonts w:hint="default"/>
      </w:rPr>
    </w:lvl>
    <w:lvl w:ilvl="8" w:tentative="0">
      <w:start w:val="1"/>
      <w:numFmt w:val="decimal"/>
      <w:isLgl/>
      <w:lvlText w:val="%1.%2.%3.%4.%5.%6.%7.%8.%9"/>
      <w:lvlJc w:val="left"/>
      <w:pPr>
        <w:ind w:left="5320" w:hanging="1800"/>
      </w:pPr>
      <w:rPr>
        <w:rFonts w:hint="default"/>
      </w:rPr>
    </w:lvl>
  </w:abstractNum>
  <w:num w:numId="1">
    <w:abstractNumId w:val="7"/>
  </w:num>
  <w:num w:numId="2">
    <w:abstractNumId w:val="3"/>
  </w:num>
  <w:num w:numId="3">
    <w:abstractNumId w:val="2"/>
  </w:num>
  <w:num w:numId="4">
    <w:abstractNumId w:val="5"/>
  </w:num>
  <w:num w:numId="5">
    <w:abstractNumId w:val="11"/>
  </w:num>
  <w:num w:numId="6">
    <w:abstractNumId w:val="6"/>
  </w:num>
  <w:num w:numId="7">
    <w:abstractNumId w:val="1"/>
  </w:num>
  <w:num w:numId="8">
    <w:abstractNumId w:val="4"/>
  </w:num>
  <w:num w:numId="9">
    <w:abstractNumId w:val="9"/>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A77F5"/>
    <w:rsid w:val="02CE17E8"/>
    <w:rsid w:val="04D90BAB"/>
    <w:rsid w:val="07584290"/>
    <w:rsid w:val="07FB6BDB"/>
    <w:rsid w:val="097067BB"/>
    <w:rsid w:val="0B5224A3"/>
    <w:rsid w:val="0C267283"/>
    <w:rsid w:val="0D2D5A7F"/>
    <w:rsid w:val="0D623FE4"/>
    <w:rsid w:val="0E6F56D0"/>
    <w:rsid w:val="0FAA77F5"/>
    <w:rsid w:val="16AF4AC3"/>
    <w:rsid w:val="16CA6972"/>
    <w:rsid w:val="17C80E13"/>
    <w:rsid w:val="27527913"/>
    <w:rsid w:val="2F390038"/>
    <w:rsid w:val="331B77E7"/>
    <w:rsid w:val="334C5DB8"/>
    <w:rsid w:val="36853D2D"/>
    <w:rsid w:val="410428C6"/>
    <w:rsid w:val="43B53B97"/>
    <w:rsid w:val="43CC7746"/>
    <w:rsid w:val="457F1EF2"/>
    <w:rsid w:val="47EA03B1"/>
    <w:rsid w:val="4EEA0217"/>
    <w:rsid w:val="4EF556D5"/>
    <w:rsid w:val="510D605D"/>
    <w:rsid w:val="556A7D1D"/>
    <w:rsid w:val="565463B1"/>
    <w:rsid w:val="573F4134"/>
    <w:rsid w:val="5AC50C97"/>
    <w:rsid w:val="5D6B3030"/>
    <w:rsid w:val="63164E21"/>
    <w:rsid w:val="634F42F5"/>
    <w:rsid w:val="6A6D5027"/>
    <w:rsid w:val="6CF64A51"/>
    <w:rsid w:val="6E4E01BB"/>
    <w:rsid w:val="707B7C95"/>
    <w:rsid w:val="713F665A"/>
    <w:rsid w:val="73185EE0"/>
    <w:rsid w:val="79C83058"/>
    <w:rsid w:val="7B892BA7"/>
    <w:rsid w:val="7E467541"/>
    <w:rsid w:val="7E5D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8">
    <w:name w:val="Default Paragraph Font"/>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a heading"/>
    <w:basedOn w:val="1"/>
    <w:next w:val="1"/>
    <w:qFormat/>
    <w:uiPriority w:val="0"/>
    <w:pPr>
      <w:widowControl/>
      <w:spacing w:before="120"/>
      <w:ind w:firstLine="3584"/>
    </w:pPr>
  </w:style>
  <w:style w:type="paragraph" w:styleId="5">
    <w:name w:val="annotation text"/>
    <w:basedOn w:val="1"/>
    <w:unhideWhenUsed/>
    <w:qFormat/>
    <w:uiPriority w:val="99"/>
    <w:pPr>
      <w:jc w:val="left"/>
    </w:pPr>
  </w:style>
  <w:style w:type="paragraph" w:styleId="6">
    <w:name w:val="Body Text"/>
    <w:basedOn w:val="1"/>
    <w:qFormat/>
    <w:uiPriority w:val="99"/>
    <w:pPr>
      <w:widowControl/>
      <w:jc w:val="left"/>
    </w:pPr>
    <w:rPr>
      <w:kern w:val="0"/>
      <w:sz w:val="24"/>
    </w:rPr>
  </w:style>
  <w:style w:type="paragraph" w:styleId="7">
    <w:name w:val="Body Text Indent"/>
    <w:basedOn w:val="1"/>
    <w:next w:val="8"/>
    <w:qFormat/>
    <w:uiPriority w:val="0"/>
    <w:pPr>
      <w:spacing w:line="600" w:lineRule="exact"/>
      <w:ind w:firstLine="720"/>
    </w:pPr>
    <w:rPr>
      <w:rFonts w:ascii="仿宋_GB2312" w:eastAsia="仿宋_GB2312"/>
      <w:sz w:val="32"/>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sz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footnote text"/>
    <w:basedOn w:val="1"/>
    <w:qFormat/>
    <w:uiPriority w:val="0"/>
    <w:pPr>
      <w:snapToGrid w:val="0"/>
      <w:jc w:val="left"/>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qFormat/>
    <w:uiPriority w:val="0"/>
    <w:pPr>
      <w:widowControl/>
      <w:jc w:val="left"/>
    </w:pPr>
    <w:rPr>
      <w:rFonts w:ascii="宋体" w:hAnsi="宋体" w:cs="宋体"/>
      <w:kern w:val="0"/>
      <w:sz w:val="24"/>
      <w:szCs w:val="24"/>
    </w:rPr>
  </w:style>
  <w:style w:type="paragraph" w:styleId="16">
    <w:name w:val="Body Text First Indent 2"/>
    <w:basedOn w:val="7"/>
    <w:next w:val="1"/>
    <w:unhideWhenUsed/>
    <w:qFormat/>
    <w:uiPriority w:val="99"/>
    <w:pPr>
      <w:ind w:firstLine="420"/>
    </w:pPr>
  </w:style>
  <w:style w:type="character" w:styleId="19">
    <w:name w:val="Strong"/>
    <w:basedOn w:val="18"/>
    <w:qFormat/>
    <w:uiPriority w:val="22"/>
    <w:rPr>
      <w:b/>
    </w:rPr>
  </w:style>
  <w:style w:type="character" w:styleId="20">
    <w:name w:val="page number"/>
    <w:basedOn w:val="18"/>
    <w:qFormat/>
    <w:uiPriority w:val="0"/>
  </w:style>
  <w:style w:type="paragraph" w:customStyle="1" w:styleId="2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23">
    <w:name w:val="List Paragraph"/>
    <w:basedOn w:val="1"/>
    <w:qFormat/>
    <w:uiPriority w:val="0"/>
    <w:pPr>
      <w:adjustRightInd w:val="0"/>
      <w:spacing w:line="360" w:lineRule="atLeast"/>
      <w:ind w:firstLine="420" w:firstLineChars="200"/>
      <w:textAlignment w:val="baseline"/>
    </w:pPr>
    <w:rPr>
      <w:kern w:val="0"/>
      <w:sz w:val="24"/>
    </w:rPr>
  </w:style>
  <w:style w:type="paragraph" w:customStyle="1" w:styleId="24">
    <w:name w:val="Item List"/>
    <w:qFormat/>
    <w:uiPriority w:val="0"/>
    <w:pPr>
      <w:numPr>
        <w:ilvl w:val="0"/>
        <w:numId w:val="1"/>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character" w:customStyle="1" w:styleId="25">
    <w:name w:val="font151"/>
    <w:basedOn w:val="18"/>
    <w:qFormat/>
    <w:uiPriority w:val="0"/>
    <w:rPr>
      <w:rFonts w:hint="eastAsia" w:ascii="宋体" w:hAnsi="宋体" w:eastAsia="宋体" w:cs="宋体"/>
      <w:color w:val="000000"/>
      <w:sz w:val="20"/>
      <w:szCs w:val="20"/>
      <w:u w:val="none"/>
    </w:rPr>
  </w:style>
  <w:style w:type="character" w:customStyle="1" w:styleId="26">
    <w:name w:val="font31"/>
    <w:basedOn w:val="18"/>
    <w:qFormat/>
    <w:uiPriority w:val="0"/>
    <w:rPr>
      <w:rFonts w:hint="eastAsia" w:ascii="宋体" w:hAnsi="宋体" w:eastAsia="宋体" w:cs="宋体"/>
      <w:b/>
      <w:color w:val="000000"/>
      <w:sz w:val="20"/>
      <w:szCs w:val="20"/>
      <w:u w:val="none"/>
    </w:rPr>
  </w:style>
  <w:style w:type="character" w:customStyle="1" w:styleId="27">
    <w:name w:val="font122"/>
    <w:basedOn w:val="18"/>
    <w:qFormat/>
    <w:uiPriority w:val="0"/>
    <w:rPr>
      <w:rFonts w:ascii="Calibri" w:hAnsi="Calibri" w:cs="Calibri"/>
      <w:color w:val="000000"/>
      <w:sz w:val="20"/>
      <w:szCs w:val="20"/>
      <w:u w:val="none"/>
    </w:rPr>
  </w:style>
  <w:style w:type="character" w:customStyle="1" w:styleId="28">
    <w:name w:val="font61"/>
    <w:basedOn w:val="18"/>
    <w:qFormat/>
    <w:uiPriority w:val="0"/>
    <w:rPr>
      <w:rFonts w:hint="eastAsia" w:ascii="宋体" w:hAnsi="宋体" w:eastAsia="宋体" w:cs="宋体"/>
      <w:color w:val="000000"/>
      <w:sz w:val="16"/>
      <w:szCs w:val="16"/>
      <w:u w:val="none"/>
    </w:rPr>
  </w:style>
  <w:style w:type="character" w:customStyle="1" w:styleId="29">
    <w:name w:val="font131"/>
    <w:basedOn w:val="18"/>
    <w:qFormat/>
    <w:uiPriority w:val="0"/>
    <w:rPr>
      <w:rFonts w:hint="eastAsia" w:ascii="宋体" w:hAnsi="宋体" w:eastAsia="宋体" w:cs="宋体"/>
      <w:color w:val="000000"/>
      <w:sz w:val="20"/>
      <w:szCs w:val="20"/>
      <w:u w:val="none"/>
    </w:rPr>
  </w:style>
  <w:style w:type="character" w:customStyle="1" w:styleId="30">
    <w:name w:val="font141"/>
    <w:basedOn w:val="18"/>
    <w:qFormat/>
    <w:uiPriority w:val="0"/>
    <w:rPr>
      <w:rFonts w:ascii="宋体" w:hAnsi="宋体" w:eastAsia="宋体" w:cs="宋体"/>
      <w:color w:val="000000"/>
      <w:sz w:val="16"/>
      <w:szCs w:val="16"/>
      <w:u w:val="none"/>
    </w:rPr>
  </w:style>
  <w:style w:type="character" w:customStyle="1" w:styleId="31">
    <w:name w:val="font41"/>
    <w:basedOn w:val="18"/>
    <w:qFormat/>
    <w:uiPriority w:val="0"/>
    <w:rPr>
      <w:rFonts w:hint="eastAsia" w:ascii="宋体" w:hAnsi="宋体" w:eastAsia="宋体" w:cs="宋体"/>
      <w:color w:val="000000"/>
      <w:sz w:val="18"/>
      <w:szCs w:val="18"/>
      <w:u w:val="none"/>
    </w:rPr>
  </w:style>
  <w:style w:type="character" w:customStyle="1" w:styleId="32">
    <w:name w:val="font191"/>
    <w:basedOn w:val="18"/>
    <w:qFormat/>
    <w:uiPriority w:val="0"/>
    <w:rPr>
      <w:rFonts w:ascii="Symbol" w:hAnsi="Symbol" w:cs="Symbol"/>
      <w:color w:val="000000"/>
      <w:sz w:val="20"/>
      <w:szCs w:val="20"/>
      <w:u w:val="none"/>
    </w:rPr>
  </w:style>
  <w:style w:type="character" w:customStyle="1" w:styleId="33">
    <w:name w:val="font201"/>
    <w:basedOn w:val="18"/>
    <w:qFormat/>
    <w:uiPriority w:val="0"/>
    <w:rPr>
      <w:rFonts w:ascii="Wingdings" w:hAnsi="Wingdings" w:cs="Wingdings"/>
      <w:color w:val="000000"/>
      <w:sz w:val="20"/>
      <w:szCs w:val="20"/>
      <w:u w:val="none"/>
    </w:rPr>
  </w:style>
  <w:style w:type="character" w:customStyle="1" w:styleId="34">
    <w:name w:val="font71"/>
    <w:basedOn w:val="18"/>
    <w:qFormat/>
    <w:uiPriority w:val="0"/>
    <w:rPr>
      <w:rFonts w:hint="eastAsia" w:ascii="宋体" w:hAnsi="宋体" w:eastAsia="宋体" w:cs="宋体"/>
      <w:color w:val="000000"/>
      <w:sz w:val="18"/>
      <w:szCs w:val="18"/>
      <w:u w:val="none"/>
    </w:rPr>
  </w:style>
  <w:style w:type="character" w:customStyle="1" w:styleId="35">
    <w:name w:val="font12"/>
    <w:basedOn w:val="18"/>
    <w:qFormat/>
    <w:uiPriority w:val="0"/>
    <w:rPr>
      <w:rFonts w:hint="default" w:ascii="Times New Roman" w:hAnsi="Times New Roman" w:cs="Times New Roman"/>
      <w:color w:val="000000"/>
      <w:sz w:val="20"/>
      <w:szCs w:val="20"/>
      <w:u w:val="none"/>
    </w:rPr>
  </w:style>
  <w:style w:type="character" w:customStyle="1" w:styleId="36">
    <w:name w:val="font211"/>
    <w:basedOn w:val="18"/>
    <w:qFormat/>
    <w:uiPriority w:val="0"/>
    <w:rPr>
      <w:rFonts w:ascii="Calibri" w:hAnsi="Calibri" w:cs="Calibri"/>
      <w:color w:val="000000"/>
      <w:sz w:val="20"/>
      <w:szCs w:val="20"/>
      <w:u w:val="none"/>
    </w:rPr>
  </w:style>
  <w:style w:type="character" w:customStyle="1" w:styleId="37">
    <w:name w:val="font111"/>
    <w:basedOn w:val="18"/>
    <w:qFormat/>
    <w:uiPriority w:val="0"/>
    <w:rPr>
      <w:rFonts w:hint="eastAsia" w:ascii="宋体" w:hAnsi="宋体" w:eastAsia="宋体" w:cs="宋体"/>
      <w:color w:val="000000"/>
      <w:sz w:val="21"/>
      <w:szCs w:val="21"/>
      <w:u w:val="none"/>
    </w:rPr>
  </w:style>
  <w:style w:type="character" w:customStyle="1" w:styleId="38">
    <w:name w:val="font222"/>
    <w:basedOn w:val="18"/>
    <w:qFormat/>
    <w:uiPriority w:val="0"/>
    <w:rPr>
      <w:rFonts w:hint="default" w:ascii="Calibri" w:hAnsi="Calibri" w:cs="Calibri"/>
      <w:color w:val="000000"/>
      <w:sz w:val="21"/>
      <w:szCs w:val="21"/>
      <w:u w:val="none"/>
    </w:rPr>
  </w:style>
  <w:style w:type="character" w:customStyle="1" w:styleId="39">
    <w:name w:val="font121"/>
    <w:basedOn w:val="18"/>
    <w:qFormat/>
    <w:uiPriority w:val="0"/>
    <w:rPr>
      <w:rFonts w:hint="eastAsia" w:ascii="宋体" w:hAnsi="宋体" w:eastAsia="宋体" w:cs="宋体"/>
      <w:color w:val="000000"/>
      <w:sz w:val="18"/>
      <w:szCs w:val="18"/>
      <w:u w:val="none"/>
    </w:rPr>
  </w:style>
  <w:style w:type="character" w:customStyle="1" w:styleId="40">
    <w:name w:val="font161"/>
    <w:basedOn w:val="18"/>
    <w:qFormat/>
    <w:uiPriority w:val="0"/>
    <w:rPr>
      <w:rFonts w:ascii="宋体" w:hAnsi="宋体" w:eastAsia="宋体" w:cs="宋体"/>
      <w:color w:val="000000"/>
      <w:sz w:val="20"/>
      <w:szCs w:val="20"/>
      <w:u w:val="none"/>
    </w:rPr>
  </w:style>
  <w:style w:type="character" w:customStyle="1" w:styleId="41">
    <w:name w:val="font171"/>
    <w:basedOn w:val="18"/>
    <w:qFormat/>
    <w:uiPriority w:val="0"/>
    <w:rPr>
      <w:rFonts w:hint="default" w:ascii="Calibri" w:hAnsi="Calibri" w:cs="Calibri"/>
      <w:color w:val="000000"/>
      <w:sz w:val="20"/>
      <w:szCs w:val="20"/>
      <w:u w:val="none"/>
    </w:rPr>
  </w:style>
  <w:style w:type="character" w:customStyle="1" w:styleId="42">
    <w:name w:val="font132"/>
    <w:basedOn w:val="18"/>
    <w:qFormat/>
    <w:uiPriority w:val="0"/>
    <w:rPr>
      <w:rFonts w:hint="eastAsia" w:ascii="宋体" w:hAnsi="宋体" w:eastAsia="宋体" w:cs="宋体"/>
      <w:color w:val="000000"/>
      <w:sz w:val="21"/>
      <w:szCs w:val="21"/>
      <w:u w:val="none"/>
    </w:rPr>
  </w:style>
  <w:style w:type="character" w:customStyle="1" w:styleId="43">
    <w:name w:val="font13"/>
    <w:basedOn w:val="18"/>
    <w:qFormat/>
    <w:uiPriority w:val="0"/>
    <w:rPr>
      <w:rFonts w:hint="eastAsia" w:ascii="宋体" w:hAnsi="宋体" w:eastAsia="宋体" w:cs="宋体"/>
      <w:color w:val="000000"/>
      <w:sz w:val="20"/>
      <w:szCs w:val="20"/>
      <w:u w:val="none"/>
    </w:rPr>
  </w:style>
  <w:style w:type="character" w:customStyle="1" w:styleId="44">
    <w:name w:val="font51"/>
    <w:basedOn w:val="18"/>
    <w:qFormat/>
    <w:uiPriority w:val="0"/>
    <w:rPr>
      <w:rFonts w:hint="eastAsia" w:ascii="宋体" w:hAnsi="宋体" w:eastAsia="宋体" w:cs="宋体"/>
      <w:color w:val="000000"/>
      <w:sz w:val="20"/>
      <w:szCs w:val="20"/>
      <w:u w:val="none"/>
    </w:rPr>
  </w:style>
  <w:style w:type="paragraph" w:customStyle="1" w:styleId="45">
    <w:name w:val="Table Text"/>
    <w:basedOn w:val="1"/>
    <w:semiHidden/>
    <w:qFormat/>
    <w:uiPriority w:val="0"/>
    <w:rPr>
      <w:rFonts w:ascii="Arial" w:hAnsi="Arial" w:eastAsia="Arial" w:cs="Arial"/>
      <w:sz w:val="21"/>
      <w:szCs w:val="21"/>
      <w:lang w:val="en-US" w:eastAsia="en-US" w:bidi="ar-SA"/>
    </w:rPr>
  </w:style>
  <w:style w:type="character" w:customStyle="1" w:styleId="46">
    <w:name w:val="15"/>
    <w:basedOn w:val="18"/>
    <w:qFormat/>
    <w:uiPriority w:val="0"/>
    <w:rPr>
      <w:rFonts w:hint="default" w:ascii="Times New Roman" w:hAnsi="Times New Roman" w:cs="Times New Roman"/>
      <w:color w:val="8A8A8A"/>
      <w:sz w:val="18"/>
      <w:szCs w:val="18"/>
    </w:rPr>
  </w:style>
  <w:style w:type="paragraph" w:customStyle="1" w:styleId="47">
    <w:name w:val="正文 A"/>
    <w:qFormat/>
    <w:uiPriority w:val="0"/>
    <w:pPr>
      <w:widowControl w:val="0"/>
      <w:spacing w:line="360" w:lineRule="auto"/>
      <w:ind w:firstLine="472"/>
      <w:jc w:val="both"/>
    </w:pPr>
    <w:rPr>
      <w:rFonts w:ascii="Songti SC Bold" w:hAnsi="Arial Unicode MS" w:eastAsia="Arial Unicode MS" w:cs="Arial Unicode MS"/>
      <w:color w:val="000000"/>
      <w:sz w:val="24"/>
      <w:szCs w:val="24"/>
      <w:lang w:val="zh-Hans" w:eastAsia="zh-Hans" w:bidi="ar-SA"/>
    </w:rPr>
  </w:style>
  <w:style w:type="paragraph" w:customStyle="1" w:styleId="48">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4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211</Pages>
  <Words>21887</Words>
  <Characters>23688</Characters>
  <Lines>0</Lines>
  <Paragraphs>0</Paragraphs>
  <TotalTime>0</TotalTime>
  <ScaleCrop>false</ScaleCrop>
  <LinksUpToDate>false</LinksUpToDate>
  <CharactersWithSpaces>24619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2025-03-14T01:41:00Z</dcterms:created>
  <dc:creator>Administrator</dc:creator>
  <cp:lastModifiedBy>文腾飞</cp:lastModifiedBy>
  <dcterms:modified xsi:type="dcterms:W3CDTF">2025-03-17T03:41:20Z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B272F3ED2E584392AC0978965F97FAE0_13</vt:lpwstr>
  </property>
  <property fmtid="{D5CDD505-2E9C-101B-9397-08002B2CF9AE}" pid="4" name="KSOTemplateDocerSaveRecord">
    <vt:lpwstr>eyJoZGlkIjoiYzdlZjczODk5MzA1YjMxNjhmYTk0M2NmYmU1YzQ4MjYiLCJ1c2VySWQiOiIzNjUzNDEyNjYifQ==</vt:lpwstr>
  </property>
</Properties>
</file>