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outlineLvl w:val="0"/>
        <w:rPr>
          <w:rFonts w:hint="eastAsia" w:ascii="华文中宋" w:hAnsi="华文中宋" w:eastAsia="华文中宋" w:cs="Times New Roman"/>
          <w:b/>
          <w:bCs/>
          <w:kern w:val="44"/>
          <w:sz w:val="44"/>
          <w:szCs w:val="44"/>
          <w:lang w:val="en-US" w:eastAsia="zh-CN" w:bidi="ar-SA"/>
        </w:rPr>
      </w:pPr>
      <w:bookmarkStart w:id="0" w:name="_Toc35393797"/>
      <w:bookmarkStart w:id="1" w:name="_Toc28359011"/>
      <w:r>
        <w:rPr>
          <w:rFonts w:hint="eastAsia" w:ascii="华文中宋" w:hAnsi="华文中宋" w:eastAsia="华文中宋" w:cs="Times New Roman"/>
          <w:b/>
          <w:bCs/>
          <w:kern w:val="44"/>
          <w:sz w:val="44"/>
          <w:szCs w:val="44"/>
          <w:lang w:val="en-US" w:eastAsia="zh-CN" w:bidi="ar-SA"/>
        </w:rPr>
        <w:t>哈巴河县智慧党建操作中心建设项目</w:t>
      </w:r>
      <w:bookmarkStart w:id="44" w:name="_GoBack"/>
      <w:bookmarkEnd w:id="44"/>
    </w:p>
    <w:p>
      <w:pPr>
        <w:keepNext/>
        <w:keepLines/>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outlineLvl w:val="0"/>
        <w:rPr>
          <w:rFonts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竞争性磋商公告</w:t>
      </w:r>
      <w:bookmarkEnd w:id="0"/>
      <w:bookmarkEnd w:id="1"/>
    </w:p>
    <w:p>
      <w:pPr>
        <w:pageBreakBefore w:val="0"/>
        <w:kinsoku/>
        <w:wordWrap/>
        <w:overflowPunct/>
        <w:topLinePunct w:val="0"/>
        <w:bidi w:val="0"/>
        <w:snapToGrid/>
        <w:spacing w:line="440" w:lineRule="exact"/>
        <w:textAlignment w:val="auto"/>
        <w:rPr>
          <w:rFonts w:ascii="Times New Roman" w:hAnsi="Times New Roman" w:eastAsia="宋体" w:cs="Times New Roman"/>
          <w:szCs w:val="21"/>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u w:val="single"/>
          <w:lang w:eastAsia="zh-CN"/>
        </w:rPr>
        <w:t>哈巴河县智慧党建操作中心建设项目</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val="zh-CN"/>
        </w:rPr>
        <w:t>新疆新睿泰咨询有限公司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 xml:space="preserve">年 </w:t>
      </w:r>
      <w:r>
        <w:rPr>
          <w:rFonts w:hint="eastAsia" w:ascii="仿宋" w:hAnsi="仿宋" w:eastAsia="仿宋" w:cs="Times New Roman"/>
          <w:bCs/>
          <w:sz w:val="28"/>
          <w:szCs w:val="28"/>
          <w:u w:val="single"/>
          <w:lang w:val="en-US" w:eastAsia="zh-CN"/>
        </w:rPr>
        <w:t xml:space="preserve">10 </w:t>
      </w:r>
      <w:r>
        <w:rPr>
          <w:rFonts w:hint="eastAsia" w:ascii="仿宋" w:hAnsi="仿宋" w:eastAsia="仿宋" w:cs="Times New Roman"/>
          <w:bCs/>
          <w:sz w:val="28"/>
          <w:szCs w:val="28"/>
          <w:u w:val="single"/>
        </w:rPr>
        <w:t xml:space="preserve">月 </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 xml:space="preserve"> 日</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 xml:space="preserve"> 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keepNext/>
        <w:keepLines/>
        <w:pageBreakBefore w:val="0"/>
        <w:widowControl w:val="0"/>
        <w:kinsoku/>
        <w:wordWrap/>
        <w:overflowPunct/>
        <w:topLinePunct w:val="0"/>
        <w:bidi w:val="0"/>
        <w:snapToGrid/>
        <w:spacing w:before="260" w:after="260" w:line="440" w:lineRule="exact"/>
        <w:jc w:val="both"/>
        <w:textAlignment w:val="auto"/>
        <w:outlineLvl w:val="1"/>
        <w:rPr>
          <w:rFonts w:ascii="黑体" w:hAnsi="黑体" w:eastAsia="黑体" w:cs="宋体"/>
          <w:b w:val="0"/>
          <w:bCs/>
          <w:kern w:val="2"/>
          <w:sz w:val="28"/>
          <w:szCs w:val="28"/>
          <w:lang w:val="en-US" w:eastAsia="zh-CN" w:bidi="ar-SA"/>
        </w:rPr>
      </w:pPr>
      <w:bookmarkStart w:id="2" w:name="_Toc35393629"/>
      <w:bookmarkStart w:id="3" w:name="_Toc28359012"/>
      <w:bookmarkStart w:id="4" w:name="_Toc28359089"/>
      <w:bookmarkStart w:id="5" w:name="_Toc35393798"/>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pageBreakBefore w:val="0"/>
        <w:kinsoku/>
        <w:wordWrap/>
        <w:overflowPunct/>
        <w:topLinePunct w:val="0"/>
        <w:bidi w:val="0"/>
        <w:snapToGrid/>
        <w:spacing w:line="440" w:lineRule="exact"/>
        <w:ind w:firstLine="560" w:firstLineChars="200"/>
        <w:textAlignment w:val="auto"/>
        <w:rPr>
          <w:rFonts w:hint="default" w:ascii="仿宋" w:hAnsi="仿宋" w:eastAsia="仿宋" w:cs="Times New Roman"/>
          <w:sz w:val="28"/>
          <w:szCs w:val="28"/>
          <w:lang w:val="en-US"/>
        </w:rPr>
      </w:pPr>
      <w:r>
        <w:rPr>
          <w:rFonts w:hint="eastAsia" w:ascii="仿宋" w:hAnsi="仿宋" w:eastAsia="仿宋" w:cs="Times New Roman"/>
          <w:sz w:val="28"/>
          <w:szCs w:val="28"/>
        </w:rPr>
        <w:t>项目编号：</w:t>
      </w:r>
      <w:r>
        <w:rPr>
          <w:rFonts w:hint="eastAsia" w:ascii="仿宋" w:hAnsi="仿宋" w:eastAsia="仿宋" w:cs="Times New Roman"/>
          <w:sz w:val="28"/>
          <w:szCs w:val="28"/>
          <w:lang w:val="en-US" w:eastAsia="zh-CN"/>
        </w:rPr>
        <w:t>ZFCGRT2021139</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u w:val="single"/>
        </w:rPr>
      </w:pPr>
      <w:r>
        <w:rPr>
          <w:rFonts w:hint="eastAsia" w:ascii="仿宋" w:hAnsi="仿宋" w:eastAsia="仿宋" w:cs="Times New Roman"/>
          <w:sz w:val="28"/>
          <w:szCs w:val="28"/>
        </w:rPr>
        <w:t>项目名称：哈巴河县智慧党建操作中心建设项目</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 xml:space="preserve">采购方式：□竞争性谈判 </w:t>
      </w:r>
      <w:r>
        <w:rPr>
          <w:rFonts w:hint="eastAsia" w:ascii="仿宋" w:hAnsi="仿宋" w:eastAsia="仿宋" w:cs="Times New Roman"/>
          <w:sz w:val="28"/>
          <w:szCs w:val="28"/>
        </w:rPr>
        <w:sym w:font="Wingdings 2" w:char="0052"/>
      </w:r>
      <w:r>
        <w:rPr>
          <w:rFonts w:hint="eastAsia" w:ascii="仿宋" w:hAnsi="仿宋" w:eastAsia="仿宋" w:cs="Times New Roman"/>
          <w:sz w:val="28"/>
          <w:szCs w:val="28"/>
        </w:rPr>
        <w:t>竞争性磋商 □询价</w:t>
      </w:r>
    </w:p>
    <w:p>
      <w:pPr>
        <w:pageBreakBefore w:val="0"/>
        <w:kinsoku/>
        <w:wordWrap/>
        <w:overflowPunct/>
        <w:topLinePunct w:val="0"/>
        <w:bidi w:val="0"/>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135</w:t>
      </w:r>
      <w:r>
        <w:rPr>
          <w:rFonts w:hint="eastAsia" w:ascii="仿宋" w:hAnsi="仿宋" w:eastAsia="仿宋" w:cs="Times New Roman"/>
          <w:color w:val="auto"/>
          <w:sz w:val="28"/>
          <w:szCs w:val="28"/>
          <w:lang w:val="en-US" w:eastAsia="zh-CN"/>
        </w:rPr>
        <w:t>万元</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135</w:t>
      </w:r>
      <w:r>
        <w:rPr>
          <w:rFonts w:hint="eastAsia" w:ascii="仿宋" w:hAnsi="仿宋" w:eastAsia="仿宋" w:cs="Times New Roman"/>
          <w:color w:val="auto"/>
          <w:sz w:val="28"/>
          <w:szCs w:val="28"/>
          <w:lang w:val="en-US" w:eastAsia="zh-CN"/>
        </w:rPr>
        <w:t>万元</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u w:val="single"/>
        </w:rPr>
      </w:pPr>
      <w:r>
        <w:rPr>
          <w:rFonts w:hint="eastAsia" w:ascii="仿宋" w:hAnsi="仿宋" w:eastAsia="仿宋" w:cs="Times New Roman"/>
          <w:sz w:val="28"/>
          <w:szCs w:val="28"/>
        </w:rPr>
        <w:t>采购需求：</w:t>
      </w:r>
      <w:r>
        <w:rPr>
          <w:rFonts w:hint="eastAsia" w:ascii="仿宋" w:hAnsi="仿宋" w:eastAsia="仿宋" w:cs="Times New Roman"/>
          <w:sz w:val="28"/>
          <w:szCs w:val="28"/>
          <w:lang w:eastAsia="zh-CN"/>
        </w:rPr>
        <w:t>哈巴河县智慧党建操作中心，</w:t>
      </w:r>
      <w:r>
        <w:rPr>
          <w:rFonts w:hint="eastAsia" w:ascii="仿宋" w:hAnsi="仿宋" w:eastAsia="仿宋" w:cs="Times New Roman"/>
          <w:sz w:val="28"/>
          <w:szCs w:val="28"/>
          <w:lang w:val="en-US" w:eastAsia="zh-CN"/>
        </w:rPr>
        <w:t>设置沉浸式影像等功能。对操作中心进行，设计装修改造，对墙面、地面进行处理。增强参观者的体验感，加深记忆理解，为党建展厅增加活力和生机。（具体</w:t>
      </w:r>
      <w:r>
        <w:rPr>
          <w:rFonts w:hint="eastAsia" w:ascii="仿宋" w:hAnsi="仿宋" w:eastAsia="仿宋" w:cs="Times New Roman"/>
          <w:sz w:val="28"/>
          <w:szCs w:val="28"/>
          <w:lang w:eastAsia="zh-CN"/>
        </w:rPr>
        <w:t>内容详见</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Style w:val="4"/>
        <w:keepNext w:val="0"/>
        <w:keepLines w:val="0"/>
        <w:pageBreakBefore w:val="0"/>
        <w:widowControl/>
        <w:suppressLineNumbers w:val="0"/>
        <w:kinsoku/>
        <w:wordWrap/>
        <w:overflowPunct/>
        <w:topLinePunct w:val="0"/>
        <w:bidi w:val="0"/>
        <w:snapToGrid/>
        <w:spacing w:before="75" w:beforeAutospacing="0" w:after="75" w:afterAutospacing="0" w:line="440" w:lineRule="exact"/>
        <w:ind w:left="0" w:right="0" w:firstLine="420"/>
        <w:textAlignment w:val="auto"/>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磋商</w:t>
      </w:r>
      <w:r>
        <w:rPr>
          <w:rFonts w:ascii="仿宋" w:hAnsi="仿宋" w:eastAsia="仿宋" w:cs="仿宋"/>
          <w:sz w:val="27"/>
          <w:szCs w:val="27"/>
        </w:rPr>
        <w:t>文件</w:t>
      </w:r>
    </w:p>
    <w:p>
      <w:pPr>
        <w:pageBreakBefore w:val="0"/>
        <w:kinsoku/>
        <w:wordWrap/>
        <w:overflowPunct/>
        <w:topLinePunct w:val="0"/>
        <w:bidi w:val="0"/>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bookmarkStart w:id="6" w:name="_Toc35393630"/>
      <w:bookmarkStart w:id="7" w:name="_Toc28359090"/>
      <w:bookmarkStart w:id="8" w:name="_Toc28359013"/>
      <w:bookmarkStart w:id="9" w:name="_Toc35393799"/>
    </w:p>
    <w:p>
      <w:pPr>
        <w:pageBreakBefore w:val="0"/>
        <w:kinsoku/>
        <w:wordWrap/>
        <w:overflowPunct/>
        <w:topLinePunct w:val="0"/>
        <w:bidi w:val="0"/>
        <w:snapToGrid/>
        <w:spacing w:line="440" w:lineRule="exact"/>
        <w:ind w:firstLine="560" w:firstLineChars="200"/>
        <w:textAlignment w:val="auto"/>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bookmarkStart w:id="10" w:name="_Toc28359091"/>
      <w:bookmarkStart w:id="11"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pageBreakBefore w:val="0"/>
        <w:kinsoku/>
        <w:wordWrap/>
        <w:overflowPunct/>
        <w:topLinePunct w:val="0"/>
        <w:bidi w:val="0"/>
        <w:snapToGrid/>
        <w:spacing w:line="440" w:lineRule="exact"/>
        <w:ind w:left="559" w:leftChars="266" w:firstLine="0" w:firstLineChars="0"/>
        <w:textAlignment w:val="auto"/>
        <w:rPr>
          <w:rFonts w:hint="eastAsia" w:ascii="仿宋" w:hAnsi="仿宋" w:eastAsia="仿宋" w:cs="Times New Roman"/>
          <w:sz w:val="28"/>
          <w:szCs w:val="28"/>
        </w:rPr>
      </w:pPr>
      <w:r>
        <w:rPr>
          <w:rFonts w:hint="eastAsia" w:ascii="仿宋" w:hAnsi="仿宋" w:eastAsia="仿宋" w:cs="Times New Roman"/>
          <w:sz w:val="28"/>
          <w:szCs w:val="28"/>
        </w:rPr>
        <w:t>3.本项目的特定资格要求：</w:t>
      </w:r>
    </w:p>
    <w:p>
      <w:pPr>
        <w:pageBreakBefore w:val="0"/>
        <w:kinsoku/>
        <w:wordWrap/>
        <w:overflowPunct/>
        <w:topLinePunct w:val="0"/>
        <w:bidi w:val="0"/>
        <w:snapToGrid/>
        <w:spacing w:line="440" w:lineRule="exact"/>
        <w:ind w:left="559" w:leftChars="266" w:firstLine="0" w:firstLineChars="0"/>
        <w:textAlignment w:val="auto"/>
        <w:rPr>
          <w:rFonts w:hint="eastAsia" w:ascii="仿宋" w:hAnsi="仿宋" w:eastAsia="仿宋" w:cs="Times New Roman"/>
          <w:sz w:val="28"/>
          <w:szCs w:val="28"/>
        </w:rPr>
      </w:pPr>
      <w:r>
        <w:rPr>
          <w:rFonts w:hint="eastAsia" w:ascii="仿宋" w:hAnsi="仿宋" w:eastAsia="仿宋" w:cs="Times New Roman"/>
          <w:sz w:val="28"/>
          <w:szCs w:val="28"/>
        </w:rPr>
        <w:t>1、投标人必须符合《政府采购法》第二十二条规定的条件；</w:t>
      </w:r>
    </w:p>
    <w:p>
      <w:pPr>
        <w:pageBreakBefore w:val="0"/>
        <w:kinsoku/>
        <w:wordWrap/>
        <w:overflowPunct/>
        <w:topLinePunct w:val="0"/>
        <w:bidi w:val="0"/>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2、具备有效的营业执照且有能力提供本项目服务的供应商；</w:t>
      </w:r>
    </w:p>
    <w:p>
      <w:pPr>
        <w:pageBreakBefore w:val="0"/>
        <w:kinsoku/>
        <w:wordWrap/>
        <w:overflowPunct/>
        <w:topLinePunct w:val="0"/>
        <w:bidi w:val="0"/>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kern w:val="2"/>
          <w:sz w:val="28"/>
          <w:szCs w:val="28"/>
          <w:lang w:val="en-US" w:eastAsia="zh-CN" w:bidi="ar-SA"/>
        </w:rPr>
        <w:t>3、</w:t>
      </w:r>
      <w:r>
        <w:rPr>
          <w:rFonts w:hint="eastAsia" w:ascii="仿宋" w:hAnsi="仿宋" w:eastAsia="仿宋" w:cs="Times New Roman"/>
          <w:sz w:val="28"/>
          <w:szCs w:val="28"/>
          <w:lang w:val="en-US" w:eastAsia="zh-CN"/>
        </w:rPr>
        <w:t>拥有能够保障项目实施和服务的技术支持和售后服务能力；</w:t>
      </w:r>
    </w:p>
    <w:p>
      <w:pPr>
        <w:pageBreakBefore w:val="0"/>
        <w:kinsoku/>
        <w:wordWrap/>
        <w:overflowPunct/>
        <w:topLinePunct w:val="0"/>
        <w:bidi w:val="0"/>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4、投标企业在“信用中国”（www.creditchina.gov.cn）和中国政府采购网（www.ccgp.gov.cn）网站上未被列入失信被执行人、重大税收违法案件当事人名单以及政府采购严重违法失信行为记录名单。</w:t>
      </w:r>
      <w:bookmarkStart w:id="12" w:name="_Toc35393800"/>
      <w:bookmarkStart w:id="13" w:name="_Toc35393631"/>
    </w:p>
    <w:p>
      <w:pPr>
        <w:pageBreakBefore w:val="0"/>
        <w:kinsoku/>
        <w:wordWrap/>
        <w:overflowPunct/>
        <w:topLinePunct w:val="0"/>
        <w:bidi w:val="0"/>
        <w:snapToGrid/>
        <w:spacing w:line="440" w:lineRule="exact"/>
        <w:ind w:firstLine="560" w:firstLineChars="200"/>
        <w:textAlignment w:val="auto"/>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pageBreakBefore w:val="0"/>
        <w:kinsoku/>
        <w:wordWrap/>
        <w:overflowPunct/>
        <w:topLinePunct w:val="0"/>
        <w:bidi w:val="0"/>
        <w:snapToGrid/>
        <w:spacing w:line="44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 xml:space="preserve"> 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 xml:space="preserve">月 </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 xml:space="preserve"> 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lang w:val="en-US" w:eastAsia="zh-CN"/>
        </w:rPr>
        <w:t>20</w:t>
      </w:r>
      <w:r>
        <w:rPr>
          <w:rFonts w:hint="eastAsia" w:ascii="仿宋" w:hAnsi="仿宋" w:eastAsia="仿宋" w:cs="宋体"/>
          <w:sz w:val="28"/>
          <w:szCs w:val="28"/>
          <w:u w:val="single"/>
          <w:lang w:val="en-US" w:eastAsia="zh-CN"/>
        </w:rPr>
        <w:t>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kinsoku/>
        <w:wordWrap/>
        <w:overflowPunct/>
        <w:topLinePunct w:val="0"/>
        <w:bidi w:val="0"/>
        <w:snapToGrid/>
        <w:spacing w:line="440" w:lineRule="exact"/>
        <w:ind w:firstLine="560" w:firstLineChars="2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440" w:lineRule="exact"/>
        <w:ind w:firstLine="540"/>
        <w:textAlignment w:val="auto"/>
        <w:rPr>
          <w:rFonts w:hint="eastAsia"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pageBreakBefore w:val="0"/>
        <w:kinsoku/>
        <w:wordWrap/>
        <w:overflowPunct/>
        <w:topLinePunct w:val="0"/>
        <w:bidi w:val="0"/>
        <w:snapToGrid/>
        <w:spacing w:line="44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p>
    <w:p>
      <w:pPr>
        <w:keepNext/>
        <w:keepLines/>
        <w:pageBreakBefore w:val="0"/>
        <w:widowControl w:val="0"/>
        <w:kinsoku/>
        <w:wordWrap/>
        <w:overflowPunct/>
        <w:topLinePunct w:val="0"/>
        <w:bidi w:val="0"/>
        <w:snapToGrid/>
        <w:spacing w:before="260" w:after="260" w:line="440" w:lineRule="exact"/>
        <w:jc w:val="both"/>
        <w:textAlignment w:val="auto"/>
        <w:outlineLvl w:val="1"/>
        <w:rPr>
          <w:rFonts w:ascii="黑体" w:hAnsi="黑体" w:eastAsia="黑体" w:cs="宋体"/>
          <w:b w:val="0"/>
          <w:bCs/>
          <w:kern w:val="2"/>
          <w:sz w:val="28"/>
          <w:szCs w:val="28"/>
          <w:lang w:val="en-US" w:eastAsia="zh-CN" w:bidi="ar-SA"/>
        </w:rPr>
      </w:pPr>
      <w:bookmarkStart w:id="14" w:name="_Toc35393801"/>
      <w:bookmarkStart w:id="15" w:name="_Toc28359015"/>
      <w:bookmarkStart w:id="16" w:name="_Toc28359092"/>
      <w:bookmarkStart w:id="17" w:name="_Toc35393632"/>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pageBreakBefore w:val="0"/>
        <w:kinsoku/>
        <w:wordWrap/>
        <w:overflowPunct/>
        <w:topLinePunct w:val="0"/>
        <w:bidi w:val="0"/>
        <w:snapToGrid/>
        <w:spacing w:line="440" w:lineRule="exact"/>
        <w:ind w:firstLine="560" w:firstLineChars="200"/>
        <w:textAlignment w:val="auto"/>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 xml:space="preserve">年 </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 xml:space="preserve"> 月 </w:t>
      </w:r>
      <w:r>
        <w:rPr>
          <w:rFonts w:hint="eastAsia" w:ascii="仿宋" w:hAnsi="仿宋" w:eastAsia="仿宋" w:cs="Times New Roman"/>
          <w:bCs/>
          <w:sz w:val="28"/>
          <w:szCs w:val="28"/>
          <w:u w:val="single"/>
          <w:lang w:val="en-US" w:eastAsia="zh-CN"/>
        </w:rPr>
        <w:t xml:space="preserve">12 </w:t>
      </w:r>
      <w:r>
        <w:rPr>
          <w:rFonts w:hint="eastAsia" w:ascii="仿宋" w:hAnsi="仿宋" w:eastAsia="仿宋" w:cs="Times New Roman"/>
          <w:bCs/>
          <w:sz w:val="28"/>
          <w:szCs w:val="28"/>
          <w:u w:val="single"/>
        </w:rPr>
        <w:t xml:space="preserve">日 </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 xml:space="preserve"> 点 </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 xml:space="preserve"> 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pageBreakBefore w:val="0"/>
        <w:widowControl w:val="0"/>
        <w:kinsoku/>
        <w:wordWrap/>
        <w:overflowPunct/>
        <w:topLinePunct w:val="0"/>
        <w:bidi w:val="0"/>
        <w:snapToGrid/>
        <w:spacing w:before="260" w:after="260" w:line="440" w:lineRule="exact"/>
        <w:jc w:val="both"/>
        <w:textAlignment w:val="auto"/>
        <w:outlineLvl w:val="1"/>
        <w:rPr>
          <w:rFonts w:ascii="黑体" w:hAnsi="黑体" w:eastAsia="黑体" w:cs="宋体"/>
          <w:b w:val="0"/>
          <w:bCs/>
          <w:kern w:val="2"/>
          <w:sz w:val="28"/>
          <w:szCs w:val="28"/>
          <w:lang w:val="en-US" w:eastAsia="zh-CN" w:bidi="ar-SA"/>
        </w:rPr>
      </w:pPr>
      <w:bookmarkStart w:id="18" w:name="_Toc28359016"/>
      <w:bookmarkStart w:id="19" w:name="_Toc35393633"/>
      <w:bookmarkStart w:id="20" w:name="_Toc35393802"/>
      <w:bookmarkStart w:id="21" w:name="_Toc28359093"/>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时间：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 xml:space="preserve">年 </w:t>
      </w:r>
      <w:r>
        <w:rPr>
          <w:rFonts w:hint="eastAsia" w:ascii="仿宋" w:hAnsi="仿宋" w:eastAsia="仿宋" w:cs="Times New Roman"/>
          <w:bCs/>
          <w:sz w:val="28"/>
          <w:szCs w:val="28"/>
          <w:u w:val="single"/>
          <w:lang w:val="en-US" w:eastAsia="zh-CN"/>
        </w:rPr>
        <w:t>10</w:t>
      </w:r>
      <w:r>
        <w:rPr>
          <w:rFonts w:hint="eastAsia" w:ascii="仿宋" w:hAnsi="仿宋" w:eastAsia="仿宋" w:cs="Times New Roman"/>
          <w:bCs/>
          <w:sz w:val="28"/>
          <w:szCs w:val="28"/>
          <w:u w:val="single"/>
        </w:rPr>
        <w:t xml:space="preserve"> 月 </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 xml:space="preserve"> 日 </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 xml:space="preserve"> 点 </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 xml:space="preserve"> 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44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七楼会议室</w:t>
      </w:r>
    </w:p>
    <w:p>
      <w:pPr>
        <w:keepNext/>
        <w:keepLines/>
        <w:pageBreakBefore w:val="0"/>
        <w:widowControl w:val="0"/>
        <w:kinsoku/>
        <w:wordWrap/>
        <w:overflowPunct/>
        <w:topLinePunct w:val="0"/>
        <w:bidi w:val="0"/>
        <w:snapToGrid/>
        <w:spacing w:before="260" w:after="260" w:line="440" w:lineRule="exact"/>
        <w:jc w:val="both"/>
        <w:textAlignment w:val="auto"/>
        <w:outlineLvl w:val="1"/>
        <w:rPr>
          <w:rFonts w:ascii="黑体" w:hAnsi="黑体" w:eastAsia="黑体" w:cs="宋体"/>
          <w:b w:val="0"/>
          <w:bCs/>
          <w:kern w:val="2"/>
          <w:sz w:val="28"/>
          <w:szCs w:val="28"/>
          <w:lang w:val="en-US" w:eastAsia="zh-CN" w:bidi="ar-SA"/>
        </w:rPr>
      </w:pPr>
      <w:bookmarkStart w:id="22" w:name="_Toc28359017"/>
      <w:bookmarkStart w:id="23" w:name="_Toc28359094"/>
      <w:bookmarkStart w:id="24" w:name="_Toc35393803"/>
      <w:bookmarkStart w:id="25" w:name="_Toc35393634"/>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pageBreakBefore w:val="0"/>
        <w:kinsoku/>
        <w:wordWrap/>
        <w:overflowPunct/>
        <w:topLinePunct w:val="0"/>
        <w:bidi w:val="0"/>
        <w:snapToGrid/>
        <w:spacing w:line="44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pageBreakBefore w:val="0"/>
        <w:widowControl w:val="0"/>
        <w:numPr>
          <w:ilvl w:val="0"/>
          <w:numId w:val="1"/>
        </w:numPr>
        <w:kinsoku/>
        <w:wordWrap/>
        <w:overflowPunct/>
        <w:topLinePunct w:val="0"/>
        <w:bidi w:val="0"/>
        <w:snapToGrid/>
        <w:spacing w:before="260" w:after="260" w:line="440" w:lineRule="exact"/>
        <w:jc w:val="both"/>
        <w:textAlignment w:val="auto"/>
        <w:outlineLvl w:val="1"/>
        <w:rPr>
          <w:rFonts w:hint="eastAsia" w:ascii="黑体" w:hAnsi="黑体" w:eastAsia="黑体" w:cs="宋体"/>
          <w:b w:val="0"/>
          <w:bCs/>
          <w:kern w:val="2"/>
          <w:sz w:val="28"/>
          <w:szCs w:val="28"/>
          <w:lang w:val="en-US" w:eastAsia="zh-CN" w:bidi="ar-SA"/>
        </w:rPr>
      </w:pPr>
      <w:bookmarkStart w:id="26" w:name="_Toc35393635"/>
      <w:bookmarkStart w:id="27" w:name="_Toc35393804"/>
      <w:r>
        <w:rPr>
          <w:rFonts w:hint="eastAsia" w:ascii="黑体" w:hAnsi="黑体" w:eastAsia="黑体" w:cs="宋体"/>
          <w:b w:val="0"/>
          <w:bCs/>
          <w:kern w:val="2"/>
          <w:sz w:val="28"/>
          <w:szCs w:val="28"/>
          <w:lang w:val="en-US" w:eastAsia="zh-CN" w:bidi="ar-SA"/>
        </w:rPr>
        <w:t>其他补充事宜</w:t>
      </w:r>
      <w:bookmarkEnd w:id="26"/>
      <w:bookmarkEnd w:id="27"/>
    </w:p>
    <w:p>
      <w:pPr>
        <w:pStyle w:val="2"/>
        <w:pageBreakBefore w:val="0"/>
        <w:numPr>
          <w:ilvl w:val="0"/>
          <w:numId w:val="0"/>
        </w:numPr>
        <w:kinsoku/>
        <w:wordWrap/>
        <w:overflowPunct/>
        <w:topLinePunct w:val="0"/>
        <w:bidi w:val="0"/>
        <w:snapToGrid/>
        <w:spacing w:line="440" w:lineRule="exact"/>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须提供的证明材料：法定代表人授权委托书、法定代表人或被委托人身份证、被委托人近三个月年本企业社保缴纳证明、营业执照副本、2020年财务审计报告、信用中国网站信用报告下载及失信被执行人查询的名单截图、中国政府采购网政府采购严重违法失信行为记录名单截图。以上证明材料均提供原件及加盖公章复印件三套。</w:t>
      </w:r>
      <w:bookmarkStart w:id="28" w:name="_Toc28359018"/>
      <w:bookmarkStart w:id="29" w:name="_Toc28359095"/>
      <w:bookmarkStart w:id="30" w:name="_Toc35393636"/>
      <w:bookmarkStart w:id="31" w:name="_Toc35393805"/>
    </w:p>
    <w:p>
      <w:pPr>
        <w:pStyle w:val="2"/>
        <w:pageBreakBefore w:val="0"/>
        <w:numPr>
          <w:ilvl w:val="0"/>
          <w:numId w:val="0"/>
        </w:numPr>
        <w:kinsoku/>
        <w:wordWrap/>
        <w:overflowPunct/>
        <w:topLinePunct w:val="0"/>
        <w:bidi w:val="0"/>
        <w:snapToGrid/>
        <w:spacing w:line="440" w:lineRule="exact"/>
        <w:textAlignment w:val="auto"/>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pageBreakBefore w:val="0"/>
        <w:widowControl w:val="0"/>
        <w:kinsoku/>
        <w:wordWrap/>
        <w:overflowPunct/>
        <w:topLinePunct w:val="0"/>
        <w:bidi w:val="0"/>
        <w:snapToGrid/>
        <w:spacing w:before="260" w:after="260" w:line="44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2" w:name="_Toc35393806"/>
      <w:bookmarkStart w:id="33" w:name="_Toc28359019"/>
      <w:bookmarkStart w:id="34" w:name="_Toc28359096"/>
      <w:bookmarkStart w:id="35" w:name="_Toc35393637"/>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pageBreakBefore w:val="0"/>
        <w:kinsoku/>
        <w:wordWrap/>
        <w:overflowPunct/>
        <w:topLinePunct w:val="0"/>
        <w:bidi w:val="0"/>
        <w:snapToGrid/>
        <w:spacing w:line="440" w:lineRule="exact"/>
        <w:ind w:left="1129" w:leftChars="371" w:hanging="350" w:hangingChars="125"/>
        <w:jc w:val="left"/>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中国共产党哈巴河县委员会组织部</w:t>
      </w:r>
    </w:p>
    <w:p>
      <w:pPr>
        <w:pageBreakBefore w:val="0"/>
        <w:kinsoku/>
        <w:wordWrap/>
        <w:overflowPunct/>
        <w:topLinePunct w:val="0"/>
        <w:bidi w:val="0"/>
        <w:snapToGrid/>
        <w:spacing w:line="440" w:lineRule="exact"/>
        <w:ind w:left="1129" w:leftChars="371" w:hanging="350" w:hangingChars="125"/>
        <w:jc w:val="left"/>
        <w:textAlignment w:val="auto"/>
        <w:rPr>
          <w:rFonts w:hint="eastAsia"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哈巴河县</w:t>
      </w:r>
    </w:p>
    <w:p>
      <w:pPr>
        <w:pageBreakBefore w:val="0"/>
        <w:kinsoku/>
        <w:wordWrap/>
        <w:overflowPunct/>
        <w:topLinePunct w:val="0"/>
        <w:bidi w:val="0"/>
        <w:snapToGrid/>
        <w:spacing w:line="440" w:lineRule="exact"/>
        <w:ind w:left="1129" w:leftChars="371" w:hanging="350" w:hangingChars="125"/>
        <w:jc w:val="left"/>
        <w:textAlignment w:val="auto"/>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w:t>
      </w:r>
      <w:r>
        <w:rPr>
          <w:rFonts w:hint="eastAsia" w:ascii="仿宋" w:hAnsi="仿宋" w:eastAsia="仿宋" w:cs="Times New Roman"/>
          <w:sz w:val="28"/>
          <w:szCs w:val="28"/>
          <w:u w:val="single"/>
          <w:lang w:val="en-US" w:eastAsia="zh-CN"/>
        </w:rPr>
        <w:t>-</w:t>
      </w:r>
      <w:r>
        <w:rPr>
          <w:rFonts w:hint="eastAsia" w:ascii="仿宋" w:hAnsi="仿宋" w:eastAsia="仿宋" w:cs="Times New Roman"/>
          <w:sz w:val="28"/>
          <w:szCs w:val="28"/>
          <w:u w:val="single"/>
        </w:rPr>
        <w:t>6625390</w:t>
      </w:r>
    </w:p>
    <w:p>
      <w:pPr>
        <w:keepNext/>
        <w:keepLines/>
        <w:pageBreakBefore w:val="0"/>
        <w:widowControl w:val="0"/>
        <w:kinsoku/>
        <w:wordWrap/>
        <w:overflowPunct/>
        <w:topLinePunct w:val="0"/>
        <w:bidi w:val="0"/>
        <w:snapToGrid/>
        <w:spacing w:before="260" w:after="260" w:line="44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6" w:name="_Toc28359020"/>
      <w:bookmarkStart w:id="37" w:name="_Toc35393638"/>
      <w:bookmarkStart w:id="38" w:name="_Toc35393807"/>
      <w:bookmarkStart w:id="39" w:name="_Toc28359097"/>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pageBreakBefore w:val="0"/>
        <w:kinsoku/>
        <w:wordWrap/>
        <w:overflowPunct/>
        <w:topLinePunct w:val="0"/>
        <w:bidi w:val="0"/>
        <w:snapToGrid/>
        <w:spacing w:line="440" w:lineRule="exact"/>
        <w:ind w:firstLine="840" w:firstLineChars="300"/>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新疆新睿泰咨询有限公司</w:t>
      </w:r>
    </w:p>
    <w:p>
      <w:pPr>
        <w:pageBreakBefore w:val="0"/>
        <w:kinsoku/>
        <w:wordWrap/>
        <w:overflowPunct/>
        <w:topLinePunct w:val="0"/>
        <w:bidi w:val="0"/>
        <w:snapToGrid/>
        <w:spacing w:line="440" w:lineRule="exact"/>
        <w:ind w:firstLine="840" w:firstLineChars="3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keepNext/>
        <w:keepLines/>
        <w:pageBreakBefore w:val="0"/>
        <w:widowControl w:val="0"/>
        <w:kinsoku/>
        <w:wordWrap/>
        <w:overflowPunct/>
        <w:topLinePunct w:val="0"/>
        <w:bidi w:val="0"/>
        <w:snapToGrid/>
        <w:spacing w:before="260" w:after="260" w:line="440" w:lineRule="exact"/>
        <w:ind w:firstLine="840" w:firstLineChars="300"/>
        <w:jc w:val="both"/>
        <w:textAlignment w:val="auto"/>
        <w:outlineLvl w:val="1"/>
        <w:rPr>
          <w:rFonts w:hint="eastAsia" w:ascii="仿宋" w:hAnsi="仿宋" w:eastAsia="仿宋" w:cs="Times New Roman"/>
          <w:sz w:val="28"/>
          <w:szCs w:val="28"/>
          <w:u w:val="single"/>
        </w:rPr>
      </w:pPr>
      <w:r>
        <w:rPr>
          <w:rFonts w:hint="eastAsia" w:ascii="仿宋" w:hAnsi="仿宋" w:eastAsia="仿宋" w:cs="Times New Roman"/>
          <w:sz w:val="28"/>
          <w:szCs w:val="28"/>
        </w:rPr>
        <w:t>联系方式：</w:t>
      </w:r>
      <w:bookmarkStart w:id="40" w:name="_Toc35393639"/>
      <w:bookmarkStart w:id="41" w:name="_Toc28359098"/>
      <w:bookmarkStart w:id="42" w:name="_Toc35393808"/>
      <w:bookmarkStart w:id="43" w:name="_Toc28359021"/>
      <w:r>
        <w:rPr>
          <w:rFonts w:hint="eastAsia" w:ascii="仿宋" w:hAnsi="仿宋" w:eastAsia="仿宋" w:cs="Times New Roman"/>
          <w:sz w:val="28"/>
          <w:szCs w:val="28"/>
          <w:u w:val="single"/>
        </w:rPr>
        <w:t>0906-2165588</w:t>
      </w:r>
    </w:p>
    <w:p>
      <w:pPr>
        <w:keepNext/>
        <w:keepLines/>
        <w:pageBreakBefore w:val="0"/>
        <w:widowControl w:val="0"/>
        <w:kinsoku/>
        <w:wordWrap/>
        <w:overflowPunct/>
        <w:topLinePunct w:val="0"/>
        <w:bidi w:val="0"/>
        <w:snapToGrid/>
        <w:spacing w:before="260" w:after="260" w:line="440" w:lineRule="exact"/>
        <w:ind w:firstLine="840" w:firstLineChars="300"/>
        <w:jc w:val="both"/>
        <w:textAlignment w:val="auto"/>
        <w:outlineLvl w:val="1"/>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pageBreakBefore w:val="0"/>
        <w:widowControl w:val="0"/>
        <w:kinsoku/>
        <w:wordWrap/>
        <w:overflowPunct/>
        <w:topLinePunct w:val="0"/>
        <w:bidi w:val="0"/>
        <w:snapToGrid/>
        <w:spacing w:line="440" w:lineRule="exact"/>
        <w:ind w:firstLine="840" w:firstLineChars="300"/>
        <w:jc w:val="both"/>
        <w:textAlignment w:val="auto"/>
        <w:rPr>
          <w:rFonts w:hint="default"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牛晓艳</w:t>
      </w:r>
    </w:p>
    <w:p>
      <w:pPr>
        <w:pageBreakBefore w:val="0"/>
        <w:kinsoku/>
        <w:wordWrap/>
        <w:overflowPunct/>
        <w:topLinePunct w:val="0"/>
        <w:bidi w:val="0"/>
        <w:snapToGrid/>
        <w:spacing w:line="440" w:lineRule="exact"/>
        <w:ind w:firstLine="840" w:firstLineChars="300"/>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18999798079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7FF5"/>
    <w:rsid w:val="062E3240"/>
    <w:rsid w:val="06AC75BD"/>
    <w:rsid w:val="07446201"/>
    <w:rsid w:val="077877F6"/>
    <w:rsid w:val="08A3551A"/>
    <w:rsid w:val="0A8C3E86"/>
    <w:rsid w:val="0F857268"/>
    <w:rsid w:val="134D7A48"/>
    <w:rsid w:val="168A52BB"/>
    <w:rsid w:val="16B16E77"/>
    <w:rsid w:val="1991443E"/>
    <w:rsid w:val="19E747DD"/>
    <w:rsid w:val="1A3F370B"/>
    <w:rsid w:val="1F727F7E"/>
    <w:rsid w:val="20130D52"/>
    <w:rsid w:val="22F631A0"/>
    <w:rsid w:val="23F10F01"/>
    <w:rsid w:val="24261DEB"/>
    <w:rsid w:val="27BE0004"/>
    <w:rsid w:val="28AC1C1C"/>
    <w:rsid w:val="29935675"/>
    <w:rsid w:val="2B926556"/>
    <w:rsid w:val="2C943F3D"/>
    <w:rsid w:val="2D27280D"/>
    <w:rsid w:val="30E62087"/>
    <w:rsid w:val="31E336B7"/>
    <w:rsid w:val="340E54DF"/>
    <w:rsid w:val="35A616CF"/>
    <w:rsid w:val="36817D8A"/>
    <w:rsid w:val="38796385"/>
    <w:rsid w:val="3EF70166"/>
    <w:rsid w:val="3EF930EE"/>
    <w:rsid w:val="406E5D78"/>
    <w:rsid w:val="41297006"/>
    <w:rsid w:val="454B0FB3"/>
    <w:rsid w:val="45BA7CB7"/>
    <w:rsid w:val="48657FA8"/>
    <w:rsid w:val="4B153929"/>
    <w:rsid w:val="4D977644"/>
    <w:rsid w:val="522A2998"/>
    <w:rsid w:val="53093D4C"/>
    <w:rsid w:val="535E19A4"/>
    <w:rsid w:val="551A6E09"/>
    <w:rsid w:val="5A28622B"/>
    <w:rsid w:val="5ABE432F"/>
    <w:rsid w:val="5AC60A2D"/>
    <w:rsid w:val="5C3038FD"/>
    <w:rsid w:val="5C76256C"/>
    <w:rsid w:val="6050711A"/>
    <w:rsid w:val="62854B45"/>
    <w:rsid w:val="629F65C1"/>
    <w:rsid w:val="62A96DC8"/>
    <w:rsid w:val="6336788E"/>
    <w:rsid w:val="635C5BD4"/>
    <w:rsid w:val="6395056D"/>
    <w:rsid w:val="63B1296F"/>
    <w:rsid w:val="644912BA"/>
    <w:rsid w:val="661171E7"/>
    <w:rsid w:val="69BE14B6"/>
    <w:rsid w:val="6A7D1C69"/>
    <w:rsid w:val="6BA56F3D"/>
    <w:rsid w:val="6C5905F7"/>
    <w:rsid w:val="6E686F93"/>
    <w:rsid w:val="726B3E8A"/>
    <w:rsid w:val="734B6BDE"/>
    <w:rsid w:val="748F2090"/>
    <w:rsid w:val="7920060C"/>
    <w:rsid w:val="79311763"/>
    <w:rsid w:val="7B6E285C"/>
    <w:rsid w:val="7BD107E6"/>
    <w:rsid w:val="7D322FA8"/>
    <w:rsid w:val="7D36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3">
    <w:name w:val="Plain Text"/>
    <w:basedOn w:val="1"/>
    <w:qFormat/>
    <w:uiPriority w:val="99"/>
    <w:rPr>
      <w:rFonts w:ascii="宋体" w:hAnsi="Calibri"/>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2706</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我叫不开心</cp:lastModifiedBy>
  <cp:lastPrinted>2021-08-04T04:14:00Z</cp:lastPrinted>
  <dcterms:modified xsi:type="dcterms:W3CDTF">2021-09-23T02:12:31Z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