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Theme="majorEastAsia" w:hAnsiTheme="majorEastAsia" w:eastAsiaTheme="majorEastAsia" w:cstheme="majorEastAsia"/>
          <w:b/>
          <w:bCs/>
          <w:snapToGrid w:val="0"/>
          <w:color w:val="000000" w:themeColor="text1"/>
          <w:sz w:val="30"/>
          <w:szCs w:val="30"/>
          <w14:textFill>
            <w14:solidFill>
              <w14:schemeClr w14:val="tx1"/>
            </w14:solidFill>
          </w14:textFill>
        </w:rPr>
      </w:pPr>
      <w:r>
        <w:rPr>
          <w:rFonts w:hint="eastAsia" w:asciiTheme="majorEastAsia" w:hAnsiTheme="majorEastAsia" w:eastAsiaTheme="majorEastAsia" w:cstheme="majorEastAsia"/>
          <w:b/>
          <w:bCs/>
          <w:snapToGrid w:val="0"/>
          <w:color w:val="000000" w:themeColor="text1"/>
          <w:sz w:val="30"/>
          <w:szCs w:val="30"/>
          <w14:textFill>
            <w14:solidFill>
              <w14:schemeClr w14:val="tx1"/>
            </w14:solidFill>
          </w14:textFill>
        </w:rPr>
        <w:t>招标控制价编制说明</w:t>
      </w:r>
    </w:p>
    <w:p>
      <w:pPr>
        <w:snapToGrid w:val="0"/>
        <w:spacing w:line="360" w:lineRule="auto"/>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阿克苏地区中等职业技术学校：</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新疆惠天邦建设工程项目管理有限公司受业主的委托，目前阿克苏地区中等职业技术学校宿舍楼维修改造项目的招标控制价编制工作已完成，并做如下说明：</w:t>
      </w:r>
    </w:p>
    <w:p>
      <w:pPr>
        <w:snapToGrid w:val="0"/>
        <w:spacing w:line="360" w:lineRule="auto"/>
        <w:ind w:firstLine="554" w:firstLineChars="198"/>
        <w:rPr>
          <w:rFonts w:ascii="仿宋" w:hAnsi="仿宋" w:eastAsia="仿宋" w:cs="仿宋"/>
          <w:b/>
          <w:snapToGrid w:val="0"/>
          <w:color w:val="000000" w:themeColor="text1"/>
          <w:sz w:val="28"/>
          <w:szCs w:val="28"/>
          <w14:textFill>
            <w14:solidFill>
              <w14:schemeClr w14:val="tx1"/>
            </w14:solidFill>
          </w14:textFill>
        </w:rPr>
      </w:pPr>
      <w:r>
        <w:rPr>
          <w:rFonts w:hint="eastAsia" w:ascii="仿宋" w:hAnsi="仿宋" w:eastAsia="仿宋" w:cs="仿宋"/>
          <w:b/>
          <w:snapToGrid w:val="0"/>
          <w:color w:val="000000" w:themeColor="text1"/>
          <w:sz w:val="28"/>
          <w:szCs w:val="28"/>
          <w14:textFill>
            <w14:solidFill>
              <w14:schemeClr w14:val="tx1"/>
            </w14:solidFill>
          </w14:textFill>
        </w:rPr>
        <w:t>一、工程概况</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工程名称：阿克苏地区中等职业技术学校宿舍楼维修改造项目。</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建设单位：阿克苏地区中等职业技术学校。</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工程地点：阿克苏市。</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工程规模：</w:t>
      </w:r>
      <w:r>
        <w:rPr>
          <w:rFonts w:hint="eastAsia" w:ascii="仿宋" w:hAnsi="仿宋" w:eastAsia="仿宋" w:cs="仿宋"/>
          <w:snapToGrid w:val="0"/>
          <w:color w:val="000000" w:themeColor="text1"/>
          <w:sz w:val="28"/>
          <w:szCs w:val="28"/>
          <w:lang w:val="en-US" w:eastAsia="zh-CN"/>
          <w14:textFill>
            <w14:solidFill>
              <w14:schemeClr w14:val="tx1"/>
            </w14:solidFill>
          </w14:textFill>
        </w:rPr>
        <w:t xml:space="preserve"> 学生宿舍楼，教室公寓的室内维修改造及下水改造</w:t>
      </w:r>
      <w:r>
        <w:rPr>
          <w:rFonts w:hint="eastAsia" w:ascii="仿宋" w:hAnsi="仿宋" w:eastAsia="仿宋" w:cs="仿宋"/>
          <w:snapToGrid w:val="0"/>
          <w:color w:val="000000" w:themeColor="text1"/>
          <w:sz w:val="28"/>
          <w:szCs w:val="28"/>
          <w14:textFill>
            <w14:solidFill>
              <w14:schemeClr w14:val="tx1"/>
            </w14:solidFill>
          </w14:textFill>
        </w:rPr>
        <w:t>。</w:t>
      </w:r>
    </w:p>
    <w:p>
      <w:pPr>
        <w:snapToGrid w:val="0"/>
        <w:spacing w:line="360" w:lineRule="auto"/>
        <w:ind w:firstLine="560" w:firstLineChars="200"/>
        <w:rPr>
          <w:rFonts w:hint="eastAsia" w:ascii="仿宋" w:hAnsi="仿宋" w:eastAsia="仿宋" w:cs="仿宋"/>
          <w:snapToGrid w:val="0"/>
          <w:color w:val="000000" w:themeColor="text1"/>
          <w:sz w:val="28"/>
          <w:szCs w:val="28"/>
          <w:lang w:eastAsia="zh-CN"/>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工程类别：</w:t>
      </w:r>
      <w:r>
        <w:rPr>
          <w:rFonts w:hint="eastAsia" w:ascii="仿宋" w:hAnsi="仿宋" w:eastAsia="仿宋" w:cs="仿宋"/>
          <w:snapToGrid w:val="0"/>
          <w:color w:val="000000" w:themeColor="text1"/>
          <w:sz w:val="28"/>
          <w:szCs w:val="28"/>
          <w:lang w:val="en-US" w:eastAsia="zh-CN"/>
          <w14:textFill>
            <w14:solidFill>
              <w14:schemeClr w14:val="tx1"/>
            </w14:solidFill>
          </w14:textFill>
        </w:rPr>
        <w:t>学生宿舍楼，教室公寓</w:t>
      </w:r>
      <w:r>
        <w:rPr>
          <w:rFonts w:hint="eastAsia" w:ascii="仿宋" w:hAnsi="仿宋" w:eastAsia="仿宋" w:cs="仿宋"/>
          <w:snapToGrid w:val="0"/>
          <w:color w:val="000000" w:themeColor="text1"/>
          <w:sz w:val="28"/>
          <w:szCs w:val="28"/>
          <w14:textFill>
            <w14:solidFill>
              <w14:schemeClr w14:val="tx1"/>
            </w14:solidFill>
          </w14:textFill>
        </w:rPr>
        <w:t>建筑工程、装饰装修工程、给排水工程、安装工程均按四类取费进行编制</w:t>
      </w:r>
      <w:r>
        <w:rPr>
          <w:rFonts w:hint="eastAsia" w:ascii="仿宋" w:hAnsi="仿宋" w:eastAsia="仿宋" w:cs="仿宋"/>
          <w:snapToGrid w:val="0"/>
          <w:color w:val="000000" w:themeColor="text1"/>
          <w:sz w:val="28"/>
          <w:szCs w:val="28"/>
          <w:lang w:eastAsia="zh-CN"/>
          <w14:textFill>
            <w14:solidFill>
              <w14:schemeClr w14:val="tx1"/>
            </w14:solidFill>
          </w14:textFill>
        </w:rPr>
        <w:t>。</w:t>
      </w:r>
    </w:p>
    <w:p>
      <w:pPr>
        <w:snapToGrid w:val="0"/>
        <w:spacing w:line="360" w:lineRule="auto"/>
        <w:ind w:firstLine="560" w:firstLineChars="200"/>
        <w:rPr>
          <w:rFonts w:ascii="仿宋" w:hAnsi="仿宋" w:eastAsia="仿宋" w:cs="仿宋"/>
          <w:b/>
          <w:bCs/>
          <w:snapToGrid w:val="0"/>
          <w:color w:val="000000" w:themeColor="text1"/>
          <w:sz w:val="28"/>
          <w:szCs w:val="28"/>
          <w14:textFill>
            <w14:solidFill>
              <w14:schemeClr w14:val="tx1"/>
            </w14:solidFill>
          </w14:textFill>
        </w:rPr>
      </w:pPr>
      <w:r>
        <w:rPr>
          <w:rFonts w:hint="eastAsia" w:ascii="仿宋" w:hAnsi="仿宋" w:eastAsia="仿宋" w:cs="仿宋"/>
          <w:b/>
          <w:bCs/>
          <w:snapToGrid w:val="0"/>
          <w:color w:val="000000" w:themeColor="text1"/>
          <w:sz w:val="28"/>
          <w:szCs w:val="28"/>
          <w14:textFill>
            <w14:solidFill>
              <w14:schemeClr w14:val="tx1"/>
            </w14:solidFill>
          </w14:textFill>
        </w:rPr>
        <w:t>二、编制范围</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甲方提供的</w:t>
      </w:r>
      <w:r>
        <w:rPr>
          <w:rFonts w:hint="eastAsia" w:ascii="仿宋" w:hAnsi="仿宋" w:eastAsia="仿宋" w:cs="仿宋"/>
          <w:snapToGrid w:val="0"/>
          <w:color w:val="000000" w:themeColor="text1"/>
          <w:sz w:val="28"/>
          <w:szCs w:val="28"/>
          <w:lang w:val="en-US" w:eastAsia="zh-CN"/>
          <w14:textFill>
            <w14:solidFill>
              <w14:schemeClr w14:val="tx1"/>
            </w14:solidFill>
          </w14:textFill>
        </w:rPr>
        <w:t>工程量清单</w:t>
      </w:r>
      <w:r>
        <w:rPr>
          <w:rFonts w:hint="eastAsia" w:ascii="仿宋" w:hAnsi="仿宋" w:eastAsia="仿宋" w:cs="仿宋"/>
          <w:snapToGrid w:val="0"/>
          <w:color w:val="000000" w:themeColor="text1"/>
          <w:sz w:val="28"/>
          <w:szCs w:val="28"/>
          <w14:textFill>
            <w14:solidFill>
              <w14:schemeClr w14:val="tx1"/>
            </w14:solidFill>
          </w14:textFill>
        </w:rPr>
        <w:t>范围内所有建筑、装饰装修、给排水、电气等全部工程内容。</w:t>
      </w:r>
    </w:p>
    <w:p>
      <w:pPr>
        <w:pStyle w:val="4"/>
        <w:widowControl/>
        <w:snapToGrid w:val="0"/>
        <w:spacing w:beforeAutospacing="0" w:afterAutospacing="0" w:line="360" w:lineRule="auto"/>
        <w:ind w:firstLine="560" w:firstLineChars="200"/>
        <w:rPr>
          <w:rFonts w:ascii="仿宋" w:hAnsi="仿宋" w:eastAsia="仿宋" w:cs="仿宋"/>
          <w:b/>
          <w:sz w:val="28"/>
          <w:szCs w:val="28"/>
        </w:rPr>
      </w:pPr>
      <w:r>
        <w:rPr>
          <w:rFonts w:hint="eastAsia" w:ascii="仿宋" w:hAnsi="仿宋" w:eastAsia="仿宋" w:cs="仿宋"/>
          <w:b/>
          <w:sz w:val="28"/>
          <w:szCs w:val="28"/>
        </w:rPr>
        <w:t>三、编制依据</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bCs/>
          <w:sz w:val="28"/>
          <w:szCs w:val="28"/>
        </w:rPr>
        <w:t xml:space="preserve"> </w:t>
      </w:r>
      <w:r>
        <w:rPr>
          <w:rFonts w:hint="eastAsia" w:ascii="仿宋" w:hAnsi="仿宋" w:eastAsia="仿宋" w:cs="仿宋"/>
          <w:snapToGrid w:val="0"/>
          <w:color w:val="000000" w:themeColor="text1"/>
          <w:sz w:val="28"/>
          <w:szCs w:val="28"/>
          <w14:textFill>
            <w14:solidFill>
              <w14:schemeClr w14:val="tx1"/>
            </w14:solidFill>
          </w14:textFill>
        </w:rPr>
        <w:t xml:space="preserve"> 1.编制依据：《建设工程工程量清单计价规范》（GB50500-2013）、《房屋建筑与装饰工程工程量计算规范》（GB50854-2013）。</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2.工程量计量依据：根据甲方提供的施工图纸。</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3.消耗量定额依据：《新疆维吾尔自治区建筑工程消耗量定额(实体项目)（2010年）》《新疆维吾尔自治区建筑工程消耗量定额(措施项目)（2010年）》。</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 xml:space="preserve"> 4.工程计价依据：执行《新疆建筑工程消耗量定额阿克苏地区单位估价表（2011年）》《新疆安装工程预算定额阿克苏地区单位估价表（2011年）》。</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 xml:space="preserve"> 5.费用定额依据：执行《新疆维吾尔自治区建筑安装工程费用定额（2010年）》。</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 xml:space="preserve"> 6.人工费价差调整执行《关于发布阿克苏地区2020年建设工程定额内市场人工单价信息的通知》建筑、装饰、安装工程定额人工单价分别按90.06元/工日、95.7元/工日、91.82元/工日执行，其价差部分只计税金。材料价格调整执行阿克苏地区2023年</w:t>
      </w:r>
      <w:r>
        <w:rPr>
          <w:rFonts w:hint="eastAsia" w:ascii="仿宋" w:hAnsi="仿宋" w:eastAsia="仿宋" w:cs="仿宋"/>
          <w:snapToGrid w:val="0"/>
          <w:color w:val="000000" w:themeColor="text1"/>
          <w:sz w:val="28"/>
          <w:szCs w:val="28"/>
          <w:lang w:val="en-US" w:eastAsia="zh-CN"/>
          <w14:textFill>
            <w14:solidFill>
              <w14:schemeClr w14:val="tx1"/>
            </w14:solidFill>
          </w14:textFill>
        </w:rPr>
        <w:t>5</w:t>
      </w:r>
      <w:r>
        <w:rPr>
          <w:rFonts w:hint="eastAsia" w:ascii="仿宋" w:hAnsi="仿宋" w:eastAsia="仿宋" w:cs="仿宋"/>
          <w:snapToGrid w:val="0"/>
          <w:color w:val="000000" w:themeColor="text1"/>
          <w:sz w:val="28"/>
          <w:szCs w:val="28"/>
          <w14:textFill>
            <w14:solidFill>
              <w14:schemeClr w14:val="tx1"/>
            </w14:solidFill>
          </w14:textFill>
        </w:rPr>
        <w:t>月份建设工程信息价格。</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7.本工程按2016年5月1日阿克苏地区住房和城乡建设厅发布的〔2016〕30号文《关于建筑业营业税改增值税调整新疆建设工程计价依据的实施意见》的文件执行，以增值税计税，其中增值税率根据阿地建字〔2019〕4号调整通知按9%计取。</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8.根据新建标函〔2021〕17号文关于建设工程智慧工地基础配置费用计取是事项（试行）的通知对智慧工地基础配置费用进行计取。</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ascii="仿宋" w:hAnsi="仿宋" w:eastAsia="仿宋" w:cs="仿宋"/>
          <w:snapToGrid w:val="0"/>
          <w:color w:val="000000" w:themeColor="text1"/>
          <w:sz w:val="28"/>
          <w:szCs w:val="28"/>
          <w14:textFill>
            <w14:solidFill>
              <w14:schemeClr w14:val="tx1"/>
            </w14:solidFill>
          </w14:textFill>
        </w:rPr>
        <w:t>9</w:t>
      </w:r>
      <w:r>
        <w:rPr>
          <w:rFonts w:hint="eastAsia" w:ascii="仿宋" w:hAnsi="仿宋" w:eastAsia="仿宋" w:cs="仿宋"/>
          <w:snapToGrid w:val="0"/>
          <w:color w:val="000000" w:themeColor="text1"/>
          <w:sz w:val="28"/>
          <w:szCs w:val="28"/>
          <w14:textFill>
            <w14:solidFill>
              <w14:schemeClr w14:val="tx1"/>
            </w14:solidFill>
          </w14:textFill>
        </w:rPr>
        <w:t>.根据新疆维吾尔自治区住房和城乡建设厅公告〔2020〕120号关于新疆建设工程扬尘污染防治增加费计取方法的公告对扬尘污染防治增加费进行计取。</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1</w:t>
      </w:r>
      <w:r>
        <w:rPr>
          <w:rFonts w:ascii="仿宋" w:hAnsi="仿宋" w:eastAsia="仿宋" w:cs="仿宋"/>
          <w:snapToGrid w:val="0"/>
          <w:color w:val="000000" w:themeColor="text1"/>
          <w:sz w:val="28"/>
          <w:szCs w:val="28"/>
          <w14:textFill>
            <w14:solidFill>
              <w14:schemeClr w14:val="tx1"/>
            </w14:solidFill>
          </w14:textFill>
        </w:rPr>
        <w:t>0</w:t>
      </w:r>
      <w:r>
        <w:rPr>
          <w:rFonts w:hint="eastAsia" w:ascii="仿宋" w:hAnsi="仿宋" w:eastAsia="仿宋" w:cs="仿宋"/>
          <w:snapToGrid w:val="0"/>
          <w:color w:val="000000" w:themeColor="text1"/>
          <w:sz w:val="28"/>
          <w:szCs w:val="28"/>
          <w14:textFill>
            <w14:solidFill>
              <w14:schemeClr w14:val="tx1"/>
            </w14:solidFill>
          </w14:textFill>
        </w:rPr>
        <w:t>.根据新建标〔2008〕4号文关于建筑材料价格风险费用计取的指导意见对风险费用进行计取。</w:t>
      </w:r>
    </w:p>
    <w:p>
      <w:pPr>
        <w:pStyle w:val="4"/>
        <w:widowControl/>
        <w:snapToGrid w:val="0"/>
        <w:spacing w:beforeAutospacing="0" w:afterAutospacing="0" w:line="360" w:lineRule="auto"/>
        <w:ind w:firstLine="560" w:firstLineChars="200"/>
        <w:rPr>
          <w:rFonts w:ascii="仿宋" w:hAnsi="仿宋" w:eastAsia="仿宋" w:cs="仿宋"/>
          <w:b/>
          <w:sz w:val="28"/>
          <w:szCs w:val="28"/>
        </w:rPr>
      </w:pPr>
      <w:r>
        <w:rPr>
          <w:rFonts w:hint="eastAsia" w:ascii="仿宋" w:hAnsi="仿宋" w:eastAsia="仿宋" w:cs="仿宋"/>
          <w:b/>
          <w:sz w:val="28"/>
          <w:szCs w:val="28"/>
        </w:rPr>
        <w:t>四、编制方法</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1.工程量计算依据甲方提供的</w:t>
      </w:r>
      <w:r>
        <w:rPr>
          <w:rFonts w:hint="eastAsia" w:ascii="仿宋" w:hAnsi="仿宋" w:eastAsia="仿宋" w:cs="仿宋"/>
          <w:snapToGrid w:val="0"/>
          <w:color w:val="000000" w:themeColor="text1"/>
          <w:sz w:val="28"/>
          <w:szCs w:val="28"/>
          <w:lang w:val="en-US" w:eastAsia="zh-CN"/>
          <w14:textFill>
            <w14:solidFill>
              <w14:schemeClr w14:val="tx1"/>
            </w14:solidFill>
          </w14:textFill>
        </w:rPr>
        <w:t>工程量清单</w:t>
      </w:r>
      <w:r>
        <w:rPr>
          <w:rFonts w:hint="eastAsia" w:ascii="仿宋" w:hAnsi="仿宋" w:eastAsia="仿宋" w:cs="仿宋"/>
          <w:snapToGrid w:val="0"/>
          <w:color w:val="000000" w:themeColor="text1"/>
          <w:sz w:val="28"/>
          <w:szCs w:val="28"/>
          <w14:textFill>
            <w14:solidFill>
              <w14:schemeClr w14:val="tx1"/>
            </w14:solidFill>
          </w14:textFill>
        </w:rPr>
        <w:t>、执行《房屋建筑与装饰工程工程量计算规范》（GB50854-2013）。</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2.分部分项工程费的编制根据招标文件中的分部分项工程量清单及有关要求，按《建设工程工程量清单计价规范》GB 50500-2013有关规定确定综合单价计价。招标文件提供了暂估单价的材料，按暂估的单价计入综合单价。</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3.措施项目费中的安全文明施工费按照国家或省级、行业建设主管部门的规定标准计价，该部分不得作为竞争性费用。措施项目结合项目本身特点、按招标文件的要求、施工图说明及现场勘查、施工组织方案等确定，措施项目分为以“量”计算和以“项”计算两种。</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4.企业管理费、利润按相应工程类别执行《新疆维吾尔自治区建筑安装工程费用定额（2010年）》。</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5.规费和税金等均按国家或省级、行业建设主管部门的规定计算。</w:t>
      </w:r>
    </w:p>
    <w:p>
      <w:pPr>
        <w:pStyle w:val="11"/>
        <w:snapToGrid w:val="0"/>
        <w:spacing w:line="360" w:lineRule="auto"/>
        <w:ind w:firstLine="562"/>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五、有关材料、设备、费用的说明</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14:textFill>
            <w14:solidFill>
              <w14:schemeClr w14:val="tx1"/>
            </w14:solidFill>
          </w14:textFill>
        </w:rPr>
        <w:t>1.指导价上有的材料均执行材差文件，指导价中没有的材料参考市场价。</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ascii="仿宋" w:hAnsi="仿宋" w:eastAsia="仿宋" w:cs="仿宋"/>
          <w:snapToGrid w:val="0"/>
          <w:color w:val="000000" w:themeColor="text1"/>
          <w:sz w:val="28"/>
          <w:szCs w:val="28"/>
          <w14:textFill>
            <w14:solidFill>
              <w14:schemeClr w14:val="tx1"/>
            </w14:solidFill>
          </w14:textFill>
        </w:rPr>
        <w:t>2</w:t>
      </w:r>
      <w:r>
        <w:rPr>
          <w:rFonts w:hint="eastAsia" w:ascii="仿宋" w:hAnsi="仿宋" w:eastAsia="仿宋" w:cs="仿宋"/>
          <w:snapToGrid w:val="0"/>
          <w:color w:val="000000" w:themeColor="text1"/>
          <w:sz w:val="28"/>
          <w:szCs w:val="28"/>
          <w14:textFill>
            <w14:solidFill>
              <w14:schemeClr w14:val="tx1"/>
            </w14:solidFill>
          </w14:textFill>
        </w:rPr>
        <w:t>.指导价没有的主材价，按照市场价计入主材价格。</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ascii="仿宋" w:hAnsi="仿宋" w:eastAsia="仿宋" w:cs="仿宋"/>
          <w:snapToGrid w:val="0"/>
          <w:color w:val="000000" w:themeColor="text1"/>
          <w:sz w:val="28"/>
          <w:szCs w:val="28"/>
          <w14:textFill>
            <w14:solidFill>
              <w14:schemeClr w14:val="tx1"/>
            </w14:solidFill>
          </w14:textFill>
        </w:rPr>
        <w:t>3</w:t>
      </w:r>
      <w:r>
        <w:rPr>
          <w:rFonts w:hint="eastAsia" w:ascii="仿宋" w:hAnsi="仿宋" w:eastAsia="仿宋" w:cs="仿宋"/>
          <w:snapToGrid w:val="0"/>
          <w:color w:val="000000" w:themeColor="text1"/>
          <w:sz w:val="28"/>
          <w:szCs w:val="28"/>
          <w14:textFill>
            <w14:solidFill>
              <w14:schemeClr w14:val="tx1"/>
            </w14:solidFill>
          </w14:textFill>
        </w:rPr>
        <w:t>.暂列金额：无。</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lang w:val="en-US" w:eastAsia="zh-CN"/>
          <w14:textFill>
            <w14:solidFill>
              <w14:schemeClr w14:val="tx1"/>
            </w14:solidFill>
          </w14:textFill>
        </w:rPr>
        <w:t>4</w:t>
      </w:r>
      <w:r>
        <w:rPr>
          <w:rFonts w:hint="eastAsia" w:ascii="仿宋" w:hAnsi="仿宋" w:eastAsia="仿宋" w:cs="仿宋"/>
          <w:snapToGrid w:val="0"/>
          <w:color w:val="000000" w:themeColor="text1"/>
          <w:sz w:val="28"/>
          <w:szCs w:val="28"/>
          <w14:textFill>
            <w14:solidFill>
              <w14:schemeClr w14:val="tx1"/>
            </w14:solidFill>
          </w14:textFill>
        </w:rPr>
        <w:t>.风险费按材料费加材料费价差的3%计入。</w:t>
      </w:r>
    </w:p>
    <w:p>
      <w:pPr>
        <w:snapToGrid w:val="0"/>
        <w:spacing w:line="360" w:lineRule="auto"/>
        <w:ind w:firstLine="560" w:firstLineChars="200"/>
        <w:rPr>
          <w:rFonts w:ascii="仿宋" w:hAnsi="仿宋" w:eastAsia="仿宋" w:cs="仿宋"/>
          <w:snapToGrid w:val="0"/>
          <w:color w:val="000000" w:themeColor="text1"/>
          <w:sz w:val="28"/>
          <w:szCs w:val="28"/>
          <w14:textFill>
            <w14:solidFill>
              <w14:schemeClr w14:val="tx1"/>
            </w14:solidFill>
          </w14:textFill>
        </w:rPr>
      </w:pPr>
      <w:r>
        <w:rPr>
          <w:rFonts w:hint="eastAsia" w:ascii="仿宋" w:hAnsi="仿宋" w:eastAsia="仿宋" w:cs="仿宋"/>
          <w:snapToGrid w:val="0"/>
          <w:color w:val="000000" w:themeColor="text1"/>
          <w:sz w:val="28"/>
          <w:szCs w:val="28"/>
          <w:lang w:val="en-US" w:eastAsia="zh-CN"/>
          <w14:textFill>
            <w14:solidFill>
              <w14:schemeClr w14:val="tx1"/>
            </w14:solidFill>
          </w14:textFill>
        </w:rPr>
        <w:t>5</w:t>
      </w:r>
      <w:r>
        <w:rPr>
          <w:rFonts w:hint="eastAsia" w:ascii="仿宋" w:hAnsi="仿宋" w:eastAsia="仿宋" w:cs="仿宋"/>
          <w:snapToGrid w:val="0"/>
          <w:color w:val="000000" w:themeColor="text1"/>
          <w:sz w:val="28"/>
          <w:szCs w:val="28"/>
          <w14:textFill>
            <w14:solidFill>
              <w14:schemeClr w14:val="tx1"/>
            </w14:solidFill>
          </w14:textFill>
        </w:rPr>
        <w:t>.其他需要补充说明的内容：</w:t>
      </w:r>
    </w:p>
    <w:p>
      <w:pPr>
        <w:pStyle w:val="4"/>
        <w:widowControl/>
        <w:spacing w:beforeAutospacing="0" w:afterAutospacing="0" w:line="312" w:lineRule="auto"/>
        <w:ind w:firstLine="600" w:firstLineChars="200"/>
        <w:rPr>
          <w:rFonts w:hint="eastAsia" w:ascii="仿宋" w:hAnsi="仿宋" w:eastAsia="仿宋" w:cs="仿宋"/>
          <w:b/>
          <w:bCs/>
          <w:color w:val="000000" w:themeColor="text1"/>
          <w:sz w:val="30"/>
          <w:szCs w:val="30"/>
          <w14:textFill>
            <w14:solidFill>
              <w14:schemeClr w14:val="tx1"/>
            </w14:solidFill>
          </w14:textFill>
        </w:rPr>
      </w:pPr>
    </w:p>
    <w:p>
      <w:pPr>
        <w:pStyle w:val="4"/>
        <w:widowControl/>
        <w:spacing w:beforeAutospacing="0" w:afterAutospacing="0" w:line="312" w:lineRule="auto"/>
        <w:ind w:firstLine="600" w:firstLineChars="200"/>
        <w:rPr>
          <w:rFonts w:hint="eastAsia" w:ascii="仿宋" w:hAnsi="仿宋" w:eastAsia="仿宋" w:cs="仿宋"/>
          <w:b/>
          <w:bCs/>
          <w:color w:val="000000" w:themeColor="text1"/>
          <w:sz w:val="30"/>
          <w:szCs w:val="30"/>
          <w14:textFill>
            <w14:solidFill>
              <w14:schemeClr w14:val="tx1"/>
            </w14:solidFill>
          </w14:textFill>
        </w:rPr>
      </w:pPr>
    </w:p>
    <w:p>
      <w:pPr>
        <w:pStyle w:val="4"/>
        <w:widowControl/>
        <w:spacing w:beforeAutospacing="0" w:afterAutospacing="0" w:line="312" w:lineRule="auto"/>
        <w:ind w:firstLine="600" w:firstLineChars="200"/>
        <w:rPr>
          <w:rFonts w:hint="eastAsia" w:ascii="仿宋" w:hAnsi="仿宋" w:eastAsia="仿宋" w:cs="仿宋"/>
          <w:b/>
          <w:bCs/>
          <w:color w:val="000000" w:themeColor="text1"/>
          <w:sz w:val="30"/>
          <w:szCs w:val="30"/>
          <w14:textFill>
            <w14:solidFill>
              <w14:schemeClr w14:val="tx1"/>
            </w14:solidFill>
          </w14:textFill>
        </w:rPr>
      </w:pPr>
    </w:p>
    <w:p>
      <w:pPr>
        <w:pStyle w:val="4"/>
        <w:widowControl/>
        <w:spacing w:beforeAutospacing="0" w:afterAutospacing="0" w:line="312" w:lineRule="auto"/>
        <w:ind w:firstLine="600" w:firstLineChars="200"/>
        <w:rPr>
          <w:rFonts w:hint="eastAsia" w:ascii="仿宋" w:hAnsi="仿宋" w:eastAsia="仿宋" w:cs="仿宋"/>
          <w:b/>
          <w:bCs/>
          <w:color w:val="000000" w:themeColor="text1"/>
          <w:sz w:val="30"/>
          <w:szCs w:val="30"/>
          <w14:textFill>
            <w14:solidFill>
              <w14:schemeClr w14:val="tx1"/>
            </w14:solidFill>
          </w14:textFill>
        </w:rPr>
      </w:pPr>
    </w:p>
    <w:p>
      <w:pPr>
        <w:pStyle w:val="4"/>
        <w:widowControl/>
        <w:spacing w:beforeAutospacing="0" w:afterAutospacing="0" w:line="312" w:lineRule="auto"/>
        <w:ind w:firstLine="600" w:firstLineChars="200"/>
        <w:rPr>
          <w:rFonts w:hint="eastAsia" w:ascii="仿宋" w:hAnsi="仿宋" w:eastAsia="仿宋" w:cs="仿宋"/>
          <w:b/>
          <w:bCs/>
          <w:color w:val="000000" w:themeColor="text1"/>
          <w:sz w:val="30"/>
          <w:szCs w:val="30"/>
          <w14:textFill>
            <w14:solidFill>
              <w14:schemeClr w14:val="tx1"/>
            </w14:solidFill>
          </w14:textFill>
        </w:rPr>
      </w:pPr>
    </w:p>
    <w:p>
      <w:pPr>
        <w:pStyle w:val="4"/>
        <w:widowControl/>
        <w:spacing w:beforeAutospacing="0" w:afterAutospacing="0" w:line="312" w:lineRule="auto"/>
        <w:ind w:firstLine="600" w:firstLineChars="200"/>
        <w:rPr>
          <w:rFonts w:hint="eastAsia" w:ascii="仿宋" w:hAnsi="仿宋" w:eastAsia="仿宋" w:cs="仿宋"/>
          <w:b/>
          <w:bCs/>
          <w:color w:val="000000" w:themeColor="text1"/>
          <w:sz w:val="30"/>
          <w:szCs w:val="30"/>
          <w14:textFill>
            <w14:solidFill>
              <w14:schemeClr w14:val="tx1"/>
            </w14:solidFill>
          </w14:textFill>
        </w:rPr>
      </w:pPr>
    </w:p>
    <w:p>
      <w:pPr>
        <w:pStyle w:val="4"/>
        <w:widowControl/>
        <w:spacing w:beforeAutospacing="0" w:afterAutospacing="0" w:line="312" w:lineRule="auto"/>
        <w:ind w:firstLine="600" w:firstLineChars="200"/>
        <w:rPr>
          <w:rFonts w:ascii="仿宋" w:hAnsi="仿宋" w:eastAsia="仿宋" w:cs="仿宋"/>
          <w:b/>
          <w:bCs/>
          <w:color w:val="000000" w:themeColor="text1"/>
          <w:sz w:val="30"/>
          <w:szCs w:val="30"/>
          <w14:textFill>
            <w14:solidFill>
              <w14:schemeClr w14:val="tx1"/>
            </w14:solidFill>
          </w14:textFill>
        </w:rPr>
      </w:pPr>
      <w:r>
        <w:rPr>
          <w:rFonts w:hint="eastAsia" w:ascii="仿宋" w:hAnsi="仿宋" w:eastAsia="仿宋" w:cs="仿宋"/>
          <w:b/>
          <w:bCs/>
          <w:color w:val="000000" w:themeColor="text1"/>
          <w:sz w:val="30"/>
          <w:szCs w:val="30"/>
          <w14:textFill>
            <w14:solidFill>
              <w14:schemeClr w14:val="tx1"/>
            </w14:solidFill>
          </w14:textFill>
        </w:rPr>
        <w:t>六、招标控制价</w:t>
      </w:r>
    </w:p>
    <w:p>
      <w:pPr>
        <w:pStyle w:val="4"/>
        <w:widowControl/>
        <w:spacing w:beforeAutospacing="0" w:afterAutospacing="0" w:line="312" w:lineRule="auto"/>
        <w:ind w:firstLine="600" w:firstLineChars="200"/>
        <w:rPr>
          <w:rFonts w:ascii="仿宋" w:hAnsi="仿宋" w:eastAsia="仿宋" w:cs="仿宋"/>
          <w:b/>
          <w:bCs/>
          <w:color w:val="auto"/>
          <w:sz w:val="30"/>
          <w:szCs w:val="30"/>
        </w:rPr>
      </w:pPr>
      <w:r>
        <w:rPr>
          <w:rFonts w:hint="eastAsia" w:ascii="仿宋" w:hAnsi="仿宋" w:eastAsia="仿宋" w:cs="仿宋"/>
          <w:b/>
          <w:bCs/>
          <w:color w:val="auto"/>
          <w:sz w:val="30"/>
          <w:szCs w:val="30"/>
        </w:rPr>
        <w:t>招标控制价:1556015.83元</w:t>
      </w:r>
    </w:p>
    <w:p>
      <w:pPr>
        <w:pStyle w:val="4"/>
        <w:widowControl/>
        <w:spacing w:beforeAutospacing="0" w:afterAutospacing="0" w:line="312" w:lineRule="auto"/>
        <w:ind w:firstLine="600" w:firstLineChars="200"/>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rPr>
        <w:t>大写：</w:t>
      </w:r>
      <w:r>
        <w:rPr>
          <w:rFonts w:hint="eastAsia" w:ascii="仿宋" w:hAnsi="仿宋" w:eastAsia="仿宋" w:cs="仿宋"/>
          <w:b/>
          <w:bCs/>
          <w:color w:val="auto"/>
          <w:sz w:val="30"/>
          <w:szCs w:val="30"/>
          <w:lang w:val="en-US" w:eastAsia="zh-CN"/>
        </w:rPr>
        <w:t>壹佰伍拾伍万陆仟零壹拾伍元捌角叁分</w:t>
      </w:r>
    </w:p>
    <w:p>
      <w:pPr>
        <w:pStyle w:val="4"/>
        <w:widowControl/>
        <w:spacing w:beforeAutospacing="0" w:afterAutospacing="0" w:line="312" w:lineRule="auto"/>
        <w:ind w:firstLine="600" w:firstLineChars="200"/>
        <w:rPr>
          <w:rFonts w:ascii="仿宋" w:hAnsi="仿宋" w:eastAsia="仿宋" w:cs="仿宋"/>
          <w:b/>
          <w:bCs/>
          <w:color w:val="000000" w:themeColor="text1"/>
          <w:sz w:val="30"/>
          <w:szCs w:val="30"/>
          <w:highlight w:val="red"/>
          <w14:textFill>
            <w14:solidFill>
              <w14:schemeClr w14:val="tx1"/>
            </w14:solidFill>
          </w14:textFill>
        </w:rPr>
      </w:pPr>
      <w:bookmarkStart w:id="0" w:name="_GoBack"/>
      <w:bookmarkEnd w:id="0"/>
    </w:p>
    <w:p>
      <w:pPr>
        <w:snapToGrid w:val="0"/>
        <w:spacing w:line="312" w:lineRule="auto"/>
        <w:rPr>
          <w:rFonts w:ascii="仿宋" w:hAnsi="仿宋" w:eastAsia="仿宋" w:cs="仿宋"/>
          <w:b/>
          <w:bCs/>
          <w:snapToGrid w:val="0"/>
          <w:color w:val="000000" w:themeColor="text1"/>
          <w:sz w:val="28"/>
          <w:szCs w:val="28"/>
          <w14:textFill>
            <w14:solidFill>
              <w14:schemeClr w14:val="tx1"/>
            </w14:solidFill>
          </w14:textFill>
        </w:rPr>
      </w:pPr>
    </w:p>
    <w:p>
      <w:pPr>
        <w:snapToGrid w:val="0"/>
        <w:spacing w:line="312" w:lineRule="auto"/>
        <w:ind w:firstLine="602"/>
        <w:rPr>
          <w:rFonts w:ascii="仿宋" w:hAnsi="仿宋" w:eastAsia="仿宋" w:cs="仿宋"/>
          <w:bCs/>
          <w:color w:val="000000" w:themeColor="text1"/>
          <w:sz w:val="30"/>
          <w:szCs w:val="30"/>
          <w14:textFill>
            <w14:solidFill>
              <w14:schemeClr w14:val="tx1"/>
            </w14:solidFill>
          </w14:textFill>
        </w:rPr>
      </w:pPr>
      <w:r>
        <w:rPr>
          <w:rFonts w:hint="eastAsia" w:ascii="仿宋" w:hAnsi="仿宋" w:eastAsia="仿宋" w:cs="仿宋"/>
          <w:bCs/>
          <w:color w:val="000000" w:themeColor="text1"/>
          <w:sz w:val="30"/>
          <w:szCs w:val="30"/>
          <w14:textFill>
            <w14:solidFill>
              <w14:schemeClr w14:val="tx1"/>
            </w14:solidFill>
          </w14:textFill>
        </w:rPr>
        <w:t>编制人（签字并盖章）：</w:t>
      </w:r>
    </w:p>
    <w:p>
      <w:pPr>
        <w:snapToGrid w:val="0"/>
        <w:spacing w:line="312" w:lineRule="auto"/>
        <w:ind w:firstLine="602"/>
        <w:rPr>
          <w:rFonts w:ascii="仿宋" w:hAnsi="仿宋" w:eastAsia="仿宋" w:cs="仿宋"/>
          <w:bCs/>
          <w:color w:val="000000" w:themeColor="text1"/>
          <w:sz w:val="30"/>
          <w:szCs w:val="30"/>
          <w14:textFill>
            <w14:solidFill>
              <w14:schemeClr w14:val="tx1"/>
            </w14:solidFill>
          </w14:textFill>
        </w:rPr>
      </w:pPr>
      <w:r>
        <w:rPr>
          <w:rFonts w:hint="eastAsia" w:ascii="仿宋" w:hAnsi="仿宋" w:eastAsia="仿宋" w:cs="仿宋"/>
          <w:bCs/>
          <w:color w:val="000000" w:themeColor="text1"/>
          <w:sz w:val="30"/>
          <w:szCs w:val="30"/>
          <w14:textFill>
            <w14:solidFill>
              <w14:schemeClr w14:val="tx1"/>
            </w14:solidFill>
          </w14:textFill>
        </w:rPr>
        <w:t xml:space="preserve"> </w:t>
      </w:r>
    </w:p>
    <w:p>
      <w:pPr>
        <w:snapToGrid w:val="0"/>
        <w:spacing w:line="312" w:lineRule="auto"/>
        <w:ind w:firstLine="602"/>
        <w:rPr>
          <w:rFonts w:ascii="仿宋" w:hAnsi="仿宋" w:eastAsia="仿宋" w:cs="仿宋"/>
          <w:bCs/>
          <w:color w:val="000000" w:themeColor="text1"/>
          <w:sz w:val="30"/>
          <w:szCs w:val="30"/>
          <w14:textFill>
            <w14:solidFill>
              <w14:schemeClr w14:val="tx1"/>
            </w14:solidFill>
          </w14:textFill>
        </w:rPr>
      </w:pPr>
      <w:r>
        <w:rPr>
          <w:rFonts w:hint="eastAsia" w:ascii="仿宋" w:hAnsi="仿宋" w:eastAsia="仿宋" w:cs="仿宋"/>
          <w:bCs/>
          <w:color w:val="000000" w:themeColor="text1"/>
          <w:sz w:val="30"/>
          <w:szCs w:val="30"/>
          <w14:textFill>
            <w14:solidFill>
              <w14:schemeClr w14:val="tx1"/>
            </w14:solidFill>
          </w14:textFill>
        </w:rPr>
        <w:t xml:space="preserve">                 </w:t>
      </w:r>
    </w:p>
    <w:p>
      <w:pPr>
        <w:snapToGrid w:val="0"/>
        <w:spacing w:line="312" w:lineRule="auto"/>
        <w:ind w:firstLine="602"/>
        <w:rPr>
          <w:rFonts w:ascii="仿宋" w:hAnsi="仿宋" w:eastAsia="仿宋" w:cs="仿宋"/>
          <w:bCs/>
          <w:color w:val="000000" w:themeColor="text1"/>
          <w:sz w:val="30"/>
          <w:szCs w:val="30"/>
          <w14:textFill>
            <w14:solidFill>
              <w14:schemeClr w14:val="tx1"/>
            </w14:solidFill>
          </w14:textFill>
        </w:rPr>
      </w:pPr>
    </w:p>
    <w:p>
      <w:pPr>
        <w:snapToGrid w:val="0"/>
        <w:spacing w:line="312" w:lineRule="auto"/>
        <w:ind w:firstLine="602"/>
        <w:rPr>
          <w:rFonts w:ascii="仿宋" w:hAnsi="仿宋" w:eastAsia="仿宋" w:cs="仿宋"/>
          <w:bCs/>
          <w:color w:val="000000" w:themeColor="text1"/>
          <w:sz w:val="30"/>
          <w:szCs w:val="30"/>
          <w14:textFill>
            <w14:solidFill>
              <w14:schemeClr w14:val="tx1"/>
            </w14:solidFill>
          </w14:textFill>
        </w:rPr>
      </w:pPr>
      <w:r>
        <w:rPr>
          <w:rFonts w:hint="eastAsia" w:ascii="仿宋" w:hAnsi="仿宋" w:eastAsia="仿宋" w:cs="仿宋"/>
          <w:bCs/>
          <w:color w:val="000000" w:themeColor="text1"/>
          <w:sz w:val="30"/>
          <w:szCs w:val="30"/>
          <w14:textFill>
            <w14:solidFill>
              <w14:schemeClr w14:val="tx1"/>
            </w14:solidFill>
          </w14:textFill>
        </w:rPr>
        <w:t xml:space="preserve">审核人（签字并盖章）： </w:t>
      </w:r>
    </w:p>
    <w:p>
      <w:pPr>
        <w:snapToGrid w:val="0"/>
        <w:spacing w:line="312" w:lineRule="auto"/>
        <w:ind w:firstLine="602"/>
        <w:rPr>
          <w:rFonts w:ascii="仿宋" w:hAnsi="仿宋" w:eastAsia="仿宋" w:cs="仿宋"/>
          <w:bCs/>
          <w:color w:val="000000" w:themeColor="text1"/>
          <w:sz w:val="30"/>
          <w:szCs w:val="30"/>
          <w14:textFill>
            <w14:solidFill>
              <w14:schemeClr w14:val="tx1"/>
            </w14:solidFill>
          </w14:textFill>
        </w:rPr>
      </w:pPr>
    </w:p>
    <w:p>
      <w:pPr>
        <w:snapToGrid w:val="0"/>
        <w:spacing w:line="312" w:lineRule="auto"/>
        <w:rPr>
          <w:rFonts w:ascii="仿宋" w:hAnsi="仿宋" w:eastAsia="仿宋" w:cs="仿宋"/>
          <w:bCs/>
          <w:color w:val="000000" w:themeColor="text1"/>
          <w:sz w:val="30"/>
          <w:szCs w:val="30"/>
          <w14:textFill>
            <w14:solidFill>
              <w14:schemeClr w14:val="tx1"/>
            </w14:solidFill>
          </w14:textFill>
        </w:rPr>
      </w:pPr>
    </w:p>
    <w:p>
      <w:pPr>
        <w:snapToGrid w:val="0"/>
        <w:spacing w:line="312" w:lineRule="auto"/>
        <w:ind w:firstLine="602"/>
        <w:rPr>
          <w:rFonts w:ascii="仿宋" w:hAnsi="仿宋" w:eastAsia="仿宋" w:cs="仿宋"/>
          <w:bCs/>
          <w:color w:val="000000" w:themeColor="text1"/>
          <w:sz w:val="30"/>
          <w:szCs w:val="30"/>
          <w14:textFill>
            <w14:solidFill>
              <w14:schemeClr w14:val="tx1"/>
            </w14:solidFill>
          </w14:textFill>
        </w:rPr>
      </w:pPr>
    </w:p>
    <w:p>
      <w:pPr>
        <w:snapToGrid w:val="0"/>
        <w:spacing w:line="312" w:lineRule="auto"/>
        <w:ind w:firstLine="602"/>
        <w:rPr>
          <w:rFonts w:ascii="仿宋" w:hAnsi="仿宋" w:eastAsia="仿宋" w:cs="仿宋"/>
          <w:bCs/>
          <w:color w:val="000000" w:themeColor="text1"/>
          <w:sz w:val="30"/>
          <w:szCs w:val="30"/>
          <w14:textFill>
            <w14:solidFill>
              <w14:schemeClr w14:val="tx1"/>
            </w14:solidFill>
          </w14:textFill>
        </w:rPr>
      </w:pPr>
      <w:r>
        <w:rPr>
          <w:rFonts w:hint="eastAsia" w:ascii="仿宋" w:hAnsi="仿宋" w:eastAsia="仿宋" w:cs="仿宋"/>
          <w:bCs/>
          <w:color w:val="000000" w:themeColor="text1"/>
          <w:sz w:val="30"/>
          <w:szCs w:val="30"/>
          <w14:textFill>
            <w14:solidFill>
              <w14:schemeClr w14:val="tx1"/>
            </w14:solidFill>
          </w14:textFill>
        </w:rPr>
        <w:t>审定人（签字并盖章）：</w:t>
      </w:r>
    </w:p>
    <w:p>
      <w:pPr>
        <w:snapToGrid w:val="0"/>
        <w:spacing w:line="312" w:lineRule="auto"/>
        <w:ind w:firstLine="602"/>
        <w:rPr>
          <w:rFonts w:ascii="仿宋" w:hAnsi="仿宋" w:eastAsia="仿宋" w:cs="仿宋"/>
          <w:bCs/>
          <w:color w:val="000000" w:themeColor="text1"/>
          <w:sz w:val="30"/>
          <w:szCs w:val="30"/>
          <w14:textFill>
            <w14:solidFill>
              <w14:schemeClr w14:val="tx1"/>
            </w14:solidFill>
          </w14:textFill>
        </w:rPr>
      </w:pPr>
    </w:p>
    <w:p>
      <w:pPr>
        <w:snapToGrid w:val="0"/>
        <w:spacing w:line="312" w:lineRule="auto"/>
        <w:ind w:firstLine="548" w:firstLineChars="196"/>
        <w:rPr>
          <w:rFonts w:ascii="仿宋" w:hAnsi="仿宋" w:eastAsia="仿宋" w:cs="仿宋"/>
          <w:bCs/>
          <w:color w:val="0000FF"/>
          <w:sz w:val="28"/>
          <w:szCs w:val="28"/>
        </w:rPr>
      </w:pPr>
    </w:p>
    <w:p>
      <w:pPr>
        <w:snapToGrid w:val="0"/>
        <w:spacing w:line="312" w:lineRule="auto"/>
        <w:ind w:firstLine="548" w:firstLineChars="196"/>
        <w:jc w:val="righ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 xml:space="preserve">  </w:t>
      </w:r>
      <w:r>
        <w:rPr>
          <w:rFonts w:hint="eastAsia" w:ascii="仿宋" w:hAnsi="仿宋" w:eastAsia="仿宋" w:cs="仿宋"/>
          <w:bCs/>
          <w:color w:val="000000" w:themeColor="text1"/>
          <w:sz w:val="30"/>
          <w:szCs w:val="30"/>
          <w14:textFill>
            <w14:solidFill>
              <w14:schemeClr w14:val="tx1"/>
            </w14:solidFill>
          </w14:textFill>
        </w:rPr>
        <w:t xml:space="preserve"> </w:t>
      </w:r>
      <w:r>
        <w:rPr>
          <w:rFonts w:hint="eastAsia" w:ascii="仿宋" w:hAnsi="仿宋" w:eastAsia="仿宋" w:cs="仿宋"/>
          <w:snapToGrid w:val="0"/>
          <w:color w:val="000000" w:themeColor="text1"/>
          <w:sz w:val="30"/>
          <w:szCs w:val="30"/>
          <w14:textFill>
            <w14:solidFill>
              <w14:schemeClr w14:val="tx1"/>
            </w14:solidFill>
          </w14:textFill>
        </w:rPr>
        <w:t>新疆惠天邦建设工程项目管理有限公司</w:t>
      </w:r>
    </w:p>
    <w:p>
      <w:pPr>
        <w:wordWrap w:val="0"/>
        <w:snapToGrid w:val="0"/>
        <w:spacing w:line="312" w:lineRule="auto"/>
        <w:ind w:firstLine="588" w:firstLineChars="196"/>
        <w:jc w:val="cente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bCs/>
          <w:color w:val="000000" w:themeColor="text1"/>
          <w:sz w:val="30"/>
          <w:szCs w:val="30"/>
          <w14:textFill>
            <w14:solidFill>
              <w14:schemeClr w14:val="tx1"/>
            </w14:solidFill>
          </w14:textFill>
        </w:rPr>
        <w:t xml:space="preserve">              </w:t>
      </w:r>
      <w:r>
        <w:rPr>
          <w:rFonts w:hint="eastAsia" w:ascii="仿宋" w:hAnsi="仿宋" w:eastAsia="仿宋" w:cs="仿宋"/>
          <w:color w:val="000000" w:themeColor="text1"/>
          <w:sz w:val="30"/>
          <w:szCs w:val="30"/>
          <w14:textFill>
            <w14:solidFill>
              <w14:schemeClr w14:val="tx1"/>
            </w14:solidFill>
          </w14:textFill>
        </w:rPr>
        <w:t xml:space="preserve">     2023年</w:t>
      </w:r>
      <w:r>
        <w:rPr>
          <w:rFonts w:hint="eastAsia" w:ascii="仿宋" w:hAnsi="仿宋" w:eastAsia="仿宋" w:cs="仿宋"/>
          <w:color w:val="000000" w:themeColor="text1"/>
          <w:sz w:val="30"/>
          <w:szCs w:val="30"/>
          <w:lang w:val="en-US" w:eastAsia="zh-CN"/>
          <w14:textFill>
            <w14:solidFill>
              <w14:schemeClr w14:val="tx1"/>
            </w14:solidFill>
          </w14:textFill>
        </w:rPr>
        <w:t>7</w:t>
      </w:r>
      <w:r>
        <w:rPr>
          <w:rFonts w:hint="eastAsia" w:ascii="仿宋" w:hAnsi="仿宋" w:eastAsia="仿宋" w:cs="仿宋"/>
          <w:color w:val="000000" w:themeColor="text1"/>
          <w:sz w:val="30"/>
          <w:szCs w:val="30"/>
          <w14:textFill>
            <w14:solidFill>
              <w14:schemeClr w14:val="tx1"/>
            </w14:solidFill>
          </w14:textFill>
        </w:rPr>
        <w:t>月</w:t>
      </w:r>
      <w:r>
        <w:rPr>
          <w:rFonts w:hint="eastAsia" w:ascii="仿宋" w:hAnsi="仿宋" w:eastAsia="仿宋" w:cs="仿宋"/>
          <w:color w:val="000000" w:themeColor="text1"/>
          <w:sz w:val="30"/>
          <w:szCs w:val="30"/>
          <w:lang w:val="en-US" w:eastAsia="zh-CN"/>
          <w14:textFill>
            <w14:solidFill>
              <w14:schemeClr w14:val="tx1"/>
            </w14:solidFill>
          </w14:textFill>
        </w:rPr>
        <w:t>10</w:t>
      </w:r>
      <w:r>
        <w:rPr>
          <w:rFonts w:hint="eastAsia" w:ascii="仿宋" w:hAnsi="仿宋" w:eastAsia="仿宋" w:cs="仿宋"/>
          <w:color w:val="000000" w:themeColor="text1"/>
          <w:sz w:val="30"/>
          <w:szCs w:val="30"/>
          <w14:textFill>
            <w14:solidFill>
              <w14:schemeClr w14:val="tx1"/>
            </w14:solidFill>
          </w14:textFill>
        </w:rPr>
        <w:t>日</w:t>
      </w:r>
    </w:p>
    <w:sectPr>
      <w:headerReference r:id="rId3" w:type="default"/>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zMTQ2YWU4ZDg1YmQ0NWEzMjhlNWUxZjQyYzdlN2YifQ=="/>
    <w:docVar w:name="KSO_WPS_MARK_KEY" w:val="242faf68-4e18-4265-90af-e34f77c4b8b0"/>
  </w:docVars>
  <w:rsids>
    <w:rsidRoot w:val="00F00C50"/>
    <w:rsid w:val="0007033D"/>
    <w:rsid w:val="000D542C"/>
    <w:rsid w:val="000E73AC"/>
    <w:rsid w:val="00142FD6"/>
    <w:rsid w:val="00157E63"/>
    <w:rsid w:val="00272B27"/>
    <w:rsid w:val="002A619E"/>
    <w:rsid w:val="002B5772"/>
    <w:rsid w:val="003060EE"/>
    <w:rsid w:val="003255F4"/>
    <w:rsid w:val="00382AFC"/>
    <w:rsid w:val="003E7EA0"/>
    <w:rsid w:val="004142C7"/>
    <w:rsid w:val="00416875"/>
    <w:rsid w:val="0043271D"/>
    <w:rsid w:val="004B5687"/>
    <w:rsid w:val="00555D38"/>
    <w:rsid w:val="00571BA7"/>
    <w:rsid w:val="005D6850"/>
    <w:rsid w:val="005F0723"/>
    <w:rsid w:val="006A2E4D"/>
    <w:rsid w:val="0076192A"/>
    <w:rsid w:val="00867D02"/>
    <w:rsid w:val="008C3062"/>
    <w:rsid w:val="00911E10"/>
    <w:rsid w:val="00912A38"/>
    <w:rsid w:val="0093356E"/>
    <w:rsid w:val="00946378"/>
    <w:rsid w:val="00996001"/>
    <w:rsid w:val="009D3CAF"/>
    <w:rsid w:val="00A11B88"/>
    <w:rsid w:val="00A12D72"/>
    <w:rsid w:val="00A347DE"/>
    <w:rsid w:val="00A36C06"/>
    <w:rsid w:val="00A81115"/>
    <w:rsid w:val="00A86030"/>
    <w:rsid w:val="00BB2BDD"/>
    <w:rsid w:val="00BC556E"/>
    <w:rsid w:val="00C478A5"/>
    <w:rsid w:val="00C50984"/>
    <w:rsid w:val="00C63C23"/>
    <w:rsid w:val="00D1686E"/>
    <w:rsid w:val="00D446C7"/>
    <w:rsid w:val="00DA25B1"/>
    <w:rsid w:val="00DD0F92"/>
    <w:rsid w:val="00E1045E"/>
    <w:rsid w:val="00EB70BA"/>
    <w:rsid w:val="00ED4160"/>
    <w:rsid w:val="00EE60E3"/>
    <w:rsid w:val="00F00C50"/>
    <w:rsid w:val="00F55109"/>
    <w:rsid w:val="00F91A0D"/>
    <w:rsid w:val="00F978D4"/>
    <w:rsid w:val="00FB4547"/>
    <w:rsid w:val="00FB517E"/>
    <w:rsid w:val="00FE2008"/>
    <w:rsid w:val="017F3F07"/>
    <w:rsid w:val="01AB5132"/>
    <w:rsid w:val="02310FF6"/>
    <w:rsid w:val="024C7C25"/>
    <w:rsid w:val="02BD4886"/>
    <w:rsid w:val="03E219EE"/>
    <w:rsid w:val="03E868D9"/>
    <w:rsid w:val="040065B4"/>
    <w:rsid w:val="042B5D8E"/>
    <w:rsid w:val="04AB57E1"/>
    <w:rsid w:val="05D517F7"/>
    <w:rsid w:val="062B1A9B"/>
    <w:rsid w:val="06791CB3"/>
    <w:rsid w:val="06C6368F"/>
    <w:rsid w:val="07145466"/>
    <w:rsid w:val="071D689A"/>
    <w:rsid w:val="071D7BB5"/>
    <w:rsid w:val="072244EE"/>
    <w:rsid w:val="07E9355D"/>
    <w:rsid w:val="08393BA7"/>
    <w:rsid w:val="088D5102"/>
    <w:rsid w:val="08B9797D"/>
    <w:rsid w:val="08C77405"/>
    <w:rsid w:val="08FB2C0B"/>
    <w:rsid w:val="09386C70"/>
    <w:rsid w:val="0A8B4F89"/>
    <w:rsid w:val="0AA55295"/>
    <w:rsid w:val="0AFF25DC"/>
    <w:rsid w:val="0B8344AA"/>
    <w:rsid w:val="0CB16402"/>
    <w:rsid w:val="0D6671EC"/>
    <w:rsid w:val="0DAF3011"/>
    <w:rsid w:val="0DC0547B"/>
    <w:rsid w:val="0DEB5944"/>
    <w:rsid w:val="0E0E75FD"/>
    <w:rsid w:val="0E997A65"/>
    <w:rsid w:val="0EB16245"/>
    <w:rsid w:val="0F1D31F3"/>
    <w:rsid w:val="0F7756E1"/>
    <w:rsid w:val="0F7C04FA"/>
    <w:rsid w:val="10262972"/>
    <w:rsid w:val="10401B4B"/>
    <w:rsid w:val="10645F84"/>
    <w:rsid w:val="109B162B"/>
    <w:rsid w:val="10D2341B"/>
    <w:rsid w:val="119F2CCD"/>
    <w:rsid w:val="11D34725"/>
    <w:rsid w:val="11DF2C7F"/>
    <w:rsid w:val="132F7C19"/>
    <w:rsid w:val="135D4CE1"/>
    <w:rsid w:val="13EC7D20"/>
    <w:rsid w:val="1421699D"/>
    <w:rsid w:val="143C2A55"/>
    <w:rsid w:val="147C13DC"/>
    <w:rsid w:val="14B60A59"/>
    <w:rsid w:val="150229FA"/>
    <w:rsid w:val="15B16572"/>
    <w:rsid w:val="15E95851"/>
    <w:rsid w:val="15F6374F"/>
    <w:rsid w:val="160F7CF5"/>
    <w:rsid w:val="161517B0"/>
    <w:rsid w:val="16755EF7"/>
    <w:rsid w:val="16EA2C3C"/>
    <w:rsid w:val="17D31922"/>
    <w:rsid w:val="180364B4"/>
    <w:rsid w:val="189C0E86"/>
    <w:rsid w:val="18A65120"/>
    <w:rsid w:val="192B0A07"/>
    <w:rsid w:val="192C0291"/>
    <w:rsid w:val="19322678"/>
    <w:rsid w:val="194128BC"/>
    <w:rsid w:val="199B6470"/>
    <w:rsid w:val="19D15457"/>
    <w:rsid w:val="1A1962C9"/>
    <w:rsid w:val="1A2B33A3"/>
    <w:rsid w:val="1A42585F"/>
    <w:rsid w:val="1B5712BE"/>
    <w:rsid w:val="1B626503"/>
    <w:rsid w:val="1B6D7EC8"/>
    <w:rsid w:val="1BBF27B3"/>
    <w:rsid w:val="1BD47A17"/>
    <w:rsid w:val="1C7B2E22"/>
    <w:rsid w:val="1D5C4168"/>
    <w:rsid w:val="1D703706"/>
    <w:rsid w:val="1D816169"/>
    <w:rsid w:val="1E116D00"/>
    <w:rsid w:val="1E4C3866"/>
    <w:rsid w:val="1FE01468"/>
    <w:rsid w:val="208A2D9A"/>
    <w:rsid w:val="208E0C1B"/>
    <w:rsid w:val="21B03807"/>
    <w:rsid w:val="21E64459"/>
    <w:rsid w:val="221C3921"/>
    <w:rsid w:val="225E003A"/>
    <w:rsid w:val="23B10B56"/>
    <w:rsid w:val="23F73B9C"/>
    <w:rsid w:val="24194B61"/>
    <w:rsid w:val="24AE5155"/>
    <w:rsid w:val="25717773"/>
    <w:rsid w:val="257A33DD"/>
    <w:rsid w:val="25A86F13"/>
    <w:rsid w:val="25B855AE"/>
    <w:rsid w:val="26284BE7"/>
    <w:rsid w:val="26445AF3"/>
    <w:rsid w:val="26590B26"/>
    <w:rsid w:val="26AF355A"/>
    <w:rsid w:val="26DC3C24"/>
    <w:rsid w:val="27D25752"/>
    <w:rsid w:val="27F36082"/>
    <w:rsid w:val="2886653D"/>
    <w:rsid w:val="28C24DC8"/>
    <w:rsid w:val="290D6316"/>
    <w:rsid w:val="2A225DF1"/>
    <w:rsid w:val="2B2F39EF"/>
    <w:rsid w:val="2B330020"/>
    <w:rsid w:val="2BB4542E"/>
    <w:rsid w:val="2BDB3BF1"/>
    <w:rsid w:val="2C2170BD"/>
    <w:rsid w:val="2CB1190A"/>
    <w:rsid w:val="2D1E6D44"/>
    <w:rsid w:val="2DFE26D1"/>
    <w:rsid w:val="2E2E745B"/>
    <w:rsid w:val="2E4A5917"/>
    <w:rsid w:val="2E954947"/>
    <w:rsid w:val="2E9D1BD5"/>
    <w:rsid w:val="2F593C43"/>
    <w:rsid w:val="2F8731BA"/>
    <w:rsid w:val="2FFB16E5"/>
    <w:rsid w:val="3033767D"/>
    <w:rsid w:val="30430AD1"/>
    <w:rsid w:val="306E71C1"/>
    <w:rsid w:val="308D3E5B"/>
    <w:rsid w:val="30C419B0"/>
    <w:rsid w:val="31682C84"/>
    <w:rsid w:val="31AD68E8"/>
    <w:rsid w:val="31E640E3"/>
    <w:rsid w:val="3240164B"/>
    <w:rsid w:val="326F1422"/>
    <w:rsid w:val="32713DBA"/>
    <w:rsid w:val="338B5FA7"/>
    <w:rsid w:val="33C826CE"/>
    <w:rsid w:val="33D740F0"/>
    <w:rsid w:val="358821DB"/>
    <w:rsid w:val="35F62B21"/>
    <w:rsid w:val="36417BAF"/>
    <w:rsid w:val="37572A01"/>
    <w:rsid w:val="376B527C"/>
    <w:rsid w:val="37A22948"/>
    <w:rsid w:val="38B92017"/>
    <w:rsid w:val="38C444E1"/>
    <w:rsid w:val="39157D37"/>
    <w:rsid w:val="391B5A2B"/>
    <w:rsid w:val="392F2E35"/>
    <w:rsid w:val="393973C1"/>
    <w:rsid w:val="399D24E6"/>
    <w:rsid w:val="39A26410"/>
    <w:rsid w:val="3A5E69D2"/>
    <w:rsid w:val="3A675DE8"/>
    <w:rsid w:val="3A683CF4"/>
    <w:rsid w:val="3A9F0EB9"/>
    <w:rsid w:val="3BF91510"/>
    <w:rsid w:val="3C463BC1"/>
    <w:rsid w:val="3CB66F99"/>
    <w:rsid w:val="3D0753AE"/>
    <w:rsid w:val="3D934BE4"/>
    <w:rsid w:val="3DA22AA5"/>
    <w:rsid w:val="3DF17B5D"/>
    <w:rsid w:val="3E350C17"/>
    <w:rsid w:val="3EE463D1"/>
    <w:rsid w:val="3FA874D9"/>
    <w:rsid w:val="400675F8"/>
    <w:rsid w:val="4033445D"/>
    <w:rsid w:val="40385F17"/>
    <w:rsid w:val="40A007CD"/>
    <w:rsid w:val="4125649B"/>
    <w:rsid w:val="41277EAD"/>
    <w:rsid w:val="41897705"/>
    <w:rsid w:val="42884F34"/>
    <w:rsid w:val="429013CF"/>
    <w:rsid w:val="42AC00CC"/>
    <w:rsid w:val="42C121F4"/>
    <w:rsid w:val="433230F1"/>
    <w:rsid w:val="43FE2FD4"/>
    <w:rsid w:val="44094862"/>
    <w:rsid w:val="44281AE8"/>
    <w:rsid w:val="445157F9"/>
    <w:rsid w:val="44627A06"/>
    <w:rsid w:val="44912B80"/>
    <w:rsid w:val="44D546B5"/>
    <w:rsid w:val="44F85C75"/>
    <w:rsid w:val="44FF7003"/>
    <w:rsid w:val="45433394"/>
    <w:rsid w:val="45852DBA"/>
    <w:rsid w:val="46253FB4"/>
    <w:rsid w:val="46386C71"/>
    <w:rsid w:val="464253F9"/>
    <w:rsid w:val="469A1817"/>
    <w:rsid w:val="46A95479"/>
    <w:rsid w:val="479779C7"/>
    <w:rsid w:val="479F21BB"/>
    <w:rsid w:val="47F72214"/>
    <w:rsid w:val="487C5227"/>
    <w:rsid w:val="48BA7DFD"/>
    <w:rsid w:val="49414167"/>
    <w:rsid w:val="494616A5"/>
    <w:rsid w:val="49575660"/>
    <w:rsid w:val="4974741B"/>
    <w:rsid w:val="4A0574ED"/>
    <w:rsid w:val="4A27693E"/>
    <w:rsid w:val="4A536BCB"/>
    <w:rsid w:val="4AD8788C"/>
    <w:rsid w:val="4BCD39B7"/>
    <w:rsid w:val="4BF22849"/>
    <w:rsid w:val="4C417F01"/>
    <w:rsid w:val="4C6758F6"/>
    <w:rsid w:val="4CB3583F"/>
    <w:rsid w:val="4CC528E0"/>
    <w:rsid w:val="4CDD7798"/>
    <w:rsid w:val="4DA9729E"/>
    <w:rsid w:val="4DB56DF9"/>
    <w:rsid w:val="4DE6056D"/>
    <w:rsid w:val="4DFC330E"/>
    <w:rsid w:val="4DFC577F"/>
    <w:rsid w:val="4E6E4A8E"/>
    <w:rsid w:val="4EB81530"/>
    <w:rsid w:val="4EDD6607"/>
    <w:rsid w:val="4EEB211A"/>
    <w:rsid w:val="4F1F09CE"/>
    <w:rsid w:val="50B56004"/>
    <w:rsid w:val="51011DA1"/>
    <w:rsid w:val="51023E9B"/>
    <w:rsid w:val="51937451"/>
    <w:rsid w:val="51FB5511"/>
    <w:rsid w:val="52344790"/>
    <w:rsid w:val="52A16731"/>
    <w:rsid w:val="52A72C78"/>
    <w:rsid w:val="53B72A8C"/>
    <w:rsid w:val="543E0045"/>
    <w:rsid w:val="5482443D"/>
    <w:rsid w:val="55603AEE"/>
    <w:rsid w:val="558C78B3"/>
    <w:rsid w:val="566A75A7"/>
    <w:rsid w:val="56857E03"/>
    <w:rsid w:val="569F118F"/>
    <w:rsid w:val="56F032F5"/>
    <w:rsid w:val="570C5CDB"/>
    <w:rsid w:val="571E108E"/>
    <w:rsid w:val="57BD5228"/>
    <w:rsid w:val="57CC0DCE"/>
    <w:rsid w:val="581B3CFC"/>
    <w:rsid w:val="586C27AA"/>
    <w:rsid w:val="592D018B"/>
    <w:rsid w:val="59B31F58"/>
    <w:rsid w:val="5ABF69FC"/>
    <w:rsid w:val="5AE7425E"/>
    <w:rsid w:val="5B3F7104"/>
    <w:rsid w:val="5C016FC4"/>
    <w:rsid w:val="5C3D6937"/>
    <w:rsid w:val="5C4C6B7A"/>
    <w:rsid w:val="5D3E5B52"/>
    <w:rsid w:val="5D8876E6"/>
    <w:rsid w:val="5DB0123F"/>
    <w:rsid w:val="5DF73FB8"/>
    <w:rsid w:val="5E8E6C62"/>
    <w:rsid w:val="5EB84053"/>
    <w:rsid w:val="5EDC5CD9"/>
    <w:rsid w:val="5F117A99"/>
    <w:rsid w:val="5F1F0576"/>
    <w:rsid w:val="5F3A0517"/>
    <w:rsid w:val="5FBA3DFB"/>
    <w:rsid w:val="5FDE63ED"/>
    <w:rsid w:val="5FEA0B84"/>
    <w:rsid w:val="5FED54AA"/>
    <w:rsid w:val="60340051"/>
    <w:rsid w:val="607641C6"/>
    <w:rsid w:val="609D1752"/>
    <w:rsid w:val="60C82547"/>
    <w:rsid w:val="60D13AF2"/>
    <w:rsid w:val="60F32714"/>
    <w:rsid w:val="616F3043"/>
    <w:rsid w:val="620C3034"/>
    <w:rsid w:val="62342683"/>
    <w:rsid w:val="62662018"/>
    <w:rsid w:val="62CC631F"/>
    <w:rsid w:val="63715118"/>
    <w:rsid w:val="63AD43A2"/>
    <w:rsid w:val="64AD115B"/>
    <w:rsid w:val="64D4302C"/>
    <w:rsid w:val="65061449"/>
    <w:rsid w:val="6556633B"/>
    <w:rsid w:val="65C854C3"/>
    <w:rsid w:val="664A237C"/>
    <w:rsid w:val="66AF21DF"/>
    <w:rsid w:val="66CF3A25"/>
    <w:rsid w:val="670F0E40"/>
    <w:rsid w:val="676010D6"/>
    <w:rsid w:val="67C24194"/>
    <w:rsid w:val="68DD74D8"/>
    <w:rsid w:val="69830BD4"/>
    <w:rsid w:val="69B55D5F"/>
    <w:rsid w:val="69EF1A78"/>
    <w:rsid w:val="6A024D1C"/>
    <w:rsid w:val="6A0E26B6"/>
    <w:rsid w:val="6A102F95"/>
    <w:rsid w:val="6A831800"/>
    <w:rsid w:val="6B0235E6"/>
    <w:rsid w:val="6B3D5E27"/>
    <w:rsid w:val="6BF54B38"/>
    <w:rsid w:val="6C027255"/>
    <w:rsid w:val="6C18727B"/>
    <w:rsid w:val="6D271C38"/>
    <w:rsid w:val="6D2F2C90"/>
    <w:rsid w:val="6D4C6C5B"/>
    <w:rsid w:val="6D6D69F6"/>
    <w:rsid w:val="6E22598D"/>
    <w:rsid w:val="6F9C29FA"/>
    <w:rsid w:val="6FBE6E64"/>
    <w:rsid w:val="70313C65"/>
    <w:rsid w:val="7065293D"/>
    <w:rsid w:val="706822DF"/>
    <w:rsid w:val="70850BEA"/>
    <w:rsid w:val="709F1517"/>
    <w:rsid w:val="70FE623D"/>
    <w:rsid w:val="710061F9"/>
    <w:rsid w:val="711772FF"/>
    <w:rsid w:val="71566079"/>
    <w:rsid w:val="71662034"/>
    <w:rsid w:val="71862620"/>
    <w:rsid w:val="71B22AA5"/>
    <w:rsid w:val="71FA2995"/>
    <w:rsid w:val="727D15B3"/>
    <w:rsid w:val="72BB1F0C"/>
    <w:rsid w:val="72E26D8F"/>
    <w:rsid w:val="733B22CF"/>
    <w:rsid w:val="73AD7AA7"/>
    <w:rsid w:val="73CF2113"/>
    <w:rsid w:val="74004988"/>
    <w:rsid w:val="74211108"/>
    <w:rsid w:val="74C52BF5"/>
    <w:rsid w:val="74FD680C"/>
    <w:rsid w:val="757D5319"/>
    <w:rsid w:val="759A042A"/>
    <w:rsid w:val="75CE1BF1"/>
    <w:rsid w:val="75E70ACC"/>
    <w:rsid w:val="762248A2"/>
    <w:rsid w:val="76620FCA"/>
    <w:rsid w:val="766A55F8"/>
    <w:rsid w:val="76CD33D4"/>
    <w:rsid w:val="76D14ECF"/>
    <w:rsid w:val="76DC5379"/>
    <w:rsid w:val="76F1400C"/>
    <w:rsid w:val="773F4EBA"/>
    <w:rsid w:val="77682E16"/>
    <w:rsid w:val="779637AD"/>
    <w:rsid w:val="77F93E54"/>
    <w:rsid w:val="782A1FE6"/>
    <w:rsid w:val="78672905"/>
    <w:rsid w:val="79000E7C"/>
    <w:rsid w:val="798219D5"/>
    <w:rsid w:val="79D25ED2"/>
    <w:rsid w:val="79D7355B"/>
    <w:rsid w:val="7A303A1C"/>
    <w:rsid w:val="7A3C6CE3"/>
    <w:rsid w:val="7AF34939"/>
    <w:rsid w:val="7B4C229B"/>
    <w:rsid w:val="7B64058A"/>
    <w:rsid w:val="7B6E127C"/>
    <w:rsid w:val="7C2B0102"/>
    <w:rsid w:val="7CA829C5"/>
    <w:rsid w:val="7CE9017F"/>
    <w:rsid w:val="7D5C4B96"/>
    <w:rsid w:val="7D6E5419"/>
    <w:rsid w:val="7D742FC4"/>
    <w:rsid w:val="7D8335F7"/>
    <w:rsid w:val="7DF828B9"/>
    <w:rsid w:val="7E8B01F6"/>
    <w:rsid w:val="7FC8110A"/>
    <w:rsid w:val="7FCC39AA"/>
    <w:rsid w:val="7FEF3DA3"/>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rFonts w:cs="Times New Roman"/>
      <w:kern w:val="0"/>
      <w:sz w:val="24"/>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8">
    <w:name w:val="页眉 字符"/>
    <w:basedOn w:val="7"/>
    <w:link w:val="3"/>
    <w:semiHidden/>
    <w:qFormat/>
    <w:uiPriority w:val="99"/>
    <w:rPr>
      <w:sz w:val="18"/>
      <w:szCs w:val="18"/>
    </w:rPr>
  </w:style>
  <w:style w:type="character" w:customStyle="1" w:styleId="9">
    <w:name w:val="页脚 字符"/>
    <w:basedOn w:val="7"/>
    <w:link w:val="2"/>
    <w:semiHidden/>
    <w:qFormat/>
    <w:uiPriority w:val="99"/>
    <w:rPr>
      <w:sz w:val="18"/>
      <w:szCs w:val="18"/>
    </w:rPr>
  </w:style>
  <w:style w:type="paragraph" w:customStyle="1" w:styleId="10">
    <w:name w:val="列出段落1"/>
    <w:basedOn w:val="1"/>
    <w:qFormat/>
    <w:uiPriority w:val="0"/>
    <w:pPr>
      <w:ind w:firstLine="420" w:firstLineChars="200"/>
    </w:pPr>
    <w:rPr>
      <w:rFonts w:ascii="Times New Roman" w:hAnsi="Times New Roman" w:eastAsia="宋体" w:cs="Times New Roman"/>
      <w:szCs w:val="21"/>
    </w:rPr>
  </w:style>
  <w:style w:type="paragraph" w:customStyle="1" w:styleId="11">
    <w:name w:val="列出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1412</Words>
  <Characters>1550</Characters>
  <Lines>14</Lines>
  <Paragraphs>3</Paragraphs>
  <TotalTime>13</TotalTime>
  <ScaleCrop>false</ScaleCrop>
  <LinksUpToDate>false</LinksUpToDate>
  <CharactersWithSpaces>1598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2023-04-07T04:42:00Z</dcterms:created>
  <dc:creator>Microsoft</dc:creator>
  <cp:lastModifiedBy>清欢渡</cp:lastModifiedBy>
  <cp:lastPrinted>2022-12-04T10:57:00Z</cp:lastPrinted>
  <dcterms:modified xsi:type="dcterms:W3CDTF">2023-07-10T03:32:57Z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22171CED425A4E2D89671757A047CEB6_13</vt:lpwstr>
  </property>
</Properties>
</file>