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8C3BD">
      <w:pPr>
        <w:pStyle w:val="3"/>
        <w:tabs>
          <w:tab w:val="left" w:pos="0"/>
        </w:tabs>
        <w:spacing w:before="0" w:after="0" w:line="240" w:lineRule="atLeast"/>
        <w:rPr>
          <w:rFonts w:cs="宋体" w:asciiTheme="minorEastAsia" w:hAnsiTheme="minorEastAsia" w:eastAsiaTheme="minorEastAsia"/>
          <w:color w:val="000000"/>
          <w:highlight w:val="none"/>
        </w:rPr>
      </w:pPr>
      <w:bookmarkStart w:id="0" w:name="_Toc31119"/>
      <w:bookmarkStart w:id="1" w:name="_Toc507399902"/>
      <w:bookmarkStart w:id="2" w:name="_Toc218935350"/>
      <w:bookmarkStart w:id="3" w:name="_Toc216582822"/>
      <w:bookmarkStart w:id="4" w:name="_Toc219175634"/>
      <w:bookmarkStart w:id="5" w:name="_Toc21156_WPSOffice_Level1"/>
      <w:bookmarkStart w:id="6" w:name="_Toc9913"/>
      <w:bookmarkStart w:id="7" w:name="_Toc518923124"/>
      <w:r>
        <w:rPr>
          <w:rFonts w:hint="eastAsia" w:cs="宋体" w:asciiTheme="minorEastAsia" w:hAnsiTheme="minorEastAsia" w:eastAsiaTheme="minorEastAsia"/>
          <w:color w:val="000000"/>
          <w:highlight w:val="none"/>
        </w:rPr>
        <w:t>第三章</w:t>
      </w:r>
      <w:bookmarkEnd w:id="0"/>
      <w:bookmarkEnd w:id="1"/>
      <w:bookmarkEnd w:id="2"/>
      <w:bookmarkEnd w:id="3"/>
      <w:bookmarkEnd w:id="4"/>
      <w:bookmarkEnd w:id="5"/>
      <w:bookmarkEnd w:id="6"/>
      <w:bookmarkEnd w:id="7"/>
      <w:r>
        <w:rPr>
          <w:rFonts w:hint="eastAsia" w:cs="宋体" w:asciiTheme="minorEastAsia" w:hAnsiTheme="minorEastAsia" w:eastAsiaTheme="minorEastAsia"/>
          <w:color w:val="000000"/>
          <w:highlight w:val="none"/>
        </w:rPr>
        <w:t>竞争性磋商公告</w:t>
      </w:r>
    </w:p>
    <w:p w14:paraId="4463A2CA">
      <w:pPr>
        <w:spacing w:line="400" w:lineRule="exact"/>
        <w:jc w:val="center"/>
        <w:outlineLvl w:val="0"/>
        <w:rPr>
          <w:highlight w:val="none"/>
        </w:rPr>
      </w:pPr>
      <w:bookmarkStart w:id="8" w:name="_Toc507399903"/>
      <w:bookmarkStart w:id="9" w:name="_Toc28647"/>
      <w:bookmarkStart w:id="10" w:name="_Toc216582823"/>
      <w:bookmarkStart w:id="11" w:name="_Toc518923125"/>
      <w:bookmarkStart w:id="12" w:name="_Toc512937850"/>
      <w:r>
        <w:rPr>
          <w:rFonts w:hint="eastAsia" w:ascii="华文中宋" w:hAnsi="华文中宋" w:eastAsia="华文中宋"/>
          <w:b/>
          <w:bCs/>
          <w:kern w:val="44"/>
          <w:sz w:val="32"/>
          <w:szCs w:val="32"/>
          <w:highlight w:val="none"/>
          <w:lang w:eastAsia="zh-CN"/>
        </w:rPr>
        <w:t>巴楚县民政局政府购买社会救助事务性服务项目</w:t>
      </w:r>
      <w:r>
        <w:rPr>
          <w:rFonts w:hint="eastAsia" w:ascii="华文中宋" w:hAnsi="华文中宋" w:eastAsia="华文中宋"/>
          <w:b/>
          <w:bCs/>
          <w:kern w:val="44"/>
          <w:sz w:val="32"/>
          <w:szCs w:val="32"/>
          <w:highlight w:val="none"/>
        </w:rPr>
        <w:t>竞争性磋商公告</w:t>
      </w:r>
    </w:p>
    <w:p w14:paraId="5EC930CD">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11B67317">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巴楚县民政局政府购买社会救助事务性服务项目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新疆政府采购网获取</w:t>
      </w:r>
      <w:r>
        <w:rPr>
          <w:rFonts w:hint="eastAsia" w:ascii="仿宋" w:hAnsi="仿宋" w:eastAsia="仿宋"/>
          <w:color w:val="000000" w:themeColor="text1"/>
          <w:sz w:val="28"/>
          <w:szCs w:val="28"/>
          <w:highlight w:val="none"/>
          <w:u w:val="single"/>
          <w14:textFill>
            <w14:solidFill>
              <w14:schemeClr w14:val="tx1"/>
            </w14:solidFill>
          </w14:textFill>
        </w:rPr>
        <w:t>竞争性磋</w:t>
      </w:r>
      <w:r>
        <w:rPr>
          <w:rFonts w:hint="eastAsia" w:ascii="仿宋" w:hAnsi="仿宋" w:eastAsia="仿宋"/>
          <w:color w:val="000000" w:themeColor="text1"/>
          <w:sz w:val="28"/>
          <w:szCs w:val="28"/>
          <w:highlight w:val="none"/>
          <w14:textFill>
            <w14:solidFill>
              <w14:schemeClr w14:val="tx1"/>
            </w14:solidFill>
          </w14:textFill>
        </w:rPr>
        <w:t>商文件</w:t>
      </w:r>
      <w:r>
        <w:rPr>
          <w:rFonts w:hint="eastAsia" w:ascii="仿宋" w:hAnsi="仿宋" w:eastAsia="仿宋"/>
          <w:sz w:val="28"/>
          <w:szCs w:val="28"/>
          <w:highlight w:val="none"/>
        </w:rPr>
        <w:t>，并</w:t>
      </w:r>
      <w:r>
        <w:rPr>
          <w:rFonts w:hint="eastAsia" w:ascii="仿宋" w:hAnsi="仿宋" w:eastAsia="仿宋"/>
          <w:color w:val="auto"/>
          <w:sz w:val="28"/>
          <w:szCs w:val="28"/>
          <w:highlight w:val="none"/>
        </w:rPr>
        <w:t>于</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lang w:eastAsia="zh-CN"/>
        </w:rPr>
        <w:t>2025年3月25日11点00分</w:t>
      </w:r>
      <w:r>
        <w:rPr>
          <w:rFonts w:hint="eastAsia" w:ascii="仿宋" w:hAnsi="仿宋" w:eastAsia="仿宋"/>
          <w:bCs/>
          <w:color w:val="auto"/>
          <w:sz w:val="28"/>
          <w:szCs w:val="28"/>
          <w:highlight w:val="none"/>
          <w:u w:val="single"/>
        </w:rPr>
        <w:t>（北</w:t>
      </w:r>
      <w:r>
        <w:rPr>
          <w:rFonts w:hint="eastAsia" w:ascii="仿宋" w:hAnsi="仿宋" w:eastAsia="仿宋"/>
          <w:bCs/>
          <w:color w:val="000000" w:themeColor="text1"/>
          <w:sz w:val="28"/>
          <w:szCs w:val="28"/>
          <w:highlight w:val="none"/>
          <w:u w:val="single"/>
          <w14:textFill>
            <w14:solidFill>
              <w14:schemeClr w14:val="tx1"/>
            </w14:solidFill>
          </w14:textFill>
        </w:rPr>
        <w:t>京时间）</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0F7336A8">
      <w:pPr>
        <w:pStyle w:val="5"/>
        <w:autoSpaceDE/>
        <w:autoSpaceDN/>
        <w:adjustRightInd/>
        <w:spacing w:line="480" w:lineRule="exact"/>
        <w:jc w:val="both"/>
        <w:rPr>
          <w:rFonts w:ascii="黑体" w:hAnsi="黑体" w:cs="宋体"/>
          <w:b w:val="0"/>
          <w:sz w:val="28"/>
          <w:szCs w:val="28"/>
          <w:highlight w:val="none"/>
        </w:rPr>
      </w:pPr>
      <w:bookmarkStart w:id="13" w:name="_Toc28359012"/>
      <w:bookmarkStart w:id="14" w:name="_Toc35393798"/>
      <w:bookmarkStart w:id="15" w:name="_Toc35393629"/>
      <w:bookmarkStart w:id="16" w:name="_Toc28359089"/>
      <w:r>
        <w:rPr>
          <w:rFonts w:hint="eastAsia" w:ascii="黑体" w:hAnsi="黑体" w:cs="宋体"/>
          <w:b w:val="0"/>
          <w:sz w:val="28"/>
          <w:szCs w:val="28"/>
          <w:highlight w:val="none"/>
        </w:rPr>
        <w:t>一、项目基本情况</w:t>
      </w:r>
      <w:bookmarkEnd w:id="13"/>
      <w:bookmarkEnd w:id="14"/>
      <w:bookmarkEnd w:id="15"/>
      <w:bookmarkEnd w:id="16"/>
    </w:p>
    <w:p w14:paraId="115302F9">
      <w:pPr>
        <w:spacing w:line="480" w:lineRule="exact"/>
        <w:ind w:firstLine="562" w:firstLineChars="200"/>
        <w:rPr>
          <w:rFonts w:ascii="仿宋" w:hAnsi="仿宋" w:eastAsia="仿宋"/>
          <w:sz w:val="28"/>
          <w:szCs w:val="28"/>
          <w:highlight w:val="none"/>
        </w:rPr>
      </w:pPr>
      <w:r>
        <w:rPr>
          <w:rFonts w:hint="eastAsia" w:ascii="仿宋" w:hAnsi="仿宋" w:eastAsia="仿宋"/>
          <w:b/>
          <w:bCs/>
          <w:sz w:val="28"/>
          <w:szCs w:val="28"/>
          <w:highlight w:val="none"/>
        </w:rPr>
        <w:t>项目编号：</w:t>
      </w:r>
      <w:r>
        <w:rPr>
          <w:rFonts w:hint="eastAsia" w:ascii="仿宋" w:hAnsi="仿宋" w:eastAsia="仿宋" w:cs="宋体"/>
          <w:sz w:val="28"/>
          <w:szCs w:val="28"/>
          <w:highlight w:val="none"/>
          <w:lang w:eastAsia="zh-CN"/>
        </w:rPr>
        <w:t>KSBCX(CS) 2025-04号</w:t>
      </w:r>
    </w:p>
    <w:p w14:paraId="09A7A6A7">
      <w:pPr>
        <w:spacing w:line="480" w:lineRule="exact"/>
        <w:ind w:firstLine="562" w:firstLineChars="200"/>
        <w:rPr>
          <w:rFonts w:ascii="仿宋" w:hAnsi="仿宋" w:eastAsia="仿宋"/>
          <w:sz w:val="28"/>
          <w:szCs w:val="28"/>
          <w:highlight w:val="none"/>
        </w:rPr>
      </w:pPr>
      <w:r>
        <w:rPr>
          <w:rFonts w:hint="eastAsia" w:ascii="仿宋" w:hAnsi="仿宋" w:eastAsia="仿宋"/>
          <w:b/>
          <w:bCs/>
          <w:sz w:val="28"/>
          <w:szCs w:val="28"/>
          <w:highlight w:val="none"/>
        </w:rPr>
        <w:t>项目名称：</w:t>
      </w:r>
      <w:r>
        <w:rPr>
          <w:rFonts w:hint="eastAsia" w:ascii="仿宋" w:hAnsi="仿宋" w:eastAsia="仿宋"/>
          <w:b/>
          <w:bCs/>
          <w:sz w:val="28"/>
          <w:szCs w:val="28"/>
          <w:highlight w:val="none"/>
          <w:u w:val="single"/>
          <w:lang w:eastAsia="zh-CN"/>
        </w:rPr>
        <w:t>巴楚县民政局政府购买社会救助事务性服务项目</w:t>
      </w:r>
      <w:r>
        <w:rPr>
          <w:rFonts w:hint="eastAsia" w:ascii="仿宋" w:hAnsi="仿宋" w:eastAsia="仿宋"/>
          <w:b/>
          <w:bCs/>
          <w:sz w:val="28"/>
          <w:szCs w:val="28"/>
          <w:highlight w:val="none"/>
        </w:rPr>
        <w:t>采购方式：</w:t>
      </w:r>
      <w:r>
        <w:rPr>
          <w:rFonts w:hint="eastAsia" w:ascii="仿宋" w:hAnsi="仿宋" w:eastAsia="仿宋"/>
          <w:sz w:val="28"/>
          <w:szCs w:val="28"/>
          <w:highlight w:val="none"/>
        </w:rPr>
        <w:t xml:space="preserve"> ☑竞争性磋商 </w:t>
      </w:r>
    </w:p>
    <w:p w14:paraId="006DC781">
      <w:pPr>
        <w:spacing w:line="400" w:lineRule="exact"/>
        <w:ind w:firstLine="562" w:firstLineChars="200"/>
        <w:rPr>
          <w:rFonts w:ascii="仿宋" w:hAnsi="仿宋" w:eastAsia="仿宋"/>
          <w:sz w:val="28"/>
          <w:szCs w:val="28"/>
          <w:highlight w:val="none"/>
        </w:rPr>
      </w:pPr>
      <w:r>
        <w:rPr>
          <w:rFonts w:hint="eastAsia" w:ascii="仿宋" w:hAnsi="仿宋" w:eastAsia="仿宋"/>
          <w:b/>
          <w:bCs/>
          <w:sz w:val="28"/>
          <w:szCs w:val="28"/>
          <w:highlight w:val="none"/>
        </w:rPr>
        <w:t>预算金额</w:t>
      </w:r>
      <w:r>
        <w:rPr>
          <w:rFonts w:hint="eastAsia" w:ascii="仿宋" w:hAnsi="仿宋" w:eastAsia="仿宋" w:cs="宋体"/>
          <w:sz w:val="28"/>
          <w:szCs w:val="28"/>
          <w:highlight w:val="none"/>
        </w:rPr>
        <w:t>：</w:t>
      </w:r>
      <w:r>
        <w:rPr>
          <w:rFonts w:hint="eastAsia" w:ascii="仿宋" w:hAnsi="仿宋" w:eastAsia="仿宋" w:cs="宋体"/>
          <w:sz w:val="28"/>
          <w:szCs w:val="28"/>
          <w:highlight w:val="none"/>
          <w:u w:val="single"/>
          <w:lang w:val="en-US" w:eastAsia="zh-CN"/>
        </w:rPr>
        <w:t>630000</w:t>
      </w:r>
      <w:r>
        <w:rPr>
          <w:rFonts w:hint="eastAsia" w:ascii="仿宋" w:hAnsi="仿宋" w:eastAsia="仿宋" w:cs="宋体"/>
          <w:sz w:val="28"/>
          <w:szCs w:val="28"/>
          <w:highlight w:val="none"/>
          <w:u w:val="single"/>
        </w:rPr>
        <w:t>元</w:t>
      </w:r>
      <w:r>
        <w:rPr>
          <w:rFonts w:hint="eastAsia" w:ascii="仿宋" w:hAnsi="仿宋" w:eastAsia="仿宋" w:cs="宋体"/>
          <w:sz w:val="28"/>
          <w:szCs w:val="28"/>
          <w:highlight w:val="none"/>
        </w:rPr>
        <w:t>；</w:t>
      </w:r>
    </w:p>
    <w:p w14:paraId="13CFFD47">
      <w:pPr>
        <w:spacing w:line="480" w:lineRule="exact"/>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最高限价：</w:t>
      </w:r>
      <w:r>
        <w:rPr>
          <w:rFonts w:hint="eastAsia" w:ascii="仿宋" w:hAnsi="仿宋" w:eastAsia="仿宋" w:cs="宋体"/>
          <w:sz w:val="28"/>
          <w:szCs w:val="28"/>
          <w:highlight w:val="none"/>
          <w:u w:val="single"/>
          <w:lang w:val="en-US" w:eastAsia="zh-CN"/>
        </w:rPr>
        <w:t>630000</w:t>
      </w:r>
      <w:r>
        <w:rPr>
          <w:rFonts w:hint="eastAsia" w:ascii="仿宋" w:hAnsi="仿宋" w:eastAsia="仿宋"/>
          <w:sz w:val="28"/>
          <w:szCs w:val="28"/>
          <w:highlight w:val="none"/>
          <w:u w:val="single"/>
        </w:rPr>
        <w:t>元</w:t>
      </w:r>
      <w:r>
        <w:rPr>
          <w:rFonts w:hint="eastAsia" w:ascii="仿宋" w:hAnsi="仿宋" w:eastAsia="仿宋"/>
          <w:sz w:val="28"/>
          <w:szCs w:val="28"/>
          <w:highlight w:val="none"/>
          <w:u w:val="none"/>
          <w:lang w:eastAsia="zh-CN"/>
        </w:rPr>
        <w:t>。</w:t>
      </w:r>
    </w:p>
    <w:p w14:paraId="121E2B27">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采购需求：</w:t>
      </w:r>
      <w:r>
        <w:rPr>
          <w:rFonts w:hint="eastAsia" w:ascii="仿宋" w:hAnsi="仿宋" w:eastAsia="仿宋" w:cs="仿宋"/>
          <w:sz w:val="28"/>
          <w:szCs w:val="28"/>
          <w:highlight w:val="none"/>
          <w:lang w:val="en-US" w:eastAsia="zh-CN"/>
        </w:rPr>
        <w:t>详见采购需求。</w:t>
      </w:r>
    </w:p>
    <w:p w14:paraId="48E088C8">
      <w:pPr>
        <w:spacing w:line="480" w:lineRule="exact"/>
        <w:ind w:firstLine="560" w:firstLineChars="200"/>
        <w:rPr>
          <w:rFonts w:hint="default" w:ascii="仿宋" w:hAnsi="仿宋" w:eastAsia="仿宋" w:cs="仿宋"/>
          <w:sz w:val="28"/>
          <w:szCs w:val="28"/>
          <w:highlight w:val="red"/>
          <w:lang w:val="en-US" w:eastAsia="zh-CN"/>
        </w:rPr>
      </w:pP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期限:</w:t>
      </w:r>
      <w:r>
        <w:rPr>
          <w:rFonts w:hint="eastAsia" w:ascii="仿宋" w:hAnsi="仿宋" w:eastAsia="仿宋" w:cs="仿宋"/>
          <w:sz w:val="28"/>
          <w:szCs w:val="28"/>
          <w:highlight w:val="none"/>
          <w:lang w:val="en-US" w:eastAsia="zh-CN"/>
        </w:rPr>
        <w:t>服务时间截止2025年10月31日</w:t>
      </w:r>
    </w:p>
    <w:p w14:paraId="03E429D3">
      <w:pPr>
        <w:spacing w:line="48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服务地点：巴楚县行政区域内。</w:t>
      </w:r>
    </w:p>
    <w:p w14:paraId="04ED0CA6">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ab/>
      </w:r>
    </w:p>
    <w:p w14:paraId="2EF69C16">
      <w:pPr>
        <w:spacing w:line="480" w:lineRule="exact"/>
        <w:ind w:firstLine="560" w:firstLineChars="200"/>
        <w:rPr>
          <w:rFonts w:hint="eastAsia" w:eastAsia="仿宋"/>
          <w:highlight w:val="none"/>
          <w:lang w:val="en-US" w:eastAsia="zh-CN"/>
        </w:rPr>
      </w:pPr>
      <w:r>
        <w:rPr>
          <w:rFonts w:hint="eastAsia" w:ascii="仿宋" w:hAnsi="仿宋" w:eastAsia="仿宋" w:cs="仿宋"/>
          <w:sz w:val="28"/>
          <w:szCs w:val="28"/>
          <w:highlight w:val="none"/>
          <w:lang w:val="en-US" w:eastAsia="zh-CN"/>
        </w:rPr>
        <w:t>付款方式：签合同后按照项目进度付款（具体与业主签订合同为准）。</w:t>
      </w:r>
    </w:p>
    <w:p w14:paraId="2239471C">
      <w:pPr>
        <w:pStyle w:val="5"/>
        <w:spacing w:line="480" w:lineRule="exact"/>
        <w:jc w:val="both"/>
        <w:rPr>
          <w:rFonts w:ascii="黑体" w:hAnsi="黑体" w:cs="宋体"/>
          <w:b w:val="0"/>
          <w:sz w:val="28"/>
          <w:szCs w:val="28"/>
          <w:highlight w:val="none"/>
        </w:rPr>
      </w:pPr>
      <w:bookmarkStart w:id="17" w:name="_Toc28359013"/>
      <w:bookmarkStart w:id="18" w:name="_Toc35393799"/>
      <w:bookmarkStart w:id="19" w:name="_Toc35393630"/>
      <w:bookmarkStart w:id="20" w:name="_Toc28359090"/>
      <w:r>
        <w:rPr>
          <w:rFonts w:hint="eastAsia" w:ascii="黑体" w:hAnsi="黑体" w:cs="宋体"/>
          <w:b w:val="0"/>
          <w:sz w:val="28"/>
          <w:szCs w:val="28"/>
          <w:highlight w:val="none"/>
        </w:rPr>
        <w:t>二、申请人的资格要求：</w:t>
      </w:r>
      <w:bookmarkEnd w:id="17"/>
      <w:bookmarkEnd w:id="18"/>
      <w:bookmarkEnd w:id="19"/>
      <w:bookmarkEnd w:id="20"/>
    </w:p>
    <w:p w14:paraId="5F01B07F">
      <w:pPr>
        <w:spacing w:line="360" w:lineRule="auto"/>
        <w:ind w:firstLine="480" w:firstLineChars="200"/>
        <w:rPr>
          <w:rFonts w:ascii="宋体" w:hAnsi="宋体" w:cs="宋体"/>
          <w:highlight w:val="none"/>
        </w:rPr>
      </w:pPr>
      <w:bookmarkStart w:id="21" w:name="_Toc23306"/>
      <w:r>
        <w:rPr>
          <w:rFonts w:hint="eastAsia" w:ascii="宋体" w:hAnsi="宋体" w:cs="宋体"/>
          <w:highlight w:val="none"/>
        </w:rPr>
        <w:t>1.符合《中华人民共和国政府采购法》第二十二条的规定,</w:t>
      </w:r>
      <w:bookmarkEnd w:id="21"/>
    </w:p>
    <w:p w14:paraId="6CD2D608">
      <w:pPr>
        <w:spacing w:line="360" w:lineRule="auto"/>
        <w:ind w:firstLine="480" w:firstLineChars="200"/>
        <w:rPr>
          <w:rFonts w:ascii="宋体" w:hAnsi="宋体" w:cs="宋体"/>
          <w:highlight w:val="none"/>
        </w:rPr>
      </w:pPr>
      <w:bookmarkStart w:id="22" w:name="_Toc14900"/>
      <w:r>
        <w:rPr>
          <w:rFonts w:hint="eastAsia" w:ascii="宋体" w:hAnsi="宋体" w:eastAsia="宋体" w:cs="宋体"/>
          <w:highlight w:val="none"/>
          <w:lang w:val="en-US" w:eastAsia="zh-CN"/>
        </w:rPr>
        <w:t>2</w:t>
      </w:r>
      <w:r>
        <w:rPr>
          <w:rFonts w:hint="eastAsia" w:ascii="宋体" w:hAnsi="宋体" w:cs="宋体"/>
          <w:highlight w:val="none"/>
        </w:rPr>
        <w:t>.本项目的特定资格要求:</w:t>
      </w:r>
      <w:bookmarkEnd w:id="22"/>
    </w:p>
    <w:p w14:paraId="53891636">
      <w:pPr>
        <w:spacing w:line="360" w:lineRule="auto"/>
        <w:ind w:firstLine="480" w:firstLineChars="200"/>
        <w:rPr>
          <w:rFonts w:ascii="宋体" w:hAnsi="宋体" w:cs="宋体"/>
          <w:highlight w:val="none"/>
        </w:rPr>
      </w:pPr>
      <w:r>
        <w:rPr>
          <w:rFonts w:hint="eastAsia" w:ascii="宋体" w:hAnsi="宋体" w:cs="宋体"/>
          <w:highlight w:val="none"/>
        </w:rPr>
        <w:t>(1)合格有效的法人或者非法人组织营业执照;</w:t>
      </w:r>
    </w:p>
    <w:p w14:paraId="14C90D6F">
      <w:pPr>
        <w:spacing w:line="360" w:lineRule="auto"/>
        <w:ind w:firstLine="480" w:firstLineChars="200"/>
        <w:rPr>
          <w:rFonts w:hint="eastAsia" w:ascii="宋体" w:hAnsi="宋体" w:eastAsia="宋体" w:cs="宋体"/>
          <w:highlight w:val="none"/>
          <w:lang w:eastAsia="zh-CN"/>
        </w:rPr>
      </w:pPr>
      <w:r>
        <w:rPr>
          <w:rFonts w:hint="eastAsia" w:ascii="宋体" w:hAnsi="宋体" w:cs="宋体"/>
          <w:highlight w:val="none"/>
        </w:rPr>
        <w:t>(2)法定代表人授权书及被委托人身份证（法定代表人投标提供法定代表人身份证明及身份证）</w:t>
      </w:r>
      <w:r>
        <w:rPr>
          <w:rFonts w:hint="eastAsia" w:ascii="宋体" w:hAnsi="宋体" w:eastAsia="宋体" w:cs="宋体"/>
          <w:highlight w:val="none"/>
          <w:lang w:eastAsia="zh-CN"/>
        </w:rPr>
        <w:t>；</w:t>
      </w:r>
    </w:p>
    <w:p w14:paraId="3524A321">
      <w:pPr>
        <w:spacing w:line="360" w:lineRule="auto"/>
        <w:ind w:firstLine="480" w:firstLineChars="200"/>
        <w:rPr>
          <w:rFonts w:ascii="宋体" w:hAnsi="宋体" w:cs="宋体"/>
          <w:highlight w:val="none"/>
        </w:rPr>
      </w:pPr>
      <w:r>
        <w:rPr>
          <w:rFonts w:hint="eastAsia" w:ascii="宋体" w:hAnsi="宋体" w:cs="宋体"/>
          <w:highlight w:val="none"/>
        </w:rPr>
        <w:t>(3)</w:t>
      </w:r>
      <w:r>
        <w:rPr>
          <w:rFonts w:hint="eastAsia" w:ascii="仿宋_GB2312" w:hAnsi="宋体" w:eastAsia="仿宋_GB2312"/>
          <w:highlight w:val="none"/>
        </w:rPr>
        <w:t xml:space="preserve"> </w:t>
      </w:r>
      <w:r>
        <w:rPr>
          <w:rFonts w:hint="eastAsia" w:ascii="宋体" w:hAnsi="宋体" w:cs="宋体"/>
          <w:highlight w:val="none"/>
        </w:rPr>
        <w:t>参加政府采购活动前3年内在经营活动中没有重大违法记录的书面声明；</w:t>
      </w:r>
    </w:p>
    <w:p w14:paraId="007B39BB">
      <w:pPr>
        <w:spacing w:line="360" w:lineRule="auto"/>
        <w:ind w:firstLine="480" w:firstLineChars="200"/>
        <w:rPr>
          <w:rFonts w:ascii="宋体" w:hAnsi="宋体" w:cs="宋体" w:eastAsiaTheme="minorEastAsia"/>
          <w:highlight w:val="none"/>
        </w:rPr>
      </w:pPr>
      <w:r>
        <w:rPr>
          <w:rFonts w:hint="eastAsia" w:ascii="宋体" w:hAnsi="宋体" w:cs="宋体"/>
          <w:highlight w:val="none"/>
        </w:rPr>
        <w:t>(4)</w:t>
      </w:r>
      <w:r>
        <w:rPr>
          <w:rFonts w:ascii="宋体" w:hAnsi="宋体" w:cs="宋体"/>
          <w:highlight w:val="none"/>
        </w:rPr>
        <w:t>有依法缴纳税收和社会保障资金的良好记录；</w:t>
      </w:r>
    </w:p>
    <w:p w14:paraId="2739338F">
      <w:pPr>
        <w:spacing w:line="360" w:lineRule="auto"/>
        <w:ind w:firstLine="480" w:firstLineChars="200"/>
        <w:rPr>
          <w:rFonts w:ascii="宋体" w:hAnsi="宋体" w:cs="宋体"/>
          <w:highlight w:val="none"/>
        </w:rPr>
      </w:pPr>
      <w:r>
        <w:rPr>
          <w:rFonts w:hint="eastAsia" w:ascii="宋体" w:hAnsi="宋体" w:cs="宋体"/>
          <w:highlight w:val="none"/>
        </w:rPr>
        <w:t>(5) 具有良好的商业信誉和健全的财务会计制度的证明文件；</w:t>
      </w:r>
    </w:p>
    <w:p w14:paraId="6082D0FE">
      <w:pPr>
        <w:spacing w:line="360" w:lineRule="auto"/>
        <w:ind w:firstLine="480" w:firstLineChars="200"/>
        <w:rPr>
          <w:rFonts w:hint="eastAsia" w:ascii="宋体" w:hAnsi="宋体" w:cs="宋体"/>
          <w:highlight w:val="none"/>
        </w:rPr>
      </w:pPr>
      <w:r>
        <w:rPr>
          <w:rFonts w:hint="eastAsia" w:ascii="宋体" w:hAnsi="宋体" w:cs="宋体"/>
          <w:highlight w:val="none"/>
        </w:rPr>
        <w:t>(</w:t>
      </w:r>
      <w:r>
        <w:rPr>
          <w:rFonts w:ascii="宋体" w:hAnsi="宋体" w:cs="宋体"/>
          <w:highlight w:val="none"/>
        </w:rPr>
        <w:t>6</w:t>
      </w:r>
      <w:r>
        <w:rPr>
          <w:rFonts w:hint="eastAsia" w:ascii="宋体" w:hAnsi="宋体" w:cs="宋体"/>
          <w:highlight w:val="none"/>
        </w:rPr>
        <w:t>)投标人参加采购活动前三年内，被“信用中国（www.creditchina.gov.cn）”网站列入失信被执行人和重大税收违法案件当事人名单的、被“中国政府采购网（www.ccgp.gov）”网站列入政府采购严重违法失信行为记录名单，将拒绝其参加本次政府采购活动;</w:t>
      </w:r>
    </w:p>
    <w:p w14:paraId="1C4B8022">
      <w:pPr>
        <w:spacing w:line="480" w:lineRule="exact"/>
        <w:ind w:firstLine="560" w:firstLineChars="200"/>
        <w:rPr>
          <w:rFonts w:ascii="仿宋" w:hAnsi="仿宋" w:eastAsia="仿宋"/>
          <w:bCs/>
          <w:sz w:val="28"/>
          <w:szCs w:val="28"/>
          <w:highlight w:val="none"/>
        </w:rPr>
      </w:pPr>
      <w:r>
        <w:rPr>
          <w:rFonts w:hint="eastAsia" w:ascii="黑体" w:hAnsi="黑体" w:eastAsia="黑体" w:cs="宋体"/>
          <w:sz w:val="28"/>
          <w:szCs w:val="28"/>
          <w:highlight w:val="none"/>
        </w:rPr>
        <w:t>三、获取竞争性磋商文件时间。</w:t>
      </w:r>
      <w:r>
        <w:rPr>
          <w:rFonts w:hint="eastAsia" w:ascii="仿宋" w:hAnsi="仿宋" w:eastAsia="仿宋"/>
          <w:b/>
          <w:sz w:val="28"/>
          <w:szCs w:val="28"/>
          <w:highlight w:val="none"/>
        </w:rPr>
        <w:t xml:space="preserve">  </w:t>
      </w:r>
    </w:p>
    <w:p w14:paraId="6616DC5F">
      <w:pPr>
        <w:spacing w:line="360" w:lineRule="auto"/>
        <w:ind w:firstLine="540"/>
        <w:rPr>
          <w:rFonts w:ascii="宋体" w:hAnsi="宋体" w:cs="宋体"/>
          <w:color w:val="auto"/>
          <w:highlight w:val="none"/>
        </w:rPr>
      </w:pPr>
      <w:r>
        <w:rPr>
          <w:rFonts w:hint="eastAsia" w:ascii="宋体" w:hAnsi="宋体" w:cs="宋体"/>
          <w:highlight w:val="none"/>
        </w:rPr>
        <w:t>时</w:t>
      </w:r>
      <w:r>
        <w:rPr>
          <w:rFonts w:hint="eastAsia" w:ascii="宋体" w:hAnsi="宋体" w:cs="宋体"/>
          <w:color w:val="auto"/>
          <w:highlight w:val="none"/>
        </w:rPr>
        <w:t>间：</w:t>
      </w:r>
      <w:r>
        <w:rPr>
          <w:rFonts w:hint="eastAsia" w:ascii="宋体" w:hAnsi="宋体" w:cs="宋体"/>
          <w:color w:val="auto"/>
          <w:highlight w:val="none"/>
          <w:u w:val="single"/>
        </w:rPr>
        <w:t>202</w:t>
      </w:r>
      <w:r>
        <w:rPr>
          <w:rFonts w:hint="eastAsia" w:ascii="宋体" w:hAnsi="宋体" w:eastAsia="宋体" w:cs="宋体"/>
          <w:color w:val="auto"/>
          <w:highlight w:val="none"/>
          <w:u w:val="single"/>
          <w:lang w:val="en-US" w:eastAsia="zh-CN"/>
        </w:rPr>
        <w:t>5</w:t>
      </w:r>
      <w:r>
        <w:rPr>
          <w:rFonts w:hint="eastAsia" w:ascii="宋体" w:hAnsi="宋体" w:cs="宋体"/>
          <w:color w:val="auto"/>
          <w:highlight w:val="none"/>
          <w:u w:val="single"/>
        </w:rPr>
        <w:t>年</w:t>
      </w:r>
      <w:r>
        <w:rPr>
          <w:rFonts w:hint="eastAsia" w:ascii="宋体" w:hAnsi="宋体" w:eastAsia="宋体" w:cs="宋体"/>
          <w:color w:val="auto"/>
          <w:highlight w:val="none"/>
          <w:u w:val="single"/>
          <w:lang w:val="en-US" w:eastAsia="zh-CN"/>
        </w:rPr>
        <w:t>3</w:t>
      </w:r>
      <w:r>
        <w:rPr>
          <w:rFonts w:hint="eastAsia" w:ascii="宋体" w:hAnsi="宋体" w:cs="宋体"/>
          <w:color w:val="auto"/>
          <w:highlight w:val="none"/>
          <w:u w:val="single"/>
        </w:rPr>
        <w:t>月</w:t>
      </w:r>
      <w:r>
        <w:rPr>
          <w:rFonts w:hint="eastAsia" w:ascii="宋体" w:hAnsi="宋体" w:eastAsia="宋体" w:cs="宋体"/>
          <w:color w:val="auto"/>
          <w:highlight w:val="none"/>
          <w:u w:val="single"/>
          <w:lang w:val="en-US" w:eastAsia="zh-CN"/>
        </w:rPr>
        <w:t>15</w:t>
      </w:r>
      <w:r>
        <w:rPr>
          <w:rFonts w:hint="eastAsia" w:ascii="宋体" w:hAnsi="宋体" w:cs="宋体"/>
          <w:color w:val="auto"/>
          <w:highlight w:val="none"/>
          <w:u w:val="single"/>
        </w:rPr>
        <w:t>日</w:t>
      </w:r>
      <w:r>
        <w:rPr>
          <w:rFonts w:hint="eastAsia" w:ascii="宋体" w:hAnsi="宋体" w:cs="宋体"/>
          <w:color w:val="auto"/>
          <w:highlight w:val="none"/>
        </w:rPr>
        <w:t>至</w:t>
      </w:r>
      <w:r>
        <w:rPr>
          <w:rFonts w:hint="eastAsia" w:ascii="宋体" w:hAnsi="宋体" w:eastAsia="宋体" w:cs="宋体"/>
          <w:color w:val="auto"/>
          <w:highlight w:val="none"/>
          <w:u w:val="single"/>
          <w:lang w:eastAsia="zh-CN"/>
        </w:rPr>
        <w:t>202</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lang w:eastAsia="zh-CN"/>
        </w:rPr>
        <w:t>年</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lang w:eastAsia="zh-CN"/>
        </w:rPr>
        <w:t>月</w:t>
      </w:r>
      <w:r>
        <w:rPr>
          <w:rFonts w:hint="eastAsia" w:ascii="宋体" w:hAnsi="宋体" w:eastAsia="宋体" w:cs="宋体"/>
          <w:color w:val="auto"/>
          <w:highlight w:val="none"/>
          <w:u w:val="single"/>
          <w:lang w:val="en-US" w:eastAsia="zh-CN"/>
        </w:rPr>
        <w:t>24</w:t>
      </w:r>
      <w:r>
        <w:rPr>
          <w:rFonts w:hint="eastAsia" w:ascii="宋体" w:hAnsi="宋体" w:eastAsia="宋体" w:cs="宋体"/>
          <w:color w:val="auto"/>
          <w:highlight w:val="none"/>
          <w:u w:val="single"/>
          <w:lang w:eastAsia="zh-CN"/>
        </w:rPr>
        <w:t>日</w:t>
      </w:r>
      <w:r>
        <w:rPr>
          <w:rFonts w:hint="eastAsia" w:ascii="宋体" w:hAnsi="宋体" w:cs="宋体"/>
          <w:color w:val="auto"/>
          <w:highlight w:val="none"/>
        </w:rPr>
        <w:t>，每天上午</w:t>
      </w:r>
      <w:r>
        <w:rPr>
          <w:rFonts w:ascii="宋体" w:hAnsi="宋体" w:cs="宋体"/>
          <w:color w:val="auto"/>
          <w:highlight w:val="none"/>
          <w:u w:val="single"/>
        </w:rPr>
        <w:t>0</w:t>
      </w:r>
      <w:r>
        <w:rPr>
          <w:rFonts w:hint="eastAsia" w:ascii="宋体" w:hAnsi="宋体" w:cs="宋体"/>
          <w:color w:val="auto"/>
          <w:highlight w:val="none"/>
          <w:u w:val="single"/>
        </w:rPr>
        <w:t>0:00</w:t>
      </w:r>
      <w:r>
        <w:rPr>
          <w:rFonts w:hint="eastAsia" w:ascii="宋体" w:hAnsi="宋体" w:cs="宋体"/>
          <w:color w:val="auto"/>
          <w:highlight w:val="none"/>
        </w:rPr>
        <w:t>至</w:t>
      </w:r>
      <w:r>
        <w:rPr>
          <w:rFonts w:hint="eastAsia" w:ascii="宋体" w:hAnsi="宋体" w:cs="宋体"/>
          <w:color w:val="auto"/>
          <w:highlight w:val="none"/>
          <w:u w:val="single"/>
        </w:rPr>
        <w:t>1</w:t>
      </w:r>
      <w:r>
        <w:rPr>
          <w:rFonts w:ascii="宋体" w:hAnsi="宋体" w:cs="宋体"/>
          <w:color w:val="auto"/>
          <w:highlight w:val="none"/>
          <w:u w:val="single"/>
        </w:rPr>
        <w:t>2</w:t>
      </w:r>
      <w:r>
        <w:rPr>
          <w:rFonts w:hint="eastAsia" w:ascii="宋体" w:hAnsi="宋体" w:cs="宋体"/>
          <w:color w:val="auto"/>
          <w:highlight w:val="none"/>
          <w:u w:val="single"/>
        </w:rPr>
        <w:t>:00</w:t>
      </w:r>
      <w:r>
        <w:rPr>
          <w:rFonts w:hint="eastAsia" w:ascii="宋体" w:hAnsi="宋体" w:cs="宋体"/>
          <w:color w:val="auto"/>
          <w:highlight w:val="none"/>
        </w:rPr>
        <w:t>，下午</w:t>
      </w:r>
      <w:r>
        <w:rPr>
          <w:rFonts w:hint="eastAsia" w:ascii="宋体" w:hAnsi="宋体" w:cs="宋体"/>
          <w:color w:val="auto"/>
          <w:highlight w:val="none"/>
          <w:u w:val="single"/>
        </w:rPr>
        <w:t>1</w:t>
      </w:r>
      <w:r>
        <w:rPr>
          <w:rFonts w:ascii="宋体" w:hAnsi="宋体" w:cs="宋体"/>
          <w:color w:val="auto"/>
          <w:highlight w:val="none"/>
          <w:u w:val="single"/>
        </w:rPr>
        <w:t>2</w:t>
      </w:r>
      <w:r>
        <w:rPr>
          <w:rFonts w:hint="eastAsia" w:ascii="宋体" w:hAnsi="宋体" w:cs="宋体"/>
          <w:color w:val="auto"/>
          <w:highlight w:val="none"/>
          <w:u w:val="single"/>
        </w:rPr>
        <w:t>:</w:t>
      </w:r>
      <w:r>
        <w:rPr>
          <w:rFonts w:ascii="宋体" w:hAnsi="宋体" w:cs="宋体"/>
          <w:color w:val="auto"/>
          <w:highlight w:val="none"/>
          <w:u w:val="single"/>
        </w:rPr>
        <w:t>0</w:t>
      </w:r>
      <w:r>
        <w:rPr>
          <w:rFonts w:hint="eastAsia" w:ascii="宋体" w:hAnsi="宋体" w:cs="宋体"/>
          <w:color w:val="auto"/>
          <w:highlight w:val="none"/>
          <w:u w:val="single"/>
        </w:rPr>
        <w:t>0</w:t>
      </w:r>
      <w:r>
        <w:rPr>
          <w:rFonts w:hint="eastAsia" w:ascii="宋体" w:hAnsi="宋体" w:cs="宋体"/>
          <w:color w:val="auto"/>
          <w:highlight w:val="none"/>
        </w:rPr>
        <w:t>至</w:t>
      </w:r>
      <w:r>
        <w:rPr>
          <w:rFonts w:ascii="宋体" w:hAnsi="宋体" w:cs="宋体"/>
          <w:color w:val="auto"/>
          <w:highlight w:val="none"/>
          <w:u w:val="single"/>
        </w:rPr>
        <w:t>23</w:t>
      </w:r>
      <w:r>
        <w:rPr>
          <w:rFonts w:hint="eastAsia" w:ascii="宋体" w:hAnsi="宋体" w:cs="宋体"/>
          <w:color w:val="auto"/>
          <w:highlight w:val="none"/>
          <w:u w:val="single"/>
        </w:rPr>
        <w:t>:</w:t>
      </w:r>
      <w:r>
        <w:rPr>
          <w:rFonts w:ascii="宋体" w:hAnsi="宋体" w:cs="宋体"/>
          <w:color w:val="auto"/>
          <w:highlight w:val="none"/>
          <w:u w:val="single"/>
        </w:rPr>
        <w:t>0</w:t>
      </w:r>
      <w:r>
        <w:rPr>
          <w:rFonts w:hint="eastAsia" w:ascii="宋体" w:hAnsi="宋体" w:cs="宋体"/>
          <w:color w:val="auto"/>
          <w:highlight w:val="none"/>
          <w:u w:val="single"/>
        </w:rPr>
        <w:t>0</w:t>
      </w:r>
      <w:r>
        <w:rPr>
          <w:rFonts w:hint="eastAsia" w:ascii="宋体" w:hAnsi="宋体" w:cs="宋体"/>
          <w:color w:val="auto"/>
          <w:highlight w:val="none"/>
        </w:rPr>
        <w:t>（北京时间，法定节假日除外）</w:t>
      </w:r>
    </w:p>
    <w:p w14:paraId="7DDD8C0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地点：新疆政府采购网政采云平台（http://www.ccgp-xinjiang.gov.cn/）</w:t>
      </w:r>
    </w:p>
    <w:p w14:paraId="3D83709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方式：线上获取（登录政府采购云平台→项目采购→获取采购文件→申请，审核通过后可下载采购文件）</w:t>
      </w:r>
    </w:p>
    <w:p w14:paraId="2482FB02">
      <w:pPr>
        <w:spacing w:line="360" w:lineRule="auto"/>
        <w:ind w:firstLine="540"/>
        <w:rPr>
          <w:rFonts w:ascii="宋体" w:hAnsi="宋体" w:cs="宋体"/>
          <w:color w:val="auto"/>
          <w:highlight w:val="none"/>
        </w:rPr>
      </w:pPr>
      <w:r>
        <w:rPr>
          <w:rFonts w:hint="eastAsia" w:ascii="宋体" w:hAnsi="宋体" w:cs="宋体"/>
          <w:color w:val="auto"/>
          <w:highlight w:val="none"/>
        </w:rPr>
        <w:t>售价：0.00元</w:t>
      </w:r>
    </w:p>
    <w:p w14:paraId="119FDA15">
      <w:pPr>
        <w:spacing w:line="360" w:lineRule="auto"/>
        <w:rPr>
          <w:rFonts w:ascii="宋体" w:hAnsi="宋体" w:cs="宋体"/>
          <w:b/>
          <w:bCs/>
          <w:color w:val="auto"/>
          <w:highlight w:val="none"/>
        </w:rPr>
      </w:pPr>
      <w:r>
        <w:rPr>
          <w:rFonts w:hint="eastAsia" w:ascii="黑体" w:hAnsi="黑体" w:cs="宋体"/>
          <w:color w:val="auto"/>
          <w:sz w:val="28"/>
          <w:szCs w:val="28"/>
          <w:highlight w:val="none"/>
        </w:rPr>
        <w:t>四、</w:t>
      </w:r>
      <w:bookmarkStart w:id="23" w:name="_Toc31490"/>
      <w:bookmarkStart w:id="24" w:name="_Toc19911"/>
      <w:bookmarkStart w:id="25" w:name="_Toc16520"/>
      <w:bookmarkStart w:id="26" w:name="_Toc9495"/>
      <w:bookmarkStart w:id="27" w:name="_Toc28359017"/>
      <w:bookmarkStart w:id="28" w:name="_Toc35393803"/>
      <w:bookmarkStart w:id="29" w:name="_Toc35393634"/>
      <w:bookmarkStart w:id="30" w:name="_Toc28359094"/>
      <w:r>
        <w:rPr>
          <w:rFonts w:hint="eastAsia" w:ascii="宋体" w:hAnsi="宋体" w:cs="宋体"/>
          <w:b/>
          <w:bCs/>
          <w:color w:val="auto"/>
          <w:highlight w:val="none"/>
        </w:rPr>
        <w:t>提交投标文件截止时间、开标时间和地点</w:t>
      </w:r>
      <w:bookmarkEnd w:id="23"/>
      <w:bookmarkEnd w:id="24"/>
      <w:bookmarkEnd w:id="25"/>
      <w:bookmarkEnd w:id="26"/>
    </w:p>
    <w:p w14:paraId="2F98EB99">
      <w:pPr>
        <w:spacing w:line="360" w:lineRule="auto"/>
        <w:ind w:firstLine="480" w:firstLineChars="200"/>
        <w:rPr>
          <w:rFonts w:ascii="宋体" w:hAnsi="宋体" w:cs="宋体"/>
          <w:bCs/>
          <w:color w:val="auto"/>
          <w:highlight w:val="none"/>
          <w:u w:val="single"/>
        </w:rPr>
      </w:pPr>
      <w:r>
        <w:rPr>
          <w:rFonts w:hint="eastAsia" w:ascii="宋体" w:hAnsi="宋体" w:eastAsia="宋体" w:cs="宋体"/>
          <w:color w:val="auto"/>
          <w:highlight w:val="none"/>
          <w:u w:val="single"/>
          <w:lang w:eastAsia="zh-CN"/>
        </w:rPr>
        <w:t>2025年3月25日</w:t>
      </w:r>
      <w:r>
        <w:rPr>
          <w:rFonts w:hint="eastAsia" w:ascii="宋体" w:hAnsi="宋体" w:cs="宋体"/>
          <w:color w:val="auto"/>
          <w:highlight w:val="none"/>
          <w:u w:val="single"/>
        </w:rPr>
        <w:t>1</w:t>
      </w:r>
      <w:r>
        <w:rPr>
          <w:rFonts w:hint="eastAsia" w:ascii="宋体" w:hAnsi="宋体" w:eastAsia="宋体" w:cs="宋体"/>
          <w:color w:val="auto"/>
          <w:highlight w:val="none"/>
          <w:u w:val="single"/>
          <w:lang w:val="en-US" w:eastAsia="zh-CN"/>
        </w:rPr>
        <w:t>1</w:t>
      </w:r>
      <w:r>
        <w:rPr>
          <w:rFonts w:hint="eastAsia" w:ascii="宋体" w:hAnsi="宋体" w:cs="宋体"/>
          <w:color w:val="auto"/>
          <w:highlight w:val="none"/>
          <w:u w:val="single"/>
        </w:rPr>
        <w:t>点</w:t>
      </w:r>
      <w:r>
        <w:rPr>
          <w:rFonts w:hint="eastAsia" w:ascii="宋体" w:hAnsi="宋体" w:eastAsia="宋体" w:cs="宋体"/>
          <w:color w:val="auto"/>
          <w:highlight w:val="none"/>
          <w:u w:val="single"/>
          <w:lang w:val="en-US" w:eastAsia="zh-CN"/>
        </w:rPr>
        <w:t>0</w:t>
      </w:r>
      <w:r>
        <w:rPr>
          <w:rFonts w:hint="eastAsia" w:ascii="宋体" w:hAnsi="宋体" w:cs="宋体"/>
          <w:color w:val="auto"/>
          <w:highlight w:val="none"/>
          <w:u w:val="single"/>
        </w:rPr>
        <w:t>0分（</w:t>
      </w:r>
      <w:r>
        <w:rPr>
          <w:rFonts w:hint="eastAsia" w:ascii="宋体" w:hAnsi="宋体" w:cs="宋体"/>
          <w:bCs/>
          <w:color w:val="auto"/>
          <w:highlight w:val="none"/>
        </w:rPr>
        <w:t>北京时间）</w:t>
      </w:r>
    </w:p>
    <w:p w14:paraId="1E37CAAC">
      <w:pPr>
        <w:spacing w:line="360" w:lineRule="auto"/>
        <w:ind w:firstLine="480" w:firstLineChars="200"/>
        <w:jc w:val="left"/>
        <w:rPr>
          <w:rFonts w:ascii="宋体" w:hAnsi="宋体" w:cs="宋体"/>
          <w:highlight w:val="none"/>
          <w:u w:val="single"/>
        </w:rPr>
      </w:pPr>
      <w:r>
        <w:rPr>
          <w:rFonts w:hint="eastAsia" w:ascii="宋体" w:hAnsi="宋体" w:cs="宋体"/>
          <w:highlight w:val="none"/>
        </w:rPr>
        <w:t>地点：政采云平台（https://login.zcygov.cn/user-login/#/login）</w:t>
      </w:r>
    </w:p>
    <w:p w14:paraId="11FE21D0">
      <w:pPr>
        <w:pStyle w:val="5"/>
        <w:spacing w:line="480" w:lineRule="exact"/>
        <w:jc w:val="both"/>
        <w:rPr>
          <w:rFonts w:ascii="黑体" w:hAnsi="黑体" w:cs="宋体"/>
          <w:sz w:val="28"/>
          <w:szCs w:val="28"/>
          <w:highlight w:val="none"/>
        </w:rPr>
      </w:pPr>
      <w:r>
        <w:rPr>
          <w:rFonts w:hint="eastAsia" w:ascii="黑体" w:hAnsi="黑体" w:cs="宋体"/>
          <w:sz w:val="28"/>
          <w:szCs w:val="28"/>
          <w:highlight w:val="none"/>
        </w:rPr>
        <w:t>五、公告期限</w:t>
      </w:r>
      <w:bookmarkEnd w:id="27"/>
      <w:bookmarkEnd w:id="28"/>
      <w:bookmarkEnd w:id="29"/>
      <w:bookmarkEnd w:id="30"/>
    </w:p>
    <w:p w14:paraId="69B3E22D">
      <w:pPr>
        <w:spacing w:line="48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自本公告发布之日起</w:t>
      </w:r>
      <w:r>
        <w:rPr>
          <w:rFonts w:hint="eastAsia" w:ascii="仿宋" w:hAnsi="仿宋" w:eastAsia="仿宋" w:cs="宋体"/>
          <w:color w:val="0000FF"/>
          <w:sz w:val="28"/>
          <w:szCs w:val="28"/>
          <w:highlight w:val="none"/>
        </w:rPr>
        <w:t>5</w:t>
      </w:r>
      <w:r>
        <w:rPr>
          <w:rFonts w:hint="eastAsia" w:ascii="仿宋" w:hAnsi="仿宋" w:eastAsia="仿宋" w:cs="宋体"/>
          <w:sz w:val="28"/>
          <w:szCs w:val="28"/>
          <w:highlight w:val="none"/>
        </w:rPr>
        <w:t>个工作日。</w:t>
      </w:r>
    </w:p>
    <w:p w14:paraId="287BE8F3">
      <w:pPr>
        <w:pStyle w:val="5"/>
        <w:spacing w:line="480" w:lineRule="exact"/>
        <w:jc w:val="both"/>
        <w:rPr>
          <w:rFonts w:ascii="黑体" w:hAnsi="黑体" w:cs="宋体"/>
          <w:b w:val="0"/>
          <w:sz w:val="28"/>
          <w:szCs w:val="28"/>
          <w:highlight w:val="none"/>
        </w:rPr>
      </w:pPr>
      <w:bookmarkStart w:id="31" w:name="_Toc35393804"/>
      <w:bookmarkStart w:id="32" w:name="_Toc35393635"/>
      <w:r>
        <w:rPr>
          <w:rFonts w:hint="eastAsia" w:ascii="黑体" w:hAnsi="黑体" w:cs="宋体"/>
          <w:b w:val="0"/>
          <w:sz w:val="28"/>
          <w:szCs w:val="28"/>
          <w:highlight w:val="none"/>
        </w:rPr>
        <w:t>六、其他补充事宜</w:t>
      </w:r>
      <w:bookmarkEnd w:id="31"/>
      <w:bookmarkEnd w:id="32"/>
    </w:p>
    <w:p w14:paraId="0284DB9B">
      <w:pPr>
        <w:spacing w:line="360" w:lineRule="auto"/>
        <w:ind w:firstLine="480" w:firstLineChars="200"/>
        <w:rPr>
          <w:rFonts w:ascii="宋体" w:hAnsi="宋体" w:cs="宋体"/>
          <w:highlight w:val="none"/>
        </w:rPr>
      </w:pPr>
      <w:bookmarkStart w:id="33" w:name="_Toc28359095"/>
      <w:bookmarkStart w:id="34" w:name="_Toc28359018"/>
      <w:bookmarkStart w:id="35" w:name="_Toc35393636"/>
      <w:bookmarkStart w:id="36" w:name="_Toc35393805"/>
      <w:r>
        <w:rPr>
          <w:rFonts w:hint="eastAsia" w:ascii="宋体" w:hAnsi="宋体" w:cs="宋体"/>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7F0B6132">
      <w:pPr>
        <w:spacing w:line="360" w:lineRule="auto"/>
        <w:ind w:firstLine="480" w:firstLineChars="200"/>
        <w:rPr>
          <w:rFonts w:ascii="宋体" w:hAnsi="宋体" w:cs="宋体"/>
          <w:highlight w:val="none"/>
        </w:rPr>
      </w:pPr>
      <w:r>
        <w:rPr>
          <w:rFonts w:hint="eastAsia" w:ascii="宋体" w:hAnsi="宋体" w:cs="宋体"/>
          <w:highlight w:val="none"/>
        </w:rPr>
        <w:t>2.本项目实行网上投标，采用电子投标文件(供应商须使用CA加密设备通过政采云电子投标客户端制作投标文件)。若供应商参与投标，自行承担投标一切费用。</w:t>
      </w:r>
    </w:p>
    <w:p w14:paraId="549F2471">
      <w:pPr>
        <w:spacing w:line="360" w:lineRule="auto"/>
        <w:ind w:firstLine="480" w:firstLineChars="200"/>
        <w:rPr>
          <w:rFonts w:ascii="宋体" w:hAnsi="宋体" w:cs="宋体"/>
          <w:highlight w:val="none"/>
        </w:rPr>
      </w:pPr>
      <w:r>
        <w:rPr>
          <w:rFonts w:hint="eastAsia" w:ascii="宋体" w:hAnsi="宋体" w:cs="宋体"/>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25F1155B">
      <w:pPr>
        <w:spacing w:line="360" w:lineRule="auto"/>
        <w:ind w:firstLine="480" w:firstLineChars="200"/>
        <w:rPr>
          <w:rFonts w:ascii="宋体" w:hAnsi="宋体" w:cs="宋体"/>
          <w:highlight w:val="none"/>
        </w:rPr>
      </w:pPr>
      <w:r>
        <w:rPr>
          <w:rFonts w:hint="eastAsia" w:ascii="宋体" w:hAnsi="宋体" w:cs="宋体"/>
          <w:highlight w:val="none"/>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14:paraId="249AA024">
      <w:pPr>
        <w:spacing w:line="360" w:lineRule="auto"/>
        <w:ind w:firstLine="480" w:firstLineChars="200"/>
        <w:rPr>
          <w:rFonts w:ascii="宋体" w:hAnsi="宋体" w:cs="宋体"/>
          <w:highlight w:val="none"/>
        </w:rPr>
      </w:pPr>
      <w:r>
        <w:rPr>
          <w:rFonts w:hint="eastAsia" w:ascii="宋体" w:hAnsi="宋体" w:cs="宋体"/>
          <w:highlight w:val="none"/>
        </w:rPr>
        <w:t>5.供应商在开标时须使用制作加密电子投标文件所使用的CA锁及电脑，电脑须提前配置好浏览器（建议使用谷歌浏览器），以便开标时解锁。</w:t>
      </w:r>
    </w:p>
    <w:p w14:paraId="11A012E4">
      <w:pPr>
        <w:spacing w:line="360" w:lineRule="auto"/>
        <w:ind w:firstLine="480" w:firstLineChars="200"/>
        <w:rPr>
          <w:rFonts w:ascii="宋体" w:hAnsi="宋体" w:cs="宋体"/>
          <w:highlight w:val="none"/>
        </w:rPr>
      </w:pPr>
      <w:r>
        <w:rPr>
          <w:rFonts w:hint="eastAsia" w:ascii="宋体" w:hAnsi="宋体" w:cs="宋体"/>
          <w:highlight w:val="none"/>
        </w:rPr>
        <w:t>6.投标保证金缴纳及确认时间：凡拟参加本次招标项目的供应商，必须在开标前将投标保证金汇入指定账户。投标保证金汇款凭证上用途栏应注明:招标项目名称+投标保证金</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采用保函形式的投标保证金，其保函需装订至投标文件中且所投标项及项目编号需使用国家通用语言文字，若投标文件中保函所保标项及项目编号未使用国家通用语言文字，</w:t>
      </w:r>
      <w:r>
        <w:rPr>
          <w:rFonts w:hint="eastAsia" w:ascii="宋体" w:hAnsi="宋体" w:cs="宋体"/>
          <w:highlight w:val="none"/>
        </w:rPr>
        <w:t>否则，届时其投标将被拒绝。</w:t>
      </w:r>
    </w:p>
    <w:p w14:paraId="77B45E1A">
      <w:pPr>
        <w:spacing w:line="360" w:lineRule="auto"/>
        <w:ind w:firstLine="480" w:firstLineChars="200"/>
        <w:rPr>
          <w:rFonts w:ascii="宋体" w:hAnsi="宋体" w:cs="宋体"/>
          <w:highlight w:val="none"/>
        </w:rPr>
      </w:pPr>
      <w:r>
        <w:rPr>
          <w:rFonts w:hint="eastAsia" w:ascii="宋体" w:hAnsi="宋体" w:cs="宋体"/>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513D34FD">
      <w:pPr>
        <w:pStyle w:val="5"/>
        <w:spacing w:line="480" w:lineRule="exact"/>
        <w:jc w:val="both"/>
        <w:rPr>
          <w:rFonts w:ascii="黑体" w:hAnsi="黑体" w:cs="宋体"/>
          <w:b w:val="0"/>
          <w:sz w:val="28"/>
          <w:szCs w:val="28"/>
          <w:highlight w:val="none"/>
        </w:rPr>
      </w:pPr>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33"/>
      <w:bookmarkEnd w:id="34"/>
      <w:bookmarkEnd w:id="35"/>
      <w:bookmarkEnd w:id="36"/>
    </w:p>
    <w:p w14:paraId="2F857883">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1.采购人信息</w:t>
      </w:r>
    </w:p>
    <w:p w14:paraId="7C51E45D">
      <w:pPr>
        <w:widowControl/>
        <w:spacing w:line="4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eastAsia="zh-CN"/>
        </w:rPr>
        <w:t>巴楚县民政局</w:t>
      </w:r>
    </w:p>
    <w:p w14:paraId="2826FB30">
      <w:pPr>
        <w:pStyle w:val="6"/>
        <w:ind w:firstLine="560" w:firstLineChars="200"/>
        <w:rPr>
          <w:rFonts w:hint="eastAsia" w:eastAsia="仿宋"/>
          <w:highlight w:val="none"/>
          <w:lang w:eastAsia="zh-CN"/>
        </w:rPr>
      </w:pPr>
      <w:r>
        <w:rPr>
          <w:rFonts w:hint="eastAsia" w:ascii="仿宋" w:hAnsi="仿宋" w:eastAsia="仿宋"/>
          <w:sz w:val="28"/>
          <w:szCs w:val="28"/>
          <w:highlight w:val="none"/>
        </w:rPr>
        <w:t>联系人：</w:t>
      </w:r>
      <w:r>
        <w:rPr>
          <w:rFonts w:hint="eastAsia" w:ascii="仿宋" w:hAnsi="仿宋" w:eastAsia="仿宋"/>
          <w:sz w:val="28"/>
          <w:szCs w:val="28"/>
          <w:highlight w:val="none"/>
          <w:lang w:eastAsia="zh-CN"/>
        </w:rPr>
        <w:t>阿卜杜热合曼·安外尔</w:t>
      </w:r>
    </w:p>
    <w:p w14:paraId="7643823F">
      <w:pPr>
        <w:spacing w:line="400" w:lineRule="exact"/>
        <w:ind w:firstLine="560"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地址：巴楚县</w:t>
      </w:r>
      <w:r>
        <w:rPr>
          <w:rFonts w:hint="eastAsia" w:ascii="仿宋" w:hAnsi="仿宋" w:eastAsia="仿宋"/>
          <w:sz w:val="28"/>
          <w:szCs w:val="28"/>
          <w:highlight w:val="none"/>
          <w:lang w:val="en-US" w:eastAsia="zh-CN"/>
        </w:rPr>
        <w:t>劳动大厦</w:t>
      </w:r>
    </w:p>
    <w:p w14:paraId="00E007B1">
      <w:pPr>
        <w:spacing w:line="400" w:lineRule="exact"/>
        <w:ind w:firstLine="560"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eastAsia="zh-CN"/>
        </w:rPr>
        <w:t xml:space="preserve"> </w:t>
      </w:r>
      <w:r>
        <w:rPr>
          <w:rFonts w:hint="eastAsia" w:ascii="仿宋" w:hAnsi="仿宋" w:eastAsia="仿宋"/>
          <w:sz w:val="28"/>
          <w:szCs w:val="28"/>
          <w:highlight w:val="none"/>
          <w:lang w:val="en-US" w:eastAsia="zh-CN"/>
        </w:rPr>
        <w:t>13657507772</w:t>
      </w:r>
    </w:p>
    <w:p w14:paraId="669A3059">
      <w:pPr>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2、采购代理机构信息</w:t>
      </w:r>
    </w:p>
    <w:p w14:paraId="0982FAA5">
      <w:pPr>
        <w:spacing w:line="40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名  称：巴楚县政府采购中心</w:t>
      </w:r>
    </w:p>
    <w:p w14:paraId="5EC1B6B4">
      <w:pPr>
        <w:spacing w:line="40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地　址：巴楚县园区投资开发有限公司</w:t>
      </w:r>
      <w:r>
        <w:rPr>
          <w:rFonts w:hint="eastAsia" w:ascii="仿宋" w:hAnsi="仿宋" w:eastAsia="仿宋"/>
          <w:sz w:val="28"/>
          <w:szCs w:val="28"/>
          <w:highlight w:val="none"/>
          <w:lang w:val="en-US" w:eastAsia="zh-CN"/>
        </w:rPr>
        <w:t>5楼</w:t>
      </w:r>
    </w:p>
    <w:p w14:paraId="6BAEF510">
      <w:pPr>
        <w:spacing w:line="4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联系方式：0998-5720880</w:t>
      </w:r>
    </w:p>
    <w:p w14:paraId="17881DF0">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3.监督单位：巴楚县政府采购管理办公室</w:t>
      </w:r>
    </w:p>
    <w:p w14:paraId="31501F3C">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联系人： 陈丽芳</w:t>
      </w:r>
    </w:p>
    <w:p w14:paraId="548E3793">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监督投诉电话：0998-6210069</w:t>
      </w:r>
    </w:p>
    <w:p w14:paraId="7D029C6C">
      <w:pPr>
        <w:spacing w:line="400" w:lineRule="exact"/>
        <w:ind w:firstLine="560" w:firstLineChars="200"/>
        <w:rPr>
          <w:rFonts w:ascii="仿宋" w:hAnsi="仿宋" w:eastAsia="仿宋"/>
          <w:sz w:val="28"/>
          <w:szCs w:val="28"/>
          <w:highlight w:val="none"/>
        </w:rPr>
      </w:pPr>
      <w:r>
        <w:rPr>
          <w:rFonts w:hint="eastAsia" w:ascii="仿宋" w:hAnsi="仿宋" w:eastAsia="仿宋" w:cs="宋体"/>
          <w:sz w:val="28"/>
          <w:szCs w:val="28"/>
          <w:highlight w:val="none"/>
        </w:rPr>
        <w:t>地  址：</w:t>
      </w:r>
      <w:r>
        <w:rPr>
          <w:rFonts w:hint="eastAsia" w:ascii="仿宋" w:hAnsi="仿宋" w:eastAsia="仿宋"/>
          <w:sz w:val="28"/>
          <w:szCs w:val="28"/>
          <w:highlight w:val="none"/>
        </w:rPr>
        <w:t>巴楚县财政大楼6楼</w:t>
      </w:r>
    </w:p>
    <w:bookmarkEnd w:id="8"/>
    <w:bookmarkEnd w:id="9"/>
    <w:bookmarkEnd w:id="10"/>
    <w:bookmarkEnd w:id="11"/>
    <w:bookmarkEnd w:id="12"/>
    <w:p w14:paraId="03BA7FEB">
      <w:bookmarkStart w:id="37" w:name="_GoBack"/>
      <w:bookmarkEnd w:id="3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2C786A"/>
    <w:rsid w:val="63275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val="en-US" w:eastAsia="zh-CN" w:bidi="ar-SA"/>
    </w:rPr>
  </w:style>
  <w:style w:type="paragraph" w:styleId="3">
    <w:name w:val="heading 1"/>
    <w:basedOn w:val="4"/>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autoSpaceDE w:val="0"/>
      <w:autoSpaceDN w:val="0"/>
      <w:adjustRightInd w:val="0"/>
      <w:ind w:firstLine="420"/>
      <w:jc w:val="left"/>
    </w:pPr>
    <w:rPr>
      <w:rFonts w:ascii="宋体"/>
      <w:szCs w:val="20"/>
    </w:rPr>
  </w:style>
  <w:style w:type="paragraph" w:styleId="4">
    <w:name w:val="Title"/>
    <w:basedOn w:val="1"/>
    <w:next w:val="1"/>
    <w:qFormat/>
    <w:uiPriority w:val="0"/>
  </w:style>
  <w:style w:type="paragraph" w:styleId="6">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1615</Words>
  <Characters>1945</Characters>
  <Lines>0</Lines>
  <Paragraphs>0</Paragraphs>
  <TotalTime>0</TotalTime>
  <ScaleCrop>false</ScaleCrop>
  <LinksUpToDate>false</LinksUpToDate>
  <CharactersWithSpaces>1963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2025-03-11T08:44:00Z</dcterms:created>
  <dc:creator>lenovo</dc:creator>
  <cp:lastModifiedBy>笑不语</cp:lastModifiedBy>
  <dcterms:modified xsi:type="dcterms:W3CDTF">2025-03-14T09:43:39Z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eyJoZGlkIjoiN2RlNzBjZDMxNjczNzgzZjY2MTU1ZDZkYzVmMmI1MTciLCJ1c2VySWQiOiIyNDUzNTQwOTUifQ==</vt:lpwstr>
  </property>
  <property fmtid="{D5CDD505-2E9C-101B-9397-08002B2CF9AE}" pid="4" name="ICV">
    <vt:lpwstr>12CF742026FD4F188A47809109CC9506_12</vt:lpwstr>
  </property>
</Properties>
</file>